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Layout w:type="fixed"/>
        <w:tblCellMar>
          <w:left w:w="0" w:type="dxa"/>
          <w:right w:w="0" w:type="dxa"/>
        </w:tblCellMar>
        <w:tblLook w:val="04A0" w:firstRow="1" w:lastRow="0" w:firstColumn="1" w:lastColumn="0" w:noHBand="0" w:noVBand="1"/>
      </w:tblPr>
      <w:tblGrid>
        <w:gridCol w:w="709"/>
        <w:gridCol w:w="992"/>
        <w:gridCol w:w="6304"/>
        <w:gridCol w:w="1634"/>
      </w:tblGrid>
      <w:tr w:rsidR="00714E4F" w:rsidRPr="00536D16" w14:paraId="44258C1C" w14:textId="77777777" w:rsidTr="007B4477">
        <w:trPr>
          <w:trHeight w:hRule="exact" w:val="142"/>
        </w:trPr>
        <w:tc>
          <w:tcPr>
            <w:tcW w:w="709" w:type="dxa"/>
            <w:vMerge w:val="restart"/>
            <w:vAlign w:val="center"/>
          </w:tcPr>
          <w:p w14:paraId="74AAEF50" w14:textId="77777777" w:rsidR="00714E4F" w:rsidRPr="00536D16" w:rsidRDefault="00714E4F" w:rsidP="00805C75">
            <w:pPr>
              <w:spacing w:after="0" w:line="240" w:lineRule="auto"/>
              <w:rPr>
                <w:rFonts w:ascii="Times New Roman" w:hAnsi="Times New Roman"/>
                <w:lang w:val="en-GB"/>
              </w:rPr>
            </w:pPr>
            <w:bookmarkStart w:id="0" w:name="_jlde0bfez6jg" w:colFirst="0" w:colLast="0"/>
            <w:bookmarkStart w:id="1" w:name="_Hlk184284483"/>
            <w:bookmarkStart w:id="2" w:name="_Hlk145412337"/>
            <w:bookmarkStart w:id="3" w:name="_Hlk103340665"/>
            <w:bookmarkStart w:id="4" w:name="_Hlk24804592"/>
            <w:bookmarkEnd w:id="0"/>
            <w:bookmarkEnd w:id="1"/>
            <w:bookmarkEnd w:id="2"/>
            <w:bookmarkEnd w:id="3"/>
            <w:r w:rsidRPr="00536D16">
              <w:rPr>
                <w:rFonts w:ascii="Times New Roman" w:hAnsi="Times New Roman"/>
                <w:noProof/>
                <w:lang w:val="en-GB"/>
              </w:rPr>
              <w:drawing>
                <wp:anchor distT="0" distB="0" distL="114300" distR="114300" simplePos="0" relativeHeight="251721216" behindDoc="0" locked="0" layoutInCell="1" allowOverlap="1" wp14:anchorId="52152980" wp14:editId="10E5EE51">
                  <wp:simplePos x="0" y="0"/>
                  <wp:positionH relativeFrom="column">
                    <wp:posOffset>0</wp:posOffset>
                  </wp:positionH>
                  <wp:positionV relativeFrom="paragraph">
                    <wp:posOffset>344805</wp:posOffset>
                  </wp:positionV>
                  <wp:extent cx="432000" cy="426000"/>
                  <wp:effectExtent l="0" t="0" r="6350" b="0"/>
                  <wp:wrapNone/>
                  <wp:docPr id="868826197"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000" cy="426000"/>
                          </a:xfrm>
                          <a:prstGeom prst="rect">
                            <a:avLst/>
                          </a:prstGeom>
                          <a:noFill/>
                        </pic:spPr>
                      </pic:pic>
                    </a:graphicData>
                  </a:graphic>
                  <wp14:sizeRelH relativeFrom="page">
                    <wp14:pctWidth>0</wp14:pctWidth>
                  </wp14:sizeRelH>
                  <wp14:sizeRelV relativeFrom="page">
                    <wp14:pctHeight>0</wp14:pctHeight>
                  </wp14:sizeRelV>
                </wp:anchor>
              </w:drawing>
            </w:r>
          </w:p>
        </w:tc>
        <w:tc>
          <w:tcPr>
            <w:tcW w:w="8930" w:type="dxa"/>
            <w:gridSpan w:val="3"/>
            <w:vAlign w:val="center"/>
          </w:tcPr>
          <w:p w14:paraId="5CABC15A" w14:textId="77777777" w:rsidR="00714E4F" w:rsidRPr="00536D16" w:rsidRDefault="00714E4F" w:rsidP="00805C75">
            <w:pPr>
              <w:spacing w:after="0" w:line="240" w:lineRule="auto"/>
              <w:rPr>
                <w:rFonts w:ascii="Times New Roman" w:hAnsi="Times New Roman"/>
                <w:sz w:val="20"/>
                <w:szCs w:val="20"/>
                <w:lang w:val="en-GB"/>
              </w:rPr>
            </w:pPr>
          </w:p>
        </w:tc>
      </w:tr>
      <w:tr w:rsidR="00714E4F" w:rsidRPr="00536D16" w14:paraId="4CDD47DC" w14:textId="77777777" w:rsidTr="007B4477">
        <w:trPr>
          <w:trHeight w:hRule="exact" w:val="283"/>
        </w:trPr>
        <w:tc>
          <w:tcPr>
            <w:tcW w:w="709" w:type="dxa"/>
            <w:vMerge/>
          </w:tcPr>
          <w:p w14:paraId="6F7CF605" w14:textId="77777777" w:rsidR="00714E4F" w:rsidRPr="00536D16" w:rsidRDefault="00714E4F" w:rsidP="00805C75">
            <w:pPr>
              <w:spacing w:after="0" w:line="240" w:lineRule="auto"/>
              <w:rPr>
                <w:rFonts w:ascii="Times New Roman" w:hAnsi="Times New Roman"/>
                <w:lang w:val="en-GB"/>
              </w:rPr>
            </w:pPr>
          </w:p>
        </w:tc>
        <w:tc>
          <w:tcPr>
            <w:tcW w:w="8930" w:type="dxa"/>
            <w:gridSpan w:val="3"/>
            <w:tcBorders>
              <w:bottom w:val="single" w:sz="2" w:space="0" w:color="auto"/>
            </w:tcBorders>
            <w:vAlign w:val="center"/>
          </w:tcPr>
          <w:p w14:paraId="27F71494" w14:textId="77777777" w:rsidR="00714E4F" w:rsidRPr="00536D16" w:rsidRDefault="00714E4F" w:rsidP="00805C75">
            <w:pPr>
              <w:spacing w:after="0" w:line="240" w:lineRule="auto"/>
              <w:jc w:val="center"/>
              <w:rPr>
                <w:rFonts w:ascii="Times New Roman" w:hAnsi="Times New Roman"/>
                <w:sz w:val="20"/>
                <w:szCs w:val="20"/>
                <w:lang w:val="en-GB"/>
              </w:rPr>
            </w:pPr>
            <w:proofErr w:type="spellStart"/>
            <w:r w:rsidRPr="00536D16">
              <w:rPr>
                <w:rFonts w:ascii="Times New Roman" w:hAnsi="Times New Roman"/>
                <w:b/>
                <w:sz w:val="20"/>
                <w:szCs w:val="20"/>
                <w:lang w:val="en-GB"/>
              </w:rPr>
              <w:t>Rocznik</w:t>
            </w:r>
            <w:proofErr w:type="spellEnd"/>
            <w:r w:rsidRPr="00536D16">
              <w:rPr>
                <w:rFonts w:ascii="Times New Roman" w:hAnsi="Times New Roman"/>
                <w:b/>
                <w:sz w:val="20"/>
                <w:szCs w:val="20"/>
                <w:lang w:val="en-GB"/>
              </w:rPr>
              <w:t xml:space="preserve"> </w:t>
            </w:r>
            <w:proofErr w:type="spellStart"/>
            <w:r w:rsidRPr="00536D16">
              <w:rPr>
                <w:rFonts w:ascii="Times New Roman" w:hAnsi="Times New Roman"/>
                <w:b/>
                <w:sz w:val="20"/>
                <w:szCs w:val="20"/>
                <w:lang w:val="en-GB"/>
              </w:rPr>
              <w:t>Ochrona</w:t>
            </w:r>
            <w:proofErr w:type="spellEnd"/>
            <w:r w:rsidRPr="00536D16">
              <w:rPr>
                <w:rFonts w:ascii="Times New Roman" w:hAnsi="Times New Roman"/>
                <w:b/>
                <w:sz w:val="20"/>
                <w:szCs w:val="20"/>
                <w:lang w:val="en-GB"/>
              </w:rPr>
              <w:t xml:space="preserve"> </w:t>
            </w:r>
            <w:proofErr w:type="spellStart"/>
            <w:r w:rsidRPr="00536D16">
              <w:rPr>
                <w:rFonts w:ascii="Times New Roman" w:hAnsi="Times New Roman"/>
                <w:b/>
                <w:sz w:val="20"/>
                <w:szCs w:val="20"/>
                <w:lang w:val="en-GB"/>
              </w:rPr>
              <w:t>Środowiska</w:t>
            </w:r>
            <w:proofErr w:type="spellEnd"/>
          </w:p>
        </w:tc>
      </w:tr>
      <w:tr w:rsidR="00714E4F" w:rsidRPr="00536D16" w14:paraId="242775EC" w14:textId="77777777" w:rsidTr="007B4477">
        <w:trPr>
          <w:trHeight w:hRule="exact" w:val="283"/>
        </w:trPr>
        <w:tc>
          <w:tcPr>
            <w:tcW w:w="709" w:type="dxa"/>
            <w:vMerge/>
          </w:tcPr>
          <w:p w14:paraId="601A9172" w14:textId="77777777" w:rsidR="00714E4F" w:rsidRPr="00536D16" w:rsidRDefault="00714E4F" w:rsidP="00805C75">
            <w:pPr>
              <w:spacing w:after="0" w:line="240" w:lineRule="auto"/>
              <w:rPr>
                <w:rFonts w:ascii="Times New Roman" w:hAnsi="Times New Roman"/>
                <w:lang w:val="en-GB"/>
              </w:rPr>
            </w:pPr>
          </w:p>
        </w:tc>
        <w:tc>
          <w:tcPr>
            <w:tcW w:w="992" w:type="dxa"/>
            <w:tcBorders>
              <w:top w:val="single" w:sz="2" w:space="0" w:color="auto"/>
              <w:bottom w:val="single" w:sz="2" w:space="0" w:color="auto"/>
            </w:tcBorders>
            <w:vAlign w:val="center"/>
          </w:tcPr>
          <w:p w14:paraId="764AAA09" w14:textId="77777777" w:rsidR="00714E4F" w:rsidRPr="00536D16" w:rsidRDefault="00714E4F" w:rsidP="00805C75">
            <w:pPr>
              <w:spacing w:after="0" w:line="240" w:lineRule="auto"/>
              <w:rPr>
                <w:rFonts w:ascii="Times New Roman" w:hAnsi="Times New Roman"/>
                <w:kern w:val="18"/>
                <w:sz w:val="18"/>
                <w:lang w:val="en-GB"/>
              </w:rPr>
            </w:pPr>
            <w:r w:rsidRPr="00536D16">
              <w:rPr>
                <w:rFonts w:ascii="Times New Roman" w:hAnsi="Times New Roman"/>
                <w:kern w:val="18"/>
                <w:sz w:val="18"/>
                <w:lang w:val="en-GB"/>
              </w:rPr>
              <w:t>Volume 28</w:t>
            </w:r>
          </w:p>
        </w:tc>
        <w:tc>
          <w:tcPr>
            <w:tcW w:w="6304" w:type="dxa"/>
            <w:tcBorders>
              <w:top w:val="single" w:sz="2" w:space="0" w:color="auto"/>
              <w:bottom w:val="single" w:sz="2" w:space="0" w:color="auto"/>
            </w:tcBorders>
            <w:vAlign w:val="center"/>
          </w:tcPr>
          <w:p w14:paraId="296A237E" w14:textId="77777777" w:rsidR="00714E4F" w:rsidRPr="00536D16" w:rsidRDefault="00714E4F" w:rsidP="00805C75">
            <w:pPr>
              <w:tabs>
                <w:tab w:val="left" w:pos="2894"/>
              </w:tabs>
              <w:spacing w:after="0" w:line="240" w:lineRule="auto"/>
              <w:rPr>
                <w:rFonts w:ascii="Times New Roman" w:hAnsi="Times New Roman"/>
                <w:kern w:val="18"/>
                <w:sz w:val="18"/>
                <w:lang w:val="en-GB"/>
              </w:rPr>
            </w:pPr>
            <w:r w:rsidRPr="00536D16">
              <w:rPr>
                <w:rFonts w:ascii="Times New Roman" w:hAnsi="Times New Roman"/>
                <w:kern w:val="18"/>
                <w:sz w:val="18"/>
                <w:lang w:val="en-GB"/>
              </w:rPr>
              <w:t>Year 2026</w:t>
            </w:r>
            <w:r w:rsidRPr="00536D16">
              <w:rPr>
                <w:rFonts w:ascii="Times New Roman" w:hAnsi="Times New Roman"/>
                <w:kern w:val="18"/>
                <w:sz w:val="18"/>
                <w:lang w:val="en-GB"/>
              </w:rPr>
              <w:tab/>
              <w:t>ISSN 2720-7501</w:t>
            </w:r>
          </w:p>
        </w:tc>
        <w:tc>
          <w:tcPr>
            <w:tcW w:w="1634" w:type="dxa"/>
            <w:tcBorders>
              <w:top w:val="single" w:sz="2" w:space="0" w:color="auto"/>
              <w:bottom w:val="single" w:sz="2" w:space="0" w:color="auto"/>
            </w:tcBorders>
            <w:vAlign w:val="center"/>
          </w:tcPr>
          <w:p w14:paraId="67E054F0" w14:textId="5587F54E" w:rsidR="00714E4F" w:rsidRPr="00536D16" w:rsidRDefault="00714E4F" w:rsidP="00805C75">
            <w:pPr>
              <w:spacing w:after="0" w:line="240" w:lineRule="auto"/>
              <w:jc w:val="right"/>
              <w:rPr>
                <w:rFonts w:ascii="Times New Roman" w:hAnsi="Times New Roman"/>
                <w:sz w:val="18"/>
                <w:lang w:val="en-GB"/>
              </w:rPr>
            </w:pPr>
            <w:r w:rsidRPr="00536D16">
              <w:rPr>
                <w:rFonts w:ascii="Times New Roman" w:hAnsi="Times New Roman"/>
                <w:sz w:val="18"/>
                <w:lang w:val="en-GB"/>
              </w:rPr>
              <w:t xml:space="preserve">pp. </w:t>
            </w:r>
            <w:r w:rsidR="00E77DC4">
              <w:rPr>
                <w:rFonts w:ascii="Times New Roman" w:hAnsi="Times New Roman"/>
                <w:sz w:val="18"/>
                <w:lang w:val="en-GB"/>
              </w:rPr>
              <w:t>673</w:t>
            </w:r>
            <w:r w:rsidRPr="00536D16">
              <w:rPr>
                <w:rFonts w:ascii="Times New Roman" w:hAnsi="Times New Roman"/>
                <w:sz w:val="18"/>
                <w:lang w:val="en-GB"/>
              </w:rPr>
              <w:t>-</w:t>
            </w:r>
            <w:r w:rsidR="00E77DC4">
              <w:rPr>
                <w:rFonts w:ascii="Times New Roman" w:hAnsi="Times New Roman"/>
                <w:sz w:val="18"/>
                <w:lang w:val="en-GB"/>
              </w:rPr>
              <w:t>687</w:t>
            </w:r>
            <w:r w:rsidRPr="00536D16">
              <w:rPr>
                <w:rFonts w:ascii="Times New Roman" w:hAnsi="Times New Roman"/>
                <w:sz w:val="18"/>
                <w:lang w:val="en-GB"/>
              </w:rPr>
              <w:t xml:space="preserve"> </w:t>
            </w:r>
          </w:p>
        </w:tc>
      </w:tr>
      <w:tr w:rsidR="00714E4F" w:rsidRPr="00536D16" w14:paraId="5601E5C0" w14:textId="77777777" w:rsidTr="007B4477">
        <w:trPr>
          <w:trHeight w:hRule="exact" w:val="283"/>
        </w:trPr>
        <w:tc>
          <w:tcPr>
            <w:tcW w:w="709" w:type="dxa"/>
          </w:tcPr>
          <w:p w14:paraId="18E3A672" w14:textId="77777777" w:rsidR="00714E4F" w:rsidRPr="00536D16" w:rsidRDefault="00714E4F" w:rsidP="00805C75">
            <w:pPr>
              <w:spacing w:after="0" w:line="240" w:lineRule="auto"/>
              <w:rPr>
                <w:rFonts w:ascii="Times New Roman" w:hAnsi="Times New Roman"/>
                <w:lang w:val="en-GB"/>
              </w:rPr>
            </w:pPr>
          </w:p>
        </w:tc>
        <w:tc>
          <w:tcPr>
            <w:tcW w:w="8930" w:type="dxa"/>
            <w:gridSpan w:val="3"/>
            <w:tcBorders>
              <w:top w:val="single" w:sz="2" w:space="0" w:color="auto"/>
              <w:bottom w:val="single" w:sz="2" w:space="0" w:color="auto"/>
            </w:tcBorders>
            <w:vAlign w:val="center"/>
          </w:tcPr>
          <w:p w14:paraId="7075105E" w14:textId="2EAA0ECF" w:rsidR="00714E4F" w:rsidRPr="00536D16" w:rsidRDefault="00714E4F" w:rsidP="00805C75">
            <w:pPr>
              <w:tabs>
                <w:tab w:val="right" w:pos="8928"/>
              </w:tabs>
              <w:spacing w:after="0" w:line="240" w:lineRule="auto"/>
              <w:rPr>
                <w:rFonts w:ascii="Times New Roman" w:hAnsi="Times New Roman"/>
                <w:sz w:val="18"/>
                <w:lang w:val="en-GB"/>
              </w:rPr>
            </w:pPr>
            <w:r w:rsidRPr="00536D16">
              <w:rPr>
                <w:rFonts w:ascii="Times New Roman" w:hAnsi="Times New Roman"/>
                <w:sz w:val="18"/>
                <w:lang w:val="en-GB"/>
              </w:rPr>
              <w:t>https://doi.org/10.54740/ros.2026.0</w:t>
            </w:r>
            <w:r w:rsidR="00E77DC4">
              <w:rPr>
                <w:rFonts w:ascii="Times New Roman" w:hAnsi="Times New Roman"/>
                <w:sz w:val="18"/>
                <w:lang w:val="en-GB"/>
              </w:rPr>
              <w:t>45</w:t>
            </w:r>
            <w:r w:rsidRPr="00536D16">
              <w:rPr>
                <w:rFonts w:ascii="Times New Roman" w:hAnsi="Times New Roman"/>
                <w:sz w:val="18"/>
                <w:lang w:val="en-GB"/>
              </w:rPr>
              <w:tab/>
              <w:t>open access</w:t>
            </w:r>
          </w:p>
        </w:tc>
      </w:tr>
      <w:tr w:rsidR="00714E4F" w:rsidRPr="00536D16" w14:paraId="683EF3A0" w14:textId="77777777" w:rsidTr="007B4477">
        <w:trPr>
          <w:trHeight w:hRule="exact" w:val="283"/>
        </w:trPr>
        <w:tc>
          <w:tcPr>
            <w:tcW w:w="709" w:type="dxa"/>
          </w:tcPr>
          <w:p w14:paraId="21D7DD7B" w14:textId="77777777" w:rsidR="00714E4F" w:rsidRPr="00536D16" w:rsidRDefault="00714E4F" w:rsidP="00805C75">
            <w:pPr>
              <w:spacing w:after="0" w:line="240" w:lineRule="auto"/>
              <w:rPr>
                <w:rFonts w:ascii="Times New Roman" w:hAnsi="Times New Roman"/>
                <w:lang w:val="en-GB"/>
              </w:rPr>
            </w:pPr>
          </w:p>
        </w:tc>
        <w:tc>
          <w:tcPr>
            <w:tcW w:w="8930" w:type="dxa"/>
            <w:gridSpan w:val="3"/>
            <w:tcBorders>
              <w:top w:val="single" w:sz="2" w:space="0" w:color="auto"/>
            </w:tcBorders>
            <w:vAlign w:val="center"/>
          </w:tcPr>
          <w:p w14:paraId="71586C48" w14:textId="1C625F9F" w:rsidR="00714E4F" w:rsidRPr="00536D16" w:rsidRDefault="00714E4F" w:rsidP="00805C75">
            <w:pPr>
              <w:tabs>
                <w:tab w:val="left" w:pos="3522"/>
                <w:tab w:val="right" w:pos="8928"/>
              </w:tabs>
              <w:spacing w:after="0" w:line="240" w:lineRule="auto"/>
              <w:rPr>
                <w:rFonts w:ascii="Times New Roman" w:hAnsi="Times New Roman"/>
                <w:sz w:val="18"/>
                <w:lang w:val="en-GB"/>
              </w:rPr>
            </w:pPr>
            <w:r w:rsidRPr="00536D16">
              <w:rPr>
                <w:rFonts w:ascii="Times New Roman" w:hAnsi="Times New Roman"/>
                <w:sz w:val="18"/>
                <w:lang w:val="en-GB"/>
              </w:rPr>
              <w:t>Received: July 2026</w:t>
            </w:r>
            <w:r w:rsidRPr="00536D16">
              <w:rPr>
                <w:rFonts w:ascii="Times New Roman" w:hAnsi="Times New Roman"/>
                <w:sz w:val="18"/>
                <w:lang w:val="en-GB"/>
              </w:rPr>
              <w:tab/>
              <w:t>Accepted: September 2026</w:t>
            </w:r>
            <w:r w:rsidRPr="00536D16">
              <w:rPr>
                <w:rFonts w:ascii="Times New Roman" w:hAnsi="Times New Roman"/>
                <w:sz w:val="18"/>
                <w:lang w:val="en-GB"/>
              </w:rPr>
              <w:tab/>
              <w:t xml:space="preserve">Published: </w:t>
            </w:r>
            <w:r w:rsidR="00805C75" w:rsidRPr="00536D16">
              <w:rPr>
                <w:rFonts w:ascii="Times New Roman" w:hAnsi="Times New Roman"/>
                <w:sz w:val="18"/>
                <w:lang w:val="en-GB"/>
              </w:rPr>
              <w:t>September</w:t>
            </w:r>
            <w:r w:rsidRPr="00536D16">
              <w:rPr>
                <w:rFonts w:ascii="Times New Roman" w:hAnsi="Times New Roman"/>
                <w:sz w:val="18"/>
                <w:lang w:val="en-GB"/>
              </w:rPr>
              <w:t xml:space="preserve"> 2026</w:t>
            </w:r>
          </w:p>
        </w:tc>
      </w:tr>
    </w:tbl>
    <w:bookmarkEnd w:id="4"/>
    <w:p w14:paraId="7B97360A" w14:textId="4F75A6D9" w:rsidR="00396E27" w:rsidRPr="00536D16" w:rsidRDefault="00266F49" w:rsidP="004F48A2">
      <w:pPr>
        <w:pStyle w:val="Rtytu"/>
        <w:rPr>
          <w:lang w:val="en-GB" w:eastAsia="de-DE" w:bidi="en-US"/>
        </w:rPr>
      </w:pPr>
      <w:r w:rsidRPr="00536D16">
        <w:rPr>
          <w:lang w:val="en-GB" w:eastAsia="de-DE" w:bidi="en-US"/>
        </w:rPr>
        <w:t xml:space="preserve">Sustainable Goat Bone-Derived </w:t>
      </w:r>
      <w:proofErr w:type="spellStart"/>
      <w:r w:rsidRPr="00536D16">
        <w:rPr>
          <w:lang w:val="en-GB" w:eastAsia="de-DE" w:bidi="en-US"/>
        </w:rPr>
        <w:t>Hydrochar</w:t>
      </w:r>
      <w:proofErr w:type="spellEnd"/>
      <w:r w:rsidRPr="00536D16">
        <w:rPr>
          <w:lang w:val="en-GB" w:eastAsia="de-DE" w:bidi="en-US"/>
        </w:rPr>
        <w:t xml:space="preserve"> as an Efficient Adsorbent for Malachite Green Removal: Adsorption Performance, Mechanism, and Surface Characterization</w:t>
      </w:r>
    </w:p>
    <w:p w14:paraId="6EE97219" w14:textId="7486793B" w:rsidR="00106D7C" w:rsidRPr="00536D16" w:rsidRDefault="00B73E92" w:rsidP="004F48A2">
      <w:pPr>
        <w:pStyle w:val="Rautor"/>
        <w:rPr>
          <w:lang w:val="en-GB" w:eastAsia="de-DE" w:bidi="en-US"/>
        </w:rPr>
      </w:pPr>
      <w:r w:rsidRPr="00536D16">
        <w:rPr>
          <w:lang w:val="en-GB" w:eastAsia="de-DE" w:bidi="en-US"/>
        </w:rPr>
        <w:t>Bharati Patil</w:t>
      </w:r>
      <w:r w:rsidRPr="00536D16">
        <w:rPr>
          <w:vertAlign w:val="superscript"/>
          <w:lang w:val="en-GB" w:eastAsia="de-DE" w:bidi="en-US"/>
        </w:rPr>
        <w:t>1</w:t>
      </w:r>
      <w:r w:rsidRPr="00536D16">
        <w:rPr>
          <w:lang w:val="en-GB" w:eastAsia="de-DE" w:bidi="en-US"/>
        </w:rPr>
        <w:t>, Mohammad Yusuf</w:t>
      </w:r>
      <w:r w:rsidRPr="00536D16">
        <w:rPr>
          <w:vertAlign w:val="superscript"/>
          <w:lang w:val="en-GB" w:eastAsia="de-DE" w:bidi="en-US"/>
        </w:rPr>
        <w:t>2</w:t>
      </w:r>
      <w:r w:rsidR="00556402">
        <w:rPr>
          <w:vertAlign w:val="superscript"/>
          <w:lang w:val="en-GB" w:eastAsia="de-DE" w:bidi="en-US"/>
        </w:rPr>
        <w:t>*</w:t>
      </w:r>
      <w:r w:rsidRPr="00536D16">
        <w:rPr>
          <w:lang w:val="en-GB" w:eastAsia="de-DE" w:bidi="en-US"/>
        </w:rPr>
        <w:t>, Tripti Gupta</w:t>
      </w:r>
      <w:r w:rsidRPr="00536D16">
        <w:rPr>
          <w:vertAlign w:val="superscript"/>
          <w:lang w:val="en-GB" w:eastAsia="de-DE" w:bidi="en-US"/>
        </w:rPr>
        <w:t>3</w:t>
      </w:r>
      <w:r w:rsidR="00556402">
        <w:rPr>
          <w:vertAlign w:val="superscript"/>
          <w:lang w:val="en-GB" w:eastAsia="de-DE" w:bidi="en-US"/>
        </w:rPr>
        <w:t>*</w:t>
      </w:r>
      <w:r w:rsidRPr="00536D16">
        <w:rPr>
          <w:lang w:val="en-GB" w:eastAsia="de-DE" w:bidi="en-US"/>
        </w:rPr>
        <w:t>, Zaid Abdulhamid Alhulaybi Albin Zaid</w:t>
      </w:r>
      <w:r w:rsidRPr="00536D16">
        <w:rPr>
          <w:vertAlign w:val="superscript"/>
          <w:lang w:val="en-GB" w:eastAsia="de-DE" w:bidi="en-US"/>
        </w:rPr>
        <w:t>2</w:t>
      </w:r>
      <w:r w:rsidRPr="00536D16">
        <w:rPr>
          <w:lang w:val="en-GB" w:eastAsia="de-DE" w:bidi="en-US"/>
        </w:rPr>
        <w:t>,</w:t>
      </w:r>
      <w:r w:rsidR="0007687D" w:rsidRPr="00536D16">
        <w:rPr>
          <w:lang w:val="en-GB" w:eastAsia="de-DE" w:bidi="en-US"/>
        </w:rPr>
        <w:t xml:space="preserve"> Abdulrazak</w:t>
      </w:r>
      <w:r w:rsidR="00426019" w:rsidRPr="00536D16">
        <w:rPr>
          <w:lang w:val="en-GB" w:eastAsia="de-DE" w:bidi="en-US"/>
        </w:rPr>
        <w:t xml:space="preserve"> </w:t>
      </w:r>
      <w:r w:rsidR="0007687D" w:rsidRPr="00536D16">
        <w:rPr>
          <w:lang w:val="en-GB" w:eastAsia="de-DE" w:bidi="en-US"/>
        </w:rPr>
        <w:t>Jinadu Otaru</w:t>
      </w:r>
      <w:r w:rsidR="001A5EA9" w:rsidRPr="00536D16">
        <w:rPr>
          <w:vertAlign w:val="superscript"/>
          <w:lang w:val="en-GB" w:eastAsia="de-DE" w:bidi="en-US"/>
        </w:rPr>
        <w:t>2</w:t>
      </w:r>
      <w:r w:rsidR="0007687D" w:rsidRPr="00536D16">
        <w:rPr>
          <w:lang w:val="en-GB" w:eastAsia="de-DE" w:bidi="en-US"/>
        </w:rPr>
        <w:t>,</w:t>
      </w:r>
      <w:r w:rsidRPr="00536D16">
        <w:rPr>
          <w:lang w:val="en-GB" w:eastAsia="de-DE" w:bidi="en-US"/>
        </w:rPr>
        <w:t xml:space="preserve"> Sagar Kolekar</w:t>
      </w:r>
      <w:r w:rsidRPr="00536D16">
        <w:rPr>
          <w:vertAlign w:val="superscript"/>
          <w:lang w:val="en-GB" w:eastAsia="de-DE" w:bidi="en-US"/>
        </w:rPr>
        <w:t>4</w:t>
      </w:r>
      <w:r w:rsidRPr="00805C75">
        <w:rPr>
          <w:vertAlign w:val="superscript"/>
          <w:lang w:val="en-GB" w:eastAsia="de-DE" w:bidi="en-US"/>
        </w:rPr>
        <w:t>*</w:t>
      </w:r>
    </w:p>
    <w:p w14:paraId="28A84F9B" w14:textId="0F100D81" w:rsidR="00106D7C" w:rsidRPr="00536D16" w:rsidRDefault="00106D7C" w:rsidP="004F48A2">
      <w:pPr>
        <w:pStyle w:val="Rafiliacja"/>
        <w:rPr>
          <w:lang w:val="en-GB" w:eastAsia="de-DE" w:bidi="en-US"/>
        </w:rPr>
      </w:pPr>
      <w:r w:rsidRPr="00536D16">
        <w:rPr>
          <w:vertAlign w:val="superscript"/>
          <w:lang w:val="en-GB" w:eastAsia="de-DE" w:bidi="en-US"/>
        </w:rPr>
        <w:t>1</w:t>
      </w:r>
      <w:r w:rsidR="00B73E92" w:rsidRPr="00536D16">
        <w:rPr>
          <w:lang w:val="en-GB" w:eastAsia="de-DE" w:bidi="en-US"/>
        </w:rPr>
        <w:t>Department of Applied Science</w:t>
      </w:r>
      <w:r w:rsidRPr="00536D16">
        <w:rPr>
          <w:lang w:val="en-GB" w:eastAsia="de-DE" w:bidi="en-US"/>
        </w:rPr>
        <w:t xml:space="preserve">, </w:t>
      </w:r>
      <w:proofErr w:type="spellStart"/>
      <w:r w:rsidR="00B73E92" w:rsidRPr="00536D16">
        <w:rPr>
          <w:lang w:val="en-GB" w:eastAsia="de-DE" w:bidi="en-US"/>
        </w:rPr>
        <w:t>Yeshwantrao</w:t>
      </w:r>
      <w:proofErr w:type="spellEnd"/>
      <w:r w:rsidR="00B73E92" w:rsidRPr="00536D16">
        <w:rPr>
          <w:lang w:val="en-GB" w:eastAsia="de-DE" w:bidi="en-US"/>
        </w:rPr>
        <w:t xml:space="preserve"> Chavan College of Engineering</w:t>
      </w:r>
      <w:r w:rsidRPr="00536D16">
        <w:rPr>
          <w:lang w:val="en-GB" w:eastAsia="de-DE" w:bidi="en-US"/>
        </w:rPr>
        <w:t>,</w:t>
      </w:r>
      <w:r w:rsidR="00B73E92" w:rsidRPr="00536D16">
        <w:rPr>
          <w:lang w:val="en-GB" w:eastAsia="de-DE" w:bidi="en-US"/>
        </w:rPr>
        <w:t xml:space="preserve"> Nagpur,</w:t>
      </w:r>
      <w:r w:rsidRPr="00536D16">
        <w:rPr>
          <w:lang w:val="en-GB" w:eastAsia="de-DE" w:bidi="en-US"/>
        </w:rPr>
        <w:t xml:space="preserve"> India</w:t>
      </w:r>
    </w:p>
    <w:p w14:paraId="1E3F0821" w14:textId="75E2DA36" w:rsidR="00217AC5" w:rsidRPr="00536D16" w:rsidRDefault="00106D7C" w:rsidP="004F48A2">
      <w:pPr>
        <w:pStyle w:val="Rafiliacja"/>
        <w:rPr>
          <w:b/>
          <w:bCs/>
          <w:lang w:val="en-GB" w:eastAsia="de-DE" w:bidi="en-US"/>
        </w:rPr>
      </w:pPr>
      <w:r w:rsidRPr="00536D16">
        <w:rPr>
          <w:vertAlign w:val="superscript"/>
          <w:lang w:val="en-GB" w:eastAsia="de-DE" w:bidi="en-US"/>
        </w:rPr>
        <w:t>2</w:t>
      </w:r>
      <w:r w:rsidR="00B73E92" w:rsidRPr="00536D16">
        <w:rPr>
          <w:lang w:val="en-GB" w:eastAsia="de-DE" w:bidi="en-US"/>
        </w:rPr>
        <w:t>Department of Chemical Engineering, College of Engineering, King Faisal University, Al Ahsa, Saudi Arabia</w:t>
      </w:r>
    </w:p>
    <w:p w14:paraId="102C5D6C" w14:textId="1ADA4D58" w:rsidR="00217AC5" w:rsidRPr="00536D16" w:rsidRDefault="00A47FEE" w:rsidP="004F48A2">
      <w:pPr>
        <w:pStyle w:val="Rafiliacja"/>
        <w:rPr>
          <w:lang w:val="en-GB" w:eastAsia="de-DE" w:bidi="en-US"/>
        </w:rPr>
      </w:pPr>
      <w:r w:rsidRPr="00536D16">
        <w:rPr>
          <w:vertAlign w:val="superscript"/>
          <w:lang w:val="en-GB" w:eastAsia="de-DE" w:bidi="en-US"/>
        </w:rPr>
        <w:t>3</w:t>
      </w:r>
      <w:r w:rsidR="00106D7C" w:rsidRPr="00536D16">
        <w:rPr>
          <w:lang w:val="en-GB" w:eastAsia="de-DE" w:bidi="en-US"/>
        </w:rPr>
        <w:t xml:space="preserve">Department of </w:t>
      </w:r>
      <w:r w:rsidR="00B73E92" w:rsidRPr="00536D16">
        <w:rPr>
          <w:lang w:val="en-GB" w:eastAsia="de-DE" w:bidi="en-US"/>
        </w:rPr>
        <w:t>Civil</w:t>
      </w:r>
      <w:r w:rsidR="00106D7C" w:rsidRPr="00536D16">
        <w:rPr>
          <w:lang w:val="en-GB" w:eastAsia="de-DE" w:bidi="en-US"/>
        </w:rPr>
        <w:t xml:space="preserve"> Engineering, </w:t>
      </w:r>
      <w:proofErr w:type="spellStart"/>
      <w:r w:rsidR="00B73E92" w:rsidRPr="00536D16">
        <w:rPr>
          <w:lang w:val="en-GB" w:eastAsia="de-DE" w:bidi="en-US"/>
        </w:rPr>
        <w:t>Ramdeobaba</w:t>
      </w:r>
      <w:proofErr w:type="spellEnd"/>
      <w:r w:rsidR="00B73E92" w:rsidRPr="00536D16">
        <w:rPr>
          <w:lang w:val="en-GB" w:eastAsia="de-DE" w:bidi="en-US"/>
        </w:rPr>
        <w:t xml:space="preserve"> </w:t>
      </w:r>
      <w:r w:rsidRPr="00536D16">
        <w:rPr>
          <w:lang w:val="en-GB" w:eastAsia="de-DE" w:bidi="en-US"/>
        </w:rPr>
        <w:t>University</w:t>
      </w:r>
      <w:r w:rsidR="00E71C33" w:rsidRPr="00536D16">
        <w:rPr>
          <w:lang w:val="en-GB" w:eastAsia="de-DE" w:bidi="en-US"/>
        </w:rPr>
        <w:t xml:space="preserve"> </w:t>
      </w:r>
      <w:r w:rsidR="00257035">
        <w:rPr>
          <w:lang w:val="en-GB" w:eastAsia="de-DE" w:bidi="en-US"/>
        </w:rPr>
        <w:br/>
      </w:r>
      <w:r w:rsidR="00E71C33" w:rsidRPr="00536D16">
        <w:rPr>
          <w:lang w:val="en-GB" w:eastAsia="de-DE" w:bidi="en-US"/>
        </w:rPr>
        <w:t xml:space="preserve">(Shri Ramdeobaba College of Engineering &amp; Management) </w:t>
      </w:r>
      <w:r w:rsidRPr="00536D16">
        <w:rPr>
          <w:lang w:val="en-GB" w:eastAsia="de-DE" w:bidi="en-US"/>
        </w:rPr>
        <w:t>Nagpur,</w:t>
      </w:r>
      <w:r w:rsidR="00106D7C" w:rsidRPr="00536D16">
        <w:rPr>
          <w:lang w:val="en-GB" w:eastAsia="de-DE" w:bidi="en-US"/>
        </w:rPr>
        <w:t xml:space="preserve"> India</w:t>
      </w:r>
    </w:p>
    <w:p w14:paraId="65BF9879" w14:textId="43D5E908" w:rsidR="00217AC5" w:rsidRPr="00536D16" w:rsidRDefault="00A47FEE" w:rsidP="004F48A2">
      <w:pPr>
        <w:pStyle w:val="Rafiliacja"/>
        <w:rPr>
          <w:b/>
          <w:bCs/>
          <w:lang w:val="en-GB" w:eastAsia="de-DE" w:bidi="en-US"/>
        </w:rPr>
      </w:pPr>
      <w:r w:rsidRPr="00536D16">
        <w:rPr>
          <w:vertAlign w:val="superscript"/>
          <w:lang w:val="en-GB" w:eastAsia="de-DE" w:bidi="en-US"/>
        </w:rPr>
        <w:t>4</w:t>
      </w:r>
      <w:r w:rsidRPr="00536D16">
        <w:rPr>
          <w:lang w:val="en-GB" w:eastAsia="de-DE" w:bidi="en-US"/>
        </w:rPr>
        <w:t>Symbiosis Institute of Technology (SIT), Symbiosis International (Deemed University), Pune, India</w:t>
      </w:r>
    </w:p>
    <w:p w14:paraId="11183355" w14:textId="7624DFC3" w:rsidR="008E369D" w:rsidRPr="00536D16" w:rsidRDefault="00106D7C" w:rsidP="00EB7368">
      <w:pPr>
        <w:pStyle w:val="Rauco"/>
        <w:rPr>
          <w:bCs/>
          <w:lang w:val="en-GB"/>
        </w:rPr>
      </w:pPr>
      <w:r w:rsidRPr="00536D16">
        <w:rPr>
          <w:lang w:val="en-GB"/>
        </w:rPr>
        <w:t>*</w:t>
      </w:r>
      <w:r w:rsidR="00714E4F" w:rsidRPr="00536D16">
        <w:rPr>
          <w:lang w:val="en-GB"/>
        </w:rPr>
        <w:t>corresponding author</w:t>
      </w:r>
      <w:r w:rsidR="00724801">
        <w:rPr>
          <w:lang w:val="en-GB"/>
        </w:rPr>
        <w:t>'</w:t>
      </w:r>
      <w:r w:rsidR="00714E4F" w:rsidRPr="00536D16">
        <w:rPr>
          <w:lang w:val="en-GB"/>
        </w:rPr>
        <w:t xml:space="preserve">s e-mail: </w:t>
      </w:r>
      <w:hyperlink r:id="rId9" w:history="1">
        <w:r w:rsidR="00D447F9" w:rsidRPr="00536D16">
          <w:rPr>
            <w:bCs/>
            <w:lang w:val="en-GB"/>
          </w:rPr>
          <w:t>sagar.kolekar@sitpune.edu.in</w:t>
        </w:r>
      </w:hyperlink>
      <w:r w:rsidR="002C7FDA">
        <w:t>,</w:t>
      </w:r>
      <w:r w:rsidR="00556402">
        <w:t xml:space="preserve"> </w:t>
      </w:r>
      <w:r w:rsidR="00556402" w:rsidRPr="00556402">
        <w:t>myusuf@kfu.edu.sa</w:t>
      </w:r>
      <w:r w:rsidR="002C7FDA">
        <w:t>,</w:t>
      </w:r>
      <w:r w:rsidR="00556402">
        <w:t xml:space="preserve"> </w:t>
      </w:r>
      <w:r w:rsidR="00556402" w:rsidRPr="00556402">
        <w:t>guptatb@rbunagpur.in</w:t>
      </w:r>
    </w:p>
    <w:p w14:paraId="4415DF6C" w14:textId="3464317C" w:rsidR="001040DC" w:rsidRPr="00536D16" w:rsidRDefault="00B00CB3" w:rsidP="004F48A2">
      <w:pPr>
        <w:pStyle w:val="Rab1"/>
      </w:pPr>
      <w:r w:rsidRPr="00536D16">
        <w:rPr>
          <w:b/>
          <w:bCs/>
        </w:rPr>
        <w:t>Abstract</w:t>
      </w:r>
      <w:r w:rsidR="00217AC5" w:rsidRPr="00536D16">
        <w:rPr>
          <w:b/>
          <w:bCs/>
        </w:rPr>
        <w:t xml:space="preserve">: </w:t>
      </w:r>
      <w:r w:rsidR="001040DC" w:rsidRPr="00536D16">
        <w:t xml:space="preserve">Due to </w:t>
      </w:r>
      <w:r w:rsidR="00724801">
        <w:t xml:space="preserve">the </w:t>
      </w:r>
      <w:r w:rsidR="001040DC" w:rsidRPr="00536D16">
        <w:t xml:space="preserve">accumulation of synthetic dyes in water bodies, it is important to develop efficient and sustainable adsorbents from renewable waste resources. The hydrothermal carbonization of waste goat bones (WGB) was successfully carried out to </w:t>
      </w:r>
      <w:r w:rsidR="00724801">
        <w:t xml:space="preserve">produce goat bone </w:t>
      </w:r>
      <w:proofErr w:type="spellStart"/>
      <w:r w:rsidR="00724801">
        <w:t>hydrochar</w:t>
      </w:r>
      <w:proofErr w:type="spellEnd"/>
      <w:r w:rsidR="00724801">
        <w:t xml:space="preserve"> powder (GBHP), which was</w:t>
      </w:r>
      <w:r w:rsidR="001040DC" w:rsidRPr="00536D16">
        <w:t xml:space="preserve"> used to remove malachite green (MG) from aqueous solution. BET, FESEM, XRD, FTIR</w:t>
      </w:r>
      <w:r w:rsidR="00724801">
        <w:t>,</w:t>
      </w:r>
      <w:r w:rsidR="001040DC" w:rsidRPr="00536D16">
        <w:t xml:space="preserve"> and Raman spectroscopy were used to investigate the structural and surface properties of GBHP. The prepared </w:t>
      </w:r>
      <w:proofErr w:type="spellStart"/>
      <w:r w:rsidR="001040DC" w:rsidRPr="00536D16">
        <w:t>hydrochar</w:t>
      </w:r>
      <w:proofErr w:type="spellEnd"/>
      <w:r w:rsidR="001040DC" w:rsidRPr="00536D16">
        <w:t xml:space="preserve"> had a high specific surface area of 16.8 m²/g, an</w:t>
      </w:r>
      <w:r w:rsidR="00805C75">
        <w:t> </w:t>
      </w:r>
      <w:r w:rsidR="001040DC" w:rsidRPr="00536D16">
        <w:t xml:space="preserve">average pore diameter of 4.6 nm, and a pore volume of 0.139 cm³/g, which are ideal for creating many available </w:t>
      </w:r>
      <w:proofErr w:type="spellStart"/>
      <w:r w:rsidR="001040DC" w:rsidRPr="00536D16">
        <w:t>hydrochar</w:t>
      </w:r>
      <w:proofErr w:type="spellEnd"/>
      <w:r w:rsidR="001040DC" w:rsidRPr="00536D16">
        <w:t xml:space="preserve"> adsorption sites. The optimum conditions for batch adsorption </w:t>
      </w:r>
      <w:r w:rsidR="00E71C33" w:rsidRPr="00536D16">
        <w:t>experiments were found to be 40 mg L</w:t>
      </w:r>
      <w:r w:rsidR="00E71C33" w:rsidRPr="00536D16">
        <w:rPr>
          <w:vertAlign w:val="superscript"/>
        </w:rPr>
        <w:t>-1</w:t>
      </w:r>
      <w:r w:rsidR="00E71C33" w:rsidRPr="00536D16">
        <w:t xml:space="preserve"> initial MG concentration, 1.5 g adsorbent dosage, pH 6, 90 min contact time</w:t>
      </w:r>
      <w:r w:rsidR="00724801">
        <w:t>,</w:t>
      </w:r>
      <w:r w:rsidR="00E71C33" w:rsidRPr="00536D16">
        <w:t xml:space="preserve"> and 308 K, with nearly 97% removal of dye. This adsorption </w:t>
      </w:r>
      <w:proofErr w:type="spellStart"/>
      <w:r w:rsidR="00E71C33" w:rsidRPr="00536D16">
        <w:t>behavior</w:t>
      </w:r>
      <w:proofErr w:type="spellEnd"/>
      <w:r w:rsidR="00E71C33" w:rsidRPr="00536D16">
        <w:t xml:space="preserve"> was well described by </w:t>
      </w:r>
      <w:r w:rsidR="00724801">
        <w:t>the pseudo-second-order kinetic model (R</w:t>
      </w:r>
      <w:r w:rsidR="00724801" w:rsidRPr="00724801">
        <w:rPr>
          <w:vertAlign w:val="superscript"/>
        </w:rPr>
        <w:t>2</w:t>
      </w:r>
      <w:r w:rsidR="00724801">
        <w:t xml:space="preserve"> = 0.9901) and the Langmuir isotherm, indicating monolayer adsorption onto energetically uniform active sites</w:t>
      </w:r>
      <w:r w:rsidR="00E71C33" w:rsidRPr="00536D16">
        <w:t>. The negative Gibbs free energy of adsorption (ΔG° = −2.690 to −2.651 kJ mol</w:t>
      </w:r>
      <w:r w:rsidR="00E71C33" w:rsidRPr="00536D16">
        <w:rPr>
          <w:vertAlign w:val="superscript"/>
        </w:rPr>
        <w:t>−1</w:t>
      </w:r>
      <w:r w:rsidR="00E71C33" w:rsidRPr="00536D16">
        <w:t>) and exothermic nature (ΔH = −3.451 kJ mol</w:t>
      </w:r>
      <w:r w:rsidR="00E71C33" w:rsidRPr="00536D16">
        <w:rPr>
          <w:vertAlign w:val="superscript"/>
        </w:rPr>
        <w:t>−1</w:t>
      </w:r>
      <w:r w:rsidR="00E71C33" w:rsidRPr="00536D16">
        <w:t>) of the process were obtained from thermodynamic evaluation. The adsorption of MG was shown to be controlled by a combination of pore filling, hydrogen bonding</w:t>
      </w:r>
      <w:r w:rsidR="001040DC" w:rsidRPr="00536D16">
        <w:t xml:space="preserve">, electrostatic attraction, π–π interactions and surface complexation as revealed by spectroscopic and morphological analyses. The results </w:t>
      </w:r>
      <w:r w:rsidR="00724801">
        <w:t xml:space="preserve">of this study indicate that goat bone </w:t>
      </w:r>
      <w:proofErr w:type="spellStart"/>
      <w:r w:rsidR="00724801">
        <w:t>hydrochar</w:t>
      </w:r>
      <w:proofErr w:type="spellEnd"/>
      <w:r w:rsidR="00724801">
        <w:t xml:space="preserve"> is a promising waste-based adsorbent and offer a feasible strategy for converting slaughterhouse waste in</w:t>
      </w:r>
      <w:r w:rsidR="001040DC" w:rsidRPr="00536D16">
        <w:t>to value-added materials for sustainable wastewater treatment.</w:t>
      </w:r>
    </w:p>
    <w:p w14:paraId="11AEA915" w14:textId="048ECBAA" w:rsidR="008356D4" w:rsidRPr="00536D16" w:rsidRDefault="00B00CB3" w:rsidP="004F48A2">
      <w:pPr>
        <w:pStyle w:val="Rab2"/>
      </w:pPr>
      <w:r w:rsidRPr="00536D16">
        <w:rPr>
          <w:b/>
          <w:bCs/>
        </w:rPr>
        <w:t>Keywords:</w:t>
      </w:r>
      <w:r w:rsidR="008E369D" w:rsidRPr="00536D16">
        <w:t xml:space="preserve"> </w:t>
      </w:r>
      <w:r w:rsidR="00426019" w:rsidRPr="00536D16">
        <w:t>g</w:t>
      </w:r>
      <w:r w:rsidR="00984B05" w:rsidRPr="00536D16">
        <w:t xml:space="preserve">oat bone </w:t>
      </w:r>
      <w:proofErr w:type="spellStart"/>
      <w:r w:rsidR="00984B05" w:rsidRPr="00536D16">
        <w:t>hydrochar</w:t>
      </w:r>
      <w:proofErr w:type="spellEnd"/>
      <w:r w:rsidR="00426019" w:rsidRPr="00536D16">
        <w:t>,</w:t>
      </w:r>
      <w:r w:rsidR="00984B05" w:rsidRPr="00536D16">
        <w:t xml:space="preserve"> </w:t>
      </w:r>
      <w:r w:rsidR="00426019" w:rsidRPr="00536D16">
        <w:t>h</w:t>
      </w:r>
      <w:r w:rsidR="00984B05" w:rsidRPr="00536D16">
        <w:t>ydrothermal carbonization</w:t>
      </w:r>
      <w:r w:rsidR="00426019" w:rsidRPr="00536D16">
        <w:t>,</w:t>
      </w:r>
      <w:r w:rsidR="00984B05" w:rsidRPr="00536D16">
        <w:t xml:space="preserve"> </w:t>
      </w:r>
      <w:r w:rsidR="00426019" w:rsidRPr="00536D16">
        <w:t>m</w:t>
      </w:r>
      <w:r w:rsidR="00984B05" w:rsidRPr="00536D16">
        <w:t>alachite green</w:t>
      </w:r>
      <w:r w:rsidR="00426019" w:rsidRPr="00536D16">
        <w:t>,</w:t>
      </w:r>
      <w:r w:rsidR="00984B05" w:rsidRPr="00536D16">
        <w:t xml:space="preserve"> </w:t>
      </w:r>
      <w:r w:rsidR="00426019" w:rsidRPr="00536D16">
        <w:t>a</w:t>
      </w:r>
      <w:r w:rsidR="00984B05" w:rsidRPr="00536D16">
        <w:t>dsorption</w:t>
      </w:r>
    </w:p>
    <w:p w14:paraId="5213C4CF" w14:textId="697CE63D" w:rsidR="000C3C2A" w:rsidRPr="00536D16" w:rsidRDefault="00990683" w:rsidP="00426019">
      <w:pPr>
        <w:pStyle w:val="Rn1"/>
        <w:rPr>
          <w:lang w:val="en-GB"/>
        </w:rPr>
      </w:pPr>
      <w:r w:rsidRPr="00536D16">
        <w:rPr>
          <w:lang w:val="en-GB"/>
        </w:rPr>
        <w:t xml:space="preserve">1. </w:t>
      </w:r>
      <w:r w:rsidR="000C3C2A" w:rsidRPr="00536D16">
        <w:rPr>
          <w:lang w:val="en-GB"/>
        </w:rPr>
        <w:t>Introduction</w:t>
      </w:r>
    </w:p>
    <w:p w14:paraId="1F9264E0" w14:textId="0B7EA761" w:rsidR="00813C9F" w:rsidRPr="00536D16" w:rsidRDefault="00A31823" w:rsidP="000D3625">
      <w:pPr>
        <w:spacing w:after="0" w:line="235" w:lineRule="auto"/>
        <w:ind w:firstLine="284"/>
        <w:jc w:val="both"/>
        <w:rPr>
          <w:rFonts w:ascii="Times New Roman" w:hAnsi="Times New Roman"/>
          <w:lang w:val="en-GB"/>
        </w:rPr>
      </w:pPr>
      <w:r w:rsidRPr="00536D16">
        <w:rPr>
          <w:rFonts w:ascii="Times New Roman" w:hAnsi="Times New Roman"/>
          <w:lang w:val="en-GB"/>
        </w:rPr>
        <w:t>Rapid industrial expansion</w:t>
      </w:r>
      <w:r w:rsidR="000D3625">
        <w:rPr>
          <w:rFonts w:ascii="Times New Roman" w:hAnsi="Times New Roman"/>
          <w:lang w:val="en-GB"/>
        </w:rPr>
        <w:t>, coupled with accelerating urban development, has markedly increased the generation of wastewater rich in pollutants</w:t>
      </w:r>
      <w:r w:rsidRPr="00536D16">
        <w:rPr>
          <w:rFonts w:ascii="Times New Roman" w:hAnsi="Times New Roman"/>
          <w:lang w:val="en-GB"/>
        </w:rPr>
        <w:t xml:space="preserve"> worldwide</w:t>
      </w:r>
      <w:r w:rsidR="00813C9F" w:rsidRPr="00536D16">
        <w:rPr>
          <w:rFonts w:ascii="Times New Roman" w:hAnsi="Times New Roman"/>
          <w:lang w:val="en-GB"/>
        </w:rPr>
        <w:t xml:space="preserve">. In this group, dyes are </w:t>
      </w:r>
      <w:r w:rsidR="000D3625">
        <w:rPr>
          <w:rFonts w:ascii="Times New Roman" w:hAnsi="Times New Roman"/>
          <w:lang w:val="en-GB"/>
        </w:rPr>
        <w:t>among the most persistent because of their complex aromatic molecular structure, high molecular stability, resistance to microbial degradation,</w:t>
      </w:r>
      <w:r w:rsidR="00813C9F" w:rsidRPr="00536D16">
        <w:rPr>
          <w:rFonts w:ascii="Times New Roman" w:hAnsi="Times New Roman"/>
          <w:lang w:val="en-GB"/>
        </w:rPr>
        <w:t xml:space="preserve"> and recalcitrant nature under natural environmental conditions. It is estimated that </w:t>
      </w:r>
      <w:r w:rsidR="000D3625">
        <w:rPr>
          <w:rFonts w:ascii="Times New Roman" w:hAnsi="Times New Roman"/>
          <w:lang w:val="en-GB"/>
        </w:rPr>
        <w:t>a variety</w:t>
      </w:r>
      <w:r w:rsidR="007255D0" w:rsidRPr="00536D16">
        <w:rPr>
          <w:rFonts w:ascii="Times New Roman" w:hAnsi="Times New Roman"/>
          <w:lang w:val="en-GB"/>
        </w:rPr>
        <w:t xml:space="preserve"> of </w:t>
      </w:r>
      <w:r w:rsidR="00813C9F" w:rsidRPr="00536D16">
        <w:rPr>
          <w:rFonts w:ascii="Times New Roman" w:hAnsi="Times New Roman"/>
          <w:lang w:val="en-GB"/>
        </w:rPr>
        <w:t>dyes are available worldwide</w:t>
      </w:r>
      <w:r w:rsidR="00761F2A" w:rsidRPr="00536D16">
        <w:rPr>
          <w:rFonts w:ascii="Times New Roman" w:hAnsi="Times New Roman"/>
          <w:lang w:val="en-GB"/>
        </w:rPr>
        <w:t xml:space="preserve"> </w:t>
      </w:r>
      <w:r w:rsidR="00761F2A" w:rsidRPr="00536D16">
        <w:rPr>
          <w:rFonts w:ascii="Times New Roman" w:hAnsi="Times New Roman"/>
          <w:lang w:val="en-GB"/>
        </w:rPr>
        <w:fldChar w:fldCharType="begin" w:fldLock="1"/>
      </w:r>
      <w:r w:rsidR="00761F2A" w:rsidRPr="00536D16">
        <w:rPr>
          <w:rFonts w:ascii="Times New Roman" w:hAnsi="Times New Roman"/>
          <w:lang w:val="en-GB"/>
        </w:rPr>
        <w:instrText>ADDIN CSL_CITATION {"citationItems":[{"id":"ITEM-1","itemData":{"ISSN":"0167-7322","author":[{"dropping-particle":"","family":"Li","given":"Yuyu","non-dropping-particle":"","parse-names":false,"suffix":""},{"dropping-particle":"","family":"Wang","given":"Mengyan","non-dropping-particle":"","parse-names":false,"suffix":""},{"dropping-particle":"","family":"Shan","given":"Yu","non-dropping-particle":"","parse-names":false,"suffix":""},{"dropping-particle":"","family":"Liu","given":"Jiale","non-dropping-particle":"","parse-names":false,"suffix":""},{"dropping-particle":"","family":"Han","given":"Lujia","non-dropping-particle":"","parse-names":false,"suffix":""},{"dropping-particle":"","family":"Liu","given":"Xian","non-dropping-particle":"","parse-names":false,"suffix":""}],"container-title":"Journal of Molecular Liquids","id":"ITEM-1","issued":{"date-parts":[["2024"]]},"page":"124624","publisher":"Elsevier","title":"Adsorption characteristics and molecular mechanisms of ionic organic pollutants on bone char","type":"article-journal","volume":"400"},"uris":["http://www.mendeley.com/documents/?uuid=efa5c180-37c5-42d4-9008-05e18c3e2d3f"]},{"id":"ITEM-2","itemData":{"ISSN":"0167-7322","author":[{"dropping-particle":"","family":"Shukla","given":"Arun Kumar","non-dropping-particle":"","parse-names":false,"suffix":""},{"dropping-particle":"","family":"Alam","given":"Javed","non-dropping-particle":"","parse-names":false,"suffix":""},{"dropping-particle":"","family":"Mallik","given":"Santanu","non-dropping-particle":"","parse-names":false,"suffix":""},{"dropping-particle":"","family":"Ruokolainen","given":"Janne","non-dropping-particle":"","parse-names":false,"suffix":""},{"dropping-particle":"","family":"Kesari","given":"Kavindra Kumar","non-dropping-particle":"","parse-names":false,"suffix":""},{"dropping-particle":"","family":"Alhoshan","given":"Mansour","non-dropping-particle":"","parse-names":false,"suffix":""}],"container-title":"Journal of Molecular Liquids","id":"ITEM-2","issued":{"date-parts":[["2024"]]},"page":"125745","publisher":"Elsevier","title":"Optimization and prediction of dye adsorption utilising cross-linked chitosan-activated charcoal: response surface methodology and machine learning","type":"article-journal","volume":"411"},"uris":["http://www.mendeley.com/documents/?uuid=576bcead-2abf-408b-a3d0-f3fe8c074b40"]}],"mendeley":{"formattedCitation":"(Li et al., 2024; Shukla et al., 2024)","plainTextFormattedCitation":"(Li et al., 2024; Shukla et al., 2024)","previouslyFormattedCitation":"(Li et al., 2024; Shukla et al., 2024)"},"properties":{"noteIndex":0},"schema":"https://github.com/citation-style-language/schema/raw/master/csl-citation.json"}</w:instrText>
      </w:r>
      <w:r w:rsidR="00761F2A" w:rsidRPr="00536D16">
        <w:rPr>
          <w:rFonts w:ascii="Times New Roman" w:hAnsi="Times New Roman"/>
          <w:lang w:val="en-GB"/>
        </w:rPr>
        <w:fldChar w:fldCharType="separate"/>
      </w:r>
      <w:r w:rsidR="00761F2A" w:rsidRPr="00536D16">
        <w:rPr>
          <w:rFonts w:ascii="Times New Roman" w:hAnsi="Times New Roman"/>
          <w:noProof/>
          <w:lang w:val="en-GB"/>
        </w:rPr>
        <w:t>(Li et al., 2024; Shukla et al., 2024)</w:t>
      </w:r>
      <w:r w:rsidR="00761F2A" w:rsidRPr="00536D16">
        <w:rPr>
          <w:rFonts w:ascii="Times New Roman" w:hAnsi="Times New Roman"/>
          <w:lang w:val="en-GB"/>
        </w:rPr>
        <w:fldChar w:fldCharType="end"/>
      </w:r>
      <w:r w:rsidR="00813C9F" w:rsidRPr="00536D16">
        <w:rPr>
          <w:rFonts w:ascii="Times New Roman" w:hAnsi="Times New Roman"/>
          <w:lang w:val="en-GB"/>
        </w:rPr>
        <w:t xml:space="preserve">. It is estimated that these dyes are lost during </w:t>
      </w:r>
      <w:r w:rsidR="000D3625">
        <w:rPr>
          <w:rFonts w:ascii="Times New Roman" w:hAnsi="Times New Roman"/>
          <w:lang w:val="en-GB"/>
        </w:rPr>
        <w:t>various industrial processes and eventually end up in wastewater streams across</w:t>
      </w:r>
      <w:r w:rsidR="007255D0" w:rsidRPr="00536D16">
        <w:rPr>
          <w:rFonts w:ascii="Times New Roman" w:hAnsi="Times New Roman"/>
          <w:lang w:val="en-GB"/>
        </w:rPr>
        <w:t xml:space="preserve"> the textile, paper, leather, printing, plastic, cosmetic, pharmaceutical, and aquaculture industries</w:t>
      </w:r>
      <w:r w:rsidR="00761F2A" w:rsidRPr="00536D16">
        <w:rPr>
          <w:rFonts w:ascii="Times New Roman" w:hAnsi="Times New Roman"/>
          <w:lang w:val="en-GB"/>
        </w:rPr>
        <w:t xml:space="preserve"> </w:t>
      </w:r>
      <w:r w:rsidR="00761F2A" w:rsidRPr="00536D16">
        <w:rPr>
          <w:rFonts w:ascii="Times New Roman" w:hAnsi="Times New Roman"/>
          <w:lang w:val="en-GB"/>
        </w:rPr>
        <w:fldChar w:fldCharType="begin" w:fldLock="1"/>
      </w:r>
      <w:r w:rsidR="00761F2A" w:rsidRPr="00536D16">
        <w:rPr>
          <w:rFonts w:ascii="Times New Roman" w:hAnsi="Times New Roman"/>
          <w:lang w:val="en-GB"/>
        </w:rPr>
        <w:instrText>ADDIN CSL_CITATION {"citationItems":[{"id":"ITEM-1","itemData":{"DOI":"10.1038/s41598-025-08341-3","ISSN":"2045-2322","abstract":"Sustainable wastewater management plays a vital role in mitigating environmental concerns. In this context, the present study evaluates the efficiency of methylene blue (MB) removal using a novel H3PO4-activated chicken bone adsorbent (CBAAC) in a batch adsorption process. The optimum conditions were determined at pH 7.5, contact time between 30 and 150 min, dye concentrations ranging from 10 to 50 mg/L, and adsorbent doses of 0.15–0.75 g/100 mL methylene blue (MB) dye solution. The maximum MB removal efficiency of 92.29% was achieved using 0.6 g of adsorbent after 90 min. CBAAC composite was characterized with FE-SEM to identify morphological structure, while FT-IR spectroscopy indicates the appearance of stretching functional bond groups. Response surface methodology (RSM) optimization using a central composite design (CCD) was evaluated showing a promising regression analysis of R2 = 0.9661. The research results demonstrated a well-defined Temkin adsorption isotherm (R2 = 0.9804), with a capacity for adsorption of 49.56 mg/g, closely followed by a pseudo-second-order kinetic model (R2 = 0.9997). The process was thermodynamically spontaneous and exothermic. A comprehensive Life Cycle Analysis (LCA) dealing with ten important parameters that resulted in the lowest global warming of 1.531 (kg CO2-eq.) and 5.047 MJ/kg, highlights the sustainable and effective use of CBAAC for the removal of organic dyes from wastewater.","author":[{"dropping-particle":"","family":"Muteeb","given":"Ghazala","non-dropping-particle":"","parse-names":false,"suffix":""},{"dropping-particle":"","family":"Ansari","given":"Khalid","non-dropping-particle":"","parse-names":false,"suffix":""},{"dropping-particle":"","family":"Eyvaz","given":"Murat","non-dropping-particle":"","parse-names":false,"suffix":""},{"dropping-particle":"","family":"Farhan","given":"Mohd","non-dropping-particle":"","parse-names":false,"suffix":""},{"dropping-particle":"","family":"Aatif","given":"Mohammad","non-dropping-particle":"","parse-names":false,"suffix":""},{"dropping-particle":"","family":"Agrawal","given":"Dhiraj","non-dropping-particle":"","parse-names":false,"suffix":""},{"dropping-particle":"El","family":"Oirdi","given":"Mohamed","non-dropping-particle":"","parse-names":false,"suffix":""},{"dropping-particle":"","family":"Dehghani","given":"Mohammad Hadi","non-dropping-particle":"","parse-names":false,"suffix":""}],"container-title":"Scientific Reports","id":"ITEM-1","issue":"1","issued":{"date-parts":[["2025"]]},"page":"23098","title":"Removal of methylene blue (MB) dye from water and wastewater using acid-activated chicken bone in a batch adsorption process","type":"article-journal","volume":"15"},"uris":["http://www.mendeley.com/documents/?uuid=54fe1662-c449-41f9-8df3-1317673c0310"]},{"id":"ITEM-2","itemData":{"DOI":"https://doi.org/10.1016/j.jsamd.2025.100947","ISSN":"2468-2179","abstract":"This study explores the use of goat bone-based activated biochar (GBPAC) synthesized from animal waste as an efficient and sustainable adsorbent for removing Congo Red (CR) dye from aqueous solutions. GBPAC, prepared through chemical activation with phosphoric acid, was tested in batch adsorption experiments. FTIR analysis revealed key functional groups such as hydroxyl (O–H), carboxyl (CO), and phosphate groups, which play a crucial role in the adsorption of CR dye through interactions like hydrogen bonding and electrostatic attraction. BET surface area analysis showed that GBPAC exhibited a surface area of 91.27 m2/g, with a mesoporous structure that enhances its adsorption capacity. The study systematically analyzed factors such as dye concentration (10–50 mg/L), adsorbent dosage (0.15–0.75 g/100 mL), pH (7.5), and contact time (30–180 min). The maximum adsorption capacity of GBPAC for CR dye was 83.33 mg/g, and the adsorption process followed the Langmuir isotherm model (R2 = 0.9907) and pseudo-second-order kinetics. Process Optimization was performed using Response Surface Methodology (RSM), which enabled statistically guided experimental design and optimization of influential variables. Optimal conditions were identified as 48.596 mg/L dye concentration, 0.398 g adsorbent dose, and 88.23 min contact time, achieving a predicted removal efficiency of 94.34 %. To enhance prediction capabilities, machine learning (ML) models, specifically Decision Tree and Random Forest, were trained using experimental data. These models demonstrated strong predictive accuracy, with R2 values of 0.91 and 0.87, respectively. This dual-framework approach, combining RSM for optimization and ML for predictive modeling, underscores the novelty of using waste-derived GBPAC for wastewater treatment applications. The findings support GBPAC as a cost-effective, sustainable, and data-driven solution for CR dye removal from contaminated water.","author":[{"dropping-particle":"","family":"Muteeb","given":"Ghazala","non-dropping-particle":"","parse-names":false,"suffix":""},{"dropping-particle":"","family":"Alshoaibi","given":"Adil","non-dropping-particle":"","parse-names":false,"suffix":""},{"dropping-particle":"","family":"Ansari","given":"Khalid","non-dropping-particle":"","parse-names":false,"suffix":""}],"container-title":"Journal of Science: Advanced Materials and Devices","id":"ITEM-2","issue":"3","issued":{"date-parts":[["2025"]]},"page":"100947","title":"Experimental optimization and machine learning modeling for sustainable Congo red dye removal from wastewater using activated goat bone biochar","type":"article-journal","volume":"10"},"uris":["http://www.mendeley.com/documents/?uuid=37527430-77fb-45ed-9a45-3d7cba71fa81"]}],"mendeley":{"formattedCitation":"(Muteeb, Ansari, et al., 2025; Muteeb, Alshoaibi, &amp; Ansari, 2025)","plainTextFormattedCitation":"(Muteeb, Ansari, et al., 2025; Muteeb, Alshoaibi, &amp; Ansari, 2025)","previouslyFormattedCitation":"(Muteeb, Ansari, et al., 2025; Muteeb, Alshoaibi, &amp; Ansari, 2025)"},"properties":{"noteIndex":0},"schema":"https://github.com/citation-style-language/schema/raw/master/csl-citation.json"}</w:instrText>
      </w:r>
      <w:r w:rsidR="00761F2A" w:rsidRPr="00536D16">
        <w:rPr>
          <w:rFonts w:ascii="Times New Roman" w:hAnsi="Times New Roman"/>
          <w:lang w:val="en-GB"/>
        </w:rPr>
        <w:fldChar w:fldCharType="separate"/>
      </w:r>
      <w:r w:rsidR="00761F2A" w:rsidRPr="00536D16">
        <w:rPr>
          <w:rFonts w:ascii="Times New Roman" w:hAnsi="Times New Roman"/>
          <w:noProof/>
          <w:lang w:val="en-GB"/>
        </w:rPr>
        <w:t>(Muteeb</w:t>
      </w:r>
      <w:r w:rsidR="00B17972">
        <w:rPr>
          <w:rFonts w:ascii="Times New Roman" w:hAnsi="Times New Roman"/>
          <w:noProof/>
          <w:lang w:val="en-GB"/>
        </w:rPr>
        <w:t xml:space="preserve">, </w:t>
      </w:r>
      <w:r w:rsidR="00B17972" w:rsidRPr="00761F2A">
        <w:rPr>
          <w:rFonts w:ascii="Times New Roman" w:hAnsi="Times New Roman"/>
          <w:noProof/>
        </w:rPr>
        <w:t xml:space="preserve">Ansari, </w:t>
      </w:r>
      <w:r w:rsidR="00761F2A" w:rsidRPr="00536D16">
        <w:rPr>
          <w:rFonts w:ascii="Times New Roman" w:hAnsi="Times New Roman"/>
          <w:noProof/>
          <w:lang w:val="en-GB"/>
        </w:rPr>
        <w:t>et al., 2025; Muteeb, Alshoaibi, &amp; Ansari, 2025)</w:t>
      </w:r>
      <w:r w:rsidR="00761F2A" w:rsidRPr="00536D16">
        <w:rPr>
          <w:rFonts w:ascii="Times New Roman" w:hAnsi="Times New Roman"/>
          <w:lang w:val="en-GB"/>
        </w:rPr>
        <w:fldChar w:fldCharType="end"/>
      </w:r>
      <w:r w:rsidR="00813C9F" w:rsidRPr="00536D16">
        <w:rPr>
          <w:rFonts w:ascii="Times New Roman" w:hAnsi="Times New Roman"/>
          <w:lang w:val="en-GB"/>
        </w:rPr>
        <w:t xml:space="preserve">. Even </w:t>
      </w:r>
      <w:r w:rsidR="000D3625">
        <w:rPr>
          <w:rFonts w:ascii="Times New Roman" w:hAnsi="Times New Roman"/>
          <w:lang w:val="en-GB"/>
        </w:rPr>
        <w:t>at low levels below 1 mg L</w:t>
      </w:r>
      <w:r w:rsidR="000D3625" w:rsidRPr="00E77DC4">
        <w:rPr>
          <w:rFonts w:ascii="Times New Roman" w:hAnsi="Times New Roman"/>
          <w:vertAlign w:val="superscript"/>
          <w:lang w:val="en-GB"/>
        </w:rPr>
        <w:t>−1</w:t>
      </w:r>
      <w:r w:rsidR="000D3625">
        <w:rPr>
          <w:rFonts w:ascii="Times New Roman" w:hAnsi="Times New Roman"/>
          <w:lang w:val="en-GB"/>
        </w:rPr>
        <w:t>, dyes are read</w:t>
      </w:r>
      <w:r w:rsidR="00813C9F" w:rsidRPr="00536D16">
        <w:rPr>
          <w:rFonts w:ascii="Times New Roman" w:hAnsi="Times New Roman"/>
          <w:lang w:val="en-GB"/>
        </w:rPr>
        <w:t>ily visible in water bodies</w:t>
      </w:r>
      <w:r w:rsidR="000D3625">
        <w:rPr>
          <w:rFonts w:ascii="Times New Roman" w:hAnsi="Times New Roman"/>
          <w:lang w:val="en-GB"/>
        </w:rPr>
        <w:t>. They</w:t>
      </w:r>
      <w:r w:rsidR="00813C9F" w:rsidRPr="00536D16">
        <w:rPr>
          <w:rFonts w:ascii="Times New Roman" w:hAnsi="Times New Roman"/>
          <w:lang w:val="en-GB"/>
        </w:rPr>
        <w:t xml:space="preserve"> will have a large impact on light transmittance, which will affect photosynthesis, dissolved oxygen levels, disruption of aquatic food chains, and decrease ecosystem productivity</w:t>
      </w:r>
      <w:r w:rsidR="00761F2A" w:rsidRPr="00536D16">
        <w:rPr>
          <w:rFonts w:ascii="Times New Roman" w:hAnsi="Times New Roman"/>
          <w:lang w:val="en-GB"/>
        </w:rPr>
        <w:t xml:space="preserve"> </w:t>
      </w:r>
      <w:r w:rsidR="00761F2A" w:rsidRPr="00536D16">
        <w:rPr>
          <w:rFonts w:ascii="Times New Roman" w:hAnsi="Times New Roman"/>
          <w:lang w:val="en-GB"/>
        </w:rPr>
        <w:fldChar w:fldCharType="begin" w:fldLock="1"/>
      </w:r>
      <w:r w:rsidR="00761F2A" w:rsidRPr="00536D16">
        <w:rPr>
          <w:rFonts w:ascii="Times New Roman" w:hAnsi="Times New Roman"/>
          <w:lang w:val="en-GB"/>
        </w:rPr>
        <w:instrText>ADDIN CSL_CITATION {"citationItems":[{"id":"ITEM-1","itemData":{"DOI":"10.1016/j.seppur.2019.115719","ISSN":"1383-5866","author":[{"dropping-particle":"","family":"Awad","given":"Abdelrahman M","non-dropping-particle":"","parse-names":false,"suffix":""},{"dropping-particle":"","family":"Shaikh","given":"Shifa M R","non-dropping-particle":"","parse-names":false,"suffix":""},{"dropping-particle":"","family":"Jalab","given":"Rem","non-dropping-particle":"","parse-names":false,"suffix":""},{"dropping-particle":"","family":"Gulied","given":"Mona H","non-dropping-particle":"","parse-names":false,"suffix":""},{"dropping-particle":"","family":"Nasser","given":"Mustafa S","non-dropping-particle":"","parse-names":false,"suffix":""},{"dropping-particle":"","family":"Benamor","given":"Abdelbaki","non-dropping-particle":"","parse-names":false,"suffix":""},{"dropping-particle":"","family":"Adham","given":"Samer","non-dropping-particle":"","parse-names":false,"suffix":""}],"container-title":"Separation and Purification Technology","id":"ITEM-1","issued":{"date-parts":[["2019"]]},"page":"115719","publisher":"Elsevier B.V.","title":"Adsorption of Organic Pollutants by Natural and Modified Clays : A Comprehensive Review","type":"article-journal"},"uris":["http://www.mendeley.com/documents/?uuid=01401ad3-614e-4489-8397-dd0fa80dad09"]},{"id":"ITEM-2","itemData":{"DOI":"10.1016/j.micromeso.2021.111040","ISSN":"13871811","abstract":"Discharging of dyes containing effluents into water bodies has severely affected various forms of life because of their carcinogenic nature. Many conventional methods have been failed to treat the dyes contaminated water due to their less effectivity or economically not feasible. Among different techniques, adsorption is gaining importance in pollutant management due to its low operating cost, universal nature, and ease of operation. This review article highlights the feasibility of agricultural waste material in its natural and modified form as a low-cost adsorbent for the treatment of dyes and the preparation of the activated carbon (AC) and their dye adsorption characteristics. This review paper also illustrates the effectiveness of operational parameters, kinetics, and isotherm models to understand the adsorbent behavior and adsorption mechanism. The importance of response surface methodology (RSM) programmed in optimizing the adsorption process to remove dyes was also discussed. Moreover, the discussion on challenges and prospects about adsorption technology for future research such as exploitation of agricultural wastes on a commercial scale, building economy incentive standards, designing the methodologies, and eco-friendly ways to recycle the wastes were proposed.","author":[{"dropping-particle":"","family":"Bushra","given":"Rani","non-dropping-particle":"","parse-names":false,"suffix":""},{"dropping-particle":"","family":"Mohamad","given":"Sharifah","non-dropping-particle":"","parse-names":false,"suffix":""},{"dropping-particle":"","family":"Alias","given":"Yatimah","non-dropping-particle":"","parse-names":false,"suffix":""},{"dropping-particle":"","family":"Jin","given":"Yongcan","non-dropping-particle":"","parse-names":false,"suffix":""},{"dropping-particle":"","family":"Ahmad","given":"Mehraj","non-dropping-particle":"","parse-names":false,"suffix":""}],"container-title":"Microporous and Mesoporous Materials","id":"ITEM-2","issue":"March","issued":{"date-parts":[["2021"]]},"page":"111040","publisher":"Elsevier Inc.","title":"Current approaches and methodologies to explore the perceptive adsorption mechanism of dyes on low-cost agricultural waste: A review","type":"article-journal","volume":"319"},"uris":["http://www.mendeley.com/documents/?uuid=fa4e6fb8-6da2-420d-ae6e-dbd6225901f8"]},{"id":"ITEM-3","itemData":{"DOI":"10.1002/JCC.540040303","ISSN":"1096987X","abstract":"The relatively small diffuse function‐augmented basis set, 3‐21+G, is shown to describe anion geometries and proton affinities adequately. The diffuse sp orbital exponents are recommended for general use to augment larger basis sets. Copyright © 1983 John Wiley &amp; Sons, Inc.","author":[{"dropping-particle":"","family":"Clark","given":"Timothy","non-dropping-particle":"","parse-names":false,"suffix":""},{"dropping-particle":"","family":"Chandrasekhar","given":"Jayaraman","non-dropping-particle":"","parse-names":false,"suffix":""},{"dropping-particle":"","family":"Spitznagel","given":"Günther W.","non-dropping-particle":"","parse-names":false,"suffix":""},{"dropping-particle":"","family":"Schleyer","given":"Paul Von Ragué","non-dropping-particle":"","parse-names":false,"suffix":""}],"container-title":"Journal of Computational Chemistry","id":"ITEM-3","issue":"3","issued":{"date-parts":[["1983"]]},"page":"294-301","title":"Efficient diffuse function‐augmented basis sets for anion calculations. III. The 3‐21+G basis set for first‐row elements, Li–F","type":"article-journal","volume":"4"},"uris":["http://www.mendeley.com/documents/?uuid=fd6489d6-9b14-3284-84d8-44cf7c739dae"]}],"mendeley":{"formattedCitation":"(Awad et al., 2019; Bushra, Mohamad, Alias, Jin, &amp; Ahmad, 2021; Clark, Chandrasekhar, Spitznagel, &amp; Schleyer, 1983)","plainTextFormattedCitation":"(Awad et al., 2019; Bushra, Mohamad, Alias, Jin, &amp; Ahmad, 2021; Clark, Chandrasekhar, Spitznagel, &amp; Schleyer, 1983)","previouslyFormattedCitation":"(Awad et al., 2019; Bushra, Mohamad, Alias, Jin, &amp; Ahmad, 2021; Clark, Chandrasekhar, Spitznagel, &amp; Schleyer, 1983)"},"properties":{"noteIndex":0},"schema":"https://github.com/citation-style-language/schema/raw/master/csl-citation.json"}</w:instrText>
      </w:r>
      <w:r w:rsidR="00761F2A" w:rsidRPr="00536D16">
        <w:rPr>
          <w:rFonts w:ascii="Times New Roman" w:hAnsi="Times New Roman"/>
          <w:lang w:val="en-GB"/>
        </w:rPr>
        <w:fldChar w:fldCharType="separate"/>
      </w:r>
      <w:r w:rsidR="00761F2A" w:rsidRPr="00536D16">
        <w:rPr>
          <w:rFonts w:ascii="Times New Roman" w:hAnsi="Times New Roman"/>
          <w:noProof/>
          <w:lang w:val="en-GB"/>
        </w:rPr>
        <w:t>(Awad et al., 2019; Bushra</w:t>
      </w:r>
      <w:r w:rsidR="000D2258">
        <w:rPr>
          <w:rFonts w:ascii="Times New Roman" w:hAnsi="Times New Roman"/>
          <w:noProof/>
          <w:lang w:val="en-GB"/>
        </w:rPr>
        <w:t>et al.</w:t>
      </w:r>
      <w:r w:rsidR="00761F2A" w:rsidRPr="00536D16">
        <w:rPr>
          <w:rFonts w:ascii="Times New Roman" w:hAnsi="Times New Roman"/>
          <w:noProof/>
          <w:lang w:val="en-GB"/>
        </w:rPr>
        <w:t>, 2021; Clark</w:t>
      </w:r>
      <w:r w:rsidR="000D2258">
        <w:rPr>
          <w:rFonts w:ascii="Times New Roman" w:hAnsi="Times New Roman"/>
          <w:noProof/>
          <w:lang w:val="en-GB"/>
        </w:rPr>
        <w:t xml:space="preserve"> et al.</w:t>
      </w:r>
      <w:r w:rsidR="00761F2A" w:rsidRPr="00536D16">
        <w:rPr>
          <w:rFonts w:ascii="Times New Roman" w:hAnsi="Times New Roman"/>
          <w:noProof/>
          <w:lang w:val="en-GB"/>
        </w:rPr>
        <w:t>, 1983)</w:t>
      </w:r>
      <w:r w:rsidR="00761F2A" w:rsidRPr="00536D16">
        <w:rPr>
          <w:rFonts w:ascii="Times New Roman" w:hAnsi="Times New Roman"/>
          <w:lang w:val="en-GB"/>
        </w:rPr>
        <w:fldChar w:fldCharType="end"/>
      </w:r>
      <w:r w:rsidR="00813C9F" w:rsidRPr="00536D16">
        <w:rPr>
          <w:rFonts w:ascii="Times New Roman" w:hAnsi="Times New Roman"/>
          <w:lang w:val="en-GB"/>
        </w:rPr>
        <w:t xml:space="preserve">. Furthermore, the </w:t>
      </w:r>
      <w:r w:rsidR="000D3625">
        <w:rPr>
          <w:rFonts w:ascii="Times New Roman" w:hAnsi="Times New Roman"/>
          <w:lang w:val="en-GB"/>
        </w:rPr>
        <w:t>presence of dye molecules and their degradation by-products has been associated with acute and chronic toxicological impacts, including</w:t>
      </w:r>
      <w:r w:rsidR="00813C9F" w:rsidRPr="00536D16">
        <w:rPr>
          <w:rFonts w:ascii="Times New Roman" w:hAnsi="Times New Roman"/>
          <w:lang w:val="en-GB"/>
        </w:rPr>
        <w:t xml:space="preserve"> mutagenicity, teratogenicity, genotoxicity, endocrine disruption, and carcinogenicity, highlighting the need for effective wastewater treatment processes</w:t>
      </w:r>
      <w:r w:rsidR="00761F2A" w:rsidRPr="00536D16">
        <w:rPr>
          <w:rFonts w:ascii="Times New Roman" w:hAnsi="Times New Roman"/>
          <w:lang w:val="en-GB"/>
        </w:rPr>
        <w:t xml:space="preserve"> </w:t>
      </w:r>
      <w:r w:rsidR="00761F2A" w:rsidRPr="00536D16">
        <w:rPr>
          <w:rFonts w:ascii="Times New Roman" w:hAnsi="Times New Roman"/>
          <w:lang w:val="en-GB"/>
        </w:rPr>
        <w:fldChar w:fldCharType="begin" w:fldLock="1"/>
      </w:r>
      <w:r w:rsidR="00761F2A" w:rsidRPr="00536D16">
        <w:rPr>
          <w:rFonts w:ascii="Times New Roman" w:hAnsi="Times New Roman"/>
          <w:lang w:val="en-GB"/>
        </w:rPr>
        <w:instrText>ADDIN CSL_CITATION {"citationItems":[{"id":"ITEM-1","itemData":{"DOI":"10.1016/j.jhazmat.2021.125848","ISSN":"0304-3894","author":[{"dropping-particle":"","family":"Hussain","given":"Nadeem","non-dropping-particle":"","parse-names":false,"suffix":""},{"dropping-particle":"","family":"Kumar","given":"Jai","non-dropping-particle":"","parse-names":false,"suffix":""},{"dropping-particle":"","family":"Ali","given":"Shaukat","non-dropping-particle":"","parse-names":false,"suffix":""},{"dropping-particle":"","family":"Ahmed","given":"Shoaib","non-dropping-particle":"","parse-names":false,"suffix":""},{"dropping-particle":"","family":"Fatima","given":"Noor","non-dropping-particle":"","parse-names":false,"suffix":""}],"container-title":"Journal of Hazardous Materials","id":"ITEM-1","issue":"April","issued":{"date-parts":[["2021"]]},"page":"125848","publisher":"Elsevier B.V.","title":"Development of fruit waste derived bio-adsorbents for wastewater treatment : A review","type":"article-journal","volume":"416"},"uris":["http://www.mendeley.com/documents/?uuid=f9348fcd-84de-4417-b76c-08c0ff3e43a5"]}],"mendeley":{"formattedCitation":"(Hussain, Kumar, Ali, Ahmed, &amp; Fatima, 2021)","plainTextFormattedCitation":"(Hussain, Kumar, Ali, Ahmed, &amp; Fatima, 2021)","previouslyFormattedCitation":"(Hussain, Kumar, Ali, Ahmed, &amp; Fatima, 2021)"},"properties":{"noteIndex":0},"schema":"https://github.com/citation-style-language/schema/raw/master/csl-citation.json"}</w:instrText>
      </w:r>
      <w:r w:rsidR="00761F2A" w:rsidRPr="00536D16">
        <w:rPr>
          <w:rFonts w:ascii="Times New Roman" w:hAnsi="Times New Roman"/>
          <w:lang w:val="en-GB"/>
        </w:rPr>
        <w:fldChar w:fldCharType="separate"/>
      </w:r>
      <w:r w:rsidR="00761F2A" w:rsidRPr="00536D16">
        <w:rPr>
          <w:rFonts w:ascii="Times New Roman" w:hAnsi="Times New Roman"/>
          <w:noProof/>
          <w:lang w:val="en-GB"/>
        </w:rPr>
        <w:t>(Hussain</w:t>
      </w:r>
      <w:r w:rsidR="000D2258">
        <w:rPr>
          <w:rFonts w:ascii="Times New Roman" w:hAnsi="Times New Roman"/>
          <w:noProof/>
          <w:lang w:val="en-GB"/>
        </w:rPr>
        <w:t xml:space="preserve"> et al.</w:t>
      </w:r>
      <w:r w:rsidR="00761F2A" w:rsidRPr="00536D16">
        <w:rPr>
          <w:rFonts w:ascii="Times New Roman" w:hAnsi="Times New Roman"/>
          <w:noProof/>
          <w:lang w:val="en-GB"/>
        </w:rPr>
        <w:t>, 2021)</w:t>
      </w:r>
      <w:r w:rsidR="00761F2A" w:rsidRPr="00536D16">
        <w:rPr>
          <w:rFonts w:ascii="Times New Roman" w:hAnsi="Times New Roman"/>
          <w:lang w:val="en-GB"/>
        </w:rPr>
        <w:fldChar w:fldCharType="end"/>
      </w:r>
      <w:r w:rsidR="00813C9F" w:rsidRPr="00536D16">
        <w:rPr>
          <w:rFonts w:ascii="Times New Roman" w:hAnsi="Times New Roman"/>
          <w:lang w:val="en-GB"/>
        </w:rPr>
        <w:t>.</w:t>
      </w:r>
    </w:p>
    <w:p w14:paraId="579B7E08" w14:textId="57D67F81" w:rsidR="00813C9F" w:rsidRPr="000D3625" w:rsidRDefault="00813C9F" w:rsidP="000D3625">
      <w:pPr>
        <w:spacing w:after="0" w:line="235" w:lineRule="auto"/>
        <w:ind w:firstLine="284"/>
        <w:jc w:val="both"/>
        <w:rPr>
          <w:rFonts w:ascii="Times New Roman" w:hAnsi="Times New Roman"/>
          <w:spacing w:val="-2"/>
          <w:lang w:val="en-GB"/>
        </w:rPr>
      </w:pPr>
      <w:r w:rsidRPr="000D3625">
        <w:rPr>
          <w:rFonts w:ascii="Times New Roman" w:hAnsi="Times New Roman"/>
          <w:spacing w:val="-2"/>
          <w:lang w:val="en-GB"/>
        </w:rPr>
        <w:t xml:space="preserve">Malachite Green (MG) is </w:t>
      </w:r>
      <w:r w:rsidR="000D3625" w:rsidRPr="000D3625">
        <w:rPr>
          <w:rFonts w:ascii="Times New Roman" w:hAnsi="Times New Roman"/>
          <w:spacing w:val="-2"/>
          <w:lang w:val="en-GB"/>
        </w:rPr>
        <w:t xml:space="preserve">a </w:t>
      </w:r>
      <w:r w:rsidR="00A31823" w:rsidRPr="000D3625">
        <w:rPr>
          <w:rFonts w:ascii="Times New Roman" w:hAnsi="Times New Roman"/>
          <w:spacing w:val="-2"/>
          <w:lang w:val="en-GB"/>
        </w:rPr>
        <w:t>basic</w:t>
      </w:r>
      <w:r w:rsidRPr="000D3625">
        <w:rPr>
          <w:rFonts w:ascii="Times New Roman" w:hAnsi="Times New Roman"/>
          <w:spacing w:val="-2"/>
          <w:lang w:val="en-GB"/>
        </w:rPr>
        <w:t xml:space="preserve"> synthetic dye that ha</w:t>
      </w:r>
      <w:r w:rsidR="000D3625" w:rsidRPr="000D3625">
        <w:rPr>
          <w:rFonts w:ascii="Times New Roman" w:hAnsi="Times New Roman"/>
          <w:spacing w:val="-2"/>
          <w:lang w:val="en-GB"/>
        </w:rPr>
        <w:t>s</w:t>
      </w:r>
      <w:r w:rsidRPr="000D3625">
        <w:rPr>
          <w:rFonts w:ascii="Times New Roman" w:hAnsi="Times New Roman"/>
          <w:spacing w:val="-2"/>
          <w:lang w:val="en-GB"/>
        </w:rPr>
        <w:t xml:space="preserve"> received considerable attention </w:t>
      </w:r>
      <w:r w:rsidR="000D3625" w:rsidRPr="000D3625">
        <w:rPr>
          <w:rFonts w:ascii="Times New Roman" w:hAnsi="Times New Roman"/>
          <w:spacing w:val="-2"/>
          <w:lang w:val="en-GB"/>
        </w:rPr>
        <w:t>due to its widespread industrial use</w:t>
      </w:r>
      <w:r w:rsidRPr="000D3625">
        <w:rPr>
          <w:rFonts w:ascii="Times New Roman" w:hAnsi="Times New Roman"/>
          <w:spacing w:val="-2"/>
          <w:lang w:val="en-GB"/>
        </w:rPr>
        <w:t xml:space="preserve"> and its excellent persistence in the environment</w:t>
      </w:r>
      <w:r w:rsidR="00761F2A" w:rsidRPr="000D3625">
        <w:rPr>
          <w:rFonts w:ascii="Times New Roman" w:hAnsi="Times New Roman"/>
          <w:spacing w:val="-2"/>
          <w:lang w:val="en-GB"/>
        </w:rPr>
        <w:t xml:space="preserve"> </w:t>
      </w:r>
      <w:r w:rsidR="00761F2A" w:rsidRPr="000D3625">
        <w:rPr>
          <w:rFonts w:ascii="Times New Roman" w:hAnsi="Times New Roman"/>
          <w:spacing w:val="-2"/>
          <w:lang w:val="en-GB"/>
        </w:rPr>
        <w:fldChar w:fldCharType="begin" w:fldLock="1"/>
      </w:r>
      <w:r w:rsidR="00761F2A" w:rsidRPr="000D3625">
        <w:rPr>
          <w:rFonts w:ascii="Times New Roman" w:hAnsi="Times New Roman"/>
          <w:spacing w:val="-2"/>
          <w:lang w:val="en-GB"/>
        </w:rPr>
        <w:instrText>ADDIN CSL_CITATION {"citationItems":[{"id":"ITEM-1","itemData":{"DOI":"10.69626/csa.2024.0088","author":[{"dropping-particle":"","family":"Morris","given":"Andrew R","non-dropping-particle":"","parse-names":false,"suffix":""},{"dropping-particle":"","family":"Patil","given":"Avinash J","non-dropping-particle":"","parse-names":false,"suffix":""},{"dropping-particle":"","family":"Sadekar","given":"Shraddha","non-dropping-particle":"","parse-names":false,"suffix":""},{"dropping-particle":"","family":"Choudhury","given":"Ankita","non-dropping-particle":"","parse-names":false,"suffix":""},{"dropping-particle":"","family":"Munde","given":"Mahadevi","non-dropping-particle":"","parse-names":false,"suffix":""},{"dropping-particle":"","family":"Chougale","given":"Ashok D","non-dropping-particle":"","parse-names":false,"suffix":""},{"dropping-particle":"","family":"Kurade","given":"Mayur B","non-dropping-particle":"","parse-names":false,"suffix":""},{"dropping-particle":"","family":"Jeon","given":"Byong‐Hun","non-dropping-particle":"","parse-names":false,"suffix":""},{"dropping-particle":"","family":"Tanpure","given":"Rahul S","non-dropping-particle":"","parse-names":false,"suffix":""},{"dropping-particle":"","family":"Agawane","given":"Sachin B","non-dropping-particle":"","parse-names":false,"suffix":""},{"dropping-particle":"V","family":"Dawkar","given":"Vishal","non-dropping-particle":"","parse-names":false,"suffix":""}],"id":"ITEM-1","issued":{"date-parts":[["2024"]]},"page":"88-95","title":"Biodegradation of Malachite Green Dye by Novel Isolated Bacillus Species AAV from Garden Soil","type":"article-journal"},"uris":["http://www.mendeley.com/documents/?uuid=4598348b-d40f-4033-8009-1d5345be2480"]}],"mendeley":{"formattedCitation":"(Morris et al., 2024)","plainTextFormattedCitation":"(Morris et al., 2024)","previouslyFormattedCitation":"(Morris et al., 2024)"},"properties":{"noteIndex":0},"schema":"https://github.com/citation-style-language/schema/raw/master/csl-citation.json"}</w:instrText>
      </w:r>
      <w:r w:rsidR="00761F2A" w:rsidRPr="000D3625">
        <w:rPr>
          <w:rFonts w:ascii="Times New Roman" w:hAnsi="Times New Roman"/>
          <w:spacing w:val="-2"/>
          <w:lang w:val="en-GB"/>
        </w:rPr>
        <w:fldChar w:fldCharType="separate"/>
      </w:r>
      <w:r w:rsidR="00761F2A" w:rsidRPr="000D3625">
        <w:rPr>
          <w:rFonts w:ascii="Times New Roman" w:hAnsi="Times New Roman"/>
          <w:noProof/>
          <w:spacing w:val="-2"/>
          <w:lang w:val="en-GB"/>
        </w:rPr>
        <w:t>(Morris et al., 2024)</w:t>
      </w:r>
      <w:r w:rsidR="00761F2A" w:rsidRPr="000D3625">
        <w:rPr>
          <w:rFonts w:ascii="Times New Roman" w:hAnsi="Times New Roman"/>
          <w:spacing w:val="-2"/>
          <w:lang w:val="en-GB"/>
        </w:rPr>
        <w:fldChar w:fldCharType="end"/>
      </w:r>
      <w:r w:rsidRPr="000D3625">
        <w:rPr>
          <w:rFonts w:ascii="Times New Roman" w:hAnsi="Times New Roman"/>
          <w:spacing w:val="-2"/>
          <w:lang w:val="en-GB"/>
        </w:rPr>
        <w:t xml:space="preserve">. Malachite green is a cationic triphenylmethane dye </w:t>
      </w:r>
      <w:r w:rsidR="000D3625" w:rsidRPr="000D3625">
        <w:rPr>
          <w:rFonts w:ascii="Times New Roman" w:hAnsi="Times New Roman"/>
          <w:spacing w:val="-2"/>
          <w:lang w:val="en-GB"/>
        </w:rPr>
        <w:t>that</w:t>
      </w:r>
      <w:r w:rsidRPr="000D3625">
        <w:rPr>
          <w:rFonts w:ascii="Times New Roman" w:hAnsi="Times New Roman"/>
          <w:spacing w:val="-2"/>
          <w:lang w:val="en-GB"/>
        </w:rPr>
        <w:t xml:space="preserve"> has been widely used in the dyeing of textiles, silk and wool dyeing, leather dyeing, food packaging, printing and paper dyeing due to its high</w:t>
      </w:r>
      <w:r w:rsidR="000D3625" w:rsidRPr="000D3625">
        <w:rPr>
          <w:rFonts w:ascii="Times New Roman" w:hAnsi="Times New Roman"/>
          <w:spacing w:val="-2"/>
          <w:lang w:val="en-GB"/>
        </w:rPr>
        <w:t xml:space="preserve"> </w:t>
      </w:r>
      <w:r w:rsidRPr="000D3625">
        <w:rPr>
          <w:rFonts w:ascii="Times New Roman" w:hAnsi="Times New Roman"/>
          <w:spacing w:val="-2"/>
          <w:lang w:val="en-GB"/>
        </w:rPr>
        <w:t>water solubility, brilliant colour, excellent tinctorial strength and relatively low production cost</w:t>
      </w:r>
      <w:r w:rsidR="000D2258">
        <w:rPr>
          <w:rFonts w:ascii="Times New Roman" w:hAnsi="Times New Roman"/>
          <w:spacing w:val="-2"/>
          <w:lang w:val="en-GB"/>
        </w:rPr>
        <w:t xml:space="preserve"> </w:t>
      </w:r>
      <w:r w:rsidR="00761F2A" w:rsidRPr="000D3625">
        <w:rPr>
          <w:rFonts w:ascii="Times New Roman" w:hAnsi="Times New Roman"/>
          <w:spacing w:val="-2"/>
          <w:lang w:val="en-GB"/>
        </w:rPr>
        <w:fldChar w:fldCharType="begin" w:fldLock="1"/>
      </w:r>
      <w:r w:rsidR="00761F2A" w:rsidRPr="000D3625">
        <w:rPr>
          <w:rFonts w:ascii="Times New Roman" w:hAnsi="Times New Roman"/>
          <w:spacing w:val="-2"/>
          <w:lang w:val="en-GB"/>
        </w:rPr>
        <w:instrText>ADDIN CSL_CITATION {"citationItems":[{"id":"ITEM-1","itemData":{"DOI":"10.1016/j.ecoenv.2025.118978","author":[{"dropping-particle":"","family":"Bian","given":"Yu","non-dropping-particle":"","parse-names":false,"suffix":""},{"dropping-particle":"","family":"Zhang","given":"Yuan","non-dropping-particle":"","parse-names":false,"suffix":""},{"dropping-particle":"","family":"Chen","given":"Zuyi","non-dropping-particle":"","parse-names":false,"suffix":""},{"dropping-particle":"","family":"Xu","given":"Lian","non-dropping-particle":"","parse-names":false,"suffix":""},{"dropping-particle":"","family":"Zhang","given":"Chenyu","non-dropping-particle":"","parse-names":false,"suffix":""},{"dropping-particle":"","family":"Shi","given":"Du","non-dropping-particle":"","parse-names":false,"suffix":""},{"dropping-particle":"","family":"Feng","given":"Xuesong","non-dropping-particle":"","parse-names":false,"suffix":""},{"dropping-particle":"","family":"Wang","given":"Xueqing","non-dropping-particle":"","parse-names":false,"suffix":""}],"container-title":"Ecotoxicology and Environmental Safety","id":"ITEM-1","issued":{"date-parts":[["2025"]]},"page":"118978","publisher":"Elsevier BV","title":"Malachite green in environmental samples: Updates on sources, fates, distribution and removal techniques","type":"article-journal","volume":"303"},"uris":["http://www.mendeley.com/documents/?uuid=a46f16a7-c146-4a29-91ef-0f254e476657"]},{"id":"ITEM-2","itemData":{"DOI":"10.1016/J.BCAB.2019.01.030","author":[{"dropping-particle":"","family":"Arunprasath","given":"T","non-dropping-particle":"","parse-names":false,"suffix":""},{"dropping-particle":"","family":"Sudalai","given":"S","non-dropping-particle":"","parse-names":false,"suffix":""},{"dropping-particle":"","family":"Meenatchi","given":"R","non-dropping-particle":"","parse-names":false,"suffix":""},{"dropping-particle":"","family":"Jeyavishnu","given":"K","non-dropping-particle":"","parse-names":false,"suffix":""},{"dropping-particle":"","family":"Arumugam","given":"A","non-dropping-particle":"","parse-names":false,"suffix":""}],"container-title":"Biocatalysis and agricultural biotechnology","id":"ITEM-2","issued":{"date-parts":[["2019"]]},"page":"672-679","publisher":"Elsevier","title":"Biodegradation of triphenylmethane dye malachite green by a newly isolated fungus strain","type":"article-journal","volume":"17"},"uris":["http://www.mendeley.com/documents/?uuid=3b6d555a-c42a-4d3a-b3a1-a5024130b6a7"]}],"mendeley":{"formattedCitation":"(Arunprasath, Sudalai, Meenatchi, Jeyavishnu, &amp; Arumugam, 2019; Bian et al., 2025)","plainTextFormattedCitation":"(Arunprasath, Sudalai, Meenatchi, Jeyavishnu, &amp; Arumugam, 2019; Bian et al., 2025)","previouslyFormattedCitation":"(Arunprasath, Sudalai, Meenatchi, Jeyavishnu, &amp; Arumugam, 2019; Bian et al., 2025)"},"properties":{"noteIndex":0},"schema":"https://github.com/citation-style-language/schema/raw/master/csl-citation.json"}</w:instrText>
      </w:r>
      <w:r w:rsidR="00761F2A" w:rsidRPr="000D3625">
        <w:rPr>
          <w:rFonts w:ascii="Times New Roman" w:hAnsi="Times New Roman"/>
          <w:spacing w:val="-2"/>
          <w:lang w:val="en-GB"/>
        </w:rPr>
        <w:fldChar w:fldCharType="separate"/>
      </w:r>
      <w:r w:rsidR="00761F2A" w:rsidRPr="000D3625">
        <w:rPr>
          <w:rFonts w:ascii="Times New Roman" w:hAnsi="Times New Roman"/>
          <w:noProof/>
          <w:spacing w:val="-2"/>
          <w:lang w:val="en-GB"/>
        </w:rPr>
        <w:t>(Arunprasath</w:t>
      </w:r>
      <w:r w:rsidR="000D2258">
        <w:rPr>
          <w:rFonts w:ascii="Times New Roman" w:hAnsi="Times New Roman"/>
          <w:noProof/>
          <w:spacing w:val="-2"/>
          <w:lang w:val="en-GB"/>
        </w:rPr>
        <w:t xml:space="preserve"> et al.</w:t>
      </w:r>
      <w:r w:rsidR="00761F2A" w:rsidRPr="000D3625">
        <w:rPr>
          <w:rFonts w:ascii="Times New Roman" w:hAnsi="Times New Roman"/>
          <w:noProof/>
          <w:spacing w:val="-2"/>
          <w:lang w:val="en-GB"/>
        </w:rPr>
        <w:t>, 2019; Bian et al., 2025)</w:t>
      </w:r>
      <w:r w:rsidR="00761F2A" w:rsidRPr="000D3625">
        <w:rPr>
          <w:rFonts w:ascii="Times New Roman" w:hAnsi="Times New Roman"/>
          <w:spacing w:val="-2"/>
          <w:lang w:val="en-GB"/>
        </w:rPr>
        <w:fldChar w:fldCharType="end"/>
      </w:r>
      <w:r w:rsidRPr="000D3625">
        <w:rPr>
          <w:rFonts w:ascii="Times New Roman" w:hAnsi="Times New Roman"/>
          <w:spacing w:val="-2"/>
          <w:lang w:val="en-GB"/>
        </w:rPr>
        <w:t xml:space="preserve">. </w:t>
      </w:r>
      <w:r w:rsidR="000D3625" w:rsidRPr="000D3625">
        <w:rPr>
          <w:rFonts w:ascii="Times New Roman" w:hAnsi="Times New Roman"/>
          <w:spacing w:val="-2"/>
          <w:lang w:val="en-GB"/>
        </w:rPr>
        <w:t>In addition to industrial uses, MG has been traditionally used in aquaculture as an antifungal, antiparasitic, and antimicrobial agent to control</w:t>
      </w:r>
      <w:r w:rsidRPr="000D3625">
        <w:rPr>
          <w:rFonts w:ascii="Times New Roman" w:hAnsi="Times New Roman"/>
          <w:spacing w:val="-2"/>
          <w:lang w:val="en-GB"/>
        </w:rPr>
        <w:t xml:space="preserve"> fungal infections and protozoan diseases in fish. The release of untreated effluents containing MG</w:t>
      </w:r>
      <w:r w:rsidR="000D3625" w:rsidRPr="000D3625">
        <w:rPr>
          <w:rFonts w:ascii="Times New Roman" w:hAnsi="Times New Roman"/>
          <w:spacing w:val="-2"/>
          <w:lang w:val="en-GB"/>
        </w:rPr>
        <w:t xml:space="preserve"> into the aquatic environment, however, has raised serious concerns regarding both the</w:t>
      </w:r>
      <w:r w:rsidRPr="000D3625">
        <w:rPr>
          <w:rFonts w:ascii="Times New Roman" w:hAnsi="Times New Roman"/>
          <w:spacing w:val="-2"/>
          <w:lang w:val="en-GB"/>
        </w:rPr>
        <w:t xml:space="preserve"> environment and public health. Malachite green has a very long environmental persistence </w:t>
      </w:r>
      <w:r w:rsidR="000D3625" w:rsidRPr="000D3625">
        <w:rPr>
          <w:rFonts w:ascii="Times New Roman" w:hAnsi="Times New Roman"/>
          <w:spacing w:val="-2"/>
          <w:lang w:val="en-GB"/>
        </w:rPr>
        <w:t>due to its highly conjugated aromatic structure and exceptional chemical stability, leading to</w:t>
      </w:r>
      <w:r w:rsidRPr="000D3625">
        <w:rPr>
          <w:rFonts w:ascii="Times New Roman" w:hAnsi="Times New Roman"/>
          <w:spacing w:val="-2"/>
          <w:lang w:val="en-GB"/>
        </w:rPr>
        <w:t xml:space="preserve"> poor biodegradability</w:t>
      </w:r>
      <w:r w:rsidR="00761F2A" w:rsidRPr="000D3625">
        <w:rPr>
          <w:rFonts w:ascii="Times New Roman" w:hAnsi="Times New Roman"/>
          <w:spacing w:val="-2"/>
          <w:lang w:val="en-GB"/>
        </w:rPr>
        <w:t xml:space="preserve"> </w:t>
      </w:r>
      <w:r w:rsidR="00761F2A" w:rsidRPr="000D3625">
        <w:rPr>
          <w:rFonts w:ascii="Times New Roman" w:hAnsi="Times New Roman"/>
          <w:spacing w:val="-2"/>
          <w:lang w:val="en-GB"/>
        </w:rPr>
        <w:fldChar w:fldCharType="begin" w:fldLock="1"/>
      </w:r>
      <w:r w:rsidR="000A2697" w:rsidRPr="000D3625">
        <w:rPr>
          <w:rFonts w:ascii="Times New Roman" w:hAnsi="Times New Roman"/>
          <w:spacing w:val="-2"/>
          <w:lang w:val="en-GB"/>
        </w:rPr>
        <w:instrText>ADDIN CSL_CITATION {"citationItems":[{"id":"ITEM-1","itemData":{"DOI":"10.69626/csa.2024.0088","author":[{"dropping-particle":"","family":"Morris","given":"Andrew R","non-dropping-particle":"","parse-names":false,"suffix":""},{"dropping-particle":"","family":"Patil","given":"Avinash J","non-dropping-particle":"","parse-names":false,"suffix":""},{"dropping-particle":"","family":"Sadekar","given":"Shraddha","non-dropping-particle":"","parse-names":false,"suffix":""},{"dropping-particle":"","family":"Choudhury","given":"Ankita","non-dropping-particle":"","parse-names":false,"suffix":""},{"dropping-particle":"","family":"Munde","given":"Mahadevi","non-dropping-particle":"","parse-names":false,"suffix":""},{"dropping-particle":"","family":"Chougale","given":"Ashok D","non-dropping-particle":"","parse-names":false,"suffix":""},{"dropping-particle":"","family":"Kurade","given":"Mayur B","non-dropping-particle":"","parse-names":false,"suffix":""},{"dropping-particle":"","family":"Jeon","given":"Byong‐Hun","non-dropping-particle":"","parse-names":false,"suffix":""},{"dropping-particle":"","family":"Tanpure","given":"Rahul S","non-dropping-particle":"","parse-names":false,"suffix":""},{"dropping-particle":"","family":"Agawane","given":"Sachin B","non-dropping-particle":"","parse-names":false,"suffix":""},{"dropping-particle":"V","family":"Dawkar","given":"Vishal","non-dropping-particle":"","parse-names":false,"suffix":""}],"id":"ITEM-1","issued":{"date-parts":[["2024"]]},"page":"88-95","title":"Biodegradation of Malachite Green Dye by Novel Isolated Bacillus Species AAV from Garden Soil","type":"article-journal"},"uris":["http://www.mendeley.com/documents/?uuid=4598348b-d40f-4033-8009-1d5345be2480"]},{"id":"ITEM-2","itemData":{"DOI":"10.1016/J.BCAB.2019.01.030","author":[{"dropping-particle":"","family":"Arunprasath","given":"T","non-dropping-particle":"","parse-names":false,"suffix":""},{"dropping-particle":"","family":"Sudalai","given":"S","non-dropping-particle":"","parse-names":false,"suffix":""},{"dropping-particle":"","family":"Meenatchi","given":"R","non-dropping-particle":"","parse-names":false,"suffix":""},{"dropping-particle":"","family":"Jeyavishnu","given":"K","non-dropping-particle":"","parse-names":false,"suffix":""},{"dropping-particle":"","family":"Arumugam","given":"A","non-dropping-particle":"","parse-names":false,"suffix":""}],"container-title":"Biocatalysis and agricultural biotechnology","id":"ITEM-2","issued":{"date-parts":[["2019"]]},"page":"672-679","publisher":"Elsevier","title":"Biodegradation of triphenylmethane dye malachite green by a newly isolated fungus strain","type":"article-journal","volume":"17"},"uris":["http://www.mendeley.com/documents/?uuid=3b6d555a-c42a-4d3a-b3a1-a5024130b6a7"]}],"mendeley":{"formattedCitation":"(Arunprasath et al., 2019; Morris et al., 2024)","plainTextFormattedCitation":"(Arunprasath et al., 2019; Morris et al., 2024)","previouslyFormattedCitation":"(Arunprasath et al., 2019; Morris et al., 2024)"},"properties":{"noteIndex":0},"schema":"https://github.com/citation-style-language/schema/raw/master/csl-citation.json"}</w:instrText>
      </w:r>
      <w:r w:rsidR="00761F2A" w:rsidRPr="000D3625">
        <w:rPr>
          <w:rFonts w:ascii="Times New Roman" w:hAnsi="Times New Roman"/>
          <w:spacing w:val="-2"/>
          <w:lang w:val="en-GB"/>
        </w:rPr>
        <w:fldChar w:fldCharType="separate"/>
      </w:r>
      <w:r w:rsidR="00761F2A" w:rsidRPr="000D3625">
        <w:rPr>
          <w:rFonts w:ascii="Times New Roman" w:hAnsi="Times New Roman"/>
          <w:noProof/>
          <w:spacing w:val="-2"/>
          <w:lang w:val="en-GB"/>
        </w:rPr>
        <w:t>(Arunprasath et al., 2019; Morris et al., 2024)</w:t>
      </w:r>
      <w:r w:rsidR="00761F2A" w:rsidRPr="000D3625">
        <w:rPr>
          <w:rFonts w:ascii="Times New Roman" w:hAnsi="Times New Roman"/>
          <w:spacing w:val="-2"/>
          <w:lang w:val="en-GB"/>
        </w:rPr>
        <w:fldChar w:fldCharType="end"/>
      </w:r>
      <w:r w:rsidRPr="000D3625">
        <w:rPr>
          <w:rFonts w:ascii="Times New Roman" w:hAnsi="Times New Roman"/>
          <w:spacing w:val="-2"/>
          <w:lang w:val="en-GB"/>
        </w:rPr>
        <w:t xml:space="preserve">. </w:t>
      </w:r>
      <w:r w:rsidRPr="000D3625">
        <w:rPr>
          <w:rFonts w:ascii="Times New Roman" w:hAnsi="Times New Roman"/>
          <w:spacing w:val="-2"/>
          <w:lang w:val="en-GB"/>
        </w:rPr>
        <w:lastRenderedPageBreak/>
        <w:t>Furthermore, MG can be bio</w:t>
      </w:r>
      <w:r w:rsidR="000D3625" w:rsidRPr="000D3625">
        <w:rPr>
          <w:rFonts w:ascii="Times New Roman" w:hAnsi="Times New Roman"/>
          <w:spacing w:val="-2"/>
          <w:lang w:val="en-GB"/>
        </w:rPr>
        <w:t xml:space="preserve">-transformed to the reduced derivative, </w:t>
      </w:r>
      <w:proofErr w:type="spellStart"/>
      <w:r w:rsidR="000D3625" w:rsidRPr="000D3625">
        <w:rPr>
          <w:rFonts w:ascii="Times New Roman" w:hAnsi="Times New Roman"/>
          <w:spacing w:val="-2"/>
          <w:lang w:val="en-GB"/>
        </w:rPr>
        <w:t>leucomalachite</w:t>
      </w:r>
      <w:proofErr w:type="spellEnd"/>
      <w:r w:rsidR="000D3625" w:rsidRPr="000D3625">
        <w:rPr>
          <w:rFonts w:ascii="Times New Roman" w:hAnsi="Times New Roman"/>
          <w:spacing w:val="-2"/>
          <w:lang w:val="en-GB"/>
        </w:rPr>
        <w:t xml:space="preserve"> green (LMG), which possesses enhanced environmental persistence and</w:t>
      </w:r>
      <w:r w:rsidRPr="000D3625">
        <w:rPr>
          <w:rFonts w:ascii="Times New Roman" w:hAnsi="Times New Roman"/>
          <w:spacing w:val="-2"/>
          <w:lang w:val="en-GB"/>
        </w:rPr>
        <w:t xml:space="preserve"> a higher bioaccumulation potential</w:t>
      </w:r>
      <w:r w:rsidR="000A2697" w:rsidRPr="000D3625">
        <w:rPr>
          <w:rFonts w:ascii="Times New Roman" w:hAnsi="Times New Roman"/>
          <w:spacing w:val="-2"/>
          <w:lang w:val="en-GB"/>
        </w:rPr>
        <w:t xml:space="preserve"> </w:t>
      </w:r>
      <w:r w:rsidR="000A2697" w:rsidRPr="000D3625">
        <w:rPr>
          <w:rFonts w:ascii="Times New Roman" w:hAnsi="Times New Roman"/>
          <w:spacing w:val="-2"/>
          <w:lang w:val="en-GB"/>
        </w:rPr>
        <w:fldChar w:fldCharType="begin" w:fldLock="1"/>
      </w:r>
      <w:r w:rsidR="000A2697" w:rsidRPr="000D3625">
        <w:rPr>
          <w:rFonts w:ascii="Times New Roman" w:hAnsi="Times New Roman"/>
          <w:spacing w:val="-2"/>
          <w:lang w:val="en-GB"/>
        </w:rPr>
        <w:instrText>ADDIN CSL_CITATION {"citationItems":[{"id":"ITEM-1","itemData":{"ISSN":"1506-218X","author":[{"dropping-particle":"","family":"Razia","given":"Sulthana","non-dropping-particle":"","parse-names":false,"suffix":""},{"dropping-particle":"","family":"Basavaraju","given":"H C","non-dropping-particle":"","parse-names":false,"suffix":""},{"dropping-particle":"","family":"Taqui","given":"Syed Noeman","non-dropping-particle":"","parse-names":false,"suffix":""},{"dropping-particle":"","family":"Deepakumari","given":"H N","non-dropping-particle":"","parse-names":false,"suffix":""},{"dropping-particle":"","family":"Mir","given":"Rayees Afzal","non-dropping-particle":"","parse-names":false,"suffix":""},{"dropping-particle":"","family":"Syed","given":"Akheel Ahmed","non-dropping-particle":"","parse-names":false,"suffix":""},{"dropping-particle":"","family":"Ansari","given":"Khalid","non-dropping-particle":"","parse-names":false,"suffix":""},{"dropping-particle":"","family":"Ukkund","given":"Shareefraza J","non-dropping-particle":"","parse-names":false,"suffix":""},{"dropping-particle":"","family":"Alsubih","given":"Majed","non-dropping-particle":"","parse-names":false,"suffix":""},{"dropping-particle":"","family":"Islam","given":"Saiful","non-dropping-particle":"","parse-names":false,"suffix":""}],"container-title":"Rocznik Ochrona Środowiska","id":"ITEM-1","issued":{"date-parts":[["2025"]]},"title":"Utilizing Industrial Fennel Seed Waste and Brilliant Green from Nutraceuticals for a Sustainable Wastewater Dye Adsorption System","type":"article-journal","volume":"27"},"uris":["http://www.mendeley.com/documents/?uuid=d55e21d6-95c2-4e07-a9b0-8888a0d574ae"]}],"mendeley":{"formattedCitation":"(Razia et al., 2025)","plainTextFormattedCitation":"(Razia et al., 2025)","previouslyFormattedCitation":"(Razia et al., 2025)"},"properties":{"noteIndex":0},"schema":"https://github.com/citation-style-language/schema/raw/master/csl-citation.json"}</w:instrText>
      </w:r>
      <w:r w:rsidR="000A2697" w:rsidRPr="000D3625">
        <w:rPr>
          <w:rFonts w:ascii="Times New Roman" w:hAnsi="Times New Roman"/>
          <w:spacing w:val="-2"/>
          <w:lang w:val="en-GB"/>
        </w:rPr>
        <w:fldChar w:fldCharType="separate"/>
      </w:r>
      <w:r w:rsidR="000A2697" w:rsidRPr="000D3625">
        <w:rPr>
          <w:rFonts w:ascii="Times New Roman" w:hAnsi="Times New Roman"/>
          <w:noProof/>
          <w:spacing w:val="-2"/>
          <w:lang w:val="en-GB"/>
        </w:rPr>
        <w:t>(Razia et al., 2025)</w:t>
      </w:r>
      <w:r w:rsidR="000A2697" w:rsidRPr="000D3625">
        <w:rPr>
          <w:rFonts w:ascii="Times New Roman" w:hAnsi="Times New Roman"/>
          <w:spacing w:val="-2"/>
          <w:lang w:val="en-GB"/>
        </w:rPr>
        <w:fldChar w:fldCharType="end"/>
      </w:r>
      <w:r w:rsidRPr="000D3625">
        <w:rPr>
          <w:rFonts w:ascii="Times New Roman" w:hAnsi="Times New Roman"/>
          <w:spacing w:val="-2"/>
          <w:lang w:val="en-GB"/>
        </w:rPr>
        <w:t>. Several toxicological studies have shown cytotoxic, genotoxic, mutagenic, teratogenic, hepatotoxic, nephrotoxic</w:t>
      </w:r>
      <w:r w:rsidR="000D3625" w:rsidRPr="000D3625">
        <w:rPr>
          <w:rFonts w:ascii="Times New Roman" w:hAnsi="Times New Roman"/>
          <w:spacing w:val="-2"/>
          <w:lang w:val="en-GB"/>
        </w:rPr>
        <w:t>,</w:t>
      </w:r>
      <w:r w:rsidRPr="000D3625">
        <w:rPr>
          <w:rFonts w:ascii="Times New Roman" w:hAnsi="Times New Roman"/>
          <w:spacing w:val="-2"/>
          <w:lang w:val="en-GB"/>
        </w:rPr>
        <w:t xml:space="preserve"> and carcinogenic effects of prolonged exposure to MG and its metabolites in aquatic organisms and mammals. As</w:t>
      </w:r>
      <w:r w:rsidR="00B365B6">
        <w:rPr>
          <w:rFonts w:ascii="Times New Roman" w:hAnsi="Times New Roman"/>
          <w:spacing w:val="-2"/>
          <w:lang w:val="en-GB"/>
        </w:rPr>
        <w:t> </w:t>
      </w:r>
      <w:r w:rsidRPr="000D3625">
        <w:rPr>
          <w:rFonts w:ascii="Times New Roman" w:hAnsi="Times New Roman"/>
          <w:spacing w:val="-2"/>
          <w:lang w:val="en-GB"/>
        </w:rPr>
        <w:t>a</w:t>
      </w:r>
      <w:r w:rsidR="00B365B6">
        <w:rPr>
          <w:rFonts w:ascii="Times New Roman" w:hAnsi="Times New Roman"/>
          <w:spacing w:val="-2"/>
          <w:lang w:val="en-GB"/>
        </w:rPr>
        <w:t> </w:t>
      </w:r>
      <w:r w:rsidRPr="000D3625">
        <w:rPr>
          <w:rFonts w:ascii="Times New Roman" w:hAnsi="Times New Roman"/>
          <w:spacing w:val="-2"/>
          <w:lang w:val="en-GB"/>
        </w:rPr>
        <w:t xml:space="preserve">result, it is now banned or highly restricted in many countries for use in aquaculture production systems </w:t>
      </w:r>
      <w:r w:rsidR="000D3625" w:rsidRPr="000D3625">
        <w:rPr>
          <w:rFonts w:ascii="Times New Roman" w:hAnsi="Times New Roman"/>
          <w:spacing w:val="-2"/>
          <w:lang w:val="en-GB"/>
        </w:rPr>
        <w:t>for food, highlighting</w:t>
      </w:r>
      <w:r w:rsidRPr="000D3625">
        <w:rPr>
          <w:rFonts w:ascii="Times New Roman" w:hAnsi="Times New Roman"/>
          <w:spacing w:val="-2"/>
          <w:lang w:val="en-GB"/>
        </w:rPr>
        <w:t xml:space="preserve"> the need for highly effective technologies to remove malachite green from contaminated </w:t>
      </w:r>
      <w:r w:rsidR="00241E2E" w:rsidRPr="000D3625">
        <w:rPr>
          <w:rFonts w:ascii="Times New Roman" w:hAnsi="Times New Roman"/>
          <w:spacing w:val="-2"/>
          <w:lang w:val="en-GB"/>
        </w:rPr>
        <w:t>wastewater</w:t>
      </w:r>
      <w:r w:rsidRPr="000D3625">
        <w:rPr>
          <w:rFonts w:ascii="Times New Roman" w:hAnsi="Times New Roman"/>
          <w:spacing w:val="-2"/>
          <w:lang w:val="en-GB"/>
        </w:rPr>
        <w:t xml:space="preserve"> </w:t>
      </w:r>
      <w:r w:rsidR="000D3625" w:rsidRPr="000D3625">
        <w:rPr>
          <w:rFonts w:ascii="Times New Roman" w:hAnsi="Times New Roman"/>
          <w:spacing w:val="-2"/>
          <w:lang w:val="en-GB"/>
        </w:rPr>
        <w:t>before</w:t>
      </w:r>
      <w:r w:rsidRPr="000D3625">
        <w:rPr>
          <w:rFonts w:ascii="Times New Roman" w:hAnsi="Times New Roman"/>
          <w:spacing w:val="-2"/>
          <w:lang w:val="en-GB"/>
        </w:rPr>
        <w:t xml:space="preserve"> discharge into the environment</w:t>
      </w:r>
      <w:r w:rsidR="000A2697" w:rsidRPr="000D3625">
        <w:rPr>
          <w:rFonts w:ascii="Times New Roman" w:hAnsi="Times New Roman"/>
          <w:spacing w:val="-2"/>
          <w:lang w:val="en-GB"/>
        </w:rPr>
        <w:t xml:space="preserve"> </w:t>
      </w:r>
      <w:r w:rsidR="000A2697" w:rsidRPr="000D3625">
        <w:rPr>
          <w:rFonts w:ascii="Times New Roman" w:hAnsi="Times New Roman"/>
          <w:spacing w:val="-2"/>
          <w:lang w:val="en-GB"/>
        </w:rPr>
        <w:fldChar w:fldCharType="begin" w:fldLock="1"/>
      </w:r>
      <w:r w:rsidR="000A2697" w:rsidRPr="000D3625">
        <w:rPr>
          <w:rFonts w:ascii="Times New Roman" w:hAnsi="Times New Roman"/>
          <w:spacing w:val="-2"/>
          <w:lang w:val="en-GB"/>
        </w:rPr>
        <w:instrText>ADDIN CSL_CITATION {"citationItems":[{"id":"ITEM-1","itemData":{"DOI":"10.1016/j.ecoenv.2025.118978","author":[{"dropping-particle":"","family":"Bian","given":"Yu","non-dropping-particle":"","parse-names":false,"suffix":""},{"dropping-particle":"","family":"Zhang","given":"Yuan","non-dropping-particle":"","parse-names":false,"suffix":""},{"dropping-particle":"","family":"Chen","given":"Zuyi","non-dropping-particle":"","parse-names":false,"suffix":""},{"dropping-particle":"","family":"Xu","given":"Lian","non-dropping-particle":"","parse-names":false,"suffix":""},{"dropping-particle":"","family":"Zhang","given":"Chenyu","non-dropping-particle":"","parse-names":false,"suffix":""},{"dropping-particle":"","family":"Shi","given":"Du","non-dropping-particle":"","parse-names":false,"suffix":""},{"dropping-particle":"","family":"Feng","given":"Xuesong","non-dropping-particle":"","parse-names":false,"suffix":""},{"dropping-particle":"","family":"Wang","given":"Xueqing","non-dropping-particle":"","parse-names":false,"suffix":""}],"container-title":"Ecotoxicology and Environmental Safety","id":"ITEM-1","issued":{"date-parts":[["2025"]]},"page":"118978","publisher":"Elsevier BV","title":"Malachite green in environmental samples: Updates on sources, fates, distribution and removal techniques","type":"article-journal","volume":"303"},"uris":["http://www.mendeley.com/documents/?uuid=a46f16a7-c146-4a29-91ef-0f254e476657"]}],"mendeley":{"formattedCitation":"(Bian et al., 2025)","plainTextFormattedCitation":"(Bian et al., 2025)","previouslyFormattedCitation":"(Bian et al., 2025)"},"properties":{"noteIndex":0},"schema":"https://github.com/citation-style-language/schema/raw/master/csl-citation.json"}</w:instrText>
      </w:r>
      <w:r w:rsidR="000A2697" w:rsidRPr="000D3625">
        <w:rPr>
          <w:rFonts w:ascii="Times New Roman" w:hAnsi="Times New Roman"/>
          <w:spacing w:val="-2"/>
          <w:lang w:val="en-GB"/>
        </w:rPr>
        <w:fldChar w:fldCharType="separate"/>
      </w:r>
      <w:r w:rsidR="000A2697" w:rsidRPr="000D3625">
        <w:rPr>
          <w:rFonts w:ascii="Times New Roman" w:hAnsi="Times New Roman"/>
          <w:noProof/>
          <w:spacing w:val="-2"/>
          <w:lang w:val="en-GB"/>
        </w:rPr>
        <w:t>(Bian et al., 2025)</w:t>
      </w:r>
      <w:r w:rsidR="000A2697" w:rsidRPr="000D3625">
        <w:rPr>
          <w:rFonts w:ascii="Times New Roman" w:hAnsi="Times New Roman"/>
          <w:spacing w:val="-2"/>
          <w:lang w:val="en-GB"/>
        </w:rPr>
        <w:fldChar w:fldCharType="end"/>
      </w:r>
      <w:r w:rsidR="000A2697" w:rsidRPr="000D3625">
        <w:rPr>
          <w:rFonts w:ascii="Times New Roman" w:hAnsi="Times New Roman"/>
          <w:spacing w:val="-2"/>
          <w:lang w:val="en-GB"/>
        </w:rPr>
        <w:t>.</w:t>
      </w:r>
    </w:p>
    <w:p w14:paraId="15698322" w14:textId="5182D06E" w:rsidR="00813C9F" w:rsidRPr="000D3625" w:rsidRDefault="00813C9F" w:rsidP="000D3625">
      <w:pPr>
        <w:spacing w:after="0" w:line="235" w:lineRule="auto"/>
        <w:ind w:firstLine="284"/>
        <w:jc w:val="both"/>
        <w:rPr>
          <w:rFonts w:ascii="Times New Roman" w:hAnsi="Times New Roman"/>
          <w:lang w:val="en-GB"/>
        </w:rPr>
      </w:pPr>
      <w:r w:rsidRPr="000D3625">
        <w:rPr>
          <w:rFonts w:ascii="Times New Roman" w:hAnsi="Times New Roman"/>
          <w:lang w:val="en-GB"/>
        </w:rPr>
        <w:t>Various physicochemical, biological</w:t>
      </w:r>
      <w:r w:rsidR="000D3625" w:rsidRPr="000D3625">
        <w:rPr>
          <w:rFonts w:ascii="Times New Roman" w:hAnsi="Times New Roman"/>
          <w:lang w:val="en-GB"/>
        </w:rPr>
        <w:t>,</w:t>
      </w:r>
      <w:r w:rsidRPr="000D3625">
        <w:rPr>
          <w:rFonts w:ascii="Times New Roman" w:hAnsi="Times New Roman"/>
          <w:lang w:val="en-GB"/>
        </w:rPr>
        <w:t xml:space="preserve"> and advanced oxidation processes have </w:t>
      </w:r>
      <w:r w:rsidR="000D3625" w:rsidRPr="000D3625">
        <w:rPr>
          <w:rFonts w:ascii="Times New Roman" w:hAnsi="Times New Roman"/>
          <w:lang w:val="en-GB"/>
        </w:rPr>
        <w:t xml:space="preserve">been </w:t>
      </w:r>
      <w:r w:rsidR="007255D0" w:rsidRPr="000D3625">
        <w:rPr>
          <w:rFonts w:ascii="Times New Roman" w:hAnsi="Times New Roman"/>
          <w:lang w:val="en-GB"/>
        </w:rPr>
        <w:t>investigated</w:t>
      </w:r>
      <w:r w:rsidRPr="000D3625">
        <w:rPr>
          <w:rFonts w:ascii="Times New Roman" w:hAnsi="Times New Roman"/>
          <w:lang w:val="en-GB"/>
        </w:rPr>
        <w:t xml:space="preserve"> </w:t>
      </w:r>
      <w:r w:rsidR="000D3625" w:rsidRPr="000D3625">
        <w:rPr>
          <w:rFonts w:ascii="Times New Roman" w:hAnsi="Times New Roman"/>
          <w:lang w:val="en-GB"/>
        </w:rPr>
        <w:t>for the removal of</w:t>
      </w:r>
      <w:r w:rsidRPr="000D3625">
        <w:rPr>
          <w:rFonts w:ascii="Times New Roman" w:hAnsi="Times New Roman"/>
          <w:lang w:val="en-GB"/>
        </w:rPr>
        <w:t xml:space="preserve"> synthetic dyes. These techniques are coagulation</w:t>
      </w:r>
      <w:r w:rsidR="000D3625" w:rsidRPr="000D3625">
        <w:rPr>
          <w:rFonts w:ascii="Times New Roman" w:hAnsi="Times New Roman"/>
          <w:lang w:val="en-GB"/>
        </w:rPr>
        <w:t>–flocculation, chemical precipitation, membrane filtration, electrochemical oxidation, ozonation, photocatalysis, biodegradation, advanced oxidation processes (AOPs), and Fenton-based oxidation systems</w:t>
      </w:r>
      <w:r w:rsidRPr="000D3625">
        <w:rPr>
          <w:rFonts w:ascii="Times New Roman" w:hAnsi="Times New Roman"/>
          <w:lang w:val="en-GB"/>
        </w:rPr>
        <w:t xml:space="preserve">. Although many of these methods can show good dye removal efficiencies under laboratory conditions, </w:t>
      </w:r>
      <w:r w:rsidR="000D3625" w:rsidRPr="000D3625">
        <w:rPr>
          <w:rFonts w:ascii="Times New Roman" w:hAnsi="Times New Roman"/>
          <w:lang w:val="en-GB"/>
        </w:rPr>
        <w:t>several factors</w:t>
      </w:r>
      <w:r w:rsidRPr="000D3625">
        <w:rPr>
          <w:rFonts w:ascii="Times New Roman" w:hAnsi="Times New Roman"/>
          <w:lang w:val="en-GB"/>
        </w:rPr>
        <w:t xml:space="preserve"> make their application at a large scale not feasible, including high operational and maintenance costs, high energy consumption, fouling of the membranes, complex reactor configurations, sludge formation, catalyst deactivation, incomplete mineralisation of pollutants and toxic secondary products formed. Therefore, the </w:t>
      </w:r>
      <w:r w:rsidR="000D3625" w:rsidRPr="000D3625">
        <w:rPr>
          <w:rFonts w:ascii="Times New Roman" w:hAnsi="Times New Roman"/>
          <w:lang w:val="en-GB"/>
        </w:rPr>
        <w:t>development of treatment systems with high removal efficiency, simplicity, environmental friendliness, economic viability, and</w:t>
      </w:r>
      <w:r w:rsidRPr="000D3625">
        <w:rPr>
          <w:rFonts w:ascii="Times New Roman" w:hAnsi="Times New Roman"/>
          <w:lang w:val="en-GB"/>
        </w:rPr>
        <w:t xml:space="preserve"> long-term sustainability is a constant need</w:t>
      </w:r>
      <w:r w:rsidR="000A2697" w:rsidRPr="000D3625">
        <w:rPr>
          <w:rFonts w:ascii="Times New Roman" w:hAnsi="Times New Roman"/>
          <w:lang w:val="en-GB"/>
        </w:rPr>
        <w:t xml:space="preserve"> </w:t>
      </w:r>
      <w:r w:rsidR="000A2697" w:rsidRPr="000D3625">
        <w:rPr>
          <w:rFonts w:ascii="Times New Roman" w:hAnsi="Times New Roman"/>
          <w:lang w:val="en-GB"/>
        </w:rPr>
        <w:fldChar w:fldCharType="begin" w:fldLock="1"/>
      </w:r>
      <w:r w:rsidR="000A2697" w:rsidRPr="000D3625">
        <w:rPr>
          <w:rFonts w:ascii="Times New Roman" w:hAnsi="Times New Roman"/>
          <w:lang w:val="en-GB"/>
        </w:rPr>
        <w:instrText>ADDIN CSL_CITATION {"citationItems":[{"id":"ITEM-1","itemData":{"DOI":"10.69709/susproc.2025.111130","author":[{"dropping-particle":"","family":"Kumar","given":"Avanish","non-dropping-particle":"","parse-names":false,"suffix":""},{"dropping-particle":"","family":"Devnani","given":"G L","non-dropping-particle":"","parse-names":false,"suffix":""},{"dropping-particle":"","family":"Pal","given":"Dan Bahadur","non-dropping-particle":"","parse-names":false,"suffix":""}],"id":"ITEM-1","issued":{"date-parts":[["2025"]]},"title":"Sustainable Degradation of Organic Pollutants Using Various Treatment Processes: A Review","type":"article-journal"},"uris":["http://www.mendeley.com/documents/?uuid=bf9b826c-e39f-4d27-bbd7-bbec3780671a"]},{"id":"ITEM-2","itemData":{"DOI":"10.1155/2023/8578570","author":[{"dropping-particle":"","family":"He","given":"Jiang","non-dropping-particle":"","parse-names":false,"suffix":""},{"dropping-particle":"","family":"Mo","given":"Ping-Hua","non-dropping-particle":"","parse-names":false,"suffix":""},{"dropping-particle":"","family":"Luo","given":"Yu-Shuang","non-dropping-particle":"","parse-names":false,"suffix":""},{"dropping-particle":"","family":"Yang","given":"Pinghua","non-dropping-particle":"","parse-names":false,"suffix":""}],"container-title":"Aquaculture Research","id":"ITEM-2","issued":{"date-parts":[["2023"]]},"page":"1-17","title":"Strategies for Solving the Issue of Malachite Green Residues in Aquatic Products: A Review","type":"article-journal","volume":"2023"},"uris":["http://www.mendeley.com/documents/?uuid=4a9a3de1-c8eb-4cad-aeea-6db2292bf2a8"]}],"mendeley":{"formattedCitation":"(He, Mo, Luo, &amp; Yang, 2023; Kumar, Devnani, &amp; Pal, 2025)","plainTextFormattedCitation":"(He, Mo, Luo, &amp; Yang, 2023; Kumar, Devnani, &amp; Pal, 2025)","previouslyFormattedCitation":"(He, Mo, Luo, &amp; Yang, 2023; Kumar, Devnani, &amp; Pal, 2025)"},"properties":{"noteIndex":0},"schema":"https://github.com/citation-style-language/schema/raw/master/csl-citation.json"}</w:instrText>
      </w:r>
      <w:r w:rsidR="000A2697" w:rsidRPr="000D3625">
        <w:rPr>
          <w:rFonts w:ascii="Times New Roman" w:hAnsi="Times New Roman"/>
          <w:lang w:val="en-GB"/>
        </w:rPr>
        <w:fldChar w:fldCharType="separate"/>
      </w:r>
      <w:r w:rsidR="000A2697" w:rsidRPr="000D3625">
        <w:rPr>
          <w:rFonts w:ascii="Times New Roman" w:hAnsi="Times New Roman"/>
          <w:noProof/>
          <w:lang w:val="en-GB"/>
        </w:rPr>
        <w:t>(He</w:t>
      </w:r>
      <w:r w:rsidR="000D2258">
        <w:rPr>
          <w:rFonts w:ascii="Times New Roman" w:hAnsi="Times New Roman"/>
          <w:noProof/>
          <w:lang w:val="en-GB"/>
        </w:rPr>
        <w:t xml:space="preserve"> et al.</w:t>
      </w:r>
      <w:r w:rsidR="000A2697" w:rsidRPr="000D3625">
        <w:rPr>
          <w:rFonts w:ascii="Times New Roman" w:hAnsi="Times New Roman"/>
          <w:noProof/>
          <w:lang w:val="en-GB"/>
        </w:rPr>
        <w:t>, 2023; Kumar</w:t>
      </w:r>
      <w:r w:rsidR="000D2258">
        <w:rPr>
          <w:rFonts w:ascii="Times New Roman" w:hAnsi="Times New Roman"/>
          <w:noProof/>
          <w:lang w:val="en-GB"/>
        </w:rPr>
        <w:t xml:space="preserve"> et al.</w:t>
      </w:r>
      <w:r w:rsidR="000A2697" w:rsidRPr="000D3625">
        <w:rPr>
          <w:rFonts w:ascii="Times New Roman" w:hAnsi="Times New Roman"/>
          <w:noProof/>
          <w:lang w:val="en-GB"/>
        </w:rPr>
        <w:t>, 2025)</w:t>
      </w:r>
      <w:r w:rsidR="000A2697" w:rsidRPr="000D3625">
        <w:rPr>
          <w:rFonts w:ascii="Times New Roman" w:hAnsi="Times New Roman"/>
          <w:lang w:val="en-GB"/>
        </w:rPr>
        <w:fldChar w:fldCharType="end"/>
      </w:r>
      <w:r w:rsidRPr="000D3625">
        <w:rPr>
          <w:rFonts w:ascii="Times New Roman" w:hAnsi="Times New Roman"/>
          <w:lang w:val="en-GB"/>
        </w:rPr>
        <w:t>. Adsorption</w:t>
      </w:r>
      <w:r w:rsidR="007255D0" w:rsidRPr="000D3625">
        <w:rPr>
          <w:rFonts w:ascii="Times New Roman" w:hAnsi="Times New Roman"/>
          <w:lang w:val="en-GB"/>
        </w:rPr>
        <w:t xml:space="preserve"> has emerged as </w:t>
      </w:r>
      <w:r w:rsidR="000D3625" w:rsidRPr="000D3625">
        <w:rPr>
          <w:rFonts w:ascii="Times New Roman" w:hAnsi="Times New Roman"/>
          <w:lang w:val="en-GB"/>
        </w:rPr>
        <w:t>the most efficient and widely adopted method owing to its operational simplicity, fast treatment kinetics, high removal efficiency over a</w:t>
      </w:r>
      <w:r w:rsidR="00B365B6">
        <w:rPr>
          <w:rFonts w:ascii="Times New Roman" w:hAnsi="Times New Roman"/>
          <w:lang w:val="en-GB"/>
        </w:rPr>
        <w:t> </w:t>
      </w:r>
      <w:r w:rsidR="000D3625" w:rsidRPr="000D3625">
        <w:rPr>
          <w:rFonts w:ascii="Times New Roman" w:hAnsi="Times New Roman"/>
          <w:lang w:val="en-GB"/>
        </w:rPr>
        <w:t>wide concentration range, minimal or no production of secondary pollutants, easy regeneration, and its ability to be used in both batch and continuous treatment systems</w:t>
      </w:r>
      <w:r w:rsidRPr="000D3625">
        <w:rPr>
          <w:rFonts w:ascii="Times New Roman" w:hAnsi="Times New Roman"/>
          <w:lang w:val="en-GB"/>
        </w:rPr>
        <w:t xml:space="preserve">. The adsorption process involves many physicochemical interactions between the adsorbate molecules and the surface of the adsorbent, such as electrostatic attraction, hydrogen bonding, π–π electron donor–acceptor interactions, van der Waals interactions, pore-filling, hydrophobic interaction, ion exchange, acid–base interactions, and surface complexation. Thus, physicochemical properties </w:t>
      </w:r>
      <w:r w:rsidR="007255D0" w:rsidRPr="000D3625">
        <w:rPr>
          <w:rFonts w:ascii="Times New Roman" w:hAnsi="Times New Roman"/>
          <w:lang w:val="en-GB"/>
        </w:rPr>
        <w:t>such as surface</w:t>
      </w:r>
      <w:r w:rsidRPr="000D3625">
        <w:rPr>
          <w:rFonts w:ascii="Times New Roman" w:hAnsi="Times New Roman"/>
          <w:lang w:val="en-GB"/>
        </w:rPr>
        <w:t xml:space="preserve"> area, </w:t>
      </w:r>
      <w:r w:rsidR="007255D0" w:rsidRPr="000D3625">
        <w:rPr>
          <w:rFonts w:ascii="Times New Roman" w:hAnsi="Times New Roman"/>
          <w:lang w:val="en-GB"/>
        </w:rPr>
        <w:t xml:space="preserve">functional groups, </w:t>
      </w:r>
      <w:r w:rsidRPr="000D3625">
        <w:rPr>
          <w:rFonts w:ascii="Times New Roman" w:hAnsi="Times New Roman"/>
          <w:lang w:val="en-GB"/>
        </w:rPr>
        <w:t>pore volume,</w:t>
      </w:r>
      <w:r w:rsidR="007255D0" w:rsidRPr="000D3625">
        <w:rPr>
          <w:rFonts w:ascii="Times New Roman" w:hAnsi="Times New Roman"/>
          <w:lang w:val="en-GB"/>
        </w:rPr>
        <w:t xml:space="preserve"> </w:t>
      </w:r>
      <w:r w:rsidRPr="000D3625">
        <w:rPr>
          <w:rFonts w:ascii="Times New Roman" w:hAnsi="Times New Roman"/>
          <w:lang w:val="en-GB"/>
        </w:rPr>
        <w:t>size distribution,</w:t>
      </w:r>
      <w:r w:rsidR="007255D0" w:rsidRPr="000D3625">
        <w:rPr>
          <w:rFonts w:ascii="Times New Roman" w:hAnsi="Times New Roman"/>
          <w:lang w:val="en-GB"/>
        </w:rPr>
        <w:t xml:space="preserve"> </w:t>
      </w:r>
      <w:r w:rsidRPr="000D3625">
        <w:rPr>
          <w:rFonts w:ascii="Times New Roman" w:hAnsi="Times New Roman"/>
          <w:lang w:val="en-GB"/>
        </w:rPr>
        <w:t>surface charge, crystallinity and chemical composition</w:t>
      </w:r>
      <w:r w:rsidR="007255D0" w:rsidRPr="000D3625">
        <w:rPr>
          <w:rFonts w:ascii="Times New Roman" w:hAnsi="Times New Roman"/>
          <w:lang w:val="en-GB"/>
        </w:rPr>
        <w:t>,</w:t>
      </w:r>
      <w:r w:rsidRPr="000D3625">
        <w:rPr>
          <w:rFonts w:ascii="Times New Roman" w:hAnsi="Times New Roman"/>
          <w:lang w:val="en-GB"/>
        </w:rPr>
        <w:t xml:space="preserve"> </w:t>
      </w:r>
      <w:r w:rsidR="007255D0" w:rsidRPr="000D3625">
        <w:rPr>
          <w:rFonts w:ascii="Times New Roman" w:hAnsi="Times New Roman"/>
          <w:lang w:val="en-GB"/>
        </w:rPr>
        <w:t>contribute for</w:t>
      </w:r>
      <w:r w:rsidRPr="000D3625">
        <w:rPr>
          <w:rFonts w:ascii="Times New Roman" w:hAnsi="Times New Roman"/>
          <w:lang w:val="en-GB"/>
        </w:rPr>
        <w:t xml:space="preserve"> </w:t>
      </w:r>
      <w:r w:rsidR="007255D0" w:rsidRPr="000D3625">
        <w:rPr>
          <w:rFonts w:ascii="Times New Roman" w:hAnsi="Times New Roman"/>
          <w:lang w:val="en-GB"/>
        </w:rPr>
        <w:t xml:space="preserve">efficient </w:t>
      </w:r>
      <w:r w:rsidRPr="000D3625">
        <w:rPr>
          <w:rFonts w:ascii="Times New Roman" w:hAnsi="Times New Roman"/>
          <w:lang w:val="en-GB"/>
        </w:rPr>
        <w:t>adsorption</w:t>
      </w:r>
      <w:r w:rsidR="000A2697" w:rsidRPr="000D3625">
        <w:rPr>
          <w:rFonts w:ascii="Times New Roman" w:hAnsi="Times New Roman"/>
          <w:lang w:val="en-GB"/>
        </w:rPr>
        <w:t xml:space="preserve"> </w:t>
      </w:r>
      <w:r w:rsidR="000A2697" w:rsidRPr="000D3625">
        <w:rPr>
          <w:rFonts w:ascii="Times New Roman" w:hAnsi="Times New Roman"/>
          <w:lang w:val="en-GB"/>
        </w:rPr>
        <w:fldChar w:fldCharType="begin" w:fldLock="1"/>
      </w:r>
      <w:r w:rsidR="00FD6C0F" w:rsidRPr="000D3625">
        <w:rPr>
          <w:rFonts w:ascii="Times New Roman" w:hAnsi="Times New Roman"/>
          <w:lang w:val="en-GB"/>
        </w:rPr>
        <w:instrText>ADDIN CSL_CITATION {"citationItems":[{"id":"ITEM-1","itemData":{"DOI":"10.69626/csa.2024.0088","author":[{"dropping-particle":"","family":"Morris","given":"Andrew R","non-dropping-particle":"","parse-names":false,"suffix":""},{"dropping-particle":"","family":"Patil","given":"Avinash J","non-dropping-particle":"","parse-names":false,"suffix":""},{"dropping-particle":"","family":"Sadekar","given":"Shraddha","non-dropping-particle":"","parse-names":false,"suffix":""},{"dropping-particle":"","family":"Choudhury","given":"Ankita","non-dropping-particle":"","parse-names":false,"suffix":""},{"dropping-particle":"","family":"Munde","given":"Mahadevi","non-dropping-particle":"","parse-names":false,"suffix":""},{"dropping-particle":"","family":"Chougale","given":"Ashok D","non-dropping-particle":"","parse-names":false,"suffix":""},{"dropping-particle":"","family":"Kurade","given":"Mayur B","non-dropping-particle":"","parse-names":false,"suffix":""},{"dropping-particle":"","family":"Jeon","given":"Byong‐Hun","non-dropping-particle":"","parse-names":false,"suffix":""},{"dropping-particle":"","family":"Tanpure","given":"Rahul S","non-dropping-particle":"","parse-names":false,"suffix":""},{"dropping-particle":"","family":"Agawane","given":"Sachin B","non-dropping-particle":"","parse-names":false,"suffix":""},{"dropping-particle":"V","family":"Dawkar","given":"Vishal","non-dropping-particle":"","parse-names":false,"suffix":""}],"id":"ITEM-1","issued":{"date-parts":[["2024"]]},"page":"88-95","title":"Biodegradation of Malachite Green Dye by Novel Isolated Bacillus Species AAV from Garden Soil","type":"article-journal"},"uris":["http://www.mendeley.com/documents/?uuid=4598348b-d40f-4033-8009-1d5345be2480"]}],"mendeley":{"formattedCitation":"(Morris et al., 2024)","plainTextFormattedCitation":"(Morris et al., 2024)","previouslyFormattedCitation":"(Morris et al., 2024)"},"properties":{"noteIndex":0},"schema":"https://github.com/citation-style-language/schema/raw/master/csl-citation.json"}</w:instrText>
      </w:r>
      <w:r w:rsidR="000A2697" w:rsidRPr="000D3625">
        <w:rPr>
          <w:rFonts w:ascii="Times New Roman" w:hAnsi="Times New Roman"/>
          <w:lang w:val="en-GB"/>
        </w:rPr>
        <w:fldChar w:fldCharType="separate"/>
      </w:r>
      <w:r w:rsidR="000A2697" w:rsidRPr="000D3625">
        <w:rPr>
          <w:rFonts w:ascii="Times New Roman" w:hAnsi="Times New Roman"/>
          <w:noProof/>
          <w:lang w:val="en-GB"/>
        </w:rPr>
        <w:t>(Morris et al., 2024)</w:t>
      </w:r>
      <w:r w:rsidR="000A2697" w:rsidRPr="000D3625">
        <w:rPr>
          <w:rFonts w:ascii="Times New Roman" w:hAnsi="Times New Roman"/>
          <w:lang w:val="en-GB"/>
        </w:rPr>
        <w:fldChar w:fldCharType="end"/>
      </w:r>
      <w:r w:rsidRPr="000D3625">
        <w:rPr>
          <w:rFonts w:ascii="Times New Roman" w:hAnsi="Times New Roman"/>
          <w:lang w:val="en-GB"/>
        </w:rPr>
        <w:t>. Hence, many efforts have been made in the design of low cost, green and highly efficient adsorbents using naturally abundant biomass, agricultural waste, industrial waste and animal waste</w:t>
      </w:r>
      <w:r w:rsidR="000A2697" w:rsidRPr="000D3625">
        <w:rPr>
          <w:rFonts w:ascii="Times New Roman" w:hAnsi="Times New Roman"/>
          <w:lang w:val="en-GB"/>
        </w:rPr>
        <w:t xml:space="preserve"> </w:t>
      </w:r>
      <w:r w:rsidR="000A2697" w:rsidRPr="000D3625">
        <w:rPr>
          <w:rFonts w:ascii="Times New Roman" w:hAnsi="Times New Roman"/>
          <w:lang w:val="en-GB"/>
        </w:rPr>
        <w:fldChar w:fldCharType="begin" w:fldLock="1"/>
      </w:r>
      <w:r w:rsidR="000A2697" w:rsidRPr="000D3625">
        <w:rPr>
          <w:rFonts w:ascii="Times New Roman" w:hAnsi="Times New Roman"/>
          <w:lang w:val="en-GB"/>
        </w:rPr>
        <w:instrText>ADDIN CSL_CITATION {"citationItems":[{"id":"ITEM-1","itemData":{"DOI":"10.3390/MOLECULES26040870","author":[{"dropping-particle":"","family":"Ledakowicz","given":"Stanisław","non-dropping-particle":"","parse-names":false,"suffix":""},{"dropping-particle":"","family":"Paździor","given":"Katarzyna","non-dropping-particle":"","parse-names":false,"suffix":""}],"container-title":"Molecules","id":"ITEM-1","issue":"4","issued":{"date-parts":[["2021"]]},"page":"870","publisher":"MDPI AG","title":"Recent Achievements in Dyes Removal Focused on Advanced Oxidation Processes Integrated with Biological Methods","type":"article-journal","volume":"26"},"uris":["http://www.mendeley.com/documents/?uuid=775c1d6c-11da-4ac5-ad79-eb6bd9c93840"]},{"id":"ITEM-2","itemData":{"DOI":"10.9734/IRJPAC/2020/V21I1130225","author":[{"dropping-particle":"","family":"Beulah","given":"S Sophie","non-dropping-particle":"","parse-names":false,"suffix":""},{"dropping-particle":"","family":"Muthukumaran","given":"K","non-dropping-particle":"","parse-names":false,"suffix":""}],"container-title":"International Research Journal of Pure and Applied Chemistry","id":"ITEM-2","issued":{"date-parts":[["2020"]]},"page":"68-78","publisher":"Sciencedomain International","title":"Methodologies of Removal of Dyes from Wastewater: A Review","type":"article-journal"},"uris":["http://www.mendeley.com/documents/?uuid=3979df3e-c2be-4efb-bf69-5b461fb1bc5d"]},{"id":"ITEM-3","itemData":{"DOI":"10.1016/j.ecoenv.2025.118978","author":[{"dropping-particle":"","family":"Bian","given":"Yu","non-dropping-particle":"","parse-names":false,"suffix":""},{"dropping-particle":"","family":"Zhang","given":"Yuan","non-dropping-particle":"","parse-names":false,"suffix":""},{"dropping-particle":"","family":"Chen","given":"Zuyi","non-dropping-particle":"","parse-names":false,"suffix":""},{"dropping-particle":"","family":"Xu","given":"Lian","non-dropping-particle":"","parse-names":false,"suffix":""},{"dropping-particle":"","family":"Zhang","given":"Chenyu","non-dropping-particle":"","parse-names":false,"suffix":""},{"dropping-particle":"","family":"Shi","given":"Du","non-dropping-particle":"","parse-names":false,"suffix":""},{"dropping-particle":"","family":"Feng","given":"Xuesong","non-dropping-particle":"","parse-names":false,"suffix":""},{"dropping-particle":"","family":"Wang","given":"Xueqing","non-dropping-particle":"","parse-names":false,"suffix":""}],"container-title":"Ecotoxicology and Environmental Safety","id":"ITEM-3","issued":{"date-parts":[["2025"]]},"page":"118978","publisher":"Elsevier BV","title":"Malachite green in environmental samples: Updates on sources, fates, distribution and removal techniques","type":"article-journal","volume":"303"},"uris":["http://www.mendeley.com/documents/?uuid=a46f16a7-c146-4a29-91ef-0f254e476657"]}],"mendeley":{"formattedCitation":"(Beulah &amp; Muthukumaran, 2020; Bian et al., 2025; Ledakowicz &amp; Paździor, 2021)","plainTextFormattedCitation":"(Beulah &amp; Muthukumaran, 2020; Bian et al., 2025; Ledakowicz &amp; Paździor, 2021)","previouslyFormattedCitation":"(Beulah &amp; Muthukumaran, 2020; Bian et al., 2025; Ledakowicz &amp; Paździor, 2021)"},"properties":{"noteIndex":0},"schema":"https://github.com/citation-style-language/schema/raw/master/csl-citation.json"}</w:instrText>
      </w:r>
      <w:r w:rsidR="000A2697" w:rsidRPr="000D3625">
        <w:rPr>
          <w:rFonts w:ascii="Times New Roman" w:hAnsi="Times New Roman"/>
          <w:lang w:val="en-GB"/>
        </w:rPr>
        <w:fldChar w:fldCharType="separate"/>
      </w:r>
      <w:r w:rsidR="000A2697" w:rsidRPr="000D3625">
        <w:rPr>
          <w:rFonts w:ascii="Times New Roman" w:hAnsi="Times New Roman"/>
          <w:noProof/>
          <w:lang w:val="en-GB"/>
        </w:rPr>
        <w:t>(Beulah &amp; Muthukumaran, 2020; Bian et al., 2025; Ledakowicz &amp; Paździor, 2021)</w:t>
      </w:r>
      <w:r w:rsidR="000A2697" w:rsidRPr="000D3625">
        <w:rPr>
          <w:rFonts w:ascii="Times New Roman" w:hAnsi="Times New Roman"/>
          <w:lang w:val="en-GB"/>
        </w:rPr>
        <w:fldChar w:fldCharType="end"/>
      </w:r>
      <w:r w:rsidRPr="000D3625">
        <w:rPr>
          <w:rFonts w:ascii="Times New Roman" w:hAnsi="Times New Roman"/>
          <w:lang w:val="en-GB"/>
        </w:rPr>
        <w:t>.</w:t>
      </w:r>
    </w:p>
    <w:p w14:paraId="5199C183" w14:textId="4AAF2CED" w:rsidR="00813C9F" w:rsidRPr="000D3625" w:rsidRDefault="00813C9F" w:rsidP="000D3625">
      <w:pPr>
        <w:spacing w:after="0" w:line="235" w:lineRule="auto"/>
        <w:ind w:firstLine="284"/>
        <w:jc w:val="both"/>
        <w:rPr>
          <w:rFonts w:ascii="Times New Roman" w:hAnsi="Times New Roman"/>
          <w:lang w:val="en-GB"/>
        </w:rPr>
      </w:pPr>
      <w:r w:rsidRPr="000D3625">
        <w:rPr>
          <w:rFonts w:ascii="Times New Roman" w:hAnsi="Times New Roman"/>
          <w:lang w:val="en-GB"/>
        </w:rPr>
        <w:t xml:space="preserve">Waste </w:t>
      </w:r>
      <w:proofErr w:type="spellStart"/>
      <w:r w:rsidRPr="000D3625">
        <w:rPr>
          <w:rFonts w:ascii="Times New Roman" w:hAnsi="Times New Roman"/>
          <w:lang w:val="en-GB"/>
        </w:rPr>
        <w:t>valorization</w:t>
      </w:r>
      <w:proofErr w:type="spellEnd"/>
      <w:r w:rsidRPr="000D3625">
        <w:rPr>
          <w:rFonts w:ascii="Times New Roman" w:hAnsi="Times New Roman"/>
          <w:lang w:val="en-GB"/>
        </w:rPr>
        <w:t xml:space="preserve"> technologies using biomass conversion have become more popular in recent years </w:t>
      </w:r>
      <w:r w:rsidR="000D3625" w:rsidRPr="000D3625">
        <w:rPr>
          <w:rFonts w:ascii="Times New Roman" w:hAnsi="Times New Roman"/>
          <w:lang w:val="en-GB"/>
        </w:rPr>
        <w:t>and offer an effective strategy for simultaneously addressing both solid waste management and wastewater remediation</w:t>
      </w:r>
      <w:r w:rsidR="00FD6C0F" w:rsidRPr="000D3625">
        <w:rPr>
          <w:rFonts w:ascii="Times New Roman" w:hAnsi="Times New Roman"/>
          <w:lang w:val="en-GB"/>
        </w:rPr>
        <w:t xml:space="preserve"> </w:t>
      </w:r>
      <w:r w:rsidR="00FD6C0F" w:rsidRPr="000D3625">
        <w:rPr>
          <w:rFonts w:ascii="Times New Roman" w:hAnsi="Times New Roman"/>
          <w:lang w:val="en-GB"/>
        </w:rPr>
        <w:fldChar w:fldCharType="begin" w:fldLock="1"/>
      </w:r>
      <w:r w:rsidR="00FD6C0F" w:rsidRPr="000D3625">
        <w:rPr>
          <w:rFonts w:ascii="Times New Roman" w:hAnsi="Times New Roman"/>
          <w:lang w:val="en-GB"/>
        </w:rPr>
        <w:instrText>ADDIN CSL_CITATION {"citationItems":[{"id":"ITEM-1","itemData":{"DOI":"10.36948/ijfmr.2025.v07i01.35458","author":[{"dropping-particle":"","family":"Inala","given":"Bala Venkata Praveen","non-dropping-particle":"","parse-names":false,"suffix":""},{"dropping-particle":"","family":"Choksi","given":"Nikita","non-dropping-particle":"","parse-names":false,"suffix":""}],"container-title":"International Journal For Multidisciplinary Research","id":"ITEM-1","issue":"1","issued":{"date-parts":[["2025"]]},"publisher":"International Journal for Multidisciplinary Research (IJFMR)","title":"Animal Bone- Eco-friendly Adsorption Material in Waste Water Treatment","type":"article-journal","volume":"7"},"uris":["http://www.mendeley.com/documents/?uuid=31d6598c-751a-4949-8b3a-03f90bc4cb50"]}],"mendeley":{"formattedCitation":"(Inala &amp; Choksi, 2025)","plainTextFormattedCitation":"(Inala &amp; Choksi, 2025)","previouslyFormattedCitation":"(Inala &amp; Choksi, 2025)"},"properties":{"noteIndex":0},"schema":"https://github.com/citation-style-language/schema/raw/master/csl-citation.json"}</w:instrText>
      </w:r>
      <w:r w:rsidR="00FD6C0F" w:rsidRPr="000D3625">
        <w:rPr>
          <w:rFonts w:ascii="Times New Roman" w:hAnsi="Times New Roman"/>
          <w:lang w:val="en-GB"/>
        </w:rPr>
        <w:fldChar w:fldCharType="separate"/>
      </w:r>
      <w:r w:rsidR="00FD6C0F" w:rsidRPr="000D3625">
        <w:rPr>
          <w:rFonts w:ascii="Times New Roman" w:hAnsi="Times New Roman"/>
          <w:noProof/>
          <w:lang w:val="en-GB"/>
        </w:rPr>
        <w:t>(Inala &amp; Choksi, 2025)</w:t>
      </w:r>
      <w:r w:rsidR="00FD6C0F" w:rsidRPr="000D3625">
        <w:rPr>
          <w:rFonts w:ascii="Times New Roman" w:hAnsi="Times New Roman"/>
          <w:lang w:val="en-GB"/>
        </w:rPr>
        <w:fldChar w:fldCharType="end"/>
      </w:r>
      <w:r w:rsidRPr="000D3625">
        <w:rPr>
          <w:rFonts w:ascii="Times New Roman" w:hAnsi="Times New Roman"/>
          <w:lang w:val="en-GB"/>
        </w:rPr>
        <w:t xml:space="preserve">. Animal bone waste is a very promising </w:t>
      </w:r>
      <w:r w:rsidR="000D3625" w:rsidRPr="000D3625">
        <w:rPr>
          <w:rFonts w:ascii="Times New Roman" w:hAnsi="Times New Roman"/>
          <w:lang w:val="en-GB"/>
        </w:rPr>
        <w:t>raw material for adsorbent production because of its availability, negligible economic value, good mechanical stability, and unique</w:t>
      </w:r>
      <w:r w:rsidRPr="000D3625">
        <w:rPr>
          <w:rFonts w:ascii="Times New Roman" w:hAnsi="Times New Roman"/>
          <w:lang w:val="en-GB"/>
        </w:rPr>
        <w:t xml:space="preserve"> inorganic composition. Animal bones </w:t>
      </w:r>
      <w:r w:rsidR="000D3625" w:rsidRPr="000D3625">
        <w:rPr>
          <w:rFonts w:ascii="Times New Roman" w:hAnsi="Times New Roman"/>
          <w:lang w:val="en-GB"/>
        </w:rPr>
        <w:t>contain calcium phosphate, hydroxyapatite, calcium carbonate, carbonaceous matter derived from collagen, and other trace mineral</w:t>
      </w:r>
      <w:r w:rsidRPr="000D3625">
        <w:rPr>
          <w:rFonts w:ascii="Times New Roman" w:hAnsi="Times New Roman"/>
          <w:lang w:val="en-GB"/>
        </w:rPr>
        <w:t>s</w:t>
      </w:r>
      <w:r w:rsidR="00FD6C0F" w:rsidRPr="000D3625">
        <w:rPr>
          <w:rFonts w:ascii="Times New Roman" w:hAnsi="Times New Roman"/>
          <w:lang w:val="en-GB"/>
        </w:rPr>
        <w:t xml:space="preserve"> </w:t>
      </w:r>
      <w:r w:rsidR="00FD6C0F" w:rsidRPr="000D3625">
        <w:rPr>
          <w:rFonts w:ascii="Times New Roman" w:hAnsi="Times New Roman"/>
          <w:lang w:val="en-GB"/>
        </w:rPr>
        <w:fldChar w:fldCharType="begin" w:fldLock="1"/>
      </w:r>
      <w:r w:rsidR="001B4A3A" w:rsidRPr="000D3625">
        <w:rPr>
          <w:rFonts w:ascii="Times New Roman" w:hAnsi="Times New Roman"/>
          <w:lang w:val="en-GB"/>
        </w:rPr>
        <w:instrText>ADDIN CSL_CITATION {"citationItems":[{"id":"ITEM-1","itemData":{"DOI":"10.21203/rs.3.rs-3134479/v1","author":[{"dropping-particle":"","family":"Khan","given":"Abdul Majeed","non-dropping-particle":"","parse-names":false,"suffix":""},{"dropping-particle":"","family":"Usmani","given":"Muhammad Arsalan","non-dropping-particle":"","parse-names":false,"suffix":""},{"dropping-particle":"","family":"Yasmeen","given":"Kousar","non-dropping-particle":"","parse-names":false,"suffix":""},{"dropping-particle":"","family":"Ahmed","given":"Muhammad Naeem","non-dropping-particle":"","parse-names":false,"suffix":""},{"dropping-particle":"","family":"Obaid","given":"Muhammad","non-dropping-particle":"","parse-names":false,"suffix":""},{"dropping-particle":"","family":"Naz","given":"Sehar Afshan","non-dropping-particle":"","parse-names":false,"suffix":""},{"dropping-particle":"","family":"Pervaiz","given":"S","non-dropping-particle":"","parse-names":false,"suffix":""},{"dropping-particle":"","family":"Chan","given":"Malik Wajid Hussain","non-dropping-particle":"","parse-names":false,"suffix":""},{"dropping-particle":"","family":"Khan","given":"Ali Haider","non-dropping-particle":"","parse-names":false,"suffix":""},{"dropping-particle":"","family":"Aslam","given":"Sibgha","non-dropping-particle":"","parse-names":false,"suffix":""}],"id":"ITEM-1","issued":{"date-parts":[["2023"]]},"publisher":"Research Square","title":"Conversion of waste animal bones to biofertilizer and adsorbent for wastewater treatment: An innovative approach to develop zero-waste technology","type":"article-journal"},"uris":["http://www.mendeley.com/documents/?uuid=d609ed28-5f82-48a5-a011-52473c1bc22c"]}],"mendeley":{"formattedCitation":"(A. M. Khan et al., 2023)","plainTextFormattedCitation":"(A. M. Khan et al., 2023)","previouslyFormattedCitation":"(A. M. Khan et al., 2023)"},"properties":{"noteIndex":0},"schema":"https://github.com/citation-style-language/schema/raw/master/csl-citation.json"}</w:instrText>
      </w:r>
      <w:r w:rsidR="00FD6C0F" w:rsidRPr="000D3625">
        <w:rPr>
          <w:rFonts w:ascii="Times New Roman" w:hAnsi="Times New Roman"/>
          <w:lang w:val="en-GB"/>
        </w:rPr>
        <w:fldChar w:fldCharType="separate"/>
      </w:r>
      <w:r w:rsidR="001B4A3A" w:rsidRPr="000D3625">
        <w:rPr>
          <w:rFonts w:ascii="Times New Roman" w:hAnsi="Times New Roman"/>
          <w:noProof/>
          <w:lang w:val="en-GB"/>
        </w:rPr>
        <w:t>(Khan</w:t>
      </w:r>
      <w:r w:rsidR="004A47BF">
        <w:rPr>
          <w:rFonts w:ascii="Times New Roman" w:hAnsi="Times New Roman"/>
          <w:noProof/>
          <w:lang w:val="en-GB"/>
        </w:rPr>
        <w:t xml:space="preserve"> A.M.</w:t>
      </w:r>
      <w:r w:rsidR="001B4A3A" w:rsidRPr="000D3625">
        <w:rPr>
          <w:rFonts w:ascii="Times New Roman" w:hAnsi="Times New Roman"/>
          <w:noProof/>
          <w:lang w:val="en-GB"/>
        </w:rPr>
        <w:t xml:space="preserve"> et al., 2023)</w:t>
      </w:r>
      <w:r w:rsidR="00FD6C0F" w:rsidRPr="000D3625">
        <w:rPr>
          <w:rFonts w:ascii="Times New Roman" w:hAnsi="Times New Roman"/>
          <w:lang w:val="en-GB"/>
        </w:rPr>
        <w:fldChar w:fldCharType="end"/>
      </w:r>
      <w:r w:rsidRPr="000D3625">
        <w:rPr>
          <w:rFonts w:ascii="Times New Roman" w:hAnsi="Times New Roman"/>
          <w:lang w:val="en-GB"/>
        </w:rPr>
        <w:t xml:space="preserve">. All these constituents create </w:t>
      </w:r>
      <w:r w:rsidR="00241E2E" w:rsidRPr="000D3625">
        <w:rPr>
          <w:rFonts w:ascii="Times New Roman" w:hAnsi="Times New Roman"/>
          <w:lang w:val="en-GB"/>
        </w:rPr>
        <w:t>many</w:t>
      </w:r>
      <w:r w:rsidRPr="000D3625">
        <w:rPr>
          <w:rFonts w:ascii="Times New Roman" w:hAnsi="Times New Roman"/>
          <w:lang w:val="en-GB"/>
        </w:rPr>
        <w:t xml:space="preserve"> chemically active adsorption sites that can </w:t>
      </w:r>
      <w:r w:rsidR="000D3625" w:rsidRPr="000D3625">
        <w:rPr>
          <w:rFonts w:ascii="Times New Roman" w:hAnsi="Times New Roman"/>
          <w:lang w:val="en-GB"/>
        </w:rPr>
        <w:t>interact with organic contaminants via electrostatic attraction, ion exchange, ligand exchange, hydrogen bonding, coordination interactions, and surface complexation</w:t>
      </w:r>
      <w:r w:rsidR="00FD6C0F" w:rsidRPr="000D3625">
        <w:rPr>
          <w:rFonts w:ascii="Times New Roman" w:hAnsi="Times New Roman"/>
          <w:lang w:val="en-GB"/>
        </w:rPr>
        <w:t xml:space="preserve"> </w:t>
      </w:r>
      <w:r w:rsidR="00FD6C0F" w:rsidRPr="000D3625">
        <w:rPr>
          <w:rFonts w:ascii="Times New Roman" w:hAnsi="Times New Roman"/>
          <w:lang w:val="en-GB"/>
        </w:rPr>
        <w:fldChar w:fldCharType="begin" w:fldLock="1"/>
      </w:r>
      <w:r w:rsidR="00FD6C0F" w:rsidRPr="000D3625">
        <w:rPr>
          <w:rFonts w:ascii="Times New Roman" w:hAnsi="Times New Roman"/>
          <w:lang w:val="en-GB"/>
        </w:rPr>
        <w:instrText>ADDIN CSL_CITATION {"citationItems":[{"id":"ITEM-1","itemData":{"DOI":"10.60692/fj7f2-vjy65","author":[{"dropping-particle":"","family":"Boakye","given":"Patrick","non-dropping-particle":"","parse-names":false,"suffix":""},{"dropping-particle":"","family":"Ohemeng‐Boahen","given":"Godfred","non-dropping-particle":"","parse-names":false,"suffix":""},{"dropping-particle":"","family":"Darkwah","given":"Lawrence","non-dropping-particle":"","parse-names":false,"suffix":""},{"dropping-particle":"","family":"Neuyam","given":"Yen Adams Sokama","non-dropping-particle":"","parse-names":false,"suffix":""},{"dropping-particle":"","family":"Appiah-Effah","given":"Eugene","non-dropping-particle":"","parse-names":false,"suffix":""},{"dropping-particle":"","family":"Oduro‑Kwarteng","given":"Sampson","non-dropping-particle":"","parse-names":false,"suffix":""},{"dropping-particle":"","family":"Osei","given":"Barnabas Asamoah","non-dropping-particle":"","parse-names":false,"suffix":""},{"dropping-particle":"","family":"Asilevi","given":"Prince Junior","non-dropping-particle":"","parse-names":false,"suffix":""},{"dropping-particle":"","family":"Woo","given":"Seung Han","non-dropping-particle":"","parse-names":false,"suffix":""}],"id":"ITEM-1","issued":{"date-parts":[["2024"]]},"title":"Waste Biomass and Biomaterials Adsorbents for Wastewater Treatment","type":"article-journal"},"uris":["http://www.mendeley.com/documents/?uuid=a9d65282-9377-4135-9069-2c7f8afa994a"]}],"mendeley":{"formattedCitation":"(Boakye et al., 2024)","plainTextFormattedCitation":"(Boakye et al., 2024)","previouslyFormattedCitation":"(Boakye et al., 2024)"},"properties":{"noteIndex":0},"schema":"https://github.com/citation-style-language/schema/raw/master/csl-citation.json"}</w:instrText>
      </w:r>
      <w:r w:rsidR="00FD6C0F" w:rsidRPr="000D3625">
        <w:rPr>
          <w:rFonts w:ascii="Times New Roman" w:hAnsi="Times New Roman"/>
          <w:lang w:val="en-GB"/>
        </w:rPr>
        <w:fldChar w:fldCharType="separate"/>
      </w:r>
      <w:r w:rsidR="00FD6C0F" w:rsidRPr="000D3625">
        <w:rPr>
          <w:rFonts w:ascii="Times New Roman" w:hAnsi="Times New Roman"/>
          <w:noProof/>
          <w:lang w:val="en-GB"/>
        </w:rPr>
        <w:t>(Boakye et</w:t>
      </w:r>
      <w:r w:rsidR="001755B6">
        <w:rPr>
          <w:rFonts w:ascii="Times New Roman" w:hAnsi="Times New Roman"/>
          <w:noProof/>
          <w:lang w:val="en-GB"/>
        </w:rPr>
        <w:t> </w:t>
      </w:r>
      <w:r w:rsidR="00FD6C0F" w:rsidRPr="000D3625">
        <w:rPr>
          <w:rFonts w:ascii="Times New Roman" w:hAnsi="Times New Roman"/>
          <w:noProof/>
          <w:lang w:val="en-GB"/>
        </w:rPr>
        <w:t>al., 2024)</w:t>
      </w:r>
      <w:r w:rsidR="00FD6C0F" w:rsidRPr="000D3625">
        <w:rPr>
          <w:rFonts w:ascii="Times New Roman" w:hAnsi="Times New Roman"/>
          <w:lang w:val="en-GB"/>
        </w:rPr>
        <w:fldChar w:fldCharType="end"/>
      </w:r>
      <w:r w:rsidRPr="000D3625">
        <w:rPr>
          <w:rFonts w:ascii="Times New Roman" w:hAnsi="Times New Roman"/>
          <w:lang w:val="en-GB"/>
        </w:rPr>
        <w:t xml:space="preserve">. Furthermore, the hierarchical porous structure is a pre-existing characteristic of </w:t>
      </w:r>
      <w:r w:rsidR="000D3625" w:rsidRPr="000D3625">
        <w:rPr>
          <w:rFonts w:ascii="Times New Roman" w:hAnsi="Times New Roman"/>
          <w:lang w:val="en-GB"/>
        </w:rPr>
        <w:t>bone matrices and promotes efficient mass transfer and the diffusion of pollutant molecules to adsorption sites, thereby improving adsorption kinetics and</w:t>
      </w:r>
      <w:r w:rsidRPr="000D3625">
        <w:rPr>
          <w:rFonts w:ascii="Times New Roman" w:hAnsi="Times New Roman"/>
          <w:lang w:val="en-GB"/>
        </w:rPr>
        <w:t xml:space="preserve"> capacity.</w:t>
      </w:r>
      <w:r w:rsidR="00241E2E" w:rsidRPr="000D3625">
        <w:rPr>
          <w:rFonts w:ascii="Times New Roman" w:hAnsi="Times New Roman"/>
          <w:lang w:val="en-GB"/>
        </w:rPr>
        <w:t xml:space="preserve"> </w:t>
      </w:r>
      <w:r w:rsidRPr="000D3625">
        <w:rPr>
          <w:rFonts w:ascii="Times New Roman" w:hAnsi="Times New Roman"/>
          <w:lang w:val="en-GB"/>
        </w:rPr>
        <w:t>Hydrothermal carbonization (HTC)</w:t>
      </w:r>
      <w:r w:rsidR="000D3625" w:rsidRPr="000D3625">
        <w:rPr>
          <w:rFonts w:ascii="Times New Roman" w:hAnsi="Times New Roman"/>
          <w:lang w:val="en-GB"/>
        </w:rPr>
        <w:t>, a thermochemical conversion process, has emerged as an eco-friendly technology for improving the adsorption properties of bone-</w:t>
      </w:r>
      <w:r w:rsidRPr="000D3625">
        <w:rPr>
          <w:rFonts w:ascii="Times New Roman" w:hAnsi="Times New Roman"/>
          <w:lang w:val="en-GB"/>
        </w:rPr>
        <w:t xml:space="preserve">derived materials </w:t>
      </w:r>
      <w:r w:rsidR="00461F9C" w:rsidRPr="000D3625">
        <w:rPr>
          <w:rFonts w:ascii="Times New Roman" w:hAnsi="Times New Roman"/>
          <w:lang w:val="en-GB"/>
        </w:rPr>
        <w:t>to</w:t>
      </w:r>
      <w:r w:rsidRPr="000D3625">
        <w:rPr>
          <w:rFonts w:ascii="Times New Roman" w:hAnsi="Times New Roman"/>
          <w:lang w:val="en-GB"/>
        </w:rPr>
        <w:t xml:space="preserve"> produce </w:t>
      </w:r>
      <w:proofErr w:type="spellStart"/>
      <w:r w:rsidRPr="000D3625">
        <w:rPr>
          <w:rFonts w:ascii="Times New Roman" w:hAnsi="Times New Roman"/>
          <w:lang w:val="en-GB"/>
        </w:rPr>
        <w:t>hydrochar</w:t>
      </w:r>
      <w:proofErr w:type="spellEnd"/>
      <w:r w:rsidRPr="000D3625">
        <w:rPr>
          <w:rFonts w:ascii="Times New Roman" w:hAnsi="Times New Roman"/>
          <w:lang w:val="en-GB"/>
        </w:rPr>
        <w:t xml:space="preserve">. While pyrolysis </w:t>
      </w:r>
      <w:r w:rsidR="000D3625" w:rsidRPr="000D3625">
        <w:rPr>
          <w:rFonts w:ascii="Times New Roman" w:hAnsi="Times New Roman"/>
          <w:lang w:val="en-GB"/>
        </w:rPr>
        <w:t>is usually</w:t>
      </w:r>
      <w:r w:rsidRPr="000D3625">
        <w:rPr>
          <w:rFonts w:ascii="Times New Roman" w:hAnsi="Times New Roman"/>
          <w:lang w:val="en-GB"/>
        </w:rPr>
        <w:t xml:space="preserve"> performed at temperatures &gt; 500</w:t>
      </w:r>
      <w:r w:rsidR="00713072" w:rsidRPr="000D3625">
        <w:rPr>
          <w:rFonts w:ascii="Times New Roman" w:hAnsi="Times New Roman"/>
          <w:lang w:val="en-GB"/>
        </w:rPr>
        <w:t>°C</w:t>
      </w:r>
      <w:r w:rsidRPr="000D3625">
        <w:rPr>
          <w:rFonts w:ascii="Times New Roman" w:hAnsi="Times New Roman"/>
          <w:lang w:val="en-GB"/>
        </w:rPr>
        <w:t xml:space="preserve"> in an oxygen-limited atmosphere, hydrothermal carbonization is carried out in subcritical water at relatively low temperatures (180</w:t>
      </w:r>
      <w:r w:rsidR="00713072" w:rsidRPr="000D3625">
        <w:rPr>
          <w:rFonts w:ascii="Times New Roman" w:hAnsi="Times New Roman"/>
          <w:lang w:val="en-GB"/>
        </w:rPr>
        <w:t>–</w:t>
      </w:r>
      <w:r w:rsidRPr="000D3625">
        <w:rPr>
          <w:rFonts w:ascii="Times New Roman" w:hAnsi="Times New Roman"/>
          <w:lang w:val="en-GB"/>
        </w:rPr>
        <w:t>250</w:t>
      </w:r>
      <w:r w:rsidR="00713072" w:rsidRPr="000D3625">
        <w:rPr>
          <w:rFonts w:ascii="Times New Roman" w:hAnsi="Times New Roman"/>
          <w:lang w:val="en-GB"/>
        </w:rPr>
        <w:t>°C</w:t>
      </w:r>
      <w:r w:rsidRPr="000D3625">
        <w:rPr>
          <w:rFonts w:ascii="Times New Roman" w:hAnsi="Times New Roman"/>
          <w:lang w:val="en-GB"/>
        </w:rPr>
        <w:t>) at autogenous pressure</w:t>
      </w:r>
      <w:r w:rsidR="00FD6C0F" w:rsidRPr="000D3625">
        <w:rPr>
          <w:rFonts w:ascii="Times New Roman" w:hAnsi="Times New Roman"/>
          <w:lang w:val="en-GB"/>
        </w:rPr>
        <w:t xml:space="preserve"> </w:t>
      </w:r>
      <w:r w:rsidR="00FD6C0F" w:rsidRPr="000D3625">
        <w:rPr>
          <w:rFonts w:ascii="Times New Roman" w:hAnsi="Times New Roman"/>
          <w:lang w:val="en-GB"/>
        </w:rPr>
        <w:fldChar w:fldCharType="begin" w:fldLock="1"/>
      </w:r>
      <w:r w:rsidR="00FD6C0F" w:rsidRPr="000D3625">
        <w:rPr>
          <w:rFonts w:ascii="Times New Roman" w:hAnsi="Times New Roman"/>
          <w:lang w:val="en-GB"/>
        </w:rPr>
        <w:instrText>ADDIN CSL_CITATION {"citationItems":[{"id":"ITEM-1","itemData":{"DOI":"10.21203/rs.3.rs-7807256/v1","author":[{"dropping-particle":"","family":"Jankovská","given":"Zuzana","non-dropping-particle":"","parse-names":false,"suffix":""},{"dropping-particle":"","family":"Peikertova","given":"Pavlina","non-dropping-particle":"","parse-names":false,"suffix":""},{"dropping-particle":"","family":"Tokarský","given":"Jonáš","non-dropping-particle":"","parse-names":false,"suffix":""},{"dropping-particle":"","family":"Matejová","given":"Lenka","non-dropping-particle":"","parse-names":false,"suffix":""}],"id":"ITEM-1","issued":{"date-parts":[["2025"]]},"title":"Adsorbents prepared by pyrolysis for VOC abatement","type":"article-journal"},"uris":["http://www.mendeley.com/documents/?uuid=44742c46-0b16-4224-a6ae-f69cb7302307"]},{"id":"ITEM-2","itemData":{"DOI":"10.1007/s13399-024-06097-w","author":[{"dropping-particle":"","family":"Pasipanodya","given":"Danai","non-dropping-particle":"","parse-names":false,"suffix":""},{"dropping-particle":"","family":"Seedat","given":"Naadhira","non-dropping-particle":"","parse-names":false,"suffix":""},{"dropping-particle":"","family":"Patel","given":"Bilal","non-dropping-particle":"","parse-names":false,"suffix":""},{"dropping-particle":"","family":"Roopchund","given":"Rishen","non-dropping-particle":"","parse-names":false,"suffix":""}],"container-title":"Biomass Conversion and Biorefinery","id":"ITEM-2","issued":{"date-parts":[["2024"]]},"publisher":"Springer Nature","title":"Production of hydrochar from the hydrothermal carbonisation of food waste feedstock for use as an adsorbent in removal of heavy metals from water","type":"article-journal"},"uris":["http://www.mendeley.com/documents/?uuid=4ba6f5f1-e308-4430-adb7-210e77dc7715"]}],"mendeley":{"formattedCitation":"(Jankovská, Peikertova, Tokarský, &amp; Matejová, 2025; Pasipanodya, Seedat, Patel, &amp; Roopchund, 2024)","plainTextFormattedCitation":"(Jankovská, Peikertova, Tokarský, &amp; Matejová, 2025; Pasipanodya, Seedat, Patel, &amp; Roopchund, 2024)","previouslyFormattedCitation":"(Jankovská, Peikertova, Tokarský, &amp; Matejová, 2025; Pasipanodya, Seedat, Patel, &amp; Roopchund, 2024)"},"properties":{"noteIndex":0},"schema":"https://github.com/citation-style-language/schema/raw/master/csl-citation.json"}</w:instrText>
      </w:r>
      <w:r w:rsidR="00FD6C0F" w:rsidRPr="000D3625">
        <w:rPr>
          <w:rFonts w:ascii="Times New Roman" w:hAnsi="Times New Roman"/>
          <w:lang w:val="en-GB"/>
        </w:rPr>
        <w:fldChar w:fldCharType="separate"/>
      </w:r>
      <w:r w:rsidR="00FD6C0F" w:rsidRPr="000D3625">
        <w:rPr>
          <w:rFonts w:ascii="Times New Roman" w:hAnsi="Times New Roman"/>
          <w:noProof/>
          <w:lang w:val="en-GB"/>
        </w:rPr>
        <w:t>(Jankovská</w:t>
      </w:r>
      <w:r w:rsidR="001755B6">
        <w:rPr>
          <w:rFonts w:ascii="Times New Roman" w:hAnsi="Times New Roman"/>
          <w:noProof/>
          <w:lang w:val="en-GB"/>
        </w:rPr>
        <w:t xml:space="preserve"> et al.</w:t>
      </w:r>
      <w:r w:rsidR="00FD6C0F" w:rsidRPr="000D3625">
        <w:rPr>
          <w:rFonts w:ascii="Times New Roman" w:hAnsi="Times New Roman"/>
          <w:noProof/>
          <w:lang w:val="en-GB"/>
        </w:rPr>
        <w:t>, 2025; Pasipanodya</w:t>
      </w:r>
      <w:r w:rsidR="001755B6">
        <w:rPr>
          <w:rFonts w:ascii="Times New Roman" w:hAnsi="Times New Roman"/>
          <w:noProof/>
          <w:lang w:val="en-GB"/>
        </w:rPr>
        <w:t xml:space="preserve"> et al.</w:t>
      </w:r>
      <w:r w:rsidR="00FD6C0F" w:rsidRPr="000D3625">
        <w:rPr>
          <w:rFonts w:ascii="Times New Roman" w:hAnsi="Times New Roman"/>
          <w:noProof/>
          <w:lang w:val="en-GB"/>
        </w:rPr>
        <w:t>, 2024)</w:t>
      </w:r>
      <w:r w:rsidR="00FD6C0F" w:rsidRPr="000D3625">
        <w:rPr>
          <w:rFonts w:ascii="Times New Roman" w:hAnsi="Times New Roman"/>
          <w:lang w:val="en-GB"/>
        </w:rPr>
        <w:fldChar w:fldCharType="end"/>
      </w:r>
      <w:r w:rsidRPr="000D3625">
        <w:rPr>
          <w:rFonts w:ascii="Times New Roman" w:hAnsi="Times New Roman"/>
          <w:lang w:val="en-GB"/>
        </w:rPr>
        <w:t>. Dehydration, decarboxylation, condensation, polymerization</w:t>
      </w:r>
      <w:r w:rsidR="000D3625" w:rsidRPr="000D3625">
        <w:rPr>
          <w:rFonts w:ascii="Times New Roman" w:hAnsi="Times New Roman"/>
          <w:lang w:val="en-GB"/>
        </w:rPr>
        <w:t>, and aromatization reactions occur concurrently during the HTC process, leading to the formation of oxygen-rich active site groups, improved carbonaceous structures, increased</w:t>
      </w:r>
      <w:r w:rsidRPr="000D3625">
        <w:rPr>
          <w:rFonts w:ascii="Times New Roman" w:hAnsi="Times New Roman"/>
          <w:lang w:val="en-GB"/>
        </w:rPr>
        <w:t xml:space="preserve"> structural stability, and the development of a porous morphology. Moreover, hydrothermal carbonization reduces energy demand</w:t>
      </w:r>
      <w:r w:rsidR="000D3625" w:rsidRPr="000D3625">
        <w:rPr>
          <w:rFonts w:ascii="Times New Roman" w:hAnsi="Times New Roman"/>
          <w:lang w:val="en-GB"/>
        </w:rPr>
        <w:t>, as wet biomass can be used directly without prior drying, which is particularly relevan</w:t>
      </w:r>
      <w:r w:rsidRPr="000D3625">
        <w:rPr>
          <w:rFonts w:ascii="Times New Roman" w:hAnsi="Times New Roman"/>
          <w:lang w:val="en-GB"/>
        </w:rPr>
        <w:t xml:space="preserve">t for the utilization of high-moisture biological wastes to produce functional adsorbent materials. The resulting </w:t>
      </w:r>
      <w:proofErr w:type="spellStart"/>
      <w:r w:rsidRPr="000D3625">
        <w:rPr>
          <w:rFonts w:ascii="Times New Roman" w:hAnsi="Times New Roman"/>
          <w:lang w:val="en-GB"/>
        </w:rPr>
        <w:t>hydrochar</w:t>
      </w:r>
      <w:proofErr w:type="spellEnd"/>
      <w:r w:rsidRPr="000D3625">
        <w:rPr>
          <w:rFonts w:ascii="Times New Roman" w:hAnsi="Times New Roman"/>
          <w:lang w:val="en-GB"/>
        </w:rPr>
        <w:t xml:space="preserve"> typically has enhanced surface chemistry, porosity, surface reactivity</w:t>
      </w:r>
      <w:r w:rsidR="000D3625" w:rsidRPr="000D3625">
        <w:rPr>
          <w:rFonts w:ascii="Times New Roman" w:hAnsi="Times New Roman"/>
          <w:lang w:val="en-GB"/>
        </w:rPr>
        <w:t>,</w:t>
      </w:r>
      <w:r w:rsidRPr="000D3625">
        <w:rPr>
          <w:rFonts w:ascii="Times New Roman" w:hAnsi="Times New Roman"/>
          <w:lang w:val="en-GB"/>
        </w:rPr>
        <w:t xml:space="preserve"> and chemical stability</w:t>
      </w:r>
      <w:r w:rsidR="00FD6C0F" w:rsidRPr="000D3625">
        <w:rPr>
          <w:rFonts w:ascii="Times New Roman" w:hAnsi="Times New Roman"/>
          <w:lang w:val="en-GB"/>
        </w:rPr>
        <w:t xml:space="preserve"> </w:t>
      </w:r>
      <w:r w:rsidR="00FD6C0F" w:rsidRPr="000D3625">
        <w:rPr>
          <w:rFonts w:ascii="Times New Roman" w:hAnsi="Times New Roman"/>
          <w:lang w:val="en-GB"/>
        </w:rPr>
        <w:fldChar w:fldCharType="begin" w:fldLock="1"/>
      </w:r>
      <w:r w:rsidR="00FD6C0F" w:rsidRPr="000D3625">
        <w:rPr>
          <w:rFonts w:ascii="Times New Roman" w:hAnsi="Times New Roman"/>
          <w:lang w:val="en-GB"/>
        </w:rPr>
        <w:instrText>ADDIN CSL_CITATION {"citationItems":[{"id":"ITEM-1","itemData":{"DOI":"10.3390/pr14020339","author":[{"dropping-particle":"","family":"Durak","given":"Halil","non-dropping-particle":"","parse-names":false,"suffix":""},{"dropping-particle":"","family":"Yarbay","given":"R Z","non-dropping-particle":"","parse-names":false,"suffix":""},{"dropping-particle":"","family":"Türkmen","given":"Burçin Atılgan","non-dropping-particle":"","parse-names":false,"suffix":""}],"container-title":"Processes","id":"ITEM-1","issued":{"date-parts":[["2026"]]},"title":"Hydrothermal Carbonization of Biomass for Hydrochar Production: Mechanisms, Process Parameters, and Sustainable Valorization","type":"article-journal"},"uris":["http://www.mendeley.com/documents/?uuid=056d7b84-85f5-4863-80bc-488fc300a07c"]},{"id":"ITEM-2","itemData":{"DOI":"10.36948/ijfmr.2025.v07i01.35458","author":[{"dropping-particle":"","family":"Inala","given":"Bala Venkata Praveen","non-dropping-particle":"","parse-names":false,"suffix":""},{"dropping-particle":"","family":"Choksi","given":"Nikita","non-dropping-particle":"","parse-names":false,"suffix":""}],"container-title":"International Journal For Multidisciplinary Research","id":"ITEM-2","issue":"1","issued":{"date-parts":[["2025"]]},"publisher":"International Journal for Multidisciplinary Research (IJFMR)","title":"Animal Bone- Eco-friendly Adsorption Material in Waste Water Treatment","type":"article-journal","volume":"7"},"uris":["http://www.mendeley.com/documents/?uuid=31d6598c-751a-4949-8b3a-03f90bc4cb50"]}],"mendeley":{"formattedCitation":"(Durak, Yarbay, &amp; Türkmen, 2026; Inala &amp; Choksi, 2025)","plainTextFormattedCitation":"(Durak, Yarbay, &amp; Türkmen, 2026; Inala &amp; Choksi, 2025)","previouslyFormattedCitation":"(Durak, Yarbay, &amp; Türkmen, 2026; Inala &amp; Choksi, 2025)"},"properties":{"noteIndex":0},"schema":"https://github.com/citation-style-language/schema/raw/master/csl-citation.json"}</w:instrText>
      </w:r>
      <w:r w:rsidR="00FD6C0F" w:rsidRPr="000D3625">
        <w:rPr>
          <w:rFonts w:ascii="Times New Roman" w:hAnsi="Times New Roman"/>
          <w:lang w:val="en-GB"/>
        </w:rPr>
        <w:fldChar w:fldCharType="separate"/>
      </w:r>
      <w:r w:rsidR="00FD6C0F" w:rsidRPr="000D3625">
        <w:rPr>
          <w:rFonts w:ascii="Times New Roman" w:hAnsi="Times New Roman"/>
          <w:noProof/>
          <w:lang w:val="en-GB"/>
        </w:rPr>
        <w:t>(Durak</w:t>
      </w:r>
      <w:r w:rsidR="001755B6">
        <w:rPr>
          <w:rFonts w:ascii="Times New Roman" w:hAnsi="Times New Roman"/>
          <w:noProof/>
          <w:lang w:val="en-GB"/>
        </w:rPr>
        <w:t xml:space="preserve"> et al.</w:t>
      </w:r>
      <w:r w:rsidR="00FD6C0F" w:rsidRPr="000D3625">
        <w:rPr>
          <w:rFonts w:ascii="Times New Roman" w:hAnsi="Times New Roman"/>
          <w:noProof/>
          <w:lang w:val="en-GB"/>
        </w:rPr>
        <w:t>, 2026; Inala &amp; Choksi, 2025)</w:t>
      </w:r>
      <w:r w:rsidR="00FD6C0F" w:rsidRPr="000D3625">
        <w:rPr>
          <w:rFonts w:ascii="Times New Roman" w:hAnsi="Times New Roman"/>
          <w:lang w:val="en-GB"/>
        </w:rPr>
        <w:fldChar w:fldCharType="end"/>
      </w:r>
      <w:r w:rsidRPr="000D3625">
        <w:rPr>
          <w:rFonts w:ascii="Times New Roman" w:hAnsi="Times New Roman"/>
          <w:lang w:val="en-GB"/>
        </w:rPr>
        <w:t>.</w:t>
      </w:r>
    </w:p>
    <w:p w14:paraId="6E955090" w14:textId="50DD1ACE" w:rsidR="00A31823" w:rsidRPr="00536D16" w:rsidRDefault="00813C9F" w:rsidP="000D3625">
      <w:pPr>
        <w:spacing w:after="0" w:line="235" w:lineRule="auto"/>
        <w:ind w:firstLine="284"/>
        <w:jc w:val="both"/>
        <w:rPr>
          <w:rFonts w:ascii="Times New Roman" w:hAnsi="Times New Roman"/>
          <w:lang w:val="en-GB"/>
        </w:rPr>
      </w:pPr>
      <w:r w:rsidRPr="00536D16">
        <w:rPr>
          <w:rFonts w:ascii="Times New Roman" w:hAnsi="Times New Roman"/>
          <w:lang w:val="en-GB"/>
        </w:rPr>
        <w:t xml:space="preserve">Goat bones are </w:t>
      </w:r>
      <w:r w:rsidR="000D3625">
        <w:rPr>
          <w:rFonts w:ascii="Times New Roman" w:hAnsi="Times New Roman"/>
          <w:lang w:val="en-GB"/>
        </w:rPr>
        <w:t>by-products from slaughterhouses, are readily available, and are produced in large quantities worldwide due to the ever-increasing meat consumption, along with other animal-</w:t>
      </w:r>
      <w:r w:rsidRPr="00536D16">
        <w:rPr>
          <w:rFonts w:ascii="Times New Roman" w:hAnsi="Times New Roman"/>
          <w:lang w:val="en-GB"/>
        </w:rPr>
        <w:t>derived wastes</w:t>
      </w:r>
      <w:r w:rsidR="00FD6C0F" w:rsidRPr="00536D16">
        <w:rPr>
          <w:rFonts w:ascii="Times New Roman" w:hAnsi="Times New Roman"/>
          <w:lang w:val="en-GB"/>
        </w:rPr>
        <w:t xml:space="preserve"> </w:t>
      </w:r>
      <w:r w:rsidR="00FD6C0F" w:rsidRPr="00536D16">
        <w:rPr>
          <w:rFonts w:ascii="Times New Roman" w:hAnsi="Times New Roman"/>
          <w:lang w:val="en-GB"/>
        </w:rPr>
        <w:fldChar w:fldCharType="begin" w:fldLock="1"/>
      </w:r>
      <w:r w:rsidR="00FD6C0F" w:rsidRPr="00536D16">
        <w:rPr>
          <w:rFonts w:ascii="Times New Roman" w:hAnsi="Times New Roman"/>
          <w:lang w:val="en-GB"/>
        </w:rPr>
        <w:instrText>ADDIN CSL_CITATION {"citationItems":[{"id":"ITEM-1","itemData":{"DOI":"10.3390/su14116469","author":[{"dropping-particle":"","family":"Limeneh","given":"Derseh Yilie","non-dropping-particle":"","parse-names":false,"suffix":""},{"dropping-particle":"","family":"Tesfaye","given":"Tamrat","non-dropping-particle":"","parse-names":false,"suffix":""},{"dropping-particle":"","family":"Ayele","given":"Million","non-dropping-particle":"","parse-names":false,"suffix":""},{"dropping-particle":"","family":"Husien","given":"Nuredin Muhammed","non-dropping-particle":"","parse-names":false,"suffix":""},{"dropping-particle":"","family":"Ferede","given":"Eyasu","non-dropping-particle":"","parse-names":false,"suffix":""},{"dropping-particle":"","family":"Haile","given":"Adane","non-dropping-particle":"","parse-names":false,"suffix":""},{"dropping-particle":"","family":"Mengie","given":"Wassie","non-dropping-particle":"","parse-names":false,"suffix":""},{"dropping-particle":"","family":"Abuhay","given":"Amare","non-dropping-particle":"","parse-names":false,"suffix":""},{"dropping-particle":"","family":"Gelebo","given":"Gemeda Gebino","non-dropping-particle":"","parse-names":false,"suffix":""},{"dropping-particle":"","family":"Gibril","given":"Magdi E","non-dropping-particle":"","parse-names":false,"suffix":""},{"dropping-particle":"","family":"Kong","given":"Fangong","non-dropping-particle":"","parse-names":false,"suffix":""}],"container-title":"Sustainability","id":"ITEM-1","issue":"11","issued":{"date-parts":[["2022"]]},"page":"6469","title":"A Comprehensive Review on Utilization of Slaughterhouse By-Product: Current Status and Prospect","type":"article-journal","volume":"14"},"uris":["http://www.mendeley.com/documents/?uuid=f2bbcd16-e5e7-436c-8a59-0bce230596b7"]}],"mendeley":{"formattedCitation":"(Limeneh et al., 2022)","plainTextFormattedCitation":"(Limeneh et al., 2022)","previouslyFormattedCitation":"(Limeneh et al., 2022)"},"properties":{"noteIndex":0},"schema":"https://github.com/citation-style-language/schema/raw/master/csl-citation.json"}</w:instrText>
      </w:r>
      <w:r w:rsidR="00FD6C0F" w:rsidRPr="00536D16">
        <w:rPr>
          <w:rFonts w:ascii="Times New Roman" w:hAnsi="Times New Roman"/>
          <w:lang w:val="en-GB"/>
        </w:rPr>
        <w:fldChar w:fldCharType="separate"/>
      </w:r>
      <w:r w:rsidR="00FD6C0F" w:rsidRPr="00536D16">
        <w:rPr>
          <w:rFonts w:ascii="Times New Roman" w:hAnsi="Times New Roman"/>
          <w:noProof/>
          <w:lang w:val="en-GB"/>
        </w:rPr>
        <w:t>(Limeneh et</w:t>
      </w:r>
      <w:r w:rsidR="001755B6">
        <w:rPr>
          <w:rFonts w:ascii="Times New Roman" w:hAnsi="Times New Roman"/>
          <w:noProof/>
          <w:lang w:val="en-GB"/>
        </w:rPr>
        <w:t> </w:t>
      </w:r>
      <w:r w:rsidR="00FD6C0F" w:rsidRPr="00536D16">
        <w:rPr>
          <w:rFonts w:ascii="Times New Roman" w:hAnsi="Times New Roman"/>
          <w:noProof/>
          <w:lang w:val="en-GB"/>
        </w:rPr>
        <w:t>al., 2022)</w:t>
      </w:r>
      <w:r w:rsidR="00FD6C0F" w:rsidRPr="00536D16">
        <w:rPr>
          <w:rFonts w:ascii="Times New Roman" w:hAnsi="Times New Roman"/>
          <w:lang w:val="en-GB"/>
        </w:rPr>
        <w:fldChar w:fldCharType="end"/>
      </w:r>
      <w:r w:rsidRPr="00536D16">
        <w:rPr>
          <w:rFonts w:ascii="Times New Roman" w:hAnsi="Times New Roman"/>
          <w:lang w:val="en-GB"/>
        </w:rPr>
        <w:t xml:space="preserve">. Goat bones have a high mineral content and economic </w:t>
      </w:r>
      <w:r w:rsidR="00461F9C" w:rsidRPr="00536D16">
        <w:rPr>
          <w:rFonts w:ascii="Times New Roman" w:hAnsi="Times New Roman"/>
          <w:lang w:val="en-GB"/>
        </w:rPr>
        <w:t>value</w:t>
      </w:r>
      <w:r w:rsidR="000D3625">
        <w:rPr>
          <w:rFonts w:ascii="Times New Roman" w:hAnsi="Times New Roman"/>
          <w:lang w:val="en-GB"/>
        </w:rPr>
        <w:t>. Still, they</w:t>
      </w:r>
      <w:r w:rsidRPr="00536D16">
        <w:rPr>
          <w:rFonts w:ascii="Times New Roman" w:hAnsi="Times New Roman"/>
          <w:lang w:val="en-GB"/>
        </w:rPr>
        <w:t xml:space="preserve"> are often landfilled or disposed of in </w:t>
      </w:r>
      <w:r w:rsidR="000D3625">
        <w:rPr>
          <w:rFonts w:ascii="Times New Roman" w:hAnsi="Times New Roman"/>
          <w:lang w:val="en-GB"/>
        </w:rPr>
        <w:t>uncontrolled ways, which can lead to odour production, microbial growth, greenhouse gas emissions, and other</w:t>
      </w:r>
      <w:r w:rsidRPr="00536D16">
        <w:rPr>
          <w:rFonts w:ascii="Times New Roman" w:hAnsi="Times New Roman"/>
          <w:lang w:val="en-GB"/>
        </w:rPr>
        <w:t xml:space="preserve"> environmental impacts. Thus, conver</w:t>
      </w:r>
      <w:r w:rsidR="000D3625">
        <w:rPr>
          <w:rFonts w:ascii="Times New Roman" w:hAnsi="Times New Roman"/>
          <w:lang w:val="en-GB"/>
        </w:rPr>
        <w:t xml:space="preserve">ting goat bone waste into </w:t>
      </w:r>
      <w:proofErr w:type="spellStart"/>
      <w:r w:rsidR="000D3625">
        <w:rPr>
          <w:rFonts w:ascii="Times New Roman" w:hAnsi="Times New Roman"/>
          <w:lang w:val="en-GB"/>
        </w:rPr>
        <w:t>hydrochar</w:t>
      </w:r>
      <w:proofErr w:type="spellEnd"/>
      <w:r w:rsidR="000D3625">
        <w:rPr>
          <w:rFonts w:ascii="Times New Roman" w:hAnsi="Times New Roman"/>
          <w:lang w:val="en-GB"/>
        </w:rPr>
        <w:t xml:space="preserve"> is a sustainable waste </w:t>
      </w:r>
      <w:r w:rsidR="000D3625" w:rsidRPr="000D3625">
        <w:rPr>
          <w:rFonts w:ascii="Times New Roman" w:hAnsi="Times New Roman"/>
          <w:spacing w:val="-2"/>
          <w:lang w:val="en-GB"/>
        </w:rPr>
        <w:t>management system that not only alleviates</w:t>
      </w:r>
      <w:r w:rsidRPr="000D3625">
        <w:rPr>
          <w:rFonts w:ascii="Times New Roman" w:hAnsi="Times New Roman"/>
          <w:spacing w:val="-2"/>
          <w:lang w:val="en-GB"/>
        </w:rPr>
        <w:t xml:space="preserve"> environmental pollution but also produces value-added adsorbent materials</w:t>
      </w:r>
      <w:r w:rsidR="00FD6C0F" w:rsidRPr="000D3625">
        <w:rPr>
          <w:rFonts w:ascii="Times New Roman" w:hAnsi="Times New Roman"/>
          <w:spacing w:val="-2"/>
          <w:lang w:val="en-GB"/>
        </w:rPr>
        <w:t xml:space="preserve"> </w:t>
      </w:r>
      <w:r w:rsidR="00FD6C0F" w:rsidRPr="000D3625">
        <w:rPr>
          <w:rFonts w:ascii="Times New Roman" w:hAnsi="Times New Roman"/>
          <w:spacing w:val="-2"/>
          <w:lang w:val="en-GB"/>
        </w:rPr>
        <w:fldChar w:fldCharType="begin" w:fldLock="1"/>
      </w:r>
      <w:r w:rsidR="00FD6C0F" w:rsidRPr="000D3625">
        <w:rPr>
          <w:rFonts w:ascii="Times New Roman" w:hAnsi="Times New Roman"/>
          <w:spacing w:val="-2"/>
          <w:lang w:val="en-GB"/>
        </w:rPr>
        <w:instrText>ADDIN CSL_CITATION {"citationItems":[{"id":"ITEM-1","itemData":{"DOI":"10.1080/21622515.2023.2197128","author":[{"dropping-particle":"","family":"Hart","given":"Abarasi","non-dropping-particle":"","parse-names":false,"suffix":""},{"dropping-particle":"","family":"Omonmhenle","given":"Selina Ilunakan","non-dropping-particle":"","parse-names":false,"suffix":""},{"dropping-particle":"","family":"Peretomode","given":"Ebikapaye","non-dropping-particle":"","parse-names":false,"suffix":""}],"container-title":"Environmental technology reviews","id":"ITEM-1","issue":"1","issued":{"date-parts":[["2023"]]},"page":"175-204","title":"Waste bone char-derived adsorbents: characteristics, adsorption mechanism and model approach","type":"article-journal","volume":"12"},"uris":["http://www.mendeley.com/documents/?uuid=3ff8694b-df2e-46d0-9cf8-15400c8fd3c9"]},{"id":"ITEM-2","itemData":{"DOI":"10.3390/su14116469","author":[{"dropping-particle":"","family":"Limeneh","given":"Derseh Yilie","non-dropping-particle":"","parse-names":false,"suffix":""},{"dropping-particle":"","family":"Tesfaye","given":"Tamrat","non-dropping-particle":"","parse-names":false,"suffix":""},{"dropping-particle":"","family":"Ayele","given":"Million","non-dropping-particle":"","parse-names":false,"suffix":""},{"dropping-particle":"","family":"Husien","given":"Nuredin Muhammed","non-dropping-particle":"","parse-names":false,"suffix":""},{"dropping-particle":"","family":"Ferede","given":"Eyasu","non-dropping-particle":"","parse-names":false,"suffix":""},{"dropping-particle":"","family":"Haile","given":"Adane","non-dropping-particle":"","parse-names":false,"suffix":""},{"dropping-particle":"","family":"Mengie","given":"Wassie","non-dropping-particle":"","parse-names":false,"suffix":""},{"dropping-particle":"","family":"Abuhay","given":"Amare","non-dropping-particle":"","parse-names":false,"suffix":""},{"dropping-particle":"","family":"Gelebo","given":"Gemeda Gebino","non-dropping-particle":"","parse-names":false,"suffix":""},{"dropping-particle":"","family":"Gibril","given":"Magdi E","non-dropping-particle":"","parse-names":false,"suffix":""},{"dropping-particle":"","family":"Kong","given":"Fangong","non-dropping-particle":"","parse-names":false,"suffix":""}],"container-title":"Sustainability","id":"ITEM-2","issue":"11","issued":{"date-parts":[["2022"]]},"page":"6469","title":"A Comprehensive Review on Utilization of Slaughterhouse By-Product: Current Status and Prospect","type":"article-journal","volume":"14"},"uris":["http://www.mendeley.com/documents/?uuid=f2bbcd16-e5e7-436c-8a59-0bce230596b7"]}],"mendeley":{"formattedCitation":"(Hart, Omonmhenle, &amp; Peretomode, 2023; Limeneh et al., 2022)","plainTextFormattedCitation":"(Hart, Omonmhenle, &amp; Peretomode, 2023; Limeneh et al., 2022)","previouslyFormattedCitation":"(Hart, Omonmhenle, &amp; Peretomode, 2023; Limeneh et al., 2022)"},"properties":{"noteIndex":0},"schema":"https://github.com/citation-style-language/schema/raw/master/csl-citation.json"}</w:instrText>
      </w:r>
      <w:r w:rsidR="00FD6C0F" w:rsidRPr="000D3625">
        <w:rPr>
          <w:rFonts w:ascii="Times New Roman" w:hAnsi="Times New Roman"/>
          <w:spacing w:val="-2"/>
          <w:lang w:val="en-GB"/>
        </w:rPr>
        <w:fldChar w:fldCharType="separate"/>
      </w:r>
      <w:r w:rsidR="00FD6C0F" w:rsidRPr="000D3625">
        <w:rPr>
          <w:rFonts w:ascii="Times New Roman" w:hAnsi="Times New Roman"/>
          <w:noProof/>
          <w:spacing w:val="-2"/>
          <w:lang w:val="en-GB"/>
        </w:rPr>
        <w:t>(Hart</w:t>
      </w:r>
      <w:r w:rsidR="001755B6">
        <w:rPr>
          <w:rFonts w:ascii="Times New Roman" w:hAnsi="Times New Roman"/>
          <w:noProof/>
          <w:spacing w:val="-2"/>
          <w:lang w:val="en-GB"/>
        </w:rPr>
        <w:t xml:space="preserve"> et al.</w:t>
      </w:r>
      <w:r w:rsidR="00FD6C0F" w:rsidRPr="000D3625">
        <w:rPr>
          <w:rFonts w:ascii="Times New Roman" w:hAnsi="Times New Roman"/>
          <w:noProof/>
          <w:spacing w:val="-2"/>
          <w:lang w:val="en-GB"/>
        </w:rPr>
        <w:t>, 2023; Limeneh et al., 2022)</w:t>
      </w:r>
      <w:r w:rsidR="00FD6C0F" w:rsidRPr="000D3625">
        <w:rPr>
          <w:rFonts w:ascii="Times New Roman" w:hAnsi="Times New Roman"/>
          <w:spacing w:val="-2"/>
          <w:lang w:val="en-GB"/>
        </w:rPr>
        <w:fldChar w:fldCharType="end"/>
      </w:r>
      <w:r w:rsidRPr="000D3625">
        <w:rPr>
          <w:rFonts w:ascii="Times New Roman" w:hAnsi="Times New Roman"/>
          <w:spacing w:val="-2"/>
          <w:lang w:val="en-GB"/>
        </w:rPr>
        <w:t xml:space="preserve">. Furthermore, the synergistic adsorption </w:t>
      </w:r>
      <w:proofErr w:type="spellStart"/>
      <w:r w:rsidRPr="000D3625">
        <w:rPr>
          <w:rFonts w:ascii="Times New Roman" w:hAnsi="Times New Roman"/>
          <w:spacing w:val="-2"/>
          <w:lang w:val="en-GB"/>
        </w:rPr>
        <w:t>behavior</w:t>
      </w:r>
      <w:proofErr w:type="spellEnd"/>
      <w:r w:rsidRPr="000D3625">
        <w:rPr>
          <w:rFonts w:ascii="Times New Roman" w:hAnsi="Times New Roman"/>
          <w:spacing w:val="-2"/>
          <w:lang w:val="en-GB"/>
        </w:rPr>
        <w:t xml:space="preserve"> of a mixture of hydroxyapatite minerals and carbonaceous phases in goat bone </w:t>
      </w:r>
      <w:proofErr w:type="spellStart"/>
      <w:r w:rsidRPr="000D3625">
        <w:rPr>
          <w:rFonts w:ascii="Times New Roman" w:hAnsi="Times New Roman"/>
          <w:spacing w:val="-2"/>
          <w:lang w:val="en-GB"/>
        </w:rPr>
        <w:t>hydrochar</w:t>
      </w:r>
      <w:proofErr w:type="spellEnd"/>
      <w:r w:rsidR="000D3625" w:rsidRPr="000D3625">
        <w:rPr>
          <w:rFonts w:ascii="Times New Roman" w:hAnsi="Times New Roman"/>
          <w:spacing w:val="-2"/>
          <w:lang w:val="en-GB"/>
        </w:rPr>
        <w:t xml:space="preserve">, driven by multiple adsorption </w:t>
      </w:r>
      <w:r w:rsidR="000D3625" w:rsidRPr="000D3625">
        <w:rPr>
          <w:rFonts w:ascii="Times New Roman" w:hAnsi="Times New Roman"/>
          <w:spacing w:val="-2"/>
          <w:lang w:val="en-GB"/>
        </w:rPr>
        <w:lastRenderedPageBreak/>
        <w:t>mechanisms, could increase the removal efficiency of cationic organic pollutants such as</w:t>
      </w:r>
      <w:r w:rsidRPr="000D3625">
        <w:rPr>
          <w:rFonts w:ascii="Times New Roman" w:hAnsi="Times New Roman"/>
          <w:spacing w:val="-2"/>
          <w:lang w:val="en-GB"/>
        </w:rPr>
        <w:t xml:space="preserve"> malachite green.</w:t>
      </w:r>
      <w:r w:rsidR="000A2697" w:rsidRPr="000D3625">
        <w:rPr>
          <w:rFonts w:ascii="Times New Roman" w:hAnsi="Times New Roman"/>
          <w:spacing w:val="-2"/>
          <w:lang w:val="en-GB"/>
        </w:rPr>
        <w:t xml:space="preserve"> </w:t>
      </w:r>
      <w:r w:rsidRPr="000D3625">
        <w:rPr>
          <w:rFonts w:ascii="Times New Roman" w:hAnsi="Times New Roman"/>
          <w:spacing w:val="-2"/>
          <w:lang w:val="en-GB"/>
        </w:rPr>
        <w:t xml:space="preserve">While some studies have reported using various adsorbents such as activated carbons, agricultural biomass, </w:t>
      </w:r>
      <w:proofErr w:type="spellStart"/>
      <w:r w:rsidRPr="000D3625">
        <w:rPr>
          <w:rFonts w:ascii="Times New Roman" w:hAnsi="Times New Roman"/>
          <w:spacing w:val="-2"/>
          <w:lang w:val="en-GB"/>
        </w:rPr>
        <w:t>biochars</w:t>
      </w:r>
      <w:proofErr w:type="spellEnd"/>
      <w:r w:rsidRPr="000D3625">
        <w:rPr>
          <w:rFonts w:ascii="Times New Roman" w:hAnsi="Times New Roman"/>
          <w:spacing w:val="-2"/>
          <w:lang w:val="en-GB"/>
        </w:rPr>
        <w:t xml:space="preserve">, metal oxides, clay minerals, polymer composites, and waste-derived adsorbents for adsorption of malachite green, very few studies have been conducted on hydrothermally synthesized goat bone </w:t>
      </w:r>
      <w:proofErr w:type="spellStart"/>
      <w:r w:rsidRPr="000D3625">
        <w:rPr>
          <w:rFonts w:ascii="Times New Roman" w:hAnsi="Times New Roman"/>
          <w:spacing w:val="-2"/>
          <w:lang w:val="en-GB"/>
        </w:rPr>
        <w:t>hydrochar</w:t>
      </w:r>
      <w:proofErr w:type="spellEnd"/>
      <w:r w:rsidR="00FD6C0F" w:rsidRPr="000D3625">
        <w:rPr>
          <w:rFonts w:ascii="Times New Roman" w:hAnsi="Times New Roman"/>
          <w:spacing w:val="-2"/>
          <w:lang w:val="en-GB"/>
        </w:rPr>
        <w:t xml:space="preserve"> </w:t>
      </w:r>
      <w:r w:rsidR="00FD6C0F" w:rsidRPr="000D3625">
        <w:rPr>
          <w:rFonts w:ascii="Times New Roman" w:hAnsi="Times New Roman"/>
          <w:spacing w:val="-2"/>
          <w:lang w:val="en-GB"/>
        </w:rPr>
        <w:fldChar w:fldCharType="begin" w:fldLock="1"/>
      </w:r>
      <w:r w:rsidR="00FD6C0F" w:rsidRPr="000D3625">
        <w:rPr>
          <w:rFonts w:ascii="Times New Roman" w:hAnsi="Times New Roman"/>
          <w:spacing w:val="-2"/>
          <w:lang w:val="en-GB"/>
        </w:rPr>
        <w:instrText>ADDIN CSL_CITATION {"citationItems":[{"id":"ITEM-1","itemData":{"DOI":"10.1039/d2ra03557j","author":[{"dropping-particle":"","family":"Hart","given":"Abarasi","non-dropping-particle":"","parse-names":false,"suffix":""},{"dropping-particle":"","family":"Ebiundu","given":"Komonibo","non-dropping-particle":"","parse-names":false,"suffix":""},{"dropping-particle":"","family":"Peretomode","given":"Ebikapaye","non-dropping-particle":"","parse-names":false,"suffix":""},{"dropping-particle":"","family":"Onyeaka","given":"Helen","non-dropping-particle":"","parse-names":false,"suffix":""},{"dropping-particle":"","family":"Nwabor","given":"Ozioma Forstinus","non-dropping-particle":"","parse-names":false,"suffix":""},{"dropping-particle":"","family":"Obileke","given":"KeChrist","non-dropping-particle":"","parse-names":false,"suffix":""}],"container-title":"RSC Advances","id":"ITEM-1","issue":"34","issued":{"date-parts":[["2022"]]},"page":"22302-22330","title":"Value-added materials recovered from waste bone biomass: technologies and applications","type":"article-journal","volume":"12"},"uris":["http://www.mendeley.com/documents/?uuid=271dbab3-8896-4f16-a55e-faae06757a65"]},{"id":"ITEM-2","itemData":{"DOI":"10.1007/s13399-024-06097-w","author":[{"dropping-particle":"","family":"Pasipanodya","given":"Danai","non-dropping-particle":"","parse-names":false,"suffix":""},{"dropping-particle":"","family":"Seedat","given":"Naadhira","non-dropping-particle":"","parse-names":false,"suffix":""},{"dropping-particle":"","family":"Patel","given":"Bilal","non-dropping-particle":"","parse-names":false,"suffix":""},{"dropping-particle":"","family":"Roopchund","given":"Rishen","non-dropping-particle":"","parse-names":false,"suffix":""}],"container-title":"Biomass Conversion and Biorefinery","id":"ITEM-2","issued":{"date-parts":[["2024"]]},"publisher":"Springer Nature","title":"Production of hydrochar from the hydrothermal carbonisation of food waste feedstock for use as an adsorbent in removal of heavy metals from water","type":"article-journal"},"uris":["http://www.mendeley.com/documents/?uuid=4ba6f5f1-e308-4430-adb7-210e77dc7715"]}],"mendeley":{"formattedCitation":"(Hart et al., 2022; Pasipanodya et al., 2024)","plainTextFormattedCitation":"(Hart et al., 2022; Pasipanodya et al., 2024)","previouslyFormattedCitation":"(Hart et al., 2022; Pasipanodya et al., 2024)"},"properties":{"noteIndex":0},"schema":"https://github.com/citation-style-language/schema/raw/master/csl-citation.json"}</w:instrText>
      </w:r>
      <w:r w:rsidR="00FD6C0F" w:rsidRPr="000D3625">
        <w:rPr>
          <w:rFonts w:ascii="Times New Roman" w:hAnsi="Times New Roman"/>
          <w:spacing w:val="-2"/>
          <w:lang w:val="en-GB"/>
        </w:rPr>
        <w:fldChar w:fldCharType="separate"/>
      </w:r>
      <w:r w:rsidR="00FD6C0F" w:rsidRPr="000D3625">
        <w:rPr>
          <w:rFonts w:ascii="Times New Roman" w:hAnsi="Times New Roman"/>
          <w:noProof/>
          <w:spacing w:val="-2"/>
          <w:lang w:val="en-GB"/>
        </w:rPr>
        <w:t>(Hart et al., 2022; Pasipanodya et al., 2024)</w:t>
      </w:r>
      <w:r w:rsidR="00FD6C0F" w:rsidRPr="000D3625">
        <w:rPr>
          <w:rFonts w:ascii="Times New Roman" w:hAnsi="Times New Roman"/>
          <w:spacing w:val="-2"/>
          <w:lang w:val="en-GB"/>
        </w:rPr>
        <w:fldChar w:fldCharType="end"/>
      </w:r>
      <w:r w:rsidRPr="000D3625">
        <w:rPr>
          <w:rFonts w:ascii="Times New Roman" w:hAnsi="Times New Roman"/>
          <w:spacing w:val="-2"/>
          <w:lang w:val="en-GB"/>
        </w:rPr>
        <w:t>. Likewise, systematic studies that combine structural characterization with adsorption kinetics, adsorption equilibrium isotherms, adsorption thermodynamic studies, adsorption mechanisms, and regeneration studies are still limited</w:t>
      </w:r>
      <w:r w:rsidR="000D3625" w:rsidRPr="000D3625">
        <w:rPr>
          <w:rFonts w:ascii="Times New Roman" w:hAnsi="Times New Roman"/>
          <w:spacing w:val="-2"/>
          <w:lang w:val="en-GB"/>
        </w:rPr>
        <w:t>;</w:t>
      </w:r>
      <w:r w:rsidR="00A31823" w:rsidRPr="000D3625">
        <w:rPr>
          <w:rFonts w:ascii="Times New Roman" w:hAnsi="Times New Roman"/>
          <w:spacing w:val="-2"/>
          <w:lang w:val="en-GB"/>
        </w:rPr>
        <w:t xml:space="preserve"> h</w:t>
      </w:r>
      <w:r w:rsidRPr="000D3625">
        <w:rPr>
          <w:rFonts w:ascii="Times New Roman" w:hAnsi="Times New Roman"/>
          <w:spacing w:val="-2"/>
          <w:lang w:val="en-GB"/>
        </w:rPr>
        <w:t>ence, more stud</w:t>
      </w:r>
      <w:r w:rsidR="000D3625" w:rsidRPr="000D3625">
        <w:rPr>
          <w:rFonts w:ascii="Times New Roman" w:hAnsi="Times New Roman"/>
          <w:spacing w:val="-2"/>
          <w:lang w:val="en-GB"/>
        </w:rPr>
        <w:t>ies are</w:t>
      </w:r>
      <w:r w:rsidRPr="000D3625">
        <w:rPr>
          <w:rFonts w:ascii="Times New Roman" w:hAnsi="Times New Roman"/>
          <w:spacing w:val="-2"/>
          <w:lang w:val="en-GB"/>
        </w:rPr>
        <w:t xml:space="preserve"> warranted to shed light on the adsorption mechanism of malachite green onto goat bone </w:t>
      </w:r>
      <w:proofErr w:type="spellStart"/>
      <w:r w:rsidRPr="000D3625">
        <w:rPr>
          <w:rFonts w:ascii="Times New Roman" w:hAnsi="Times New Roman"/>
          <w:spacing w:val="-2"/>
          <w:lang w:val="en-GB"/>
        </w:rPr>
        <w:t>hydrochar</w:t>
      </w:r>
      <w:proofErr w:type="spellEnd"/>
      <w:r w:rsidR="001F0E7F" w:rsidRPr="000D3625">
        <w:rPr>
          <w:rFonts w:ascii="Times New Roman" w:hAnsi="Times New Roman"/>
          <w:spacing w:val="-2"/>
          <w:lang w:val="en-GB"/>
        </w:rPr>
        <w:t xml:space="preserve"> </w:t>
      </w:r>
      <w:r w:rsidR="001F0E7F" w:rsidRPr="000D3625">
        <w:rPr>
          <w:rFonts w:ascii="Times New Roman" w:hAnsi="Times New Roman"/>
          <w:spacing w:val="-2"/>
          <w:lang w:val="en-GB"/>
        </w:rPr>
        <w:fldChar w:fldCharType="begin" w:fldLock="1"/>
      </w:r>
      <w:r w:rsidR="001F0E7F" w:rsidRPr="000D3625">
        <w:rPr>
          <w:rFonts w:ascii="Times New Roman" w:hAnsi="Times New Roman"/>
          <w:spacing w:val="-2"/>
          <w:lang w:val="en-GB"/>
        </w:rPr>
        <w:instrText>ADDIN CSL_CITATION {"citationItems":[{"id":"ITEM-1","itemData":{"DOI":"https://doi.org/10.1016/j.rineng.2025.107123","ISSN":"2590-1230","abstract":"This review provides a comprehensive analysis of biomass pyrolysis by combining scientometric evaluation with mechanistic insight. The scientometric analysis, based on 174 articles retrieved from Scopus database, traced the evolution of biomass pyrolysis mechanism research from 1989, with significant growth observed from 2019 onwards. China, United States, and United Kingdom emerged as leading contributors in publication output, while China, United States, and Italy led in citation impact. Influential researchers such as Chen Hanping and Yang Haiping, along with key journals including Journal of Analytical and Applied Pyrolysis, Fuel, and Energy &amp; Fuels, have significantly shaped the field. Keyword co-occurrence analysis identified five major research themes: thermal decomposition and analytical techniques; co-pyrolysis and synergistic effects; catalytic pyrolysis and product analysis; component chemistry in biomass conversion; and reactor design and performance. The mechanistic analysis focused on the distinct thermal degradation behaviors of all the six biomass components, which underwent characteristic reactions such as dehydration, depolymerization, and decarboxylation, influencing the yield of pyrolysis products. By combining scientometric trends with mechanistic understanding, this study clarifies research evolution, key contributors, dominant themes, and reaction mechanisms in biomass pyrolysis. This review offers valuable guidance for researchers, industries, and policymakers working toward efficient biomass conversion, sustainable energy production, and environmental management.","author":[{"dropping-particle":"","family":"Abioye","given":"Kunmi Joshua","non-dropping-particle":"","parse-names":false,"suffix":""},{"dropping-particle":"","family":"Falua","given":"Kehinde James","non-dropping-particle":"","parse-names":false,"suffix":""},{"dropping-particle":"","family":"Rezaee","given":"Mohammad","non-dropping-particle":"","parse-names":false,"suffix":""},{"dropping-particle":"","family":"Zamiri","given":"Mohammad Amin","non-dropping-particle":"","parse-names":false,"suffix":""},{"dropping-particle":"","family":"Zou","given":"Fenglou","non-dropping-particle":"","parse-names":false,"suffix":""},{"dropping-particle":"","family":"Acharya","given":"Bishnu","non-dropping-particle":"","parse-names":false,"suffix":""}],"container-title":"Results in Engineering","id":"ITEM-1","issued":{"date-parts":[["2025"]]},"page":"107123","title":"Global insights into biomass pyrolysis mechanisms: A scientometric and mechanistic approach","type":"article-journal","volume":"28"},"uris":["http://www.mendeley.com/documents/?uuid=32b90d81-a89a-496c-a7bb-de0b2f525803"]}],"mendeley":{"formattedCitation":"(Abioye, Falua, et al., 2025)","plainTextFormattedCitation":"(Abioye, Falua, et al., 2025)","previouslyFormattedCitation":"(Abioye, Falua, et al., 2025)"},"properties":{"noteIndex":0},"schema":"https://github.com/citation-style-language/schema/raw/master/csl-citation.json"}</w:instrText>
      </w:r>
      <w:r w:rsidR="001F0E7F" w:rsidRPr="000D3625">
        <w:rPr>
          <w:rFonts w:ascii="Times New Roman" w:hAnsi="Times New Roman"/>
          <w:spacing w:val="-2"/>
          <w:lang w:val="en-GB"/>
        </w:rPr>
        <w:fldChar w:fldCharType="separate"/>
      </w:r>
      <w:r w:rsidR="001F0E7F" w:rsidRPr="000D3625">
        <w:rPr>
          <w:rFonts w:ascii="Times New Roman" w:hAnsi="Times New Roman"/>
          <w:noProof/>
          <w:spacing w:val="-2"/>
          <w:lang w:val="en-GB"/>
        </w:rPr>
        <w:t>(Abioye</w:t>
      </w:r>
      <w:r w:rsidR="004A47BF">
        <w:rPr>
          <w:rFonts w:ascii="Times New Roman" w:hAnsi="Times New Roman"/>
          <w:noProof/>
          <w:spacing w:val="-2"/>
          <w:lang w:val="en-GB"/>
        </w:rPr>
        <w:t xml:space="preserve">, </w:t>
      </w:r>
      <w:r w:rsidR="004A47BF" w:rsidRPr="004A47BF">
        <w:rPr>
          <w:rFonts w:ascii="Times New Roman" w:hAnsi="Times New Roman"/>
          <w:noProof/>
          <w:spacing w:val="-2"/>
          <w:lang w:val="en-GB"/>
        </w:rPr>
        <w:t xml:space="preserve">Falua </w:t>
      </w:r>
      <w:r w:rsidR="001F0E7F" w:rsidRPr="000D3625">
        <w:rPr>
          <w:rFonts w:ascii="Times New Roman" w:hAnsi="Times New Roman"/>
          <w:noProof/>
          <w:spacing w:val="-2"/>
          <w:lang w:val="en-GB"/>
        </w:rPr>
        <w:t>et al., 2025)</w:t>
      </w:r>
      <w:r w:rsidR="001F0E7F" w:rsidRPr="000D3625">
        <w:rPr>
          <w:rFonts w:ascii="Times New Roman" w:hAnsi="Times New Roman"/>
          <w:spacing w:val="-2"/>
          <w:lang w:val="en-GB"/>
        </w:rPr>
        <w:fldChar w:fldCharType="end"/>
      </w:r>
      <w:r w:rsidR="00A31823" w:rsidRPr="000D3625">
        <w:rPr>
          <w:rFonts w:ascii="Times New Roman" w:hAnsi="Times New Roman"/>
          <w:spacing w:val="-2"/>
          <w:lang w:val="en-GB"/>
        </w:rPr>
        <w:t>.</w:t>
      </w:r>
    </w:p>
    <w:p w14:paraId="1A1E4720" w14:textId="710CB83E" w:rsidR="00A31823" w:rsidRPr="000D3625" w:rsidRDefault="00241E2E" w:rsidP="000D3625">
      <w:pPr>
        <w:spacing w:after="0" w:line="235" w:lineRule="auto"/>
        <w:ind w:firstLine="284"/>
        <w:jc w:val="both"/>
        <w:rPr>
          <w:rFonts w:ascii="Times New Roman" w:hAnsi="Times New Roman"/>
          <w:spacing w:val="-2"/>
          <w:lang w:val="en-GB"/>
        </w:rPr>
      </w:pPr>
      <w:r w:rsidRPr="000D3625">
        <w:rPr>
          <w:rFonts w:ascii="Times New Roman" w:hAnsi="Times New Roman"/>
          <w:spacing w:val="-2"/>
          <w:lang w:val="en-GB"/>
        </w:rPr>
        <w:t xml:space="preserve">The present study is designed to develop </w:t>
      </w:r>
      <w:r w:rsidR="000D3625" w:rsidRPr="000D3625">
        <w:rPr>
          <w:rFonts w:ascii="Times New Roman" w:hAnsi="Times New Roman"/>
          <w:spacing w:val="-2"/>
          <w:lang w:val="en-GB"/>
        </w:rPr>
        <w:t xml:space="preserve">a </w:t>
      </w:r>
      <w:r w:rsidRPr="000D3625">
        <w:rPr>
          <w:rFonts w:ascii="Times New Roman" w:hAnsi="Times New Roman"/>
          <w:spacing w:val="-2"/>
          <w:lang w:val="en-GB"/>
        </w:rPr>
        <w:t>sustainable GBHP by hydrothermal carbonization of goat bone waste</w:t>
      </w:r>
      <w:r w:rsidR="00CA3FA3" w:rsidRPr="000D3625">
        <w:rPr>
          <w:rFonts w:ascii="Times New Roman" w:hAnsi="Times New Roman"/>
          <w:spacing w:val="-2"/>
          <w:lang w:val="en-GB"/>
        </w:rPr>
        <w:t xml:space="preserve"> for</w:t>
      </w:r>
      <w:r w:rsidRPr="000D3625">
        <w:rPr>
          <w:rFonts w:ascii="Times New Roman" w:hAnsi="Times New Roman"/>
          <w:spacing w:val="-2"/>
          <w:lang w:val="en-GB"/>
        </w:rPr>
        <w:t xml:space="preserve"> </w:t>
      </w:r>
      <w:r w:rsidR="000D3625" w:rsidRPr="000D3625">
        <w:rPr>
          <w:rFonts w:ascii="Times New Roman" w:hAnsi="Times New Roman"/>
          <w:spacing w:val="-2"/>
          <w:lang w:val="en-GB"/>
        </w:rPr>
        <w:t>the effective adsorption of</w:t>
      </w:r>
      <w:r w:rsidRPr="000D3625">
        <w:rPr>
          <w:rFonts w:ascii="Times New Roman" w:hAnsi="Times New Roman"/>
          <w:spacing w:val="-2"/>
          <w:lang w:val="en-GB"/>
        </w:rPr>
        <w:t xml:space="preserve"> MG from aqueous solutions. Comprehensive characterization </w:t>
      </w:r>
      <w:r w:rsidR="00CA3FA3" w:rsidRPr="000D3625">
        <w:rPr>
          <w:rFonts w:ascii="Times New Roman" w:hAnsi="Times New Roman"/>
          <w:spacing w:val="-2"/>
          <w:lang w:val="en-GB"/>
        </w:rPr>
        <w:t xml:space="preserve">is performed </w:t>
      </w:r>
      <w:r w:rsidR="000D3625" w:rsidRPr="000D3625">
        <w:rPr>
          <w:rFonts w:ascii="Times New Roman" w:hAnsi="Times New Roman"/>
          <w:spacing w:val="-2"/>
          <w:lang w:val="en-GB"/>
        </w:rPr>
        <w:t xml:space="preserve">using BET, FESEM, XRD, FTIR, Raman spectroscopy, and XPS to </w:t>
      </w:r>
      <w:proofErr w:type="spellStart"/>
      <w:r w:rsidR="000D3625" w:rsidRPr="000D3625">
        <w:rPr>
          <w:rFonts w:ascii="Times New Roman" w:hAnsi="Times New Roman"/>
          <w:spacing w:val="-2"/>
          <w:lang w:val="en-GB"/>
        </w:rPr>
        <w:t>analyze</w:t>
      </w:r>
      <w:proofErr w:type="spellEnd"/>
      <w:r w:rsidRPr="000D3625">
        <w:rPr>
          <w:rFonts w:ascii="Times New Roman" w:hAnsi="Times New Roman"/>
          <w:spacing w:val="-2"/>
          <w:lang w:val="en-GB"/>
        </w:rPr>
        <w:t xml:space="preserve"> the physicochemical</w:t>
      </w:r>
      <w:r w:rsidR="00CA3FA3" w:rsidRPr="000D3625">
        <w:rPr>
          <w:rFonts w:ascii="Times New Roman" w:hAnsi="Times New Roman"/>
          <w:spacing w:val="-2"/>
          <w:lang w:val="en-GB"/>
        </w:rPr>
        <w:t xml:space="preserve"> </w:t>
      </w:r>
      <w:r w:rsidRPr="000D3625">
        <w:rPr>
          <w:rFonts w:ascii="Times New Roman" w:hAnsi="Times New Roman"/>
          <w:spacing w:val="-2"/>
          <w:lang w:val="en-GB"/>
        </w:rPr>
        <w:t xml:space="preserve">properties of the synthesized GBHP. </w:t>
      </w:r>
      <w:r w:rsidR="00CA3FA3" w:rsidRPr="000D3625">
        <w:rPr>
          <w:rFonts w:ascii="Times New Roman" w:hAnsi="Times New Roman"/>
          <w:spacing w:val="-2"/>
          <w:lang w:val="en-GB"/>
        </w:rPr>
        <w:t xml:space="preserve">The effects of key experimental variables, including </w:t>
      </w:r>
      <w:r w:rsidRPr="000D3625">
        <w:rPr>
          <w:rFonts w:ascii="Times New Roman" w:hAnsi="Times New Roman"/>
          <w:spacing w:val="-2"/>
          <w:lang w:val="en-GB"/>
        </w:rPr>
        <w:t>initial dye concentration</w:t>
      </w:r>
      <w:r w:rsidR="000D3625" w:rsidRPr="000D3625">
        <w:rPr>
          <w:rFonts w:ascii="Times New Roman" w:hAnsi="Times New Roman"/>
          <w:spacing w:val="-2"/>
          <w:lang w:val="en-GB"/>
        </w:rPr>
        <w:t>, adsorbent dosage, solution pH, contact time, and temperature, on the results of the batch adsorption experiments were</w:t>
      </w:r>
      <w:r w:rsidRPr="000D3625">
        <w:rPr>
          <w:rFonts w:ascii="Times New Roman" w:hAnsi="Times New Roman"/>
          <w:spacing w:val="-2"/>
          <w:lang w:val="en-GB"/>
        </w:rPr>
        <w:t xml:space="preserve"> systematically </w:t>
      </w:r>
      <w:proofErr w:type="spellStart"/>
      <w:r w:rsidRPr="000D3625">
        <w:rPr>
          <w:rFonts w:ascii="Times New Roman" w:hAnsi="Times New Roman"/>
          <w:spacing w:val="-2"/>
          <w:lang w:val="en-GB"/>
        </w:rPr>
        <w:t>analyzed</w:t>
      </w:r>
      <w:proofErr w:type="spellEnd"/>
      <w:r w:rsidRPr="000D3625">
        <w:rPr>
          <w:rFonts w:ascii="Times New Roman" w:hAnsi="Times New Roman"/>
          <w:spacing w:val="-2"/>
          <w:lang w:val="en-GB"/>
        </w:rPr>
        <w:t xml:space="preserve">. In addition, adsorption kinetics, adsorption equilibrium isotherms, thermodynamic </w:t>
      </w:r>
      <w:proofErr w:type="spellStart"/>
      <w:r w:rsidRPr="000D3625">
        <w:rPr>
          <w:rFonts w:ascii="Times New Roman" w:hAnsi="Times New Roman"/>
          <w:spacing w:val="-2"/>
          <w:lang w:val="en-GB"/>
        </w:rPr>
        <w:t>behavior</w:t>
      </w:r>
      <w:proofErr w:type="spellEnd"/>
      <w:r w:rsidR="000D3625" w:rsidRPr="000D3625">
        <w:rPr>
          <w:rFonts w:ascii="Times New Roman" w:hAnsi="Times New Roman"/>
          <w:spacing w:val="-2"/>
          <w:lang w:val="en-GB"/>
        </w:rPr>
        <w:t>, and adsorption mechanism were fully investigated to gain detailed insight into the interaction between</w:t>
      </w:r>
      <w:r w:rsidRPr="000D3625">
        <w:rPr>
          <w:rFonts w:ascii="Times New Roman" w:hAnsi="Times New Roman"/>
          <w:spacing w:val="-2"/>
          <w:lang w:val="en-GB"/>
        </w:rPr>
        <w:t xml:space="preserve"> MG and GBHP. This study not only </w:t>
      </w:r>
      <w:r w:rsidR="000D3625" w:rsidRPr="000D3625">
        <w:rPr>
          <w:rFonts w:ascii="Times New Roman" w:hAnsi="Times New Roman"/>
          <w:spacing w:val="-2"/>
          <w:lang w:val="en-GB"/>
        </w:rPr>
        <w:t>demonstrates the effective utilization of slaughterhouse goat bone waste as a</w:t>
      </w:r>
      <w:r w:rsidR="00805C75">
        <w:rPr>
          <w:rFonts w:ascii="Times New Roman" w:hAnsi="Times New Roman"/>
          <w:spacing w:val="-2"/>
          <w:lang w:val="en-GB"/>
        </w:rPr>
        <w:t> </w:t>
      </w:r>
      <w:r w:rsidR="000D3625" w:rsidRPr="000D3625">
        <w:rPr>
          <w:rFonts w:ascii="Times New Roman" w:hAnsi="Times New Roman"/>
          <w:spacing w:val="-2"/>
          <w:lang w:val="en-GB"/>
        </w:rPr>
        <w:t>waste-to-resource approach for sustainable management of the waste but also provides valuable insights for the development of an environmentally friendly,</w:t>
      </w:r>
      <w:r w:rsidRPr="000D3625">
        <w:rPr>
          <w:rFonts w:ascii="Times New Roman" w:hAnsi="Times New Roman"/>
          <w:spacing w:val="-2"/>
          <w:lang w:val="en-GB"/>
        </w:rPr>
        <w:t xml:space="preserve"> economically viable bio-derived adsorbent</w:t>
      </w:r>
      <w:r w:rsidR="00A31823" w:rsidRPr="000D3625">
        <w:rPr>
          <w:rFonts w:ascii="Times New Roman" w:hAnsi="Times New Roman"/>
          <w:spacing w:val="-2"/>
          <w:lang w:val="en-GB"/>
        </w:rPr>
        <w:t>.</w:t>
      </w:r>
    </w:p>
    <w:p w14:paraId="64119402" w14:textId="4411410D" w:rsidR="00461F9C" w:rsidRPr="00536D16" w:rsidRDefault="00461F9C" w:rsidP="000D3625">
      <w:pPr>
        <w:pStyle w:val="Rn1"/>
        <w:spacing w:line="235" w:lineRule="auto"/>
        <w:rPr>
          <w:lang w:val="en-GB"/>
        </w:rPr>
      </w:pPr>
      <w:r w:rsidRPr="00536D16">
        <w:rPr>
          <w:lang w:val="en-GB"/>
        </w:rPr>
        <w:t xml:space="preserve">2. </w:t>
      </w:r>
      <w:r w:rsidR="00950B17" w:rsidRPr="00536D16">
        <w:rPr>
          <w:lang w:val="en-GB"/>
        </w:rPr>
        <w:t xml:space="preserve">Experimental </w:t>
      </w:r>
      <w:r w:rsidR="00426019" w:rsidRPr="00536D16">
        <w:rPr>
          <w:lang w:val="en-GB"/>
        </w:rPr>
        <w:t>D</w:t>
      </w:r>
      <w:r w:rsidR="00950B17" w:rsidRPr="00536D16">
        <w:rPr>
          <w:lang w:val="en-GB"/>
        </w:rPr>
        <w:t>etails</w:t>
      </w:r>
    </w:p>
    <w:p w14:paraId="111E1F60" w14:textId="77777777" w:rsidR="00461F9C" w:rsidRPr="00536D16" w:rsidRDefault="00461F9C" w:rsidP="000D3625">
      <w:pPr>
        <w:pStyle w:val="Rn2"/>
        <w:spacing w:line="235" w:lineRule="auto"/>
        <w:rPr>
          <w:lang w:val="en-GB"/>
        </w:rPr>
      </w:pPr>
      <w:r w:rsidRPr="00536D16">
        <w:rPr>
          <w:lang w:val="en-GB"/>
        </w:rPr>
        <w:t>2.1. Materials</w:t>
      </w:r>
    </w:p>
    <w:p w14:paraId="4BA656BA" w14:textId="759E5D29" w:rsidR="00461F9C" w:rsidRPr="00536D16" w:rsidRDefault="00461F9C" w:rsidP="000D3625">
      <w:pPr>
        <w:spacing w:after="0" w:line="235" w:lineRule="auto"/>
        <w:ind w:firstLine="284"/>
        <w:jc w:val="both"/>
        <w:rPr>
          <w:rFonts w:ascii="Times New Roman" w:hAnsi="Times New Roman"/>
          <w:lang w:val="en-GB"/>
        </w:rPr>
      </w:pPr>
      <w:r w:rsidRPr="00536D16">
        <w:rPr>
          <w:rFonts w:ascii="Times New Roman" w:hAnsi="Times New Roman"/>
          <w:lang w:val="en-GB"/>
        </w:rPr>
        <w:t xml:space="preserve">Analytical-grade hydrochloric acid (HCl, 37%) and sodium hydroxide (NaOH, ≥98%) were </w:t>
      </w:r>
      <w:r w:rsidR="00950B17" w:rsidRPr="00536D16">
        <w:rPr>
          <w:rFonts w:ascii="Times New Roman" w:hAnsi="Times New Roman"/>
          <w:lang w:val="en-GB"/>
        </w:rPr>
        <w:t>supplied</w:t>
      </w:r>
      <w:r w:rsidRPr="00536D16">
        <w:rPr>
          <w:rFonts w:ascii="Times New Roman" w:hAnsi="Times New Roman"/>
          <w:lang w:val="en-GB"/>
        </w:rPr>
        <w:t xml:space="preserve"> from Merck </w:t>
      </w:r>
      <w:r w:rsidR="00950B17" w:rsidRPr="00536D16">
        <w:rPr>
          <w:rFonts w:ascii="Times New Roman" w:hAnsi="Times New Roman"/>
          <w:lang w:val="en-GB"/>
        </w:rPr>
        <w:t>Make,</w:t>
      </w:r>
      <w:r w:rsidRPr="00536D16">
        <w:rPr>
          <w:rFonts w:ascii="Times New Roman" w:hAnsi="Times New Roman"/>
          <w:lang w:val="en-GB"/>
        </w:rPr>
        <w:t xml:space="preserve"> India. Malachite green </w:t>
      </w:r>
      <w:r w:rsidR="00950B17" w:rsidRPr="00536D16">
        <w:rPr>
          <w:rFonts w:ascii="Times New Roman" w:hAnsi="Times New Roman"/>
          <w:lang w:val="en-GB"/>
        </w:rPr>
        <w:t xml:space="preserve">(MG) </w:t>
      </w:r>
      <w:r w:rsidRPr="00536D16">
        <w:rPr>
          <w:rFonts w:ascii="Times New Roman" w:hAnsi="Times New Roman"/>
          <w:lang w:val="en-GB"/>
        </w:rPr>
        <w:t xml:space="preserve">(analytical grade) was used as the adsorbate </w:t>
      </w:r>
      <w:r w:rsidR="00950B17" w:rsidRPr="00536D16">
        <w:rPr>
          <w:rFonts w:ascii="Times New Roman" w:hAnsi="Times New Roman"/>
          <w:lang w:val="en-GB"/>
        </w:rPr>
        <w:t>for</w:t>
      </w:r>
      <w:r w:rsidRPr="00536D16">
        <w:rPr>
          <w:rFonts w:ascii="Times New Roman" w:hAnsi="Times New Roman"/>
          <w:lang w:val="en-GB"/>
        </w:rPr>
        <w:t xml:space="preserve"> the study. </w:t>
      </w:r>
      <w:r w:rsidR="00950B17" w:rsidRPr="00536D16">
        <w:rPr>
          <w:rFonts w:ascii="Times New Roman" w:hAnsi="Times New Roman"/>
          <w:lang w:val="en-GB"/>
        </w:rPr>
        <w:t>A</w:t>
      </w:r>
      <w:r w:rsidRPr="00536D16">
        <w:rPr>
          <w:rFonts w:ascii="Times New Roman" w:hAnsi="Times New Roman"/>
          <w:lang w:val="en-GB"/>
        </w:rPr>
        <w:t xml:space="preserve">queous solutions were </w:t>
      </w:r>
      <w:r w:rsidR="00950B17" w:rsidRPr="00536D16">
        <w:rPr>
          <w:rFonts w:ascii="Times New Roman" w:hAnsi="Times New Roman"/>
          <w:lang w:val="en-GB"/>
        </w:rPr>
        <w:t xml:space="preserve">obtained from </w:t>
      </w:r>
      <w:r w:rsidRPr="00536D16">
        <w:rPr>
          <w:rFonts w:ascii="Times New Roman" w:hAnsi="Times New Roman"/>
          <w:lang w:val="en-GB"/>
        </w:rPr>
        <w:t>reverse osmosis (RO) water produced in the laboratory. Waste goat bones (</w:t>
      </w:r>
      <w:r w:rsidRPr="00536D16">
        <w:rPr>
          <w:rFonts w:ascii="Times New Roman" w:hAnsi="Times New Roman"/>
          <w:i/>
          <w:iCs/>
          <w:lang w:val="en-GB"/>
        </w:rPr>
        <w:t xml:space="preserve">Capra aegagrus </w:t>
      </w:r>
      <w:proofErr w:type="spellStart"/>
      <w:r w:rsidRPr="00536D16">
        <w:rPr>
          <w:rFonts w:ascii="Times New Roman" w:hAnsi="Times New Roman"/>
          <w:i/>
          <w:iCs/>
          <w:lang w:val="en-GB"/>
        </w:rPr>
        <w:t>hircus</w:t>
      </w:r>
      <w:proofErr w:type="spellEnd"/>
      <w:r w:rsidRPr="00536D16">
        <w:rPr>
          <w:rFonts w:ascii="Times New Roman" w:hAnsi="Times New Roman"/>
          <w:lang w:val="en-GB"/>
        </w:rPr>
        <w:t>) were collected from a local slaughterhouse in Nagpur, India. All chemicals employed during the experimental work were of analytical reagent grade</w:t>
      </w:r>
      <w:r w:rsidR="00FD6C0F" w:rsidRPr="00536D16">
        <w:rPr>
          <w:rFonts w:ascii="Times New Roman" w:hAnsi="Times New Roman"/>
          <w:lang w:val="en-GB"/>
        </w:rPr>
        <w:t xml:space="preserve"> </w:t>
      </w:r>
      <w:r w:rsidR="00FD6C0F" w:rsidRPr="00536D16">
        <w:rPr>
          <w:rFonts w:ascii="Times New Roman" w:hAnsi="Times New Roman"/>
          <w:lang w:val="en-GB"/>
        </w:rPr>
        <w:fldChar w:fldCharType="begin" w:fldLock="1"/>
      </w:r>
      <w:r w:rsidR="00FD6C0F" w:rsidRPr="00536D16">
        <w:rPr>
          <w:rFonts w:ascii="Times New Roman" w:hAnsi="Times New Roman"/>
          <w:lang w:val="en-GB"/>
        </w:rPr>
        <w:instrText>ADDIN CSL_CITATION {"citationItems":[{"id":"ITEM-1","itemData":{"DOI":"10.1038/s41598-025-08341-3","ISSN":"2045-2322","abstract":"Sustainable wastewater management plays a vital role in mitigating environmental concerns. In this context, the present study evaluates the efficiency of methylene blue (MB) removal using a novel H3PO4-activated chicken bone adsorbent (CBAAC) in a batch adsorption process. The optimum conditions were determined at pH 7.5, contact time between 30 and 150 min, dye concentrations ranging from 10 to 50 mg/L, and adsorbent doses of 0.15–0.75 g/100 mL methylene blue (MB) dye solution. The maximum MB removal efficiency of 92.29% was achieved using 0.6 g of adsorbent after 90 min. CBAAC composite was characterized with FE-SEM to identify morphological structure, while FT-IR spectroscopy indicates the appearance of stretching functional bond groups. Response surface methodology (RSM) optimization using a central composite design (CCD) was evaluated showing a promising regression analysis of R2 = 0.9661. The research results demonstrated a well-defined Temkin adsorption isotherm (R2 = 0.9804), with a capacity for adsorption of 49.56 mg/g, closely followed by a pseudo-second-order kinetic model (R2 = 0.9997). The process was thermodynamically spontaneous and exothermic. A comprehensive Life Cycle Analysis (LCA) dealing with ten important parameters that resulted in the lowest global warming of 1.531 (kg CO2-eq.) and 5.047 MJ/kg, highlights the sustainable and effective use of CBAAC for the removal of organic dyes from wastewater.","author":[{"dropping-particle":"","family":"Muteeb","given":"Ghazala","non-dropping-particle":"","parse-names":false,"suffix":""},{"dropping-particle":"","family":"Ansari","given":"Khalid","non-dropping-particle":"","parse-names":false,"suffix":""},{"dropping-particle":"","family":"Eyvaz","given":"Murat","non-dropping-particle":"","parse-names":false,"suffix":""},{"dropping-particle":"","family":"Farhan","given":"Mohd","non-dropping-particle":"","parse-names":false,"suffix":""},{"dropping-particle":"","family":"Aatif","given":"Mohammad","non-dropping-particle":"","parse-names":false,"suffix":""},{"dropping-particle":"","family":"Agrawal","given":"Dhiraj","non-dropping-particle":"","parse-names":false,"suffix":""},{"dropping-particle":"El","family":"Oirdi","given":"Mohamed","non-dropping-particle":"","parse-names":false,"suffix":""},{"dropping-particle":"","family":"Dehghani","given":"Mohammad Hadi","non-dropping-particle":"","parse-names":false,"suffix":""}],"container-title":"Scientific Reports","id":"ITEM-1","issue":"1","issued":{"date-parts":[["2025"]]},"page":"23098","title":"Removal of methylene blue (MB) dye from water and wastewater using acid-activated chicken bone in a batch adsorption process","type":"article-journal","volume":"15"},"uris":["http://www.mendeley.com/documents/?uuid=54fe1662-c449-41f9-8df3-1317673c0310"]}],"mendeley":{"formattedCitation":"(Muteeb, Ansari, et al., 2025)","plainTextFormattedCitation":"(Muteeb, Ansari, et al., 2025)","previouslyFormattedCitation":"(Muteeb, Ansari, et al., 2025)"},"properties":{"noteIndex":0},"schema":"https://github.com/citation-style-language/schema/raw/master/csl-citation.json"}</w:instrText>
      </w:r>
      <w:r w:rsidR="00FD6C0F" w:rsidRPr="00536D16">
        <w:rPr>
          <w:rFonts w:ascii="Times New Roman" w:hAnsi="Times New Roman"/>
          <w:lang w:val="en-GB"/>
        </w:rPr>
        <w:fldChar w:fldCharType="separate"/>
      </w:r>
      <w:r w:rsidR="00FD6C0F" w:rsidRPr="00536D16">
        <w:rPr>
          <w:rFonts w:ascii="Times New Roman" w:hAnsi="Times New Roman"/>
          <w:noProof/>
          <w:lang w:val="en-GB"/>
        </w:rPr>
        <w:t>(Muteeb, Ansari, et al., 2025</w:t>
      </w:r>
      <w:r w:rsidR="00713072" w:rsidRPr="00536D16">
        <w:rPr>
          <w:rFonts w:ascii="Times New Roman" w:hAnsi="Times New Roman"/>
          <w:noProof/>
          <w:lang w:val="en-GB"/>
        </w:rPr>
        <w:t xml:space="preserve">; </w:t>
      </w:r>
      <w:r w:rsidR="00FD6C0F" w:rsidRPr="00536D16">
        <w:rPr>
          <w:rFonts w:ascii="Times New Roman" w:hAnsi="Times New Roman"/>
          <w:lang w:val="en-GB"/>
        </w:rPr>
        <w:fldChar w:fldCharType="end"/>
      </w:r>
      <w:r w:rsidR="00FD6C0F" w:rsidRPr="00536D16">
        <w:rPr>
          <w:rFonts w:ascii="Times New Roman" w:hAnsi="Times New Roman"/>
          <w:lang w:val="en-GB"/>
        </w:rPr>
        <w:fldChar w:fldCharType="begin" w:fldLock="1"/>
      </w:r>
      <w:r w:rsidR="00FD6C0F" w:rsidRPr="00536D16">
        <w:rPr>
          <w:rFonts w:ascii="Times New Roman" w:hAnsi="Times New Roman"/>
          <w:lang w:val="en-GB"/>
        </w:rPr>
        <w:instrText>ADDIN CSL_CITATION {"citationItems":[{"id":"ITEM-1","itemData":{"DOI":"https://doi.org/10.1016/j.dwt.2024.100406","ISSN":"1944-3986","abstract":"The orthophosphoric acid-treated pomegranate peels (POPAC) performance was investigated through batch mode for Methylene Blue dye (MB) adsorption from an aqueous solution. Although chemical activation using various chemical agents has been explored by other research work, but novelty application of H3PO4 in a 1:1 wt percentage for activation exhibits unprecedented performance in enhancing the efficiency of MB dye removal. Dependent parameters were optimized, with pH of the sample, contact interval, initial MB concentration, and dose of adsorbent. Excellent removal efficiency (above 92 %) was observed at pH 8 with a dose of 0.25 g/100 mL for 120 min of contact duration. At the qmax value of 14.03 mg/g, the Langmuir isotherm demonstrated the MB dye monolayer adsorption onto POPAC, elucidating the adsorption mechanism with R2 = 0.9883. The kinetics of MB adsorption fit excellently through the pseudo-second-order model with R2 = 0.9997, and the model's estimated adsorption capacity agreed well with the results obtained from the experimental investigation. Thermodynamic parameters, including ΔGᵒ, ΔH°, and ΔS°, additionally demonstrated the spontaneous as well as endothermic adsorption nature of MB on the POPAC’s surface. Furthermore, regeneration studies using 0.1 M NaOH and 0.1 M HCl solutions show adequate MB dye elimination after three cycles. According to the research findings, pomegranate peel may be an inexpensive, environmentally acceptable, and operative biosorbent to eliminate MB dye from polluted aqueous matrices.","author":[{"dropping-particle":"","family":"Waghmare","given":"Charuta","non-dropping-particle":"","parse-names":false,"suffix":""},{"dropping-particle":"","family":"Ghodmare","given":"Sujesh","non-dropping-particle":"","parse-names":false,"suffix":""},{"dropping-particle":"","family":"Ansari","given":"Khalid","non-dropping-particle":"","parse-names":false,"suffix":""},{"dropping-particle":"","family":"Alfaisal","given":"Faisal M","non-dropping-particle":"","parse-names":false,"suffix":""},{"dropping-particle":"","family":"Alam","given":"Shamshad","non-dropping-particle":"","parse-names":false,"suffix":""},{"dropping-particle":"","family":"Khan","given":"Mohammad Amir","non-dropping-particle":"","parse-names":false,"suffix":""},{"dropping-particle":"","family":"Ezaier","given":"Yassine","non-dropping-particle":"","parse-names":false,"suffix":""}],"container-title":"Desalination and Water Treatment","id":"ITEM-1","issued":{"date-parts":[["2024"]]},"page":"100406","title":"Adsorption of methylene blue dye onto phosphoric acid-treated pomegranate peel adsorbent: Kinetic and thermodynamic studies","type":"article-journal","volume":"318"},"uris":["http://www.mendeley.com/documents/?uuid=e2a201be-c501-464e-8dbe-726c160b5983"]}],"mendeley":{"formattedCitation":"(Waghmare et al., 2024)","plainTextFormattedCitation":"(Waghmare et al., 2024)","previouslyFormattedCitation":"(Waghmare et al., 2024)"},"properties":{"noteIndex":0},"schema":"https://github.com/citation-style-language/schema/raw/master/csl-citation.json"}</w:instrText>
      </w:r>
      <w:r w:rsidR="00FD6C0F" w:rsidRPr="00536D16">
        <w:rPr>
          <w:rFonts w:ascii="Times New Roman" w:hAnsi="Times New Roman"/>
          <w:lang w:val="en-GB"/>
        </w:rPr>
        <w:fldChar w:fldCharType="separate"/>
      </w:r>
      <w:r w:rsidR="00FD6C0F" w:rsidRPr="00536D16">
        <w:rPr>
          <w:rFonts w:ascii="Times New Roman" w:hAnsi="Times New Roman"/>
          <w:noProof/>
          <w:lang w:val="en-GB"/>
        </w:rPr>
        <w:t>Waghmare et al., 2024)</w:t>
      </w:r>
      <w:r w:rsidR="00FD6C0F" w:rsidRPr="00536D16">
        <w:rPr>
          <w:rFonts w:ascii="Times New Roman" w:hAnsi="Times New Roman"/>
          <w:lang w:val="en-GB"/>
        </w:rPr>
        <w:fldChar w:fldCharType="end"/>
      </w:r>
      <w:r w:rsidRPr="00536D16">
        <w:rPr>
          <w:rFonts w:ascii="Times New Roman" w:hAnsi="Times New Roman"/>
          <w:lang w:val="en-GB"/>
        </w:rPr>
        <w:t>.</w:t>
      </w:r>
    </w:p>
    <w:p w14:paraId="365ADFF4" w14:textId="15808AF0" w:rsidR="00461F9C" w:rsidRPr="00536D16" w:rsidRDefault="00461F9C" w:rsidP="000D3625">
      <w:pPr>
        <w:pStyle w:val="Rn2"/>
        <w:spacing w:line="235" w:lineRule="auto"/>
        <w:rPr>
          <w:lang w:val="en-GB"/>
        </w:rPr>
      </w:pPr>
      <w:r w:rsidRPr="00536D16">
        <w:rPr>
          <w:lang w:val="en-GB"/>
        </w:rPr>
        <w:t xml:space="preserve">2.2. Goat Bone </w:t>
      </w:r>
      <w:proofErr w:type="spellStart"/>
      <w:r w:rsidRPr="00536D16">
        <w:rPr>
          <w:lang w:val="en-GB"/>
        </w:rPr>
        <w:t>Hydrochar</w:t>
      </w:r>
      <w:proofErr w:type="spellEnd"/>
    </w:p>
    <w:p w14:paraId="44DC57F8" w14:textId="77777777" w:rsidR="00461F9C" w:rsidRPr="00536D16" w:rsidRDefault="00461F9C" w:rsidP="000D3625">
      <w:pPr>
        <w:pStyle w:val="Rn3"/>
        <w:spacing w:line="235" w:lineRule="auto"/>
        <w:rPr>
          <w:lang w:val="en-GB"/>
        </w:rPr>
      </w:pPr>
      <w:r w:rsidRPr="00536D16">
        <w:rPr>
          <w:lang w:val="en-GB"/>
        </w:rPr>
        <w:t>2.2.1. Pretreatment of Goat Bones</w:t>
      </w:r>
    </w:p>
    <w:p w14:paraId="117E8C2D" w14:textId="10163920" w:rsidR="00461F9C" w:rsidRPr="000D3625" w:rsidRDefault="00461F9C" w:rsidP="000D3625">
      <w:pPr>
        <w:spacing w:after="0" w:line="235" w:lineRule="auto"/>
        <w:ind w:firstLine="284"/>
        <w:jc w:val="both"/>
        <w:rPr>
          <w:rFonts w:ascii="Times New Roman" w:hAnsi="Times New Roman"/>
          <w:spacing w:val="-4"/>
          <w:lang w:val="en-GB"/>
        </w:rPr>
      </w:pPr>
      <w:r w:rsidRPr="000D3625">
        <w:rPr>
          <w:rFonts w:ascii="Times New Roman" w:hAnsi="Times New Roman"/>
          <w:spacing w:val="-4"/>
          <w:lang w:val="en-GB"/>
        </w:rPr>
        <w:t xml:space="preserve">Freshly collected goat bones were manually cleaned to remove adhering muscle tissues, fat, and connective matter, followed by repeated washing under running tap water. The cleaned bones were subsequently rinsed several times with </w:t>
      </w:r>
      <w:r w:rsidR="00950B17" w:rsidRPr="000D3625">
        <w:rPr>
          <w:rFonts w:ascii="Times New Roman" w:hAnsi="Times New Roman"/>
          <w:spacing w:val="-4"/>
          <w:lang w:val="en-GB"/>
        </w:rPr>
        <w:t>(RO)</w:t>
      </w:r>
      <w:r w:rsidRPr="000D3625">
        <w:rPr>
          <w:rFonts w:ascii="Times New Roman" w:hAnsi="Times New Roman"/>
          <w:spacing w:val="-4"/>
          <w:lang w:val="en-GB"/>
        </w:rPr>
        <w:t xml:space="preserve"> to eliminate impurities. After cleaning, the bones were air-dried at ambient laboratory conditions (25 ± 2</w:t>
      </w:r>
      <w:r w:rsidR="00713072" w:rsidRPr="000D3625">
        <w:rPr>
          <w:rFonts w:ascii="Times New Roman" w:hAnsi="Times New Roman"/>
          <w:spacing w:val="-4"/>
          <w:lang w:val="en-GB"/>
        </w:rPr>
        <w:t>°C</w:t>
      </w:r>
      <w:r w:rsidRPr="000D3625">
        <w:rPr>
          <w:rFonts w:ascii="Times New Roman" w:hAnsi="Times New Roman"/>
          <w:spacing w:val="-4"/>
          <w:lang w:val="en-GB"/>
        </w:rPr>
        <w:t xml:space="preserve">) and then dehydrated in </w:t>
      </w:r>
      <w:r w:rsidR="000D3625" w:rsidRPr="000D3625">
        <w:rPr>
          <w:rFonts w:ascii="Times New Roman" w:hAnsi="Times New Roman"/>
          <w:spacing w:val="-4"/>
          <w:lang w:val="en-GB"/>
        </w:rPr>
        <w:t xml:space="preserve">a </w:t>
      </w:r>
      <w:r w:rsidRPr="000D3625">
        <w:rPr>
          <w:rFonts w:ascii="Times New Roman" w:hAnsi="Times New Roman"/>
          <w:spacing w:val="-4"/>
          <w:lang w:val="en-GB"/>
        </w:rPr>
        <w:t>hot-air oven at 105</w:t>
      </w:r>
      <w:r w:rsidR="00713072" w:rsidRPr="000D3625">
        <w:rPr>
          <w:rFonts w:ascii="Times New Roman" w:hAnsi="Times New Roman"/>
          <w:spacing w:val="-4"/>
          <w:lang w:val="en-GB"/>
        </w:rPr>
        <w:t>°C</w:t>
      </w:r>
      <w:r w:rsidRPr="000D3625">
        <w:rPr>
          <w:rFonts w:ascii="Times New Roman" w:hAnsi="Times New Roman"/>
          <w:spacing w:val="-4"/>
          <w:lang w:val="en-GB"/>
        </w:rPr>
        <w:t>. The dried bones were crushed using a mechanical grinder and further pulverized to obtain a fine powder. The powdered material was passed through a 100-mesh sieve to ensure uniform particle size. Finally, the sieved powder was washed once again with RO water to remove loosely attached fine particles and dried at 105</w:t>
      </w:r>
      <w:r w:rsidR="00713072" w:rsidRPr="000D3625">
        <w:rPr>
          <w:rFonts w:ascii="Times New Roman" w:hAnsi="Times New Roman"/>
          <w:spacing w:val="-4"/>
          <w:lang w:val="en-GB"/>
        </w:rPr>
        <w:t>°C</w:t>
      </w:r>
      <w:r w:rsidRPr="000D3625">
        <w:rPr>
          <w:rFonts w:ascii="Times New Roman" w:hAnsi="Times New Roman"/>
          <w:spacing w:val="-4"/>
          <w:lang w:val="en-GB"/>
        </w:rPr>
        <w:t xml:space="preserve"> before further processing</w:t>
      </w:r>
      <w:r w:rsidR="00FD6C0F" w:rsidRPr="000D3625">
        <w:rPr>
          <w:rFonts w:ascii="Times New Roman" w:hAnsi="Times New Roman"/>
          <w:spacing w:val="-4"/>
          <w:lang w:val="en-GB"/>
        </w:rPr>
        <w:t xml:space="preserve"> </w:t>
      </w:r>
      <w:r w:rsidR="00FD6C0F" w:rsidRPr="000D3625">
        <w:rPr>
          <w:rFonts w:ascii="Times New Roman" w:hAnsi="Times New Roman"/>
          <w:spacing w:val="-4"/>
          <w:lang w:val="en-GB"/>
        </w:rPr>
        <w:fldChar w:fldCharType="begin" w:fldLock="1"/>
      </w:r>
      <w:r w:rsidR="00F932AE" w:rsidRPr="000D3625">
        <w:rPr>
          <w:rFonts w:ascii="Times New Roman" w:hAnsi="Times New Roman"/>
          <w:spacing w:val="-4"/>
          <w:lang w:val="en-GB"/>
        </w:rPr>
        <w:instrText>ADDIN CSL_CITATION {"citationItems":[{"id":"ITEM-1","itemData":{"DOI":"10.1038/s41598-025-08341-3","ISSN":"2045-2322","abstract":"Sustainable wastewater management plays a vital role in mitigating environmental concerns. In this context, the present study evaluates the efficiency of methylene blue (MB) removal using a novel H3PO4-activated chicken bone adsorbent (CBAAC) in a batch adsorption process. The optimum conditions were determined at pH 7.5, contact time between 30 and 150 min, dye concentrations ranging from 10 to 50 mg/L, and adsorbent doses of 0.15–0.75 g/100 mL methylene blue (MB) dye solution. The maximum MB removal efficiency of 92.29% was achieved using 0.6 g of adsorbent after 90 min. CBAAC composite was characterized with FE-SEM to identify morphological structure, while FT-IR spectroscopy indicates the appearance of stretching functional bond groups. Response surface methodology (RSM) optimization using a central composite design (CCD) was evaluated showing a promising regression analysis of R2 = 0.9661. The research results demonstrated a well-defined Temkin adsorption isotherm (R2 = 0.9804), with a capacity for adsorption of 49.56 mg/g, closely followed by a pseudo-second-order kinetic model (R2 = 0.9997). The process was thermodynamically spontaneous and exothermic. A comprehensive Life Cycle Analysis (LCA) dealing with ten important parameters that resulted in the lowest global warming of 1.531 (kg CO2-eq.) and 5.047 MJ/kg, highlights the sustainable and effective use of CBAAC for the removal of organic dyes from wastewater.","author":[{"dropping-particle":"","family":"Muteeb","given":"Ghazala","non-dropping-particle":"","parse-names":false,"suffix":""},{"dropping-particle":"","family":"Ansari","given":"Khalid","non-dropping-particle":"","parse-names":false,"suffix":""},{"dropping-particle":"","family":"Eyvaz","given":"Murat","non-dropping-particle":"","parse-names":false,"suffix":""},{"dropping-particle":"","family":"Farhan","given":"Mohd","non-dropping-particle":"","parse-names":false,"suffix":""},{"dropping-particle":"","family":"Aatif","given":"Mohammad","non-dropping-particle":"","parse-names":false,"suffix":""},{"dropping-particle":"","family":"Agrawal","given":"Dhiraj","non-dropping-particle":"","parse-names":false,"suffix":""},{"dropping-particle":"El","family":"Oirdi","given":"Mohamed","non-dropping-particle":"","parse-names":false,"suffix":""},{"dropping-particle":"","family":"Dehghani","given":"Mohammad Hadi","non-dropping-particle":"","parse-names":false,"suffix":""}],"container-title":"Scientific Reports","id":"ITEM-1","issue":"1","issued":{"date-parts":[["2025"]]},"page":"23098","title":"Removal of methylene blue (MB) dye from water and wastewater using acid-activated chicken bone in a batch adsorption process","type":"article-journal","volume":"15"},"uris":["http://www.mendeley.com/documents/?uuid=54fe1662-c449-41f9-8df3-1317673c0310"]}],"mendeley":{"formattedCitation":"(Muteeb, Ansari, et al., 2025)","plainTextFormattedCitation":"(Muteeb, Ansari, et al., 2025)","previouslyFormattedCitation":"(Muteeb, Ansari, et al., 2025)"},"properties":{"noteIndex":0},"schema":"https://github.com/citation-style-language/schema/raw/master/csl-citation.json"}</w:instrText>
      </w:r>
      <w:r w:rsidR="00FD6C0F" w:rsidRPr="000D3625">
        <w:rPr>
          <w:rFonts w:ascii="Times New Roman" w:hAnsi="Times New Roman"/>
          <w:spacing w:val="-4"/>
          <w:lang w:val="en-GB"/>
        </w:rPr>
        <w:fldChar w:fldCharType="separate"/>
      </w:r>
      <w:r w:rsidR="00FD6C0F" w:rsidRPr="000D3625">
        <w:rPr>
          <w:rFonts w:ascii="Times New Roman" w:hAnsi="Times New Roman"/>
          <w:noProof/>
          <w:spacing w:val="-4"/>
          <w:lang w:val="en-GB"/>
        </w:rPr>
        <w:t>(Muteeb, Ansari, et al., 2025)</w:t>
      </w:r>
      <w:r w:rsidR="00FD6C0F" w:rsidRPr="000D3625">
        <w:rPr>
          <w:rFonts w:ascii="Times New Roman" w:hAnsi="Times New Roman"/>
          <w:spacing w:val="-4"/>
          <w:lang w:val="en-GB"/>
        </w:rPr>
        <w:fldChar w:fldCharType="end"/>
      </w:r>
      <w:r w:rsidRPr="000D3625">
        <w:rPr>
          <w:rFonts w:ascii="Times New Roman" w:hAnsi="Times New Roman"/>
          <w:spacing w:val="-4"/>
          <w:lang w:val="en-GB"/>
        </w:rPr>
        <w:t>.</w:t>
      </w:r>
    </w:p>
    <w:p w14:paraId="557C4636" w14:textId="77777777" w:rsidR="00461F9C" w:rsidRPr="00536D16" w:rsidRDefault="00461F9C" w:rsidP="000D3625">
      <w:pPr>
        <w:pStyle w:val="Rn3"/>
        <w:spacing w:line="235" w:lineRule="auto"/>
        <w:rPr>
          <w:lang w:val="en-GB"/>
        </w:rPr>
      </w:pPr>
      <w:r w:rsidRPr="00536D16">
        <w:rPr>
          <w:lang w:val="en-GB"/>
        </w:rPr>
        <w:t>2.2.2. Chemical Activation</w:t>
      </w:r>
    </w:p>
    <w:p w14:paraId="3C95BCF2" w14:textId="2F2375FA" w:rsidR="00461F9C" w:rsidRPr="00536D16" w:rsidRDefault="00461F9C" w:rsidP="000D3625">
      <w:pPr>
        <w:spacing w:after="0" w:line="235" w:lineRule="auto"/>
        <w:ind w:firstLine="284"/>
        <w:jc w:val="both"/>
        <w:rPr>
          <w:rFonts w:ascii="Times New Roman" w:hAnsi="Times New Roman"/>
          <w:lang w:val="en-GB"/>
        </w:rPr>
      </w:pPr>
      <w:r w:rsidRPr="00536D16">
        <w:rPr>
          <w:rFonts w:ascii="Times New Roman" w:hAnsi="Times New Roman"/>
          <w:lang w:val="en-GB"/>
        </w:rPr>
        <w:t xml:space="preserve">To enhance the physicochemical </w:t>
      </w:r>
      <w:r w:rsidR="000D3625">
        <w:rPr>
          <w:rFonts w:ascii="Times New Roman" w:hAnsi="Times New Roman"/>
          <w:lang w:val="en-GB"/>
        </w:rPr>
        <w:t>properties of the bone powder, an acid-activation treatment was performed</w:t>
      </w:r>
      <w:r w:rsidRPr="00536D16">
        <w:rPr>
          <w:rFonts w:ascii="Times New Roman" w:hAnsi="Times New Roman"/>
          <w:lang w:val="en-GB"/>
        </w:rPr>
        <w:t xml:space="preserve">. Approximately 25 g of the prepared goat bone powder was mixed with 100 mL of 0.6 M hydrochloric acid </w:t>
      </w:r>
      <w:r w:rsidR="000D3625">
        <w:rPr>
          <w:rFonts w:ascii="Times New Roman" w:hAnsi="Times New Roman"/>
          <w:lang w:val="en-GB"/>
        </w:rPr>
        <w:t>and stirred continuously</w:t>
      </w:r>
      <w:r w:rsidRPr="00536D16">
        <w:rPr>
          <w:rFonts w:ascii="Times New Roman" w:hAnsi="Times New Roman"/>
          <w:lang w:val="en-GB"/>
        </w:rPr>
        <w:t xml:space="preserve"> for 1 h at room temperature using a magnetic stirrer. Acid treatment promotes the removal of inorganic impurities and improves the accessibility of surface-active sites that participate in adsorption. After activation, the suspension was separated by vacuum filtration through Whatman No. 41 filter paper. The collected solid was repeatedly washed with reverse osmosis water until the washings attained a</w:t>
      </w:r>
      <w:r w:rsidR="00805C75">
        <w:rPr>
          <w:rFonts w:ascii="Times New Roman" w:hAnsi="Times New Roman"/>
          <w:lang w:val="en-GB"/>
        </w:rPr>
        <w:t> </w:t>
      </w:r>
      <w:r w:rsidRPr="00536D16">
        <w:rPr>
          <w:rFonts w:ascii="Times New Roman" w:hAnsi="Times New Roman"/>
          <w:lang w:val="en-GB"/>
        </w:rPr>
        <w:t>neutral pH, indicating complete removal of residual acid. The neutralized sample was then dried in a laboratory oven at 105</w:t>
      </w:r>
      <w:r w:rsidR="00713072" w:rsidRPr="00536D16">
        <w:rPr>
          <w:rFonts w:ascii="Times New Roman" w:hAnsi="Times New Roman"/>
          <w:lang w:val="en-GB"/>
        </w:rPr>
        <w:t>°C</w:t>
      </w:r>
      <w:r w:rsidRPr="00536D16">
        <w:rPr>
          <w:rFonts w:ascii="Times New Roman" w:hAnsi="Times New Roman"/>
          <w:lang w:val="en-GB"/>
        </w:rPr>
        <w:t xml:space="preserve"> for 4 h. The obtained material was designated as activated goat bone powder</w:t>
      </w:r>
      <w:r w:rsidRPr="00536D16">
        <w:rPr>
          <w:rFonts w:ascii="Times New Roman" w:hAnsi="Times New Roman"/>
          <w:b/>
          <w:bCs/>
          <w:lang w:val="en-GB"/>
        </w:rPr>
        <w:t xml:space="preserve"> </w:t>
      </w:r>
      <w:r w:rsidRPr="00536D16">
        <w:rPr>
          <w:rFonts w:ascii="Times New Roman" w:hAnsi="Times New Roman"/>
          <w:lang w:val="en-GB"/>
        </w:rPr>
        <w:t>(AGBP).</w:t>
      </w:r>
      <w:r w:rsidR="00156C72" w:rsidRPr="00536D16">
        <w:rPr>
          <w:rFonts w:ascii="Times New Roman" w:hAnsi="Times New Roman"/>
          <w:b/>
          <w:bCs/>
          <w:lang w:val="en-GB"/>
        </w:rPr>
        <w:t xml:space="preserve"> </w:t>
      </w:r>
      <w:proofErr w:type="spellStart"/>
      <w:r w:rsidR="00156C72" w:rsidRPr="00536D16">
        <w:rPr>
          <w:rFonts w:ascii="Times New Roman" w:hAnsi="Times New Roman"/>
          <w:lang w:val="en-GB"/>
        </w:rPr>
        <w:t>Hydrochar</w:t>
      </w:r>
      <w:proofErr w:type="spellEnd"/>
      <w:r w:rsidR="00156C72" w:rsidRPr="00536D16">
        <w:rPr>
          <w:rFonts w:ascii="Times New Roman" w:hAnsi="Times New Roman"/>
          <w:lang w:val="en-GB"/>
        </w:rPr>
        <w:t xml:space="preserve"> was synthesized from the activated goat bone powder using a hydrothermal carbonization process. The sealed reactor was heated at 200</w:t>
      </w:r>
      <w:r w:rsidR="00713072" w:rsidRPr="00536D16">
        <w:rPr>
          <w:rFonts w:ascii="Times New Roman" w:hAnsi="Times New Roman"/>
          <w:lang w:val="en-GB"/>
        </w:rPr>
        <w:t>°C</w:t>
      </w:r>
      <w:r w:rsidR="00156C72" w:rsidRPr="00536D16">
        <w:rPr>
          <w:rFonts w:ascii="Times New Roman" w:hAnsi="Times New Roman"/>
          <w:lang w:val="en-GB"/>
        </w:rPr>
        <w:t xml:space="preserve"> for 8 h in a laboratory oven. </w:t>
      </w:r>
      <w:r w:rsidRPr="00536D16">
        <w:rPr>
          <w:rFonts w:ascii="Times New Roman" w:hAnsi="Times New Roman"/>
          <w:lang w:val="en-GB"/>
        </w:rPr>
        <w:t>The washed product was dried in a hot-air oven at 105</w:t>
      </w:r>
      <w:r w:rsidR="00713072" w:rsidRPr="00536D16">
        <w:rPr>
          <w:rFonts w:ascii="Times New Roman" w:hAnsi="Times New Roman"/>
          <w:lang w:val="en-GB"/>
        </w:rPr>
        <w:t>°C</w:t>
      </w:r>
      <w:r w:rsidRPr="00536D16">
        <w:rPr>
          <w:rFonts w:ascii="Times New Roman" w:hAnsi="Times New Roman"/>
          <w:lang w:val="en-GB"/>
        </w:rPr>
        <w:t xml:space="preserve"> for 24 h and subsequently stored in a desiccator to prevent moisture uptake. </w:t>
      </w:r>
      <w:r w:rsidR="00C40408" w:rsidRPr="00536D16">
        <w:rPr>
          <w:rFonts w:ascii="Times New Roman" w:hAnsi="Times New Roman"/>
          <w:lang w:val="en-GB"/>
        </w:rPr>
        <w:t>After acid activation and neutralization, 25 g of activated goat-bone powder (AGBP</w:t>
      </w:r>
      <w:r w:rsidR="00C40408" w:rsidRPr="00536D16">
        <w:rPr>
          <w:rFonts w:ascii="Times New Roman" w:hAnsi="Times New Roman"/>
          <w:b/>
          <w:bCs/>
          <w:lang w:val="en-GB"/>
        </w:rPr>
        <w:t>)</w:t>
      </w:r>
      <w:r w:rsidR="00C40408" w:rsidRPr="00536D16">
        <w:rPr>
          <w:rFonts w:ascii="Times New Roman" w:hAnsi="Times New Roman"/>
          <w:lang w:val="en-GB"/>
        </w:rPr>
        <w:t xml:space="preserve"> was dispersed in 100 mL of distilled water, corresponding to a solid-to-liquid ratio of 1:4 (w/v). The suspension was transferred into a 200 mL Teflon-lined stainless-steel hydrothermal reactor, corresponding to approximately 50% reactor filling. The sealed reactor was heated at 200</w:t>
      </w:r>
      <w:r w:rsidR="00713072" w:rsidRPr="00536D16">
        <w:rPr>
          <w:rFonts w:ascii="Times New Roman" w:hAnsi="Times New Roman"/>
          <w:lang w:val="en-GB"/>
        </w:rPr>
        <w:t>°C</w:t>
      </w:r>
      <w:r w:rsidR="00C40408" w:rsidRPr="00536D16">
        <w:rPr>
          <w:rFonts w:ascii="Times New Roman" w:hAnsi="Times New Roman"/>
          <w:lang w:val="en-GB"/>
        </w:rPr>
        <w:t xml:space="preserve"> for 8 h under autogenous pressure. After cooling to room temperature, the </w:t>
      </w:r>
      <w:proofErr w:type="spellStart"/>
      <w:r w:rsidR="00C40408" w:rsidRPr="00536D16">
        <w:rPr>
          <w:rFonts w:ascii="Times New Roman" w:hAnsi="Times New Roman"/>
          <w:lang w:val="en-GB"/>
        </w:rPr>
        <w:t>hydrochar</w:t>
      </w:r>
      <w:proofErr w:type="spellEnd"/>
      <w:r w:rsidR="00C40408" w:rsidRPr="00536D16">
        <w:rPr>
          <w:rFonts w:ascii="Times New Roman" w:hAnsi="Times New Roman"/>
          <w:lang w:val="en-GB"/>
        </w:rPr>
        <w:t xml:space="preserve"> was recovered by vacuum filtration, washed repeatedly with RO water until neutral pH (~7), dried at 105</w:t>
      </w:r>
      <w:r w:rsidR="00713072" w:rsidRPr="00536D16">
        <w:rPr>
          <w:rFonts w:ascii="Times New Roman" w:hAnsi="Times New Roman"/>
          <w:lang w:val="en-GB"/>
        </w:rPr>
        <w:t>°C</w:t>
      </w:r>
      <w:r w:rsidR="00C40408" w:rsidRPr="00536D16">
        <w:rPr>
          <w:rFonts w:ascii="Times New Roman" w:hAnsi="Times New Roman"/>
          <w:lang w:val="en-GB"/>
        </w:rPr>
        <w:t xml:space="preserve"> for 24 h, and stored in a desiccator. The resulting material was designated as goat bone </w:t>
      </w:r>
      <w:proofErr w:type="spellStart"/>
      <w:r w:rsidR="00C40408" w:rsidRPr="00536D16">
        <w:rPr>
          <w:rFonts w:ascii="Times New Roman" w:hAnsi="Times New Roman"/>
          <w:lang w:val="en-GB"/>
        </w:rPr>
        <w:t>hydrochar</w:t>
      </w:r>
      <w:proofErr w:type="spellEnd"/>
      <w:r w:rsidR="00C40408" w:rsidRPr="00536D16">
        <w:rPr>
          <w:rFonts w:ascii="Times New Roman" w:hAnsi="Times New Roman"/>
          <w:lang w:val="en-GB"/>
        </w:rPr>
        <w:t xml:space="preserve"> powder (GBHP). </w:t>
      </w:r>
      <w:r w:rsidRPr="00536D16">
        <w:rPr>
          <w:rFonts w:ascii="Times New Roman" w:hAnsi="Times New Roman"/>
          <w:lang w:val="en-GB"/>
        </w:rPr>
        <w:t xml:space="preserve">The final adsorbent obtained from this procedure was referred to as GBHP for all characterization and </w:t>
      </w:r>
      <w:r w:rsidR="005E6DB5" w:rsidRPr="00536D16">
        <w:rPr>
          <w:rFonts w:ascii="Times New Roman" w:hAnsi="Times New Roman"/>
          <w:lang w:val="en-GB"/>
        </w:rPr>
        <w:t>further</w:t>
      </w:r>
      <w:r w:rsidRPr="00536D16">
        <w:rPr>
          <w:rFonts w:ascii="Times New Roman" w:hAnsi="Times New Roman"/>
          <w:lang w:val="en-GB"/>
        </w:rPr>
        <w:t xml:space="preserve"> experiments</w:t>
      </w:r>
      <w:r w:rsidR="00F932AE" w:rsidRPr="00536D16">
        <w:rPr>
          <w:rFonts w:ascii="Times New Roman" w:hAnsi="Times New Roman"/>
          <w:lang w:val="en-GB"/>
        </w:rPr>
        <w:t xml:space="preserve"> </w:t>
      </w:r>
      <w:r w:rsidR="00F932AE" w:rsidRPr="00536D16">
        <w:rPr>
          <w:rFonts w:ascii="Times New Roman" w:hAnsi="Times New Roman"/>
          <w:lang w:val="en-GB"/>
        </w:rPr>
        <w:fldChar w:fldCharType="begin" w:fldLock="1"/>
      </w:r>
      <w:r w:rsidR="00F932AE" w:rsidRPr="00536D16">
        <w:rPr>
          <w:rFonts w:ascii="Times New Roman" w:hAnsi="Times New Roman"/>
          <w:lang w:val="en-GB"/>
        </w:rPr>
        <w:instrText>ADDIN CSL_CITATION {"citationItems":[{"id":"ITEM-1","itemData":{"DOI":"https://doi.org/10.1016/j.jenvman.2023.118815","ISSN":"0301-4797","abstract":"This investigation is centered on the effectiveness of methylene blue (MB), a cationic dye, adsorbed from an aqueous media by H3PO4 activated papaya skin/peels (PSPAC), with initial pH (2–10), contact time (30–180 min), MB dye concentration (varying from 10 to 50 mg/L), and MB dose (0.1–0.5 gm). The findings show that the best optimal conditions for MB dye removal occur at a 6 pH, 0.3 gm dose of PSPAC adsorbent for 10 mg/L MB dye concentration, with 90 min of contact time. To optimize and validate the extraction efficiency of MB dye, a response surface methodology (RSM) study was conducted using a central composite design (CCD) with a regression model showing R2 = 0.9940. FT-IR spectroscopy shows, CO, and O–H stretching functional groups while FE-SEM is assessed to supervise morphological features of the PSPAC adsorbent. The peak adsorption capacity with 46.95 mg/g for the Langmuir isotherm model conveniently satisfies the adsorption process with R2 = 0.9984 while with R2 = 0.999, a kinetic model, pseudo-second-order, confirms MB dye adsorption by PSPAC adsorbent. Moreover, thermodynamic parameters including ΔGᵒ, ΔH°, and ΔS° were computed and found to be spontaneous and exothermic. Furthermore, regeneration studies employed with NaOH (0.1 M) and HCl (0.1 M) solution media show an acceptable MB removal efficiency consecutive up to three cycles. The study highlights that H3PO4 papaya skin/peel (PSPAC) is an effectual, sustainable, reasonably available biosorbent to remove industrial cationic dyes disposal.","author":[{"dropping-particle":"","family":"Waghmare","given":"Charuta","non-dropping-particle":"","parse-names":false,"suffix":""},{"dropping-particle":"","family":"Ghodmare","given":"Sujesh","non-dropping-particle":"","parse-names":false,"suffix":""},{"dropping-particle":"","family":"Ansari","given":"Khalid","non-dropping-particle":"","parse-names":false,"suffix":""},{"dropping-particle":"","family":"Dehghani","given":"Mohammad Hadi","non-dropping-particle":"","parse-names":false,"suffix":""},{"dropping-particle":"","family":"Amir Khan","given":"Mohammad","non-dropping-particle":"","parse-names":false,"suffix":""},{"dropping-particle":"","family":"Hasan","given":"Mohd Abul","non-dropping-particle":"","parse-names":false,"suffix":""},{"dropping-particle":"","family":"Islam","given":"Saiful","non-dropping-particle":"","parse-names":false,"suffix":""},{"dropping-particle":"","family":"Khan","given":"Nadeem A","non-dropping-particle":"","parse-names":false,"suffix":""},{"dropping-particle":"","family":"Zahmatkesh","given":"Sasan","non-dropping-particle":"","parse-names":false,"suffix":""}],"container-title":"Journal of Environmental Management","id":"ITEM-1","issued":{"date-parts":[["2023"]]},"page":"118815","title":"Experimental investigation of H3PO4 activated papaya peels for methylene blue dye removal from aqueous solution: Evaluation on optimization, kinetics, isotherm, thermodynamics, and reusability studies","type":"article-journal","volume":"345"},"uris":["http://www.mendeley.com/documents/?uuid=1d23bfcf-a432-48dc-b938-8041181b2fb2"]}],"mendeley":{"formattedCitation":"(Waghmare et al., 2023)","plainTextFormattedCitation":"(Waghmare et al., 2023)","previouslyFormattedCitation":"(Waghmare et al., 2023)"},"properties":{"noteIndex":0},"schema":"https://github.com/citation-style-language/schema/raw/master/csl-citation.json"}</w:instrText>
      </w:r>
      <w:r w:rsidR="00F932AE" w:rsidRPr="00536D16">
        <w:rPr>
          <w:rFonts w:ascii="Times New Roman" w:hAnsi="Times New Roman"/>
          <w:lang w:val="en-GB"/>
        </w:rPr>
        <w:fldChar w:fldCharType="separate"/>
      </w:r>
      <w:r w:rsidR="00F932AE" w:rsidRPr="00536D16">
        <w:rPr>
          <w:rFonts w:ascii="Times New Roman" w:hAnsi="Times New Roman"/>
          <w:noProof/>
          <w:lang w:val="en-GB"/>
        </w:rPr>
        <w:t>(Waghmare et al., 2023)</w:t>
      </w:r>
      <w:r w:rsidR="00F932AE" w:rsidRPr="00536D16">
        <w:rPr>
          <w:rFonts w:ascii="Times New Roman" w:hAnsi="Times New Roman"/>
          <w:lang w:val="en-GB"/>
        </w:rPr>
        <w:fldChar w:fldCharType="end"/>
      </w:r>
      <w:r w:rsidRPr="00536D16">
        <w:rPr>
          <w:rFonts w:ascii="Times New Roman" w:hAnsi="Times New Roman"/>
          <w:lang w:val="en-GB"/>
        </w:rPr>
        <w:t>.</w:t>
      </w:r>
    </w:p>
    <w:p w14:paraId="0F920481" w14:textId="73E76A02" w:rsidR="00156C72" w:rsidRPr="00805C75" w:rsidRDefault="00156C72" w:rsidP="000D3625">
      <w:pPr>
        <w:pStyle w:val="Rn2"/>
        <w:spacing w:line="235" w:lineRule="auto"/>
        <w:rPr>
          <w:lang w:val="en-US"/>
        </w:rPr>
      </w:pPr>
      <w:r w:rsidRPr="00805C75">
        <w:rPr>
          <w:lang w:val="en-US"/>
        </w:rPr>
        <w:lastRenderedPageBreak/>
        <w:t>2.3. Material Characterization</w:t>
      </w:r>
    </w:p>
    <w:p w14:paraId="3234AEBC" w14:textId="67C342A9" w:rsidR="00461F9C" w:rsidRPr="000D3625" w:rsidRDefault="00156C72" w:rsidP="000D3625">
      <w:pPr>
        <w:spacing w:after="0" w:line="235" w:lineRule="auto"/>
        <w:ind w:firstLine="284"/>
        <w:jc w:val="both"/>
        <w:rPr>
          <w:rFonts w:ascii="Times New Roman" w:hAnsi="Times New Roman"/>
          <w:spacing w:val="-2"/>
          <w:lang w:val="en-GB"/>
        </w:rPr>
      </w:pPr>
      <w:r w:rsidRPr="000D3625">
        <w:rPr>
          <w:rFonts w:ascii="Times New Roman" w:hAnsi="Times New Roman"/>
          <w:spacing w:val="-2"/>
          <w:lang w:val="en-GB"/>
        </w:rPr>
        <w:t xml:space="preserve">Synthesized Goat bone </w:t>
      </w:r>
      <w:proofErr w:type="spellStart"/>
      <w:r w:rsidRPr="000D3625">
        <w:rPr>
          <w:rFonts w:ascii="Times New Roman" w:hAnsi="Times New Roman"/>
          <w:spacing w:val="-2"/>
          <w:lang w:val="en-GB"/>
        </w:rPr>
        <w:t>hydrochar</w:t>
      </w:r>
      <w:proofErr w:type="spellEnd"/>
      <w:r w:rsidRPr="000D3625">
        <w:rPr>
          <w:rFonts w:ascii="Times New Roman" w:hAnsi="Times New Roman"/>
          <w:spacing w:val="-2"/>
          <w:lang w:val="en-GB"/>
        </w:rPr>
        <w:t xml:space="preserve"> powder (GBHP) was characterized to determine its physicochemical properties. The concentration of malachite green (MG) was determined by UV spectrophotometer (HACH DR 6000). X-ray diffraction (XRD) was used to </w:t>
      </w:r>
      <w:proofErr w:type="spellStart"/>
      <w:r w:rsidRPr="000D3625">
        <w:rPr>
          <w:rFonts w:ascii="Times New Roman" w:hAnsi="Times New Roman"/>
          <w:spacing w:val="-2"/>
          <w:lang w:val="en-GB"/>
        </w:rPr>
        <w:t>analyze</w:t>
      </w:r>
      <w:proofErr w:type="spellEnd"/>
      <w:r w:rsidRPr="000D3625">
        <w:rPr>
          <w:rFonts w:ascii="Times New Roman" w:hAnsi="Times New Roman"/>
          <w:spacing w:val="-2"/>
          <w:lang w:val="en-GB"/>
        </w:rPr>
        <w:t xml:space="preserve"> the crystalline structure of the material over a 2θ range of 10–80°, and Fourier transform infrared spectroscopy (FTIR, PerkinElmer) was used to identify the surface functional groups.</w:t>
      </w:r>
      <w:r w:rsidRPr="00805C75">
        <w:rPr>
          <w:rFonts w:ascii="Times New Roman" w:hAnsi="Times New Roman"/>
          <w:lang w:val="en-GB"/>
        </w:rPr>
        <w:t xml:space="preserve"> The elemental composition and surface morphology of the samples were studied by field</w:t>
      </w:r>
      <w:r w:rsidR="000D3625" w:rsidRPr="00805C75">
        <w:rPr>
          <w:rFonts w:ascii="Times New Roman" w:hAnsi="Times New Roman"/>
          <w:lang w:val="en-GB"/>
        </w:rPr>
        <w:t>-emission scanning electron microscopy with energy-</w:t>
      </w:r>
      <w:r w:rsidRPr="00805C75">
        <w:rPr>
          <w:rFonts w:ascii="Times New Roman" w:hAnsi="Times New Roman"/>
          <w:lang w:val="en-GB"/>
        </w:rPr>
        <w:t>dispersive X-ray spectroscopy (FESEM–EDS, JEOL JSM-7610F). Brunauer–Emmett–Teller (BET) analysis was used to determine the specific surface area, pore volume, and pore</w:t>
      </w:r>
      <w:r w:rsidR="000D3625" w:rsidRPr="00805C75">
        <w:rPr>
          <w:rFonts w:ascii="Times New Roman" w:hAnsi="Times New Roman"/>
          <w:lang w:val="en-GB"/>
        </w:rPr>
        <w:t>-size distribution from</w:t>
      </w:r>
      <w:r w:rsidRPr="00805C75">
        <w:rPr>
          <w:rFonts w:ascii="Times New Roman" w:hAnsi="Times New Roman"/>
          <w:lang w:val="en-GB"/>
        </w:rPr>
        <w:t xml:space="preserve"> N</w:t>
      </w:r>
      <w:r w:rsidR="00F932AE" w:rsidRPr="00805C75">
        <w:rPr>
          <w:rFonts w:ascii="Times New Roman" w:hAnsi="Times New Roman"/>
          <w:vertAlign w:val="subscript"/>
          <w:lang w:val="en-GB"/>
        </w:rPr>
        <w:t>2</w:t>
      </w:r>
      <w:r w:rsidRPr="00805C75">
        <w:rPr>
          <w:rFonts w:ascii="Times New Roman" w:hAnsi="Times New Roman"/>
          <w:lang w:val="en-GB"/>
        </w:rPr>
        <w:t xml:space="preserve"> adsorption–desorption isotherms</w:t>
      </w:r>
      <w:r w:rsidRPr="000D3625">
        <w:rPr>
          <w:rFonts w:ascii="Times New Roman" w:hAnsi="Times New Roman"/>
          <w:spacing w:val="-2"/>
          <w:lang w:val="en-GB"/>
        </w:rPr>
        <w:t xml:space="preserve">. Surface chemical composition was </w:t>
      </w:r>
      <w:proofErr w:type="spellStart"/>
      <w:r w:rsidRPr="000D3625">
        <w:rPr>
          <w:rFonts w:ascii="Times New Roman" w:hAnsi="Times New Roman"/>
          <w:spacing w:val="-2"/>
          <w:lang w:val="en-GB"/>
        </w:rPr>
        <w:t>analyzed</w:t>
      </w:r>
      <w:proofErr w:type="spellEnd"/>
      <w:r w:rsidRPr="000D3625">
        <w:rPr>
          <w:rFonts w:ascii="Times New Roman" w:hAnsi="Times New Roman"/>
          <w:spacing w:val="-2"/>
          <w:lang w:val="en-GB"/>
        </w:rPr>
        <w:t xml:space="preserve"> by X-ray photoelectron spectroscopy (XPS, PHI Versa Probe III)</w:t>
      </w:r>
      <w:r w:rsidR="000D3625" w:rsidRPr="000D3625">
        <w:rPr>
          <w:rFonts w:ascii="Times New Roman" w:hAnsi="Times New Roman"/>
          <w:spacing w:val="-2"/>
          <w:lang w:val="en-GB"/>
        </w:rPr>
        <w:t>. In contrast,</w:t>
      </w:r>
      <w:r w:rsidRPr="000D3625">
        <w:rPr>
          <w:rFonts w:ascii="Times New Roman" w:hAnsi="Times New Roman"/>
          <w:spacing w:val="-2"/>
          <w:lang w:val="en-GB"/>
        </w:rPr>
        <w:t xml:space="preserve"> the structural order and graphitic nature of the </w:t>
      </w:r>
      <w:proofErr w:type="spellStart"/>
      <w:r w:rsidRPr="000D3625">
        <w:rPr>
          <w:rFonts w:ascii="Times New Roman" w:hAnsi="Times New Roman"/>
          <w:spacing w:val="-2"/>
          <w:lang w:val="en-GB"/>
        </w:rPr>
        <w:t>hydrochar</w:t>
      </w:r>
      <w:proofErr w:type="spellEnd"/>
      <w:r w:rsidRPr="000D3625">
        <w:rPr>
          <w:rFonts w:ascii="Times New Roman" w:hAnsi="Times New Roman"/>
          <w:spacing w:val="-2"/>
          <w:lang w:val="en-GB"/>
        </w:rPr>
        <w:t xml:space="preserve"> w</w:t>
      </w:r>
      <w:r w:rsidR="000D3625" w:rsidRPr="000D3625">
        <w:rPr>
          <w:rFonts w:ascii="Times New Roman" w:hAnsi="Times New Roman"/>
          <w:spacing w:val="-2"/>
          <w:lang w:val="en-GB"/>
        </w:rPr>
        <w:t>ere</w:t>
      </w:r>
      <w:r w:rsidRPr="000D3625">
        <w:rPr>
          <w:rFonts w:ascii="Times New Roman" w:hAnsi="Times New Roman"/>
          <w:spacing w:val="-2"/>
          <w:lang w:val="en-GB"/>
        </w:rPr>
        <w:t xml:space="preserve"> </w:t>
      </w:r>
      <w:proofErr w:type="spellStart"/>
      <w:r w:rsidRPr="000D3625">
        <w:rPr>
          <w:rFonts w:ascii="Times New Roman" w:hAnsi="Times New Roman"/>
          <w:spacing w:val="-2"/>
          <w:lang w:val="en-GB"/>
        </w:rPr>
        <w:t>analyzed</w:t>
      </w:r>
      <w:proofErr w:type="spellEnd"/>
      <w:r w:rsidRPr="000D3625">
        <w:rPr>
          <w:rFonts w:ascii="Times New Roman" w:hAnsi="Times New Roman"/>
          <w:spacing w:val="-2"/>
          <w:lang w:val="en-GB"/>
        </w:rPr>
        <w:t xml:space="preserve"> by Raman spectroscopy (HORIBA Lab RAM HR Evolution).</w:t>
      </w:r>
    </w:p>
    <w:p w14:paraId="0C318163" w14:textId="395F1A8A" w:rsidR="00156C72" w:rsidRPr="00805C75" w:rsidRDefault="00156C72" w:rsidP="000D3625">
      <w:pPr>
        <w:pStyle w:val="Rn2"/>
        <w:spacing w:line="235" w:lineRule="auto"/>
        <w:rPr>
          <w:lang w:val="en-US"/>
        </w:rPr>
      </w:pPr>
      <w:r w:rsidRPr="00805C75">
        <w:rPr>
          <w:lang w:val="en-US"/>
        </w:rPr>
        <w:t>2.</w:t>
      </w:r>
      <w:r w:rsidR="00A51C61" w:rsidRPr="00805C75">
        <w:rPr>
          <w:lang w:val="en-US"/>
        </w:rPr>
        <w:t>4</w:t>
      </w:r>
      <w:r w:rsidRPr="00805C75">
        <w:rPr>
          <w:lang w:val="en-US"/>
        </w:rPr>
        <w:t>. Adsorption Studies</w:t>
      </w:r>
    </w:p>
    <w:p w14:paraId="31DB9B17" w14:textId="383E4539" w:rsidR="00A51C61" w:rsidRDefault="005E6DB5" w:rsidP="000D3625">
      <w:pPr>
        <w:spacing w:after="0" w:line="235" w:lineRule="auto"/>
        <w:ind w:firstLine="284"/>
        <w:jc w:val="both"/>
        <w:rPr>
          <w:rFonts w:ascii="Times New Roman" w:hAnsi="Times New Roman"/>
          <w:lang w:val="en-GB"/>
        </w:rPr>
      </w:pPr>
      <w:r w:rsidRPr="00536D16">
        <w:rPr>
          <w:rFonts w:ascii="Times New Roman" w:hAnsi="Times New Roman"/>
          <w:lang w:val="en-GB"/>
        </w:rPr>
        <w:t xml:space="preserve">The adsorption capability of synthesized goat bone </w:t>
      </w:r>
      <w:proofErr w:type="spellStart"/>
      <w:r w:rsidRPr="00536D16">
        <w:rPr>
          <w:rFonts w:ascii="Times New Roman" w:hAnsi="Times New Roman"/>
          <w:lang w:val="en-GB"/>
        </w:rPr>
        <w:t>hydrochar</w:t>
      </w:r>
      <w:proofErr w:type="spellEnd"/>
      <w:r w:rsidRPr="00536D16">
        <w:rPr>
          <w:rFonts w:ascii="Times New Roman" w:hAnsi="Times New Roman"/>
          <w:lang w:val="en-GB"/>
        </w:rPr>
        <w:t xml:space="preserve"> powder (GBHP) for the removal of malachite green (MG) from aqueous media was systematically evaluated through batch adsorption experiments</w:t>
      </w:r>
      <w:r w:rsidR="00156C72" w:rsidRPr="00536D16">
        <w:rPr>
          <w:rFonts w:ascii="Times New Roman" w:hAnsi="Times New Roman"/>
          <w:lang w:val="en-GB"/>
        </w:rPr>
        <w:t xml:space="preserve">. The influence of operating parameters, including initial dye concentration, adsorbent dosage, solution pH, contact time, and temperature, was systematically investigated. Adsorption kinetics, equilibrium isotherms, and thermodynamic </w:t>
      </w:r>
      <w:proofErr w:type="spellStart"/>
      <w:r w:rsidR="00156C72" w:rsidRPr="00536D16">
        <w:rPr>
          <w:rFonts w:ascii="Times New Roman" w:hAnsi="Times New Roman"/>
          <w:lang w:val="en-GB"/>
        </w:rPr>
        <w:t>behavior</w:t>
      </w:r>
      <w:proofErr w:type="spellEnd"/>
      <w:r w:rsidR="00156C72" w:rsidRPr="00536D16">
        <w:rPr>
          <w:rFonts w:ascii="Times New Roman" w:hAnsi="Times New Roman"/>
          <w:lang w:val="en-GB"/>
        </w:rPr>
        <w:t xml:space="preserve"> were subsequently </w:t>
      </w:r>
      <w:proofErr w:type="spellStart"/>
      <w:r w:rsidR="00156C72" w:rsidRPr="00536D16">
        <w:rPr>
          <w:rFonts w:ascii="Times New Roman" w:hAnsi="Times New Roman"/>
          <w:lang w:val="en-GB"/>
        </w:rPr>
        <w:t>analyzed</w:t>
      </w:r>
      <w:proofErr w:type="spellEnd"/>
      <w:r w:rsidR="00156C72" w:rsidRPr="00536D16">
        <w:rPr>
          <w:rFonts w:ascii="Times New Roman" w:hAnsi="Times New Roman"/>
          <w:lang w:val="en-GB"/>
        </w:rPr>
        <w:t xml:space="preserve"> under the optimized experimental conditions. To examine the effect of initial dye concentration, 100 mL of MG solution </w:t>
      </w:r>
      <w:r w:rsidR="000D3625">
        <w:rPr>
          <w:rFonts w:ascii="Times New Roman" w:hAnsi="Times New Roman"/>
          <w:lang w:val="en-GB"/>
        </w:rPr>
        <w:t>at concentrations ranging from 10 to 60 mg L</w:t>
      </w:r>
      <w:r w:rsidR="000D3625" w:rsidRPr="000D3625">
        <w:rPr>
          <w:rFonts w:ascii="Times New Roman" w:hAnsi="Times New Roman"/>
          <w:vertAlign w:val="superscript"/>
          <w:lang w:val="en-GB"/>
        </w:rPr>
        <w:t>-1</w:t>
      </w:r>
      <w:r w:rsidR="000D3625">
        <w:rPr>
          <w:rFonts w:ascii="Times New Roman" w:hAnsi="Times New Roman"/>
          <w:lang w:val="en-GB"/>
        </w:rPr>
        <w:t xml:space="preserve"> </w:t>
      </w:r>
      <w:r w:rsidR="00156C72" w:rsidRPr="00536D16">
        <w:rPr>
          <w:rFonts w:ascii="Times New Roman" w:hAnsi="Times New Roman"/>
          <w:lang w:val="en-GB"/>
        </w:rPr>
        <w:t xml:space="preserve">was transferred into separate 250 mL beakers, and 0.2 g of GBHP was added to each solution. The solution pH was maintained at the desired value throughout the </w:t>
      </w:r>
      <w:r w:rsidR="00F178DF" w:rsidRPr="00536D16">
        <w:rPr>
          <w:rFonts w:ascii="Times New Roman" w:hAnsi="Times New Roman"/>
          <w:lang w:val="en-GB"/>
        </w:rPr>
        <w:t xml:space="preserve">experiment, and the adsorption capacity and removal efficiency were calculated using the equations presented </w:t>
      </w:r>
      <w:r w:rsidR="00F178DF" w:rsidRPr="000D3625">
        <w:rPr>
          <w:rFonts w:ascii="Times New Roman" w:hAnsi="Times New Roman"/>
          <w:lang w:val="en-GB"/>
        </w:rPr>
        <w:t xml:space="preserve">in </w:t>
      </w:r>
      <w:r w:rsidR="00F178DF" w:rsidRPr="000D3625">
        <w:rPr>
          <w:rFonts w:ascii="Times New Roman" w:hAnsi="Times New Roman"/>
          <w:bCs/>
          <w:lang w:val="en-GB"/>
        </w:rPr>
        <w:t>Table 1</w:t>
      </w:r>
      <w:r w:rsidR="00F932AE" w:rsidRPr="00536D16">
        <w:rPr>
          <w:rFonts w:ascii="Times New Roman" w:hAnsi="Times New Roman"/>
          <w:b/>
          <w:bCs/>
          <w:lang w:val="en-GB"/>
        </w:rPr>
        <w:t xml:space="preserve"> </w:t>
      </w:r>
      <w:r w:rsidR="00F932AE" w:rsidRPr="00536D16">
        <w:rPr>
          <w:rFonts w:ascii="Times New Roman" w:hAnsi="Times New Roman"/>
          <w:b/>
          <w:bCs/>
          <w:lang w:val="en-GB"/>
        </w:rPr>
        <w:fldChar w:fldCharType="begin" w:fldLock="1"/>
      </w:r>
      <w:r w:rsidR="00F932AE" w:rsidRPr="00536D16">
        <w:rPr>
          <w:rFonts w:ascii="Times New Roman" w:hAnsi="Times New Roman"/>
          <w:b/>
          <w:bCs/>
          <w:lang w:val="en-GB"/>
        </w:rPr>
        <w:instrText>ADDIN CSL_CITATION {"citationItems":[{"id":"ITEM-1","itemData":{"DOI":"https://doi.org/10.1016/j.dwt.2024.100406","ISSN":"1944-3986","abstract":"The orthophosphoric acid-treated pomegranate peels (POPAC) performance was investigated through batch mode for Methylene Blue dye (MB) adsorption from an aqueous solution. Although chemical activation using various chemical agents has been explored by other research work, but novelty application of H3PO4 in a 1:1 wt percentage for activation exhibits unprecedented performance in enhancing the efficiency of MB dye removal. Dependent parameters were optimized, with pH of the sample, contact interval, initial MB concentration, and dose of adsorbent. Excellent removal efficiency (above 92 %) was observed at pH 8 with a dose of 0.25 g/100 mL for 120 min of contact duration. At the qmax value of 14.03 mg/g, the Langmuir isotherm demonstrated the MB dye monolayer adsorption onto POPAC, elucidating the adsorption mechanism with R2 = 0.9883. The kinetics of MB adsorption fit excellently through the pseudo-second-order model with R2 = 0.9997, and the model's estimated adsorption capacity agreed well with the results obtained from the experimental investigation. Thermodynamic parameters, including ΔGᵒ, ΔH°, and ΔS°, additionally demonstrated the spontaneous as well as endothermic adsorption nature of MB on the POPAC’s surface. Furthermore, regeneration studies using 0.1 M NaOH and 0.1 M HCl solutions show adequate MB dye elimination after three cycles. According to the research findings, pomegranate peel may be an inexpensive, environmentally acceptable, and operative biosorbent to eliminate MB dye from polluted aqueous matrices.","author":[{"dropping-particle":"","family":"Waghmare","given":"Charuta","non-dropping-particle":"","parse-names":false,"suffix":""},{"dropping-particle":"","family":"Ghodmare","given":"Sujesh","non-dropping-particle":"","parse-names":false,"suffix":""},{"dropping-particle":"","family":"Ansari","given":"Khalid","non-dropping-particle":"","parse-names":false,"suffix":""},{"dropping-particle":"","family":"Alfaisal","given":"Faisal M","non-dropping-particle":"","parse-names":false,"suffix":""},{"dropping-particle":"","family":"Alam","given":"Shamshad","non-dropping-particle":"","parse-names":false,"suffix":""},{"dropping-particle":"","family":"Khan","given":"Mohammad Amir","non-dropping-particle":"","parse-names":false,"suffix":""},{"dropping-particle":"","family":"Ezaier","given":"Yassine","non-dropping-particle":"","parse-names":false,"suffix":""}],"container-title":"Desalination and Water Treatment","id":"ITEM-1","issued":{"date-parts":[["2024"]]},"page":"100406","title":"Adsorption of methylene blue dye onto phosphoric acid-treated pomegranate peel adsorbent: Kinetic and thermodynamic studies","type":"article-journal","volume":"318"},"uris":["http://www.mendeley.com/documents/?uuid=e2a201be-c501-464e-8dbe-726c160b5983"]}],"mendeley":{"formattedCitation":"(Waghmare et al., 2024)","plainTextFormattedCitation":"(Waghmare et al., 2024)","previouslyFormattedCitation":"(Waghmare et al., 2024)"},"properties":{"noteIndex":0},"schema":"https://github.com/citation-style-language/schema/raw/master/csl-citation.json"}</w:instrText>
      </w:r>
      <w:r w:rsidR="00F932AE" w:rsidRPr="00536D16">
        <w:rPr>
          <w:rFonts w:ascii="Times New Roman" w:hAnsi="Times New Roman"/>
          <w:b/>
          <w:bCs/>
          <w:lang w:val="en-GB"/>
        </w:rPr>
        <w:fldChar w:fldCharType="separate"/>
      </w:r>
      <w:r w:rsidR="00F932AE" w:rsidRPr="00536D16">
        <w:rPr>
          <w:rFonts w:ascii="Times New Roman" w:hAnsi="Times New Roman"/>
          <w:bCs/>
          <w:noProof/>
          <w:lang w:val="en-GB"/>
        </w:rPr>
        <w:t>(Waghmare et al., 2024)</w:t>
      </w:r>
      <w:r w:rsidR="00F932AE" w:rsidRPr="00536D16">
        <w:rPr>
          <w:rFonts w:ascii="Times New Roman" w:hAnsi="Times New Roman"/>
          <w:b/>
          <w:bCs/>
          <w:lang w:val="en-GB"/>
        </w:rPr>
        <w:fldChar w:fldCharType="end"/>
      </w:r>
      <w:r w:rsidR="00F178DF" w:rsidRPr="00536D16">
        <w:rPr>
          <w:rFonts w:ascii="Times New Roman" w:hAnsi="Times New Roman"/>
          <w:lang w:val="en-GB"/>
        </w:rPr>
        <w:t>.</w:t>
      </w:r>
      <w:r w:rsidR="00A51C61" w:rsidRPr="00536D16">
        <w:rPr>
          <w:rFonts w:ascii="Times New Roman" w:hAnsi="Times New Roman"/>
          <w:lang w:val="en-GB"/>
        </w:rPr>
        <w:t xml:space="preserve"> The optimum adsorbent dosage was determined by varying the amount of GBHP from 0.1 to 1.5 g while maintaining the dye concentration at 60 mg L</w:t>
      </w:r>
      <w:r w:rsidR="000D3625" w:rsidRPr="000D3625">
        <w:rPr>
          <w:rFonts w:ascii="Times New Roman" w:hAnsi="Times New Roman"/>
          <w:vertAlign w:val="superscript"/>
          <w:lang w:val="en-GB"/>
        </w:rPr>
        <w:t>-</w:t>
      </w:r>
      <w:r w:rsidR="00A51C61" w:rsidRPr="00536D16">
        <w:rPr>
          <w:rFonts w:ascii="Times New Roman" w:hAnsi="Times New Roman"/>
          <w:lang w:val="en-GB"/>
        </w:rPr>
        <w:t>¹ in 100 mL of solution. The effect of pH was evaluated over the range of 2–8, whereas the contact time was varied from 10 to 90 min to determine the adsorption equilibrium time. Temperature-dependent adsorption experiments were performed between 25 and 40</w:t>
      </w:r>
      <w:r w:rsidR="00713072" w:rsidRPr="00536D16">
        <w:rPr>
          <w:rFonts w:ascii="Times New Roman" w:hAnsi="Times New Roman"/>
          <w:lang w:val="en-GB"/>
        </w:rPr>
        <w:t>°C</w:t>
      </w:r>
      <w:r w:rsidR="00A51C61" w:rsidRPr="00536D16">
        <w:rPr>
          <w:rFonts w:ascii="Times New Roman" w:hAnsi="Times New Roman"/>
          <w:lang w:val="en-GB"/>
        </w:rPr>
        <w:t xml:space="preserve">. After each adsorption experiment, the suspension was separated by filtration using Whatman No. 41 filter paper, and the residual </w:t>
      </w:r>
      <w:r w:rsidR="000D3625">
        <w:rPr>
          <w:rFonts w:ascii="Times New Roman" w:hAnsi="Times New Roman"/>
          <w:lang w:val="en-GB"/>
        </w:rPr>
        <w:t>malachite green concentration in the filtrate was determined using a UV–Visible spectrophotometer (HACH DR 6000) at the</w:t>
      </w:r>
      <w:r w:rsidR="00A51C61" w:rsidRPr="00536D16">
        <w:rPr>
          <w:rFonts w:ascii="Times New Roman" w:hAnsi="Times New Roman"/>
          <w:lang w:val="en-GB"/>
        </w:rPr>
        <w:t xml:space="preserve"> maximum absorption wavelength</w:t>
      </w:r>
      <w:r w:rsidR="00F932AE" w:rsidRPr="00536D16">
        <w:rPr>
          <w:rFonts w:ascii="Times New Roman" w:hAnsi="Times New Roman"/>
          <w:lang w:val="en-GB"/>
        </w:rPr>
        <w:t xml:space="preserve"> </w:t>
      </w:r>
      <w:r w:rsidR="00F932AE" w:rsidRPr="00536D16">
        <w:rPr>
          <w:rFonts w:ascii="Times New Roman" w:hAnsi="Times New Roman"/>
          <w:lang w:val="en-GB"/>
        </w:rPr>
        <w:fldChar w:fldCharType="begin" w:fldLock="1"/>
      </w:r>
      <w:r w:rsidR="00F932AE" w:rsidRPr="00536D16">
        <w:rPr>
          <w:rFonts w:ascii="Times New Roman" w:hAnsi="Times New Roman"/>
          <w:lang w:val="en-GB"/>
        </w:rPr>
        <w:instrText>ADDIN CSL_CITATION {"citationItems":[{"id":"ITEM-1","itemData":{"DOI":"10.69626/csa.2024.0088","author":[{"dropping-particle":"","family":"Morris","given":"Andrew R","non-dropping-particle":"","parse-names":false,"suffix":""},{"dropping-particle":"","family":"Patil","given":"Avinash J","non-dropping-particle":"","parse-names":false,"suffix":""},{"dropping-particle":"","family":"Sadekar","given":"Shraddha","non-dropping-particle":"","parse-names":false,"suffix":""},{"dropping-particle":"","family":"Choudhury","given":"Ankita","non-dropping-particle":"","parse-names":false,"suffix":""},{"dropping-particle":"","family":"Munde","given":"Mahadevi","non-dropping-particle":"","parse-names":false,"suffix":""},{"dropping-particle":"","family":"Chougale","given":"Ashok D","non-dropping-particle":"","parse-names":false,"suffix":""},{"dropping-particle":"","family":"Kurade","given":"Mayur B","non-dropping-particle":"","parse-names":false,"suffix":""},{"dropping-particle":"","family":"Jeon","given":"Byong‐Hun","non-dropping-particle":"","parse-names":false,"suffix":""},{"dropping-particle":"","family":"Tanpure","given":"Rahul S","non-dropping-particle":"","parse-names":false,"suffix":""},{"dropping-particle":"","family":"Agawane","given":"Sachin B","non-dropping-particle":"","parse-names":false,"suffix":""},{"dropping-particle":"V","family":"Dawkar","given":"Vishal","non-dropping-particle":"","parse-names":false,"suffix":""}],"id":"ITEM-1","issued":{"date-parts":[["2024"]]},"page":"88-95","title":"Biodegradation of Malachite Green Dye by Novel Isolated Bacillus Species AAV from Garden Soil","type":"article-journal"},"uris":["http://www.mendeley.com/documents/?uuid=4598348b-d40f-4033-8009-1d5345be2480"]}],"mendeley":{"formattedCitation":"(Morris et al., 2024)","plainTextFormattedCitation":"(Morris et al., 2024)","previouslyFormattedCitation":"(Morris et al., 2024)"},"properties":{"noteIndex":0},"schema":"https://github.com/citation-style-language/schema/raw/master/csl-citation.json"}</w:instrText>
      </w:r>
      <w:r w:rsidR="00F932AE" w:rsidRPr="00536D16">
        <w:rPr>
          <w:rFonts w:ascii="Times New Roman" w:hAnsi="Times New Roman"/>
          <w:lang w:val="en-GB"/>
        </w:rPr>
        <w:fldChar w:fldCharType="separate"/>
      </w:r>
      <w:r w:rsidR="00F932AE" w:rsidRPr="00536D16">
        <w:rPr>
          <w:rFonts w:ascii="Times New Roman" w:hAnsi="Times New Roman"/>
          <w:noProof/>
          <w:lang w:val="en-GB"/>
        </w:rPr>
        <w:t>(Morris et al., 2024)</w:t>
      </w:r>
      <w:r w:rsidR="00F932AE" w:rsidRPr="00536D16">
        <w:rPr>
          <w:rFonts w:ascii="Times New Roman" w:hAnsi="Times New Roman"/>
          <w:lang w:val="en-GB"/>
        </w:rPr>
        <w:fldChar w:fldCharType="end"/>
      </w:r>
      <w:r w:rsidR="00A51C61" w:rsidRPr="00536D16">
        <w:rPr>
          <w:rFonts w:ascii="Times New Roman" w:hAnsi="Times New Roman"/>
          <w:lang w:val="en-GB"/>
        </w:rPr>
        <w:t xml:space="preserve">. </w:t>
      </w:r>
    </w:p>
    <w:p w14:paraId="47F25E78" w14:textId="77777777" w:rsidR="000D3625" w:rsidRPr="00536D16" w:rsidRDefault="000D3625" w:rsidP="000D3625">
      <w:pPr>
        <w:spacing w:after="0" w:line="235" w:lineRule="auto"/>
        <w:ind w:firstLine="284"/>
        <w:jc w:val="both"/>
        <w:rPr>
          <w:rFonts w:ascii="Times New Roman" w:hAnsi="Times New Roman"/>
          <w:lang w:val="en-GB"/>
        </w:rPr>
      </w:pPr>
    </w:p>
    <w:p w14:paraId="286EA32F" w14:textId="3F6B867D" w:rsidR="00DD2A41" w:rsidRPr="00536D16" w:rsidRDefault="00DD2A41" w:rsidP="000D3625">
      <w:pPr>
        <w:pStyle w:val="Rtab"/>
        <w:spacing w:line="235" w:lineRule="auto"/>
        <w:rPr>
          <w:lang w:val="en-GB"/>
        </w:rPr>
      </w:pPr>
      <w:r w:rsidRPr="00536D16">
        <w:rPr>
          <w:b/>
          <w:bCs/>
          <w:lang w:val="en-GB"/>
        </w:rPr>
        <w:t>Table 1</w:t>
      </w:r>
      <w:r w:rsidR="004F48A2" w:rsidRPr="00536D16">
        <w:rPr>
          <w:b/>
          <w:bCs/>
          <w:lang w:val="en-GB"/>
        </w:rPr>
        <w:t>.</w:t>
      </w:r>
      <w:r w:rsidR="00B366EF" w:rsidRPr="00536D16">
        <w:rPr>
          <w:lang w:val="en-GB"/>
        </w:rPr>
        <w:t xml:space="preserve"> Equations used for adsorption capacity, isotherm, kinetic, and thermodynamic analyses</w:t>
      </w:r>
    </w:p>
    <w:p w14:paraId="0DFAC3EC" w14:textId="77777777" w:rsidR="00F932AE" w:rsidRPr="00536D16" w:rsidRDefault="00A51C61" w:rsidP="000D3625">
      <w:pPr>
        <w:spacing w:after="0" w:line="235" w:lineRule="auto"/>
        <w:jc w:val="center"/>
        <w:rPr>
          <w:rFonts w:ascii="Times New Roman" w:hAnsi="Times New Roman"/>
          <w:lang w:val="en-GB"/>
        </w:rPr>
      </w:pPr>
      <w:r w:rsidRPr="00536D16">
        <w:rPr>
          <w:rFonts w:ascii="Times New Roman" w:hAnsi="Times New Roman"/>
          <w:noProof/>
          <w:lang w:val="en-GB"/>
        </w:rPr>
        <w:drawing>
          <wp:inline distT="0" distB="0" distL="0" distR="0" wp14:anchorId="0CF11553" wp14:editId="25670720">
            <wp:extent cx="5909637" cy="4119824"/>
            <wp:effectExtent l="19050" t="19050" r="15240" b="14605"/>
            <wp:docPr id="12037672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767272" name=""/>
                    <pic:cNvPicPr/>
                  </pic:nvPicPr>
                  <pic:blipFill>
                    <a:blip r:embed="rId10"/>
                    <a:stretch>
                      <a:fillRect/>
                    </a:stretch>
                  </pic:blipFill>
                  <pic:spPr>
                    <a:xfrm>
                      <a:off x="0" y="0"/>
                      <a:ext cx="5992882" cy="4177857"/>
                    </a:xfrm>
                    <a:prstGeom prst="rect">
                      <a:avLst/>
                    </a:prstGeom>
                    <a:ln>
                      <a:solidFill>
                        <a:schemeClr val="tx1"/>
                      </a:solidFill>
                      <a:prstDash val="solid"/>
                    </a:ln>
                  </pic:spPr>
                </pic:pic>
              </a:graphicData>
            </a:graphic>
          </wp:inline>
        </w:drawing>
      </w:r>
    </w:p>
    <w:p w14:paraId="3BE13C6D" w14:textId="77777777" w:rsidR="000D3625" w:rsidRPr="00536D16" w:rsidRDefault="000D3625" w:rsidP="000D3625">
      <w:pPr>
        <w:pStyle w:val="Rn1"/>
        <w:rPr>
          <w:lang w:val="en-GB"/>
        </w:rPr>
      </w:pPr>
      <w:r w:rsidRPr="00536D16">
        <w:rPr>
          <w:lang w:val="en-GB"/>
        </w:rPr>
        <w:lastRenderedPageBreak/>
        <w:t xml:space="preserve">3. Results and Discussion </w:t>
      </w:r>
    </w:p>
    <w:p w14:paraId="4AD7E57B" w14:textId="77777777" w:rsidR="000D3625" w:rsidRPr="00536D16" w:rsidRDefault="000D3625" w:rsidP="000D3625">
      <w:pPr>
        <w:pStyle w:val="Rn2"/>
        <w:rPr>
          <w:lang w:val="en-GB"/>
        </w:rPr>
      </w:pPr>
      <w:r w:rsidRPr="00536D16">
        <w:rPr>
          <w:lang w:val="en-GB"/>
        </w:rPr>
        <w:t>3.1. Structural Features of GBHP</w:t>
      </w:r>
    </w:p>
    <w:p w14:paraId="30C853F2" w14:textId="6AC91F11" w:rsidR="000D3625" w:rsidRDefault="000D3625" w:rsidP="000D3625">
      <w:pPr>
        <w:spacing w:after="0" w:line="240" w:lineRule="auto"/>
        <w:ind w:firstLine="284"/>
        <w:jc w:val="both"/>
        <w:rPr>
          <w:rFonts w:ascii="Times New Roman" w:hAnsi="Times New Roman"/>
          <w:spacing w:val="-2"/>
          <w:lang w:val="en-GB"/>
        </w:rPr>
      </w:pPr>
      <w:r w:rsidRPr="00805C75">
        <w:rPr>
          <w:rFonts w:ascii="Times New Roman" w:hAnsi="Times New Roman"/>
          <w:lang w:val="en-GB"/>
        </w:rPr>
        <w:t>The physicochemical properties of the GBHP synthesized were examined using N₂ adsorption–desorption analysis, X-ray diffraction (XRD), Fourier transform infrared spectroscopy (FTIR),</w:t>
      </w:r>
      <w:r w:rsidRPr="000D3625">
        <w:rPr>
          <w:rFonts w:ascii="Times New Roman" w:hAnsi="Times New Roman"/>
          <w:spacing w:val="-2"/>
          <w:lang w:val="en-GB"/>
        </w:rPr>
        <w:t xml:space="preserve"> Raman spectroscopy, and X-ray photoelectron spectroscopy (XPS), as shown in Figures 1(a–f). These analyses were used to interpret the textural properties, crystalline structure, surface chemistry, graphitic characteristics, and elemental composition of the synthesized adsorbent, which are closely related to its adsorption </w:t>
      </w:r>
      <w:proofErr w:type="spellStart"/>
      <w:r w:rsidRPr="000D3625">
        <w:rPr>
          <w:rFonts w:ascii="Times New Roman" w:hAnsi="Times New Roman"/>
          <w:spacing w:val="-2"/>
          <w:lang w:val="en-GB"/>
        </w:rPr>
        <w:t>behavior</w:t>
      </w:r>
      <w:proofErr w:type="spellEnd"/>
      <w:r w:rsidRPr="000D3625">
        <w:rPr>
          <w:rFonts w:ascii="Times New Roman" w:hAnsi="Times New Roman"/>
          <w:spacing w:val="-2"/>
          <w:lang w:val="en-GB"/>
        </w:rPr>
        <w:t xml:space="preserve"> for malachite green (MG). </w:t>
      </w:r>
    </w:p>
    <w:p w14:paraId="40B9CB42" w14:textId="06A66D94" w:rsidR="000D3625" w:rsidRDefault="000D3625" w:rsidP="000D3625">
      <w:pPr>
        <w:spacing w:after="0" w:line="240" w:lineRule="auto"/>
        <w:ind w:firstLine="284"/>
        <w:jc w:val="both"/>
        <w:rPr>
          <w:rFonts w:ascii="Times New Roman" w:hAnsi="Times New Roman"/>
          <w:spacing w:val="-2"/>
          <w:lang w:val="en-GB"/>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9"/>
        <w:gridCol w:w="4789"/>
      </w:tblGrid>
      <w:tr w:rsidR="000D3625" w14:paraId="76A2D514" w14:textId="77777777" w:rsidTr="000D3625">
        <w:tc>
          <w:tcPr>
            <w:tcW w:w="4843" w:type="dxa"/>
            <w:vAlign w:val="bottom"/>
          </w:tcPr>
          <w:p w14:paraId="74814CF4" w14:textId="70C7B7D4" w:rsidR="000D3625" w:rsidRDefault="000D3625" w:rsidP="000D3625">
            <w:pPr>
              <w:spacing w:after="0" w:line="240" w:lineRule="auto"/>
              <w:rPr>
                <w:rFonts w:ascii="Times New Roman" w:hAnsi="Times New Roman"/>
                <w:spacing w:val="-2"/>
                <w:lang w:val="en-GB"/>
              </w:rPr>
            </w:pPr>
            <w:r w:rsidRPr="000D3625">
              <w:rPr>
                <w:b/>
                <w:bCs/>
                <w:noProof/>
                <w:lang w:val="en-GB"/>
              </w:rPr>
              <mc:AlternateContent>
                <mc:Choice Requires="wps">
                  <w:drawing>
                    <wp:anchor distT="45720" distB="45720" distL="114300" distR="114300" simplePos="0" relativeHeight="251723264" behindDoc="0" locked="0" layoutInCell="1" allowOverlap="1" wp14:anchorId="60176369" wp14:editId="7E8FE8FD">
                      <wp:simplePos x="0" y="0"/>
                      <wp:positionH relativeFrom="column">
                        <wp:posOffset>-69850</wp:posOffset>
                      </wp:positionH>
                      <wp:positionV relativeFrom="paragraph">
                        <wp:posOffset>-50800</wp:posOffset>
                      </wp:positionV>
                      <wp:extent cx="266065" cy="1404620"/>
                      <wp:effectExtent l="0" t="0" r="635" b="5715"/>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1404620"/>
                              </a:xfrm>
                              <a:prstGeom prst="rect">
                                <a:avLst/>
                              </a:prstGeom>
                              <a:noFill/>
                              <a:ln w="9525">
                                <a:noFill/>
                                <a:miter lim="800000"/>
                                <a:headEnd/>
                                <a:tailEnd/>
                              </a:ln>
                            </wps:spPr>
                            <wps:txbx>
                              <w:txbxContent>
                                <w:p w14:paraId="232C26BB" w14:textId="2B55975E" w:rsidR="000D3625" w:rsidRPr="000D3625" w:rsidRDefault="000D3625" w:rsidP="000D3625">
                                  <w:pPr>
                                    <w:spacing w:after="0" w:line="240" w:lineRule="auto"/>
                                    <w:rPr>
                                      <w:rFonts w:ascii="Times New Roman" w:hAnsi="Times New Roman"/>
                                    </w:rPr>
                                  </w:pPr>
                                  <w:r w:rsidRPr="000D3625">
                                    <w:rPr>
                                      <w:rFonts w:ascii="Times New Roman" w:hAnsi="Times New Roman"/>
                                      <w:bCs/>
                                      <w:lang w:val="en-GB"/>
                                    </w:rPr>
                                    <w:t>(a)</w:t>
                                  </w:r>
                                </w:p>
                              </w:txbxContent>
                            </wps:txbx>
                            <wps:bodyPr rot="0" vert="horz" wrap="square" lIns="36000" tIns="36000" rIns="36000" bIns="3600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0176369" id="_x0000_t202" coordsize="21600,21600" o:spt="202" path="m,l,21600r21600,l21600,xe">
                      <v:stroke joinstyle="miter"/>
                      <v:path gradientshapeok="t" o:connecttype="rect"/>
                    </v:shapetype>
                    <v:shape id="Pole tekstowe 2" o:spid="_x0000_s1026" type="#_x0000_t202" style="position:absolute;margin-left:-5.5pt;margin-top:-4pt;width:20.95pt;height:110.6pt;z-index:251723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Cnj8wEAAM0DAAAOAAAAZHJzL2Uyb0RvYy54bWysU1Fv0zAQfkfiP1h+p0nLGo2o6TQ2ipDG&#10;QBr8gKvjNBa2z9huk/LrOTtdV8EbIg/WXc733X3fnVc3o9HsIH1QaBs+n5WcSSuwVXbX8O/fNm+u&#10;OQsRbAsarWz4UQZ+s379ajW4Wi6wR91KzwjEhnpwDe9jdHVRBNFLA2GGTloKdugNRHL9rmg9DIRu&#10;dLEoy6oY0LfOo5Ah0N/7KcjXGb/rpIhfui7IyHTDqbeYT5/PbTqL9QrqnQfXK3FqA/6hCwPKUtEz&#10;1D1EYHuv/oIySngM2MWZQFNg1ykhMwdiMy//YPPUg5OZC4kT3Fmm8P9gxePhyX31LI7vcaQBZhLB&#10;PaD4EZjFux7sTt56j0MvoaXC8yRZMbhQn1KT1KEOCWQ7fMaWhgz7iBlo7LxJqhBPRug0gONZdDlG&#10;JujnoqrKasmZoND8qryqFnkqBdTP2c6H+FGiYclouKehZnQ4PISYuoH6+UoqZnGjtM6D1ZYNDX+3&#10;XCxzwkXEqEh7p5Vp+HWZvmkTEskPts3JEZSebCqg7Yl1IjpRjuN2pIuJ/RbbI/H3OO0XvQcyevS/&#10;OBtotxoefu7BS870J0savq1SQRYvHX/pbC8dsIKgGh45m8y7mBc4cQ3ulrTeqCzDSyenXmlnsjqn&#10;/U5LeennWy+vcP0bAAD//wMAUEsDBBQABgAIAAAAIQBFa/i33QAAAAkBAAAPAAAAZHJzL2Rvd25y&#10;ZXYueG1sTI/BTsMwEETvSPyDtUjcWsephNoQpwIEoreKhg9w4yWOGq+j2E3C37Oc4LS7mtHsm3K/&#10;+F5MOMYukAa1zkAgNcF21Gr4rN9WWxAxGbKmD4QavjHCvrq9KU1hw0wfOJ1SKziEYmE0uJSGQsrY&#10;OPQmrsOAxNpXGL1JfI6ttKOZOdz3Ms+yB+lNR/zBmQFfHDaX09VzSo2797rLD8fX9jgHRc+Hy+S0&#10;vr9bnh5BJFzSnxl+8RkdKmY6hyvZKHoNK6W4S+Jly5MNm2wH4qwhV5scZFXK/w2qHwAAAP//AwBQ&#10;SwECLQAUAAYACAAAACEAtoM4kv4AAADhAQAAEwAAAAAAAAAAAAAAAAAAAAAAW0NvbnRlbnRfVHlw&#10;ZXNdLnhtbFBLAQItABQABgAIAAAAIQA4/SH/1gAAAJQBAAALAAAAAAAAAAAAAAAAAC8BAABfcmVs&#10;cy8ucmVsc1BLAQItABQABgAIAAAAIQCUCCnj8wEAAM0DAAAOAAAAAAAAAAAAAAAAAC4CAABkcnMv&#10;ZTJvRG9jLnhtbFBLAQItABQABgAIAAAAIQBFa/i33QAAAAkBAAAPAAAAAAAAAAAAAAAAAE0EAABk&#10;cnMvZG93bnJldi54bWxQSwUGAAAAAAQABADzAAAAVwUAAAAA&#10;" filled="f" stroked="f">
                      <v:textbox style="mso-fit-shape-to-text:t" inset="1mm,1mm,1mm,1mm">
                        <w:txbxContent>
                          <w:p w14:paraId="232C26BB" w14:textId="2B55975E" w:rsidR="000D3625" w:rsidRPr="000D3625" w:rsidRDefault="000D3625" w:rsidP="000D3625">
                            <w:pPr>
                              <w:spacing w:after="0" w:line="240" w:lineRule="auto"/>
                              <w:rPr>
                                <w:rFonts w:ascii="Times New Roman" w:hAnsi="Times New Roman"/>
                              </w:rPr>
                            </w:pPr>
                            <w:r w:rsidRPr="000D3625">
                              <w:rPr>
                                <w:rFonts w:ascii="Times New Roman" w:hAnsi="Times New Roman"/>
                                <w:bCs/>
                                <w:lang w:val="en-GB"/>
                              </w:rPr>
                              <w:t>(a)</w:t>
                            </w:r>
                          </w:p>
                        </w:txbxContent>
                      </v:textbox>
                    </v:shape>
                  </w:pict>
                </mc:Fallback>
              </mc:AlternateContent>
            </w:r>
            <w:r w:rsidRPr="00536D16">
              <w:rPr>
                <w:b/>
                <w:bCs/>
                <w:noProof/>
                <w:lang w:val="en-GB"/>
              </w:rPr>
              <w:drawing>
                <wp:inline distT="0" distB="0" distL="0" distR="0" wp14:anchorId="3000273E" wp14:editId="0059BD5D">
                  <wp:extent cx="2754254" cy="2268000"/>
                  <wp:effectExtent l="0" t="0" r="8255" b="0"/>
                  <wp:docPr id="1539452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452203"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54254" cy="2268000"/>
                          </a:xfrm>
                          <a:prstGeom prst="rect">
                            <a:avLst/>
                          </a:prstGeom>
                        </pic:spPr>
                      </pic:pic>
                    </a:graphicData>
                  </a:graphic>
                </wp:inline>
              </w:drawing>
            </w:r>
          </w:p>
        </w:tc>
        <w:tc>
          <w:tcPr>
            <w:tcW w:w="4785" w:type="dxa"/>
            <w:vAlign w:val="bottom"/>
          </w:tcPr>
          <w:p w14:paraId="1F72152B" w14:textId="38E43368" w:rsidR="000D3625" w:rsidRDefault="000D3625" w:rsidP="000D3625">
            <w:pPr>
              <w:spacing w:after="0" w:line="240" w:lineRule="auto"/>
              <w:rPr>
                <w:rFonts w:ascii="Times New Roman" w:hAnsi="Times New Roman"/>
                <w:spacing w:val="-2"/>
                <w:lang w:val="en-GB"/>
              </w:rPr>
            </w:pPr>
            <w:r w:rsidRPr="000D3625">
              <w:rPr>
                <w:b/>
                <w:bCs/>
                <w:noProof/>
                <w:lang w:val="en-GB"/>
              </w:rPr>
              <mc:AlternateContent>
                <mc:Choice Requires="wps">
                  <w:drawing>
                    <wp:anchor distT="45720" distB="45720" distL="114300" distR="114300" simplePos="0" relativeHeight="251725312" behindDoc="0" locked="0" layoutInCell="1" allowOverlap="1" wp14:anchorId="1859B87B" wp14:editId="2130E84B">
                      <wp:simplePos x="0" y="0"/>
                      <wp:positionH relativeFrom="column">
                        <wp:posOffset>-77470</wp:posOffset>
                      </wp:positionH>
                      <wp:positionV relativeFrom="paragraph">
                        <wp:posOffset>-104775</wp:posOffset>
                      </wp:positionV>
                      <wp:extent cx="266065" cy="1404620"/>
                      <wp:effectExtent l="0" t="0" r="635" b="5715"/>
                      <wp:wrapNone/>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1404620"/>
                              </a:xfrm>
                              <a:prstGeom prst="rect">
                                <a:avLst/>
                              </a:prstGeom>
                              <a:noFill/>
                              <a:ln w="9525">
                                <a:noFill/>
                                <a:miter lim="800000"/>
                                <a:headEnd/>
                                <a:tailEnd/>
                              </a:ln>
                            </wps:spPr>
                            <wps:txbx>
                              <w:txbxContent>
                                <w:p w14:paraId="1DB8A52D" w14:textId="4370BFA5" w:rsidR="000D3625" w:rsidRPr="000D3625" w:rsidRDefault="000D3625" w:rsidP="000D3625">
                                  <w:pPr>
                                    <w:spacing w:after="0" w:line="240" w:lineRule="auto"/>
                                    <w:rPr>
                                      <w:rFonts w:ascii="Times New Roman" w:hAnsi="Times New Roman"/>
                                    </w:rPr>
                                  </w:pPr>
                                  <w:r w:rsidRPr="000D3625">
                                    <w:rPr>
                                      <w:rFonts w:ascii="Times New Roman" w:hAnsi="Times New Roman"/>
                                      <w:bCs/>
                                      <w:lang w:val="en-GB"/>
                                    </w:rPr>
                                    <w:t>(</w:t>
                                  </w:r>
                                  <w:r>
                                    <w:rPr>
                                      <w:rFonts w:ascii="Times New Roman" w:hAnsi="Times New Roman"/>
                                      <w:bCs/>
                                      <w:lang w:val="en-GB"/>
                                    </w:rPr>
                                    <w:t>b</w:t>
                                  </w:r>
                                  <w:r w:rsidRPr="000D3625">
                                    <w:rPr>
                                      <w:rFonts w:ascii="Times New Roman" w:hAnsi="Times New Roman"/>
                                      <w:bCs/>
                                      <w:lang w:val="en-GB"/>
                                    </w:rPr>
                                    <w:t>)</w:t>
                                  </w:r>
                                </w:p>
                              </w:txbxContent>
                            </wps:txbx>
                            <wps:bodyPr rot="0" vert="horz" wrap="square" lIns="36000" tIns="36000" rIns="36000" bIns="36000" anchor="t" anchorCtr="0">
                              <a:spAutoFit/>
                            </wps:bodyPr>
                          </wps:wsp>
                        </a:graphicData>
                      </a:graphic>
                      <wp14:sizeRelH relativeFrom="margin">
                        <wp14:pctWidth>0</wp14:pctWidth>
                      </wp14:sizeRelH>
                      <wp14:sizeRelV relativeFrom="margin">
                        <wp14:pctHeight>0</wp14:pctHeight>
                      </wp14:sizeRelV>
                    </wp:anchor>
                  </w:drawing>
                </mc:Choice>
                <mc:Fallback>
                  <w:pict>
                    <v:shape w14:anchorId="1859B87B" id="_x0000_s1027" type="#_x0000_t202" style="position:absolute;margin-left:-6.1pt;margin-top:-8.25pt;width:20.95pt;height:110.6pt;z-index:251725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JRg9gEAANQDAAAOAAAAZHJzL2Uyb0RvYy54bWysU1Fv0zAQfkfiP1h+p0nDGo2o6TQ2ipDG&#10;QBr8AMdxGgvbZ2y3Sfn1nJ2si+ANkQfrzpf77r7vztubUStyEs5LMDVdr3JKhOHQSnOo6fdv+zfX&#10;lPjATMsUGFHTs/D0Zvf61XawlSigB9UKRxDE+GqwNe1DsFWWed4LzfwKrDAY7MBpFtB1h6x1bEB0&#10;rbIiz8tsANdaB1x4j7f3U5DuEn7XCR6+dJ0XgaiaYm8hnS6dTTyz3ZZVB8dsL/ncBvuHLjSTBote&#10;oO5ZYOTo5F9QWnIHHrqw4qAz6DrJReKAbNb5H2yeemZF4oLieHuRyf8/WP54erJfHQnjexhxgImE&#10;tw/Af3hi4K5n5iBunYOhF6zFwusoWTZYX82pUWpf+QjSDJ+hxSGzY4AENHZOR1WQJ0F0HMD5IroY&#10;A+F4WZRlXm4o4RhaX+VXZZGmkrHqOds6Hz4K0CQaNXU41ITOTg8+xG5Y9fxLLGZgL5VKg1WGDDV9&#10;tyk2KWER0TLg3impa3qdx2/ahEjyg2lTcmBSTTYWUGZmHYlOlMPYjES2syRRhAbaM8rgYFozfBZo&#10;9OB+UTLgitXU/zwyJyhRnwxK+baMdUlYOm7pNEuHGY5QNQ2UTOZdSHscKXt7i5LvZVLjpZO5ZVyd&#10;JNK85nE3l3766+Ux7n4DAAD//wMAUEsDBBQABgAIAAAAIQBAyXFs3QAAAAoBAAAPAAAAZHJzL2Rv&#10;d25yZXYueG1sTI/BTsMwDIbvSLxDZCRuW9oKNlaaToBA7Dax8gBZY5pqjVM1WVveHu/ETrblT78/&#10;F9vZdWLEIbSeFKTLBARS7U1LjYLv6mPxBCJETUZ3nlDBLwbYlrc3hc6Nn+gLx0NsBIdQyLUCG2Of&#10;Sxlqi06Hpe+RePfjB6cjj0MjzaAnDnedzJJkJZ1uiS9Y3eObxfp0ODtOqXDzWbXZbv/e7Cef0uvu&#10;NFql7u/ml2cQEef4D8NFn9WhZKejP5MJolOwSLOM0UuzegTBRLZZgzhyTR7WIMtCXr9Q/gEAAP//&#10;AwBQSwECLQAUAAYACAAAACEAtoM4kv4AAADhAQAAEwAAAAAAAAAAAAAAAAAAAAAAW0NvbnRlbnRf&#10;VHlwZXNdLnhtbFBLAQItABQABgAIAAAAIQA4/SH/1gAAAJQBAAALAAAAAAAAAAAAAAAAAC8BAABf&#10;cmVscy8ucmVsc1BLAQItABQABgAIAAAAIQCmFJRg9gEAANQDAAAOAAAAAAAAAAAAAAAAAC4CAABk&#10;cnMvZTJvRG9jLnhtbFBLAQItABQABgAIAAAAIQBAyXFs3QAAAAoBAAAPAAAAAAAAAAAAAAAAAFAE&#10;AABkcnMvZG93bnJldi54bWxQSwUGAAAAAAQABADzAAAAWgUAAAAA&#10;" filled="f" stroked="f">
                      <v:textbox style="mso-fit-shape-to-text:t" inset="1mm,1mm,1mm,1mm">
                        <w:txbxContent>
                          <w:p w14:paraId="1DB8A52D" w14:textId="4370BFA5" w:rsidR="000D3625" w:rsidRPr="000D3625" w:rsidRDefault="000D3625" w:rsidP="000D3625">
                            <w:pPr>
                              <w:spacing w:after="0" w:line="240" w:lineRule="auto"/>
                              <w:rPr>
                                <w:rFonts w:ascii="Times New Roman" w:hAnsi="Times New Roman"/>
                              </w:rPr>
                            </w:pPr>
                            <w:r w:rsidRPr="000D3625">
                              <w:rPr>
                                <w:rFonts w:ascii="Times New Roman" w:hAnsi="Times New Roman"/>
                                <w:bCs/>
                                <w:lang w:val="en-GB"/>
                              </w:rPr>
                              <w:t>(</w:t>
                            </w:r>
                            <w:r>
                              <w:rPr>
                                <w:rFonts w:ascii="Times New Roman" w:hAnsi="Times New Roman"/>
                                <w:bCs/>
                                <w:lang w:val="en-GB"/>
                              </w:rPr>
                              <w:t>b</w:t>
                            </w:r>
                            <w:r w:rsidRPr="000D3625">
                              <w:rPr>
                                <w:rFonts w:ascii="Times New Roman" w:hAnsi="Times New Roman"/>
                                <w:bCs/>
                                <w:lang w:val="en-GB"/>
                              </w:rPr>
                              <w:t>)</w:t>
                            </w:r>
                          </w:p>
                        </w:txbxContent>
                      </v:textbox>
                    </v:shape>
                  </w:pict>
                </mc:Fallback>
              </mc:AlternateContent>
            </w:r>
            <w:r w:rsidRPr="00536D16">
              <w:rPr>
                <w:noProof/>
                <w:lang w:val="en-GB"/>
              </w:rPr>
              <w:drawing>
                <wp:inline distT="0" distB="0" distL="0" distR="0" wp14:anchorId="1B604A0C" wp14:editId="6EC08CFE">
                  <wp:extent cx="2885880" cy="2196000"/>
                  <wp:effectExtent l="0" t="0" r="0" b="0"/>
                  <wp:docPr id="15854297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429708" name=""/>
                          <pic:cNvPicPr/>
                        </pic:nvPicPr>
                        <pic:blipFill>
                          <a:blip r:embed="rId12">
                            <a:extLst>
                              <a:ext uri="{28A0092B-C50C-407E-A947-70E740481C1C}">
                                <a14:useLocalDpi xmlns:a14="http://schemas.microsoft.com/office/drawing/2010/main" val="0"/>
                              </a:ext>
                            </a:extLst>
                          </a:blip>
                          <a:stretch>
                            <a:fillRect/>
                          </a:stretch>
                        </pic:blipFill>
                        <pic:spPr>
                          <a:xfrm>
                            <a:off x="0" y="0"/>
                            <a:ext cx="2885880" cy="2196000"/>
                          </a:xfrm>
                          <a:prstGeom prst="rect">
                            <a:avLst/>
                          </a:prstGeom>
                        </pic:spPr>
                      </pic:pic>
                    </a:graphicData>
                  </a:graphic>
                </wp:inline>
              </w:drawing>
            </w:r>
          </w:p>
        </w:tc>
      </w:tr>
      <w:tr w:rsidR="000D3625" w14:paraId="585E0A62" w14:textId="77777777" w:rsidTr="000D3625">
        <w:tc>
          <w:tcPr>
            <w:tcW w:w="4843" w:type="dxa"/>
          </w:tcPr>
          <w:p w14:paraId="5FD564E3" w14:textId="757742C0" w:rsidR="000D3625" w:rsidRDefault="000D3625" w:rsidP="000D3625">
            <w:pPr>
              <w:spacing w:after="0" w:line="240" w:lineRule="auto"/>
              <w:jc w:val="both"/>
              <w:rPr>
                <w:rFonts w:ascii="Times New Roman" w:hAnsi="Times New Roman"/>
                <w:spacing w:val="-2"/>
                <w:lang w:val="en-GB"/>
              </w:rPr>
            </w:pPr>
            <w:r w:rsidRPr="000D3625">
              <w:rPr>
                <w:b/>
                <w:bCs/>
                <w:noProof/>
                <w:lang w:val="en-GB"/>
              </w:rPr>
              <mc:AlternateContent>
                <mc:Choice Requires="wps">
                  <w:drawing>
                    <wp:anchor distT="45720" distB="45720" distL="114300" distR="114300" simplePos="0" relativeHeight="251727360" behindDoc="0" locked="0" layoutInCell="1" allowOverlap="1" wp14:anchorId="359B2D24" wp14:editId="315A80FE">
                      <wp:simplePos x="0" y="0"/>
                      <wp:positionH relativeFrom="column">
                        <wp:posOffset>-66585</wp:posOffset>
                      </wp:positionH>
                      <wp:positionV relativeFrom="paragraph">
                        <wp:posOffset>-6741</wp:posOffset>
                      </wp:positionV>
                      <wp:extent cx="266065" cy="1404620"/>
                      <wp:effectExtent l="0" t="0" r="635" b="5715"/>
                      <wp:wrapNone/>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1404620"/>
                              </a:xfrm>
                              <a:prstGeom prst="rect">
                                <a:avLst/>
                              </a:prstGeom>
                              <a:noFill/>
                              <a:ln w="9525">
                                <a:noFill/>
                                <a:miter lim="800000"/>
                                <a:headEnd/>
                                <a:tailEnd/>
                              </a:ln>
                            </wps:spPr>
                            <wps:txbx>
                              <w:txbxContent>
                                <w:p w14:paraId="57750278" w14:textId="6D6B4547" w:rsidR="000D3625" w:rsidRPr="000D3625" w:rsidRDefault="000D3625" w:rsidP="000D3625">
                                  <w:pPr>
                                    <w:spacing w:after="0" w:line="240" w:lineRule="auto"/>
                                    <w:rPr>
                                      <w:rFonts w:ascii="Times New Roman" w:hAnsi="Times New Roman"/>
                                    </w:rPr>
                                  </w:pPr>
                                  <w:r w:rsidRPr="000D3625">
                                    <w:rPr>
                                      <w:rFonts w:ascii="Times New Roman" w:hAnsi="Times New Roman"/>
                                      <w:bCs/>
                                      <w:lang w:val="en-GB"/>
                                    </w:rPr>
                                    <w:t>(</w:t>
                                  </w:r>
                                  <w:r>
                                    <w:rPr>
                                      <w:rFonts w:ascii="Times New Roman" w:hAnsi="Times New Roman"/>
                                      <w:bCs/>
                                      <w:lang w:val="en-GB"/>
                                    </w:rPr>
                                    <w:t>c</w:t>
                                  </w:r>
                                  <w:r w:rsidRPr="000D3625">
                                    <w:rPr>
                                      <w:rFonts w:ascii="Times New Roman" w:hAnsi="Times New Roman"/>
                                      <w:bCs/>
                                      <w:lang w:val="en-GB"/>
                                    </w:rPr>
                                    <w:t>)</w:t>
                                  </w:r>
                                </w:p>
                              </w:txbxContent>
                            </wps:txbx>
                            <wps:bodyPr rot="0" vert="horz" wrap="square" lIns="36000" tIns="36000" rIns="36000" bIns="36000" anchor="t" anchorCtr="0">
                              <a:spAutoFit/>
                            </wps:bodyPr>
                          </wps:wsp>
                        </a:graphicData>
                      </a:graphic>
                      <wp14:sizeRelH relativeFrom="margin">
                        <wp14:pctWidth>0</wp14:pctWidth>
                      </wp14:sizeRelH>
                      <wp14:sizeRelV relativeFrom="margin">
                        <wp14:pctHeight>0</wp14:pctHeight>
                      </wp14:sizeRelV>
                    </wp:anchor>
                  </w:drawing>
                </mc:Choice>
                <mc:Fallback>
                  <w:pict>
                    <v:shape w14:anchorId="359B2D24" id="_x0000_s1028" type="#_x0000_t202" style="position:absolute;left:0;text-align:left;margin-left:-5.25pt;margin-top:-.55pt;width:20.95pt;height:110.6pt;z-index:251727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lah9wEAANQDAAAOAAAAZHJzL2Uyb0RvYy54bWysU1Fv0zAQfkfiP1h+p0nLGo2o6TQ2ipDG&#10;QBr8ANdxGgvbZ85uk/LrOTtdV8EbIg/WnS/33X3fnVc3ozXsoDBocA2fz0rOlJPQardr+PdvmzfX&#10;nIUoXCsMONXwowr8Zv361WrwtVpAD6ZVyAjEhXrwDe9j9HVRBNkrK8IMvHIU7ACtiOTirmhRDIRu&#10;TbEoy6oYAFuPIFUIdHs/Bfk643edkvFL1wUVmWk49RbzifncprNYr0S9Q+F7LU9tiH/owgrtqOgZ&#10;6l5Ewfao/4KyWiIE6OJMgi2g67RUmQOxmZd/sHnqhVeZC4kT/Fmm8P9g5ePhyX9FFsf3MNIAM4ng&#10;H0D+CMzBXS/cTt0iwtAr0VLheZKsGHyoT6lJ6lCHBLIdPkNLQxb7CBlo7NAmVYgnI3QawPEsuhoj&#10;k3S5qKqyWnImKTS/Kq+qRZ5KIernbI8hflRgWTIajjTUjC4ODyGmbkT9/Esq5mCjjcmDNY4NDX+3&#10;XCxzwkXE6kh7Z7Rt+HWZvmkTEskPrs3JUWgz2VTAuBPrRHSiHMftyHRLDFJuEmEL7ZFkQJjWjJ4F&#10;GT3gL84GWrGGh597gYoz88mRlG+rVJfFSwcvne2lI5wkqIZHzibzLuY9TpSDvyXJNzqr8dLJqWVa&#10;nSzSac3Tbl76+a+Xx7j+DQAA//8DAFBLAwQUAAYACAAAACEAMoXrQdwAAAAJAQAADwAAAGRycy9k&#10;b3ducmV2LnhtbEyPy07DMBBF90j8gzVI7FrH4SEIcSpAILqraPgANx7iqPE4it0k/D3TFexmNFdn&#10;zi03i+/FhGPsAmlQ6wwEUhNsR62Gr/p99QAiJkPW9IFQww9G2FSXF6UpbJjpE6d9agVDKBZGg0tp&#10;KKSMjUNv4joMSHz7DqM3idexlXY0M8N9L/Msu5fedMQfnBnw1WFz3J88U2p8/Ki7fLt7a3dzUPSy&#10;PU5O6+ur5fkJRMIl/YXhrM/qULHTIZzIRtFrWKnsjqPnQYHgwI26BXHQkOeZAlmV8n+D6hcAAP//&#10;AwBQSwECLQAUAAYACAAAACEAtoM4kv4AAADhAQAAEwAAAAAAAAAAAAAAAAAAAAAAW0NvbnRlbnRf&#10;VHlwZXNdLnhtbFBLAQItABQABgAIAAAAIQA4/SH/1gAAAJQBAAALAAAAAAAAAAAAAAAAAC8BAABf&#10;cmVscy8ucmVsc1BLAQItABQABgAIAAAAIQCRylah9wEAANQDAAAOAAAAAAAAAAAAAAAAAC4CAABk&#10;cnMvZTJvRG9jLnhtbFBLAQItABQABgAIAAAAIQAyhetB3AAAAAkBAAAPAAAAAAAAAAAAAAAAAFEE&#10;AABkcnMvZG93bnJldi54bWxQSwUGAAAAAAQABADzAAAAWgUAAAAA&#10;" filled="f" stroked="f">
                      <v:textbox style="mso-fit-shape-to-text:t" inset="1mm,1mm,1mm,1mm">
                        <w:txbxContent>
                          <w:p w14:paraId="57750278" w14:textId="6D6B4547" w:rsidR="000D3625" w:rsidRPr="000D3625" w:rsidRDefault="000D3625" w:rsidP="000D3625">
                            <w:pPr>
                              <w:spacing w:after="0" w:line="240" w:lineRule="auto"/>
                              <w:rPr>
                                <w:rFonts w:ascii="Times New Roman" w:hAnsi="Times New Roman"/>
                              </w:rPr>
                            </w:pPr>
                            <w:r w:rsidRPr="000D3625">
                              <w:rPr>
                                <w:rFonts w:ascii="Times New Roman" w:hAnsi="Times New Roman"/>
                                <w:bCs/>
                                <w:lang w:val="en-GB"/>
                              </w:rPr>
                              <w:t>(</w:t>
                            </w:r>
                            <w:r>
                              <w:rPr>
                                <w:rFonts w:ascii="Times New Roman" w:hAnsi="Times New Roman"/>
                                <w:bCs/>
                                <w:lang w:val="en-GB"/>
                              </w:rPr>
                              <w:t>c</w:t>
                            </w:r>
                            <w:r w:rsidRPr="000D3625">
                              <w:rPr>
                                <w:rFonts w:ascii="Times New Roman" w:hAnsi="Times New Roman"/>
                                <w:bCs/>
                                <w:lang w:val="en-GB"/>
                              </w:rPr>
                              <w:t>)</w:t>
                            </w:r>
                          </w:p>
                        </w:txbxContent>
                      </v:textbox>
                    </v:shape>
                  </w:pict>
                </mc:Fallback>
              </mc:AlternateContent>
            </w:r>
            <w:r>
              <w:rPr>
                <w:b/>
                <w:bCs/>
                <w:noProof/>
                <w:lang w:val="en-GB"/>
              </w:rPr>
              <w:drawing>
                <wp:inline distT="0" distB="0" distL="0" distR="0" wp14:anchorId="18F7FDC2" wp14:editId="22FBF7CD">
                  <wp:extent cx="2889885" cy="2536190"/>
                  <wp:effectExtent l="0" t="0" r="571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89885" cy="2536190"/>
                          </a:xfrm>
                          <a:prstGeom prst="rect">
                            <a:avLst/>
                          </a:prstGeom>
                          <a:noFill/>
                        </pic:spPr>
                      </pic:pic>
                    </a:graphicData>
                  </a:graphic>
                </wp:inline>
              </w:drawing>
            </w:r>
          </w:p>
        </w:tc>
        <w:tc>
          <w:tcPr>
            <w:tcW w:w="4785" w:type="dxa"/>
          </w:tcPr>
          <w:p w14:paraId="188C45CA" w14:textId="4F95458D" w:rsidR="000D3625" w:rsidRDefault="000D3625" w:rsidP="000D3625">
            <w:pPr>
              <w:spacing w:after="0" w:line="240" w:lineRule="auto"/>
              <w:jc w:val="both"/>
              <w:rPr>
                <w:rFonts w:ascii="Times New Roman" w:hAnsi="Times New Roman"/>
                <w:spacing w:val="-2"/>
                <w:lang w:val="en-GB"/>
              </w:rPr>
            </w:pPr>
            <w:r w:rsidRPr="000D3625">
              <w:rPr>
                <w:b/>
                <w:bCs/>
                <w:noProof/>
                <w:lang w:val="en-GB"/>
              </w:rPr>
              <mc:AlternateContent>
                <mc:Choice Requires="wps">
                  <w:drawing>
                    <wp:anchor distT="45720" distB="45720" distL="114300" distR="114300" simplePos="0" relativeHeight="251729408" behindDoc="0" locked="0" layoutInCell="1" allowOverlap="1" wp14:anchorId="5A697495" wp14:editId="3058AA13">
                      <wp:simplePos x="0" y="0"/>
                      <wp:positionH relativeFrom="column">
                        <wp:posOffset>-87336</wp:posOffset>
                      </wp:positionH>
                      <wp:positionV relativeFrom="paragraph">
                        <wp:posOffset>-6384</wp:posOffset>
                      </wp:positionV>
                      <wp:extent cx="266065" cy="1404620"/>
                      <wp:effectExtent l="0" t="0" r="635" b="5715"/>
                      <wp:wrapNone/>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1404620"/>
                              </a:xfrm>
                              <a:prstGeom prst="rect">
                                <a:avLst/>
                              </a:prstGeom>
                              <a:noFill/>
                              <a:ln w="9525">
                                <a:noFill/>
                                <a:miter lim="800000"/>
                                <a:headEnd/>
                                <a:tailEnd/>
                              </a:ln>
                            </wps:spPr>
                            <wps:txbx>
                              <w:txbxContent>
                                <w:p w14:paraId="3EF75F7A" w14:textId="71B9AA32" w:rsidR="000D3625" w:rsidRPr="000D3625" w:rsidRDefault="000D3625" w:rsidP="000D3625">
                                  <w:pPr>
                                    <w:spacing w:after="0" w:line="240" w:lineRule="auto"/>
                                    <w:rPr>
                                      <w:rFonts w:ascii="Times New Roman" w:hAnsi="Times New Roman"/>
                                    </w:rPr>
                                  </w:pPr>
                                  <w:r w:rsidRPr="000D3625">
                                    <w:rPr>
                                      <w:rFonts w:ascii="Times New Roman" w:hAnsi="Times New Roman"/>
                                      <w:bCs/>
                                      <w:lang w:val="en-GB"/>
                                    </w:rPr>
                                    <w:t>(</w:t>
                                  </w:r>
                                  <w:r>
                                    <w:rPr>
                                      <w:rFonts w:ascii="Times New Roman" w:hAnsi="Times New Roman"/>
                                      <w:bCs/>
                                      <w:lang w:val="en-GB"/>
                                    </w:rPr>
                                    <w:t>d</w:t>
                                  </w:r>
                                  <w:r w:rsidRPr="000D3625">
                                    <w:rPr>
                                      <w:rFonts w:ascii="Times New Roman" w:hAnsi="Times New Roman"/>
                                      <w:bCs/>
                                      <w:lang w:val="en-GB"/>
                                    </w:rPr>
                                    <w:t>)</w:t>
                                  </w:r>
                                </w:p>
                              </w:txbxContent>
                            </wps:txbx>
                            <wps:bodyPr rot="0" vert="horz" wrap="square" lIns="36000" tIns="36000" rIns="36000" bIns="36000" anchor="t" anchorCtr="0">
                              <a:spAutoFit/>
                            </wps:bodyPr>
                          </wps:wsp>
                        </a:graphicData>
                      </a:graphic>
                      <wp14:sizeRelH relativeFrom="margin">
                        <wp14:pctWidth>0</wp14:pctWidth>
                      </wp14:sizeRelH>
                      <wp14:sizeRelV relativeFrom="margin">
                        <wp14:pctHeight>0</wp14:pctHeight>
                      </wp14:sizeRelV>
                    </wp:anchor>
                  </w:drawing>
                </mc:Choice>
                <mc:Fallback>
                  <w:pict>
                    <v:shape w14:anchorId="5A697495" id="_x0000_s1029" type="#_x0000_t202" style="position:absolute;left:0;text-align:left;margin-left:-6.9pt;margin-top:-.5pt;width:20.95pt;height:110.6pt;z-index:251729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hX+AEAANQDAAAOAAAAZHJzL2Uyb0RvYy54bWysU9tu2zAMfR+wfxD0vthxG6MzohRduwwD&#10;ugvQ7QMUWY6FSaImKbGzrx8lp6mxvQ3zg0CK5iHPIbW+HY0mR+mDAsvoclFSIq2AVtk9o9+/bd/c&#10;UBIity3XYCWjJxno7eb1q/XgGllBD7qVniCIDc3gGO1jdE1RBNFLw8MCnLQY7MAbHtH1+6L1fEB0&#10;o4uqLOtiAN86D0KGgLcPU5BuMn7XSRG/dF2QkWhGsbeYT5/PXTqLzZo3e89dr8S5Df4PXRiuLBa9&#10;QD3wyMnBq7+gjBIeAnRxIcAU0HVKyMwB2SzLP9g89dzJzAXFCe4iU/h/sOLz8cl99SSO72DEAWYS&#10;wT2C+BGIhfue27288x6GXvIWCy+TZMXgQnNOTVKHJiSQ3fAJWhwyP0TIQGPnTVIFeRJExwGcLqLL&#10;MRKBl1Vdl/WKEoGh5XV5XVd5KgVvnrOdD/GDBEOSwajHoWZ0fnwMMXXDm+dfUjELW6V1Hqy2ZGD0&#10;7apa5YRZxKiIe6eVYfSmTN+0CYnke9vm5MiVnmwsoO2ZdSI6UY7jbiSqZfQq5SYRdtCeUAYP05rh&#10;s0CjB/+LkgFXjNHw88C9pER/tCjlVZ3qkjh3/NzZzR1uBUIxGimZzPuY9zhRDu4OJd+qrMZLJ+eW&#10;cXWySOc1T7s59/NfL49x8xsAAP//AwBQSwMEFAAGAAgAAAAhAMdDZ7bcAAAACQEAAA8AAABkcnMv&#10;ZG93bnJldi54bWxMj8FOwzAQRO9I/IO1SNxaJ0ZCbYhTAQLRW0XDB7jxEkeN11HsJuHv2Z7gtLua&#10;0eybcrf4Xkw4xi6QhnydgUBqgu2o1fBVv682IGIyZE0fCDX8YIRddXtTmsKGmT5xOqZWcAjFwmhw&#10;KQ2FlLFx6E1chwGJte8wepP4HFtpRzNzuO+lyrJH6U1H/MGZAV8dNufjxXNKjduPulP7w1t7mENO&#10;L/vz5LS+v1uen0AkXNKfGa74jA4VM53ChWwUvYZV/sDo6bpwJzaoTQ7ixFNlCmRVyv8Nql8AAAD/&#10;/wMAUEsBAi0AFAAGAAgAAAAhALaDOJL+AAAA4QEAABMAAAAAAAAAAAAAAAAAAAAAAFtDb250ZW50&#10;X1R5cGVzXS54bWxQSwECLQAUAAYACAAAACEAOP0h/9YAAACUAQAACwAAAAAAAAAAAAAAAAAvAQAA&#10;X3JlbHMvLnJlbHNQSwECLQAUAAYACAAAACEAQ304V/gBAADUAwAADgAAAAAAAAAAAAAAAAAuAgAA&#10;ZHJzL2Uyb0RvYy54bWxQSwECLQAUAAYACAAAACEAx0NnttwAAAAJAQAADwAAAAAAAAAAAAAAAABS&#10;BAAAZHJzL2Rvd25yZXYueG1sUEsFBgAAAAAEAAQA8wAAAFsFAAAAAA==&#10;" filled="f" stroked="f">
                      <v:textbox style="mso-fit-shape-to-text:t" inset="1mm,1mm,1mm,1mm">
                        <w:txbxContent>
                          <w:p w14:paraId="3EF75F7A" w14:textId="71B9AA32" w:rsidR="000D3625" w:rsidRPr="000D3625" w:rsidRDefault="000D3625" w:rsidP="000D3625">
                            <w:pPr>
                              <w:spacing w:after="0" w:line="240" w:lineRule="auto"/>
                              <w:rPr>
                                <w:rFonts w:ascii="Times New Roman" w:hAnsi="Times New Roman"/>
                              </w:rPr>
                            </w:pPr>
                            <w:r w:rsidRPr="000D3625">
                              <w:rPr>
                                <w:rFonts w:ascii="Times New Roman" w:hAnsi="Times New Roman"/>
                                <w:bCs/>
                                <w:lang w:val="en-GB"/>
                              </w:rPr>
                              <w:t>(</w:t>
                            </w:r>
                            <w:r>
                              <w:rPr>
                                <w:rFonts w:ascii="Times New Roman" w:hAnsi="Times New Roman"/>
                                <w:bCs/>
                                <w:lang w:val="en-GB"/>
                              </w:rPr>
                              <w:t>d</w:t>
                            </w:r>
                            <w:r w:rsidRPr="000D3625">
                              <w:rPr>
                                <w:rFonts w:ascii="Times New Roman" w:hAnsi="Times New Roman"/>
                                <w:bCs/>
                                <w:lang w:val="en-GB"/>
                              </w:rPr>
                              <w:t>)</w:t>
                            </w:r>
                          </w:p>
                        </w:txbxContent>
                      </v:textbox>
                    </v:shape>
                  </w:pict>
                </mc:Fallback>
              </mc:AlternateContent>
            </w:r>
            <w:r w:rsidRPr="00536D16">
              <w:rPr>
                <w:noProof/>
                <w:lang w:val="en-GB"/>
              </w:rPr>
              <w:drawing>
                <wp:inline distT="0" distB="0" distL="0" distR="0" wp14:anchorId="7C4BB951" wp14:editId="00115423">
                  <wp:extent cx="2950210" cy="2527300"/>
                  <wp:effectExtent l="0" t="0" r="2540" b="6350"/>
                  <wp:docPr id="1240452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45230" name=""/>
                          <pic:cNvPicPr/>
                        </pic:nvPicPr>
                        <pic:blipFill>
                          <a:blip r:embed="rId14">
                            <a:extLst>
                              <a:ext uri="{28A0092B-C50C-407E-A947-70E740481C1C}">
                                <a14:useLocalDpi xmlns:a14="http://schemas.microsoft.com/office/drawing/2010/main" val="0"/>
                              </a:ext>
                            </a:extLst>
                          </a:blip>
                          <a:stretch>
                            <a:fillRect/>
                          </a:stretch>
                        </pic:blipFill>
                        <pic:spPr>
                          <a:xfrm>
                            <a:off x="0" y="0"/>
                            <a:ext cx="2950210" cy="2527300"/>
                          </a:xfrm>
                          <a:prstGeom prst="rect">
                            <a:avLst/>
                          </a:prstGeom>
                        </pic:spPr>
                      </pic:pic>
                    </a:graphicData>
                  </a:graphic>
                </wp:inline>
              </w:drawing>
            </w:r>
          </w:p>
        </w:tc>
      </w:tr>
      <w:tr w:rsidR="000D3625" w14:paraId="0F217E52" w14:textId="77777777" w:rsidTr="000D3625">
        <w:tc>
          <w:tcPr>
            <w:tcW w:w="4843" w:type="dxa"/>
          </w:tcPr>
          <w:p w14:paraId="2AC12DB1" w14:textId="751D8520" w:rsidR="000D3625" w:rsidRDefault="000D3625" w:rsidP="000D3625">
            <w:pPr>
              <w:spacing w:after="0" w:line="240" w:lineRule="auto"/>
              <w:jc w:val="both"/>
              <w:rPr>
                <w:rFonts w:ascii="Times New Roman" w:hAnsi="Times New Roman"/>
                <w:spacing w:val="-2"/>
                <w:lang w:val="en-GB"/>
              </w:rPr>
            </w:pPr>
            <w:r w:rsidRPr="000D3625">
              <w:rPr>
                <w:b/>
                <w:bCs/>
                <w:noProof/>
                <w:lang w:val="en-GB"/>
              </w:rPr>
              <mc:AlternateContent>
                <mc:Choice Requires="wps">
                  <w:drawing>
                    <wp:anchor distT="45720" distB="45720" distL="114300" distR="114300" simplePos="0" relativeHeight="251731456" behindDoc="0" locked="0" layoutInCell="1" allowOverlap="1" wp14:anchorId="49C4E969" wp14:editId="0C666252">
                      <wp:simplePos x="0" y="0"/>
                      <wp:positionH relativeFrom="column">
                        <wp:posOffset>-71755</wp:posOffset>
                      </wp:positionH>
                      <wp:positionV relativeFrom="paragraph">
                        <wp:posOffset>3357</wp:posOffset>
                      </wp:positionV>
                      <wp:extent cx="266065" cy="1404620"/>
                      <wp:effectExtent l="0" t="0" r="635" b="5715"/>
                      <wp:wrapNone/>
                      <wp:docPr id="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1404620"/>
                              </a:xfrm>
                              <a:prstGeom prst="rect">
                                <a:avLst/>
                              </a:prstGeom>
                              <a:noFill/>
                              <a:ln w="9525">
                                <a:noFill/>
                                <a:miter lim="800000"/>
                                <a:headEnd/>
                                <a:tailEnd/>
                              </a:ln>
                            </wps:spPr>
                            <wps:txbx>
                              <w:txbxContent>
                                <w:p w14:paraId="7AC33B45" w14:textId="529B622B" w:rsidR="000D3625" w:rsidRPr="000D3625" w:rsidRDefault="000D3625" w:rsidP="000D3625">
                                  <w:pPr>
                                    <w:spacing w:after="0" w:line="240" w:lineRule="auto"/>
                                    <w:rPr>
                                      <w:rFonts w:ascii="Times New Roman" w:hAnsi="Times New Roman"/>
                                    </w:rPr>
                                  </w:pPr>
                                  <w:r w:rsidRPr="000D3625">
                                    <w:rPr>
                                      <w:rFonts w:ascii="Times New Roman" w:hAnsi="Times New Roman"/>
                                      <w:bCs/>
                                      <w:lang w:val="en-GB"/>
                                    </w:rPr>
                                    <w:t>(</w:t>
                                  </w:r>
                                  <w:r>
                                    <w:rPr>
                                      <w:rFonts w:ascii="Times New Roman" w:hAnsi="Times New Roman"/>
                                      <w:bCs/>
                                      <w:lang w:val="en-GB"/>
                                    </w:rPr>
                                    <w:t>e</w:t>
                                  </w:r>
                                  <w:r w:rsidRPr="000D3625">
                                    <w:rPr>
                                      <w:rFonts w:ascii="Times New Roman" w:hAnsi="Times New Roman"/>
                                      <w:bCs/>
                                      <w:lang w:val="en-GB"/>
                                    </w:rPr>
                                    <w:t>)</w:t>
                                  </w:r>
                                </w:p>
                              </w:txbxContent>
                            </wps:txbx>
                            <wps:bodyPr rot="0" vert="horz" wrap="square" lIns="36000" tIns="36000" rIns="36000" bIns="36000" anchor="t" anchorCtr="0">
                              <a:spAutoFit/>
                            </wps:bodyPr>
                          </wps:wsp>
                        </a:graphicData>
                      </a:graphic>
                      <wp14:sizeRelH relativeFrom="margin">
                        <wp14:pctWidth>0</wp14:pctWidth>
                      </wp14:sizeRelH>
                      <wp14:sizeRelV relativeFrom="margin">
                        <wp14:pctHeight>0</wp14:pctHeight>
                      </wp14:sizeRelV>
                    </wp:anchor>
                  </w:drawing>
                </mc:Choice>
                <mc:Fallback>
                  <w:pict>
                    <v:shape w14:anchorId="49C4E969" id="_x0000_s1030" type="#_x0000_t202" style="position:absolute;left:0;text-align:left;margin-left:-5.65pt;margin-top:.25pt;width:20.95pt;height:110.6pt;z-index:251731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L5+AEAANQDAAAOAAAAZHJzL2Uyb0RvYy54bWysU8Fu2zAMvQ/YPwi6L3ayxOiMKEXXLsOA&#10;rhvQ7QMUWY6FSaImKbGzrx8lu2mw3or5IJCi+cj3SK2vB6PJUfqgwDI6n5WUSCugUXbP6M8f23dX&#10;lITIbcM1WMnoSQZ6vXn7Zt27Wi6gA91ITxDEhrp3jHYxurooguik4WEGTloMtuANj+j6fdF43iO6&#10;0cWiLKuiB984D0KGgLd3Y5BuMn7bShG/tW2QkWhGsbeYT5/PXTqLzZrXe89dp8TUBn9FF4Yri0XP&#10;UHc8cnLw6gWUUcJDgDbOBJgC2lYJmTkgm3n5D5vHjjuZuaA4wZ1lCv8PVjwcH913T+LwEQYcYCYR&#10;3D2IX4FYuO243csb76HvJG+w8DxJVvQu1FNqkjrUIYHs+q/Q4JD5IUIGGlpvkirIkyA6DuB0Fl0O&#10;kQi8XFRVWa0oERiaL8tltchTKXj9lO18iJ8lGJIMRj0ONaPz432IqRteP/2SilnYKq3zYLUlPaMf&#10;VotVTriIGBVx77QyjF6V6Rs3IZH8ZJucHLnSo40FtJ1YJ6Ij5TjsBqIaRpcpN4mwg+aEMngY1wyf&#10;BRod+D+U9LhijIbfB+4lJfqLRSnfV6kuiZeOv3R2lw63AqEYjZSM5m3Me5woB3eDkm9VVuO5k6ll&#10;XJ0s0rTmaTcv/fzX82Pc/AUAAP//AwBQSwMEFAAGAAgAAAAhAORy3trbAAAABwEAAA8AAABkcnMv&#10;ZG93bnJldi54bWxMjsFOwzAQRO9I/IO1SNxaJ6koNI1TAQLRW0XDB7jxEkeN11HsJuHvWU70OJrR&#10;m1fsZteJEYfQelKQLhMQSLU3LTUKvqr3xROIEDUZ3XlCBT8YYFfe3hQ6N36iTxyPsREMoZBrBTbG&#10;Ppcy1BadDkvfI3H37QenI8ehkWbQE8NdJ7MkWUunW+IHq3t8tVifjxfHlAo3H1Wb7Q9vzWHyKb3s&#10;z6NV6v5uft6CiDjH/zH86bM6lOx08hcyQXQKFmm64qmCBxBcr5I1iJOCLEsfQZaFvPYvfwEAAP//&#10;AwBQSwECLQAUAAYACAAAACEAtoM4kv4AAADhAQAAEwAAAAAAAAAAAAAAAAAAAAAAW0NvbnRlbnRf&#10;VHlwZXNdLnhtbFBLAQItABQABgAIAAAAIQA4/SH/1gAAAJQBAAALAAAAAAAAAAAAAAAAAC8BAABf&#10;cmVscy8ucmVsc1BLAQItABQABgAIAAAAIQC+cKL5+AEAANQDAAAOAAAAAAAAAAAAAAAAAC4CAABk&#10;cnMvZTJvRG9jLnhtbFBLAQItABQABgAIAAAAIQDkct7a2wAAAAcBAAAPAAAAAAAAAAAAAAAAAFIE&#10;AABkcnMvZG93bnJldi54bWxQSwUGAAAAAAQABADzAAAAWgUAAAAA&#10;" filled="f" stroked="f">
                      <v:textbox style="mso-fit-shape-to-text:t" inset="1mm,1mm,1mm,1mm">
                        <w:txbxContent>
                          <w:p w14:paraId="7AC33B45" w14:textId="529B622B" w:rsidR="000D3625" w:rsidRPr="000D3625" w:rsidRDefault="000D3625" w:rsidP="000D3625">
                            <w:pPr>
                              <w:spacing w:after="0" w:line="240" w:lineRule="auto"/>
                              <w:rPr>
                                <w:rFonts w:ascii="Times New Roman" w:hAnsi="Times New Roman"/>
                              </w:rPr>
                            </w:pPr>
                            <w:r w:rsidRPr="000D3625">
                              <w:rPr>
                                <w:rFonts w:ascii="Times New Roman" w:hAnsi="Times New Roman"/>
                                <w:bCs/>
                                <w:lang w:val="en-GB"/>
                              </w:rPr>
                              <w:t>(</w:t>
                            </w:r>
                            <w:r>
                              <w:rPr>
                                <w:rFonts w:ascii="Times New Roman" w:hAnsi="Times New Roman"/>
                                <w:bCs/>
                                <w:lang w:val="en-GB"/>
                              </w:rPr>
                              <w:t>e</w:t>
                            </w:r>
                            <w:r w:rsidRPr="000D3625">
                              <w:rPr>
                                <w:rFonts w:ascii="Times New Roman" w:hAnsi="Times New Roman"/>
                                <w:bCs/>
                                <w:lang w:val="en-GB"/>
                              </w:rPr>
                              <w:t>)</w:t>
                            </w:r>
                          </w:p>
                        </w:txbxContent>
                      </v:textbox>
                    </v:shape>
                  </w:pict>
                </mc:Fallback>
              </mc:AlternateContent>
            </w:r>
            <w:r w:rsidRPr="00536D16">
              <w:rPr>
                <w:noProof/>
                <w:lang w:val="en-GB"/>
              </w:rPr>
              <w:drawing>
                <wp:inline distT="0" distB="0" distL="0" distR="0" wp14:anchorId="557AC8AC" wp14:editId="2484E61E">
                  <wp:extent cx="2990850" cy="2368550"/>
                  <wp:effectExtent l="0" t="0" r="0" b="0"/>
                  <wp:docPr id="353423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423428" name=""/>
                          <pic:cNvPicPr/>
                        </pic:nvPicPr>
                        <pic:blipFill>
                          <a:blip r:embed="rId15">
                            <a:extLst>
                              <a:ext uri="{28A0092B-C50C-407E-A947-70E740481C1C}">
                                <a14:useLocalDpi xmlns:a14="http://schemas.microsoft.com/office/drawing/2010/main" val="0"/>
                              </a:ext>
                            </a:extLst>
                          </a:blip>
                          <a:stretch>
                            <a:fillRect/>
                          </a:stretch>
                        </pic:blipFill>
                        <pic:spPr>
                          <a:xfrm>
                            <a:off x="0" y="0"/>
                            <a:ext cx="2990850" cy="2368550"/>
                          </a:xfrm>
                          <a:prstGeom prst="rect">
                            <a:avLst/>
                          </a:prstGeom>
                        </pic:spPr>
                      </pic:pic>
                    </a:graphicData>
                  </a:graphic>
                </wp:inline>
              </w:drawing>
            </w:r>
          </w:p>
        </w:tc>
        <w:tc>
          <w:tcPr>
            <w:tcW w:w="4785" w:type="dxa"/>
          </w:tcPr>
          <w:p w14:paraId="50029BD8" w14:textId="2DCDC381" w:rsidR="000D3625" w:rsidRDefault="000D3625" w:rsidP="000D3625">
            <w:pPr>
              <w:spacing w:after="0" w:line="240" w:lineRule="auto"/>
              <w:jc w:val="both"/>
              <w:rPr>
                <w:rFonts w:ascii="Times New Roman" w:hAnsi="Times New Roman"/>
                <w:spacing w:val="-2"/>
                <w:lang w:val="en-GB"/>
              </w:rPr>
            </w:pPr>
            <w:r w:rsidRPr="000D3625">
              <w:rPr>
                <w:b/>
                <w:bCs/>
                <w:noProof/>
                <w:lang w:val="en-GB"/>
              </w:rPr>
              <mc:AlternateContent>
                <mc:Choice Requires="wps">
                  <w:drawing>
                    <wp:anchor distT="45720" distB="45720" distL="114300" distR="114300" simplePos="0" relativeHeight="251733504" behindDoc="0" locked="0" layoutInCell="1" allowOverlap="1" wp14:anchorId="0273B17E" wp14:editId="4162FF7A">
                      <wp:simplePos x="0" y="0"/>
                      <wp:positionH relativeFrom="column">
                        <wp:posOffset>-81063</wp:posOffset>
                      </wp:positionH>
                      <wp:positionV relativeFrom="paragraph">
                        <wp:posOffset>-1667</wp:posOffset>
                      </wp:positionV>
                      <wp:extent cx="266065" cy="1404620"/>
                      <wp:effectExtent l="0" t="0" r="635" b="5715"/>
                      <wp:wrapNone/>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1404620"/>
                              </a:xfrm>
                              <a:prstGeom prst="rect">
                                <a:avLst/>
                              </a:prstGeom>
                              <a:noFill/>
                              <a:ln w="9525">
                                <a:noFill/>
                                <a:miter lim="800000"/>
                                <a:headEnd/>
                                <a:tailEnd/>
                              </a:ln>
                            </wps:spPr>
                            <wps:txbx>
                              <w:txbxContent>
                                <w:p w14:paraId="2E11DD85" w14:textId="14D38560" w:rsidR="000D3625" w:rsidRPr="000D3625" w:rsidRDefault="000D3625" w:rsidP="000D3625">
                                  <w:pPr>
                                    <w:spacing w:after="0" w:line="240" w:lineRule="auto"/>
                                    <w:rPr>
                                      <w:rFonts w:ascii="Times New Roman" w:hAnsi="Times New Roman"/>
                                    </w:rPr>
                                  </w:pPr>
                                  <w:r w:rsidRPr="000D3625">
                                    <w:rPr>
                                      <w:rFonts w:ascii="Times New Roman" w:hAnsi="Times New Roman"/>
                                      <w:bCs/>
                                      <w:lang w:val="en-GB"/>
                                    </w:rPr>
                                    <w:t>(</w:t>
                                  </w:r>
                                  <w:r>
                                    <w:rPr>
                                      <w:rFonts w:ascii="Times New Roman" w:hAnsi="Times New Roman"/>
                                      <w:bCs/>
                                      <w:lang w:val="en-GB"/>
                                    </w:rPr>
                                    <w:t>f</w:t>
                                  </w:r>
                                  <w:r w:rsidRPr="000D3625">
                                    <w:rPr>
                                      <w:rFonts w:ascii="Times New Roman" w:hAnsi="Times New Roman"/>
                                      <w:bCs/>
                                      <w:lang w:val="en-GB"/>
                                    </w:rPr>
                                    <w:t>)</w:t>
                                  </w:r>
                                </w:p>
                              </w:txbxContent>
                            </wps:txbx>
                            <wps:bodyPr rot="0" vert="horz" wrap="square" lIns="36000" tIns="36000" rIns="36000" bIns="36000" anchor="t" anchorCtr="0">
                              <a:spAutoFit/>
                            </wps:bodyPr>
                          </wps:wsp>
                        </a:graphicData>
                      </a:graphic>
                      <wp14:sizeRelH relativeFrom="margin">
                        <wp14:pctWidth>0</wp14:pctWidth>
                      </wp14:sizeRelH>
                      <wp14:sizeRelV relativeFrom="margin">
                        <wp14:pctHeight>0</wp14:pctHeight>
                      </wp14:sizeRelV>
                    </wp:anchor>
                  </w:drawing>
                </mc:Choice>
                <mc:Fallback>
                  <w:pict>
                    <v:shape w14:anchorId="0273B17E" id="_x0000_s1031" type="#_x0000_t202" style="position:absolute;left:0;text-align:left;margin-left:-6.4pt;margin-top:-.15pt;width:20.95pt;height:110.6pt;z-index:251733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8wP+AEAANQDAAAOAAAAZHJzL2Uyb0RvYy54bWysU1Fv0zAQfkfiP1h+p0nDGo2o7jQ2ipDG&#10;QBr8ANdxGgvbZ2y3Sfn1nJ2ui+ANkQfrzpf77r7vzuub0WhylD4osIwuFyUl0gpold0z+v3b9s01&#10;JSFy23INVjJ6koHebF6/Wg+ukRX0oFvpCYLY0AyO0T5G1xRFEL00PCzASYvBDrzhEV2/L1rPB0Q3&#10;uqjKsi4G8K3zIGQIeHs/Bekm43edFPFL1wUZiWYUe4v59PncpbPYrHmz99z1Spzb4P/QheHKYtEL&#10;1D2PnBy8+gvKKOEhQBcXAkwBXaeEzByQzbL8g81Tz53MXFCc4C4yhf8HKx6PT+6rJ3F8DyMOMJMI&#10;7gHEj0As3PXc7uWt9zD0krdYeJkkKwYXmnNqkjo0IYHshs/Q4pD5IUIGGjtvkirIkyA6DuB0EV2O&#10;kQi8rOq6rFeUCAwtr8qruspTKXjznO18iB8lGJIMRj0ONaPz40OIqRvePP+SilnYKq3zYLUlA6Pv&#10;VtUqJ8wiRkXcO60Mo9dl+qZNSCQ/2DYnR670ZGMBbc+sE9GJchx3I1Eto6uUm0TYQXtCGTxMa4bP&#10;Ao0e/C9KBlwxRsPPA/eSEv3JopRv61SXxLnj585u7nArEIrRSMlk3sW8x4lycLco+VZlNV46ObeM&#10;q5NFOq952s25n/96eYyb3wAAAP//AwBQSwMEFAAGAAgAAAAhALFVn1vaAAAACAEAAA8AAABkcnMv&#10;ZG93bnJldi54bWxMj8FOwzAMhu9IvENkJG5b2iAhWppOgEDsNrHyAFljmmqNUzVZW94ec4KTbf3W&#10;58/VbvWDmHGKfSAN+TYDgdQG21On4bN52zyAiMmQNUMg1PCNEXb19VVlShsW+sD5mDrBEIql0eBS&#10;GkspY+vQm7gNIxJnX2HyJvE4ddJOZmG4H6TKsnvpTU98wZkRXxy25+PFM6XB4r3p1f7w2h2WkNPz&#10;/jw7rW9v1qdHEAnX9LcMv/qsDjU7ncKFbBSDhk2uWD1xcweCc1XkIE5cVVaArCv5/4H6BwAA//8D&#10;AFBLAQItABQABgAIAAAAIQC2gziS/gAAAOEBAAATAAAAAAAAAAAAAAAAAAAAAABbQ29udGVudF9U&#10;eXBlc10ueG1sUEsBAi0AFAAGAAgAAAAhADj9If/WAAAAlAEAAAsAAAAAAAAAAAAAAAAALwEAAF9y&#10;ZWxzLy5yZWxzUEsBAi0AFAAGAAgAAAAhAGzHzA/4AQAA1AMAAA4AAAAAAAAAAAAAAAAALgIAAGRy&#10;cy9lMm9Eb2MueG1sUEsBAi0AFAAGAAgAAAAhALFVn1vaAAAACAEAAA8AAAAAAAAAAAAAAAAAUgQA&#10;AGRycy9kb3ducmV2LnhtbFBLBQYAAAAABAAEAPMAAABZBQAAAAA=&#10;" filled="f" stroked="f">
                      <v:textbox style="mso-fit-shape-to-text:t" inset="1mm,1mm,1mm,1mm">
                        <w:txbxContent>
                          <w:p w14:paraId="2E11DD85" w14:textId="14D38560" w:rsidR="000D3625" w:rsidRPr="000D3625" w:rsidRDefault="000D3625" w:rsidP="000D3625">
                            <w:pPr>
                              <w:spacing w:after="0" w:line="240" w:lineRule="auto"/>
                              <w:rPr>
                                <w:rFonts w:ascii="Times New Roman" w:hAnsi="Times New Roman"/>
                              </w:rPr>
                            </w:pPr>
                            <w:r w:rsidRPr="000D3625">
                              <w:rPr>
                                <w:rFonts w:ascii="Times New Roman" w:hAnsi="Times New Roman"/>
                                <w:bCs/>
                                <w:lang w:val="en-GB"/>
                              </w:rPr>
                              <w:t>(</w:t>
                            </w:r>
                            <w:r>
                              <w:rPr>
                                <w:rFonts w:ascii="Times New Roman" w:hAnsi="Times New Roman"/>
                                <w:bCs/>
                                <w:lang w:val="en-GB"/>
                              </w:rPr>
                              <w:t>f</w:t>
                            </w:r>
                            <w:r w:rsidRPr="000D3625">
                              <w:rPr>
                                <w:rFonts w:ascii="Times New Roman" w:hAnsi="Times New Roman"/>
                                <w:bCs/>
                                <w:lang w:val="en-GB"/>
                              </w:rPr>
                              <w:t>)</w:t>
                            </w:r>
                          </w:p>
                        </w:txbxContent>
                      </v:textbox>
                    </v:shape>
                  </w:pict>
                </mc:Fallback>
              </mc:AlternateContent>
            </w:r>
            <w:r w:rsidRPr="00536D16">
              <w:rPr>
                <w:noProof/>
                <w:lang w:val="en-GB"/>
              </w:rPr>
              <w:drawing>
                <wp:inline distT="0" distB="0" distL="0" distR="0" wp14:anchorId="0BF18444" wp14:editId="4B6BE79D">
                  <wp:extent cx="2950326" cy="2291025"/>
                  <wp:effectExtent l="0" t="0" r="2540" b="0"/>
                  <wp:docPr id="883316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316325" name=""/>
                          <pic:cNvPicPr/>
                        </pic:nvPicPr>
                        <pic:blipFill>
                          <a:blip r:embed="rId16">
                            <a:extLst>
                              <a:ext uri="{28A0092B-C50C-407E-A947-70E740481C1C}">
                                <a14:useLocalDpi xmlns:a14="http://schemas.microsoft.com/office/drawing/2010/main" val="0"/>
                              </a:ext>
                            </a:extLst>
                          </a:blip>
                          <a:stretch>
                            <a:fillRect/>
                          </a:stretch>
                        </pic:blipFill>
                        <pic:spPr>
                          <a:xfrm>
                            <a:off x="0" y="0"/>
                            <a:ext cx="2952347" cy="2292594"/>
                          </a:xfrm>
                          <a:prstGeom prst="rect">
                            <a:avLst/>
                          </a:prstGeom>
                        </pic:spPr>
                      </pic:pic>
                    </a:graphicData>
                  </a:graphic>
                </wp:inline>
              </w:drawing>
            </w:r>
          </w:p>
        </w:tc>
      </w:tr>
    </w:tbl>
    <w:p w14:paraId="47EB7CDF" w14:textId="3A9315AD" w:rsidR="000D3625" w:rsidRPr="00536D16" w:rsidRDefault="000D3625" w:rsidP="000D3625">
      <w:pPr>
        <w:pStyle w:val="Rrys"/>
        <w:rPr>
          <w:lang w:val="en-GB"/>
        </w:rPr>
      </w:pPr>
      <w:r w:rsidRPr="00536D16">
        <w:rPr>
          <w:b/>
          <w:bCs/>
          <w:lang w:val="en-GB"/>
        </w:rPr>
        <w:t>Fig. 1.</w:t>
      </w:r>
      <w:r w:rsidRPr="00536D16">
        <w:rPr>
          <w:lang w:val="en-GB"/>
        </w:rPr>
        <w:t xml:space="preserve"> Structural features of GBHP: (a) BET isotherm and pore statistics</w:t>
      </w:r>
      <w:r>
        <w:rPr>
          <w:lang w:val="en-GB"/>
        </w:rPr>
        <w:t>,</w:t>
      </w:r>
      <w:r w:rsidRPr="00536D16">
        <w:rPr>
          <w:lang w:val="en-GB"/>
        </w:rPr>
        <w:t xml:space="preserve"> (b) XRD pattern, (c) FTIR spectra</w:t>
      </w:r>
      <w:r>
        <w:rPr>
          <w:lang w:val="en-GB"/>
        </w:rPr>
        <w:t>,</w:t>
      </w:r>
      <w:r w:rsidRPr="00536D16">
        <w:rPr>
          <w:lang w:val="en-GB"/>
        </w:rPr>
        <w:t xml:space="preserve"> (d) Raman spectrum, (e) C1s XPS, and (f) O1s XPS spectra</w:t>
      </w:r>
    </w:p>
    <w:p w14:paraId="641F05F5" w14:textId="77777777" w:rsidR="000D3625" w:rsidRDefault="000D3625" w:rsidP="000D3625">
      <w:pPr>
        <w:spacing w:after="0" w:line="240" w:lineRule="auto"/>
        <w:ind w:firstLine="284"/>
        <w:jc w:val="both"/>
        <w:rPr>
          <w:rFonts w:ascii="Times New Roman" w:hAnsi="Times New Roman"/>
          <w:lang w:val="en-GB"/>
        </w:rPr>
      </w:pPr>
    </w:p>
    <w:p w14:paraId="578B8F40" w14:textId="435015DF" w:rsidR="000D3625" w:rsidRPr="00536D16" w:rsidRDefault="000D3625" w:rsidP="000D3625">
      <w:pPr>
        <w:spacing w:after="0" w:line="240" w:lineRule="auto"/>
        <w:ind w:firstLine="284"/>
        <w:jc w:val="both"/>
        <w:rPr>
          <w:rFonts w:ascii="Times New Roman" w:hAnsi="Times New Roman"/>
          <w:lang w:val="en-GB"/>
        </w:rPr>
      </w:pPr>
      <w:r w:rsidRPr="00536D16">
        <w:rPr>
          <w:rFonts w:ascii="Times New Roman" w:hAnsi="Times New Roman"/>
          <w:lang w:val="en-GB"/>
        </w:rPr>
        <w:lastRenderedPageBreak/>
        <w:t>The N</w:t>
      </w:r>
      <w:r w:rsidRPr="00536D16">
        <w:rPr>
          <w:rFonts w:ascii="Times New Roman" w:hAnsi="Times New Roman"/>
          <w:vertAlign w:val="subscript"/>
          <w:lang w:val="en-GB"/>
        </w:rPr>
        <w:t>2</w:t>
      </w:r>
      <w:r w:rsidRPr="00D121B1">
        <w:rPr>
          <w:rFonts w:ascii="Times New Roman" w:hAnsi="Times New Roman"/>
          <w:lang w:val="en-GB"/>
        </w:rPr>
        <w:t xml:space="preserve"> </w:t>
      </w:r>
      <w:r w:rsidRPr="00536D16">
        <w:rPr>
          <w:rFonts w:ascii="Times New Roman" w:hAnsi="Times New Roman"/>
          <w:lang w:val="en-GB"/>
        </w:rPr>
        <w:t xml:space="preserve">adsorption–desorption isotherm </w:t>
      </w:r>
      <w:r>
        <w:rPr>
          <w:rFonts w:ascii="Times New Roman" w:hAnsi="Times New Roman"/>
          <w:lang w:val="en-GB"/>
        </w:rPr>
        <w:t>shown in Figure 1(a) exhibits a typical hysteresis loop at high pressure (P/P₀ &gt; 0.8),</w:t>
      </w:r>
      <w:r w:rsidRPr="00536D16">
        <w:rPr>
          <w:rFonts w:ascii="Times New Roman" w:hAnsi="Times New Roman"/>
          <w:lang w:val="en-GB"/>
        </w:rPr>
        <w:t xml:space="preserve"> characteristic of mesoporous structures. </w:t>
      </w:r>
      <w:r>
        <w:rPr>
          <w:rFonts w:ascii="Times New Roman" w:hAnsi="Times New Roman"/>
          <w:lang w:val="en-GB"/>
        </w:rPr>
        <w:t>Nitrogen uptake increases gradually and is sharply increased near the saturation pressure, indicating</w:t>
      </w:r>
      <w:r w:rsidRPr="00536D16">
        <w:rPr>
          <w:rFonts w:ascii="Times New Roman" w:hAnsi="Times New Roman"/>
          <w:lang w:val="en-GB"/>
        </w:rPr>
        <w:t xml:space="preserve"> multilayer adsorption and capillary condensation within interconnected mesopores. The synthesized GBHP had a BET surface area of ~16.8 m² g</w:t>
      </w:r>
      <w:r w:rsidRPr="00536D16">
        <w:rPr>
          <w:rFonts w:ascii="Times New Roman" w:hAnsi="Times New Roman"/>
          <w:vertAlign w:val="superscript"/>
          <w:lang w:val="en-GB"/>
        </w:rPr>
        <w:t>−1</w:t>
      </w:r>
      <w:r w:rsidRPr="00536D16">
        <w:rPr>
          <w:rFonts w:ascii="Times New Roman" w:hAnsi="Times New Roman"/>
          <w:lang w:val="en-GB"/>
        </w:rPr>
        <w:t>, a total pore volume of 0.139 cm</w:t>
      </w:r>
      <w:r w:rsidRPr="000D3625">
        <w:rPr>
          <w:rFonts w:ascii="Times New Roman" w:hAnsi="Times New Roman"/>
          <w:vertAlign w:val="superscript"/>
          <w:lang w:val="en-GB"/>
        </w:rPr>
        <w:t>3</w:t>
      </w:r>
      <w:r>
        <w:rPr>
          <w:rFonts w:ascii="Times New Roman" w:hAnsi="Times New Roman"/>
          <w:vertAlign w:val="superscript"/>
          <w:lang w:val="en-GB"/>
        </w:rPr>
        <w:t xml:space="preserve"> </w:t>
      </w:r>
      <w:r w:rsidRPr="000D3625">
        <w:rPr>
          <w:rFonts w:ascii="Times New Roman" w:hAnsi="Times New Roman"/>
          <w:lang w:val="en-GB"/>
        </w:rPr>
        <w:t>g</w:t>
      </w:r>
      <w:r>
        <w:rPr>
          <w:rFonts w:ascii="Times New Roman" w:hAnsi="Times New Roman"/>
          <w:vertAlign w:val="superscript"/>
          <w:lang w:val="en-GB"/>
        </w:rPr>
        <w:t>−1</w:t>
      </w:r>
      <w:r w:rsidRPr="000D3625">
        <w:rPr>
          <w:rFonts w:ascii="Times New Roman" w:hAnsi="Times New Roman"/>
          <w:lang w:val="en-GB"/>
        </w:rPr>
        <w:t>, and an average pore diameter of 4.6 nm, indicating</w:t>
      </w:r>
      <w:r w:rsidRPr="00536D16">
        <w:rPr>
          <w:rFonts w:ascii="Times New Roman" w:hAnsi="Times New Roman"/>
          <w:lang w:val="en-GB"/>
        </w:rPr>
        <w:t xml:space="preserve"> the formation of a mesoporous carbon framework. The pore</w:t>
      </w:r>
      <w:r>
        <w:rPr>
          <w:rFonts w:ascii="Times New Roman" w:hAnsi="Times New Roman"/>
          <w:lang w:val="en-GB"/>
        </w:rPr>
        <w:t>-size distribution also show</w:t>
      </w:r>
      <w:r w:rsidRPr="00536D16">
        <w:rPr>
          <w:rFonts w:ascii="Times New Roman" w:hAnsi="Times New Roman"/>
          <w:lang w:val="en-GB"/>
        </w:rPr>
        <w:t xml:space="preserve">ed that the pores are mainly </w:t>
      </w:r>
      <w:r>
        <w:rPr>
          <w:rFonts w:ascii="Times New Roman" w:hAnsi="Times New Roman"/>
          <w:lang w:val="en-GB"/>
        </w:rPr>
        <w:t>in the mesoporous region, which promotes the diffusion of malachite green molecules and reduces diffusion resistance within</w:t>
      </w:r>
      <w:r w:rsidRPr="00536D16">
        <w:rPr>
          <w:rFonts w:ascii="Times New Roman" w:hAnsi="Times New Roman"/>
          <w:lang w:val="en-GB"/>
        </w:rPr>
        <w:t xml:space="preserve"> the particles. Pore development is believed to </w:t>
      </w:r>
      <w:r>
        <w:rPr>
          <w:rFonts w:ascii="Times New Roman" w:hAnsi="Times New Roman"/>
          <w:lang w:val="en-GB"/>
        </w:rPr>
        <w:t>result from reactions during hydrothermal carbonization, including dehydration, decarboxylation, and volatilization, which create interconnected pore channels and expose</w:t>
      </w:r>
      <w:r w:rsidRPr="00536D16">
        <w:rPr>
          <w:rFonts w:ascii="Times New Roman" w:hAnsi="Times New Roman"/>
          <w:lang w:val="en-GB"/>
        </w:rPr>
        <w:t xml:space="preserve"> additional adsorption sites. The XRD pattern of GBHP</w:t>
      </w:r>
      <w:r>
        <w:rPr>
          <w:rFonts w:ascii="Times New Roman" w:hAnsi="Times New Roman"/>
          <w:lang w:val="en-GB"/>
        </w:rPr>
        <w:t>, shown in Figure 1(b), shows peaks at 24° and 43°, which are associated with the (002) and (100) planes of graphitic carbon,</w:t>
      </w:r>
      <w:r w:rsidRPr="00536D16">
        <w:rPr>
          <w:rFonts w:ascii="Times New Roman" w:hAnsi="Times New Roman"/>
          <w:lang w:val="en-GB"/>
        </w:rPr>
        <w:t xml:space="preserve"> respectively. The general diffraction peak shape suggests a lack of graphitic order with a mostly </w:t>
      </w:r>
      <w:proofErr w:type="spellStart"/>
      <w:r w:rsidRPr="00536D16">
        <w:rPr>
          <w:rFonts w:ascii="Times New Roman" w:hAnsi="Times New Roman"/>
          <w:lang w:val="en-GB"/>
        </w:rPr>
        <w:t>turbostratic</w:t>
      </w:r>
      <w:proofErr w:type="spellEnd"/>
      <w:r w:rsidRPr="00536D16">
        <w:rPr>
          <w:rFonts w:ascii="Times New Roman" w:hAnsi="Times New Roman"/>
          <w:lang w:val="en-GB"/>
        </w:rPr>
        <w:t xml:space="preserve"> carbon structure, typical of hydrothermally carbonized biomass. The lack of sharp graphitic reflections indicates that complete graphitization has not taken place </w:t>
      </w:r>
      <w:r>
        <w:rPr>
          <w:rFonts w:ascii="Times New Roman" w:hAnsi="Times New Roman"/>
          <w:lang w:val="en-GB"/>
        </w:rPr>
        <w:t>under</w:t>
      </w:r>
      <w:r w:rsidRPr="00536D16">
        <w:rPr>
          <w:rFonts w:ascii="Times New Roman" w:hAnsi="Times New Roman"/>
          <w:lang w:val="en-GB"/>
        </w:rPr>
        <w:t xml:space="preserve"> the conditions applied here, and the defect-rich amorphous carbon matrix has been preserved. In addition, there are some weak diffraction peaks seen across the diffractogram, which belong to the phases of calcium phosphate and hydroxyapatite from </w:t>
      </w:r>
      <w:r>
        <w:rPr>
          <w:rFonts w:ascii="Times New Roman" w:hAnsi="Times New Roman"/>
          <w:lang w:val="en-GB"/>
        </w:rPr>
        <w:t xml:space="preserve">the </w:t>
      </w:r>
      <w:r w:rsidRPr="00536D16">
        <w:rPr>
          <w:rFonts w:ascii="Times New Roman" w:hAnsi="Times New Roman"/>
          <w:lang w:val="en-GB"/>
        </w:rPr>
        <w:t>goat bone precursor.</w:t>
      </w:r>
    </w:p>
    <w:p w14:paraId="65F5AF23" w14:textId="4B77DE7A" w:rsidR="00EF3802" w:rsidRPr="000D3625" w:rsidRDefault="00EF3802" w:rsidP="004F48A2">
      <w:pPr>
        <w:spacing w:after="0" w:line="240" w:lineRule="auto"/>
        <w:ind w:firstLine="284"/>
        <w:jc w:val="both"/>
        <w:rPr>
          <w:rFonts w:ascii="Times New Roman" w:hAnsi="Times New Roman"/>
          <w:spacing w:val="-2"/>
          <w:lang w:val="en-GB"/>
        </w:rPr>
      </w:pPr>
      <w:r w:rsidRPr="000D3625">
        <w:rPr>
          <w:rFonts w:ascii="Times New Roman" w:hAnsi="Times New Roman"/>
          <w:spacing w:val="-2"/>
          <w:lang w:val="en-GB"/>
        </w:rPr>
        <w:t>The presence of both partially graphitized carbon and remnant mineral phases creates a variety of adsorption sites</w:t>
      </w:r>
      <w:r w:rsidR="000D3625" w:rsidRPr="000D3625">
        <w:rPr>
          <w:rFonts w:ascii="Times New Roman" w:hAnsi="Times New Roman"/>
          <w:spacing w:val="-2"/>
          <w:lang w:val="en-GB"/>
        </w:rPr>
        <w:t>, which might synergistically increase the adsorption of malachite green</w:t>
      </w:r>
      <w:r w:rsidRPr="000D3625">
        <w:rPr>
          <w:rFonts w:ascii="Times New Roman" w:hAnsi="Times New Roman"/>
          <w:spacing w:val="-2"/>
          <w:lang w:val="en-GB"/>
        </w:rPr>
        <w:t xml:space="preserve"> via both electrostatic and surface complexation processes. The FTIR spectra before and after adsorption</w:t>
      </w:r>
      <w:r w:rsidR="000D3625" w:rsidRPr="000D3625">
        <w:rPr>
          <w:rFonts w:ascii="Times New Roman" w:hAnsi="Times New Roman"/>
          <w:spacing w:val="-2"/>
          <w:lang w:val="en-GB"/>
        </w:rPr>
        <w:t>, as shown in Figure 1(c), indicate that the GBHP surface contains numerous oxygen-</w:t>
      </w:r>
      <w:r w:rsidRPr="000D3625">
        <w:rPr>
          <w:rFonts w:ascii="Times New Roman" w:hAnsi="Times New Roman"/>
          <w:spacing w:val="-2"/>
          <w:lang w:val="en-GB"/>
        </w:rPr>
        <w:t>containing functional groups. The wide absorption band at 3486 cm</w:t>
      </w:r>
      <w:r w:rsidRPr="000D3625">
        <w:rPr>
          <w:rFonts w:ascii="Times New Roman" w:hAnsi="Times New Roman"/>
          <w:spacing w:val="-2"/>
          <w:vertAlign w:val="superscript"/>
          <w:lang w:val="en-GB"/>
        </w:rPr>
        <w:t>-1</w:t>
      </w:r>
      <w:r w:rsidRPr="000D3625">
        <w:rPr>
          <w:rFonts w:ascii="Times New Roman" w:hAnsi="Times New Roman"/>
          <w:spacing w:val="-2"/>
          <w:lang w:val="en-GB"/>
        </w:rPr>
        <w:t xml:space="preserve"> is attributed to the stretching of hydroxyl (–OH) groups</w:t>
      </w:r>
      <w:r w:rsidR="000D3625" w:rsidRPr="000D3625">
        <w:rPr>
          <w:rFonts w:ascii="Times New Roman" w:hAnsi="Times New Roman"/>
          <w:spacing w:val="-2"/>
          <w:lang w:val="en-GB"/>
        </w:rPr>
        <w:t>,</w:t>
      </w:r>
      <w:r w:rsidRPr="000D3625">
        <w:rPr>
          <w:rFonts w:ascii="Times New Roman" w:hAnsi="Times New Roman"/>
          <w:spacing w:val="-2"/>
          <w:lang w:val="en-GB"/>
        </w:rPr>
        <w:t xml:space="preserve"> and the absorption band at 1632 cm</w:t>
      </w:r>
      <w:r w:rsidRPr="000D3625">
        <w:rPr>
          <w:rFonts w:ascii="Times New Roman" w:hAnsi="Times New Roman"/>
          <w:spacing w:val="-2"/>
          <w:vertAlign w:val="superscript"/>
          <w:lang w:val="en-GB"/>
        </w:rPr>
        <w:t>-1</w:t>
      </w:r>
      <w:r w:rsidRPr="000D3625">
        <w:rPr>
          <w:rFonts w:ascii="Times New Roman" w:hAnsi="Times New Roman"/>
          <w:spacing w:val="-2"/>
          <w:lang w:val="en-GB"/>
        </w:rPr>
        <w:t xml:space="preserve"> </w:t>
      </w:r>
      <w:r w:rsidRPr="007A758E">
        <w:rPr>
          <w:rFonts w:ascii="Times New Roman" w:hAnsi="Times New Roman"/>
          <w:lang w:val="en-GB"/>
        </w:rPr>
        <w:t>is attributed to the</w:t>
      </w:r>
      <w:r w:rsidR="007A758E">
        <w:rPr>
          <w:rFonts w:ascii="Times New Roman" w:hAnsi="Times New Roman"/>
          <w:lang w:val="en-GB"/>
        </w:rPr>
        <w:t> </w:t>
      </w:r>
      <w:r w:rsidRPr="007A758E">
        <w:rPr>
          <w:rFonts w:ascii="Times New Roman" w:hAnsi="Times New Roman"/>
          <w:lang w:val="en-GB"/>
        </w:rPr>
        <w:t xml:space="preserve">aromatic C=C stretching vibrations formed during the hydrothermal carbonization process. </w:t>
      </w:r>
      <w:r w:rsidRPr="000D3625">
        <w:rPr>
          <w:rFonts w:ascii="Times New Roman" w:hAnsi="Times New Roman"/>
          <w:spacing w:val="-2"/>
          <w:lang w:val="en-GB"/>
        </w:rPr>
        <w:t>The band at 1123 cm</w:t>
      </w:r>
      <w:r w:rsidR="00F932AE" w:rsidRPr="000D3625">
        <w:rPr>
          <w:rFonts w:ascii="Times New Roman" w:hAnsi="Times New Roman"/>
          <w:spacing w:val="-2"/>
          <w:vertAlign w:val="superscript"/>
          <w:lang w:val="en-GB"/>
        </w:rPr>
        <w:t>-1</w:t>
      </w:r>
      <w:r w:rsidRPr="000D3625">
        <w:rPr>
          <w:rFonts w:ascii="Times New Roman" w:hAnsi="Times New Roman"/>
          <w:spacing w:val="-2"/>
          <w:lang w:val="en-GB"/>
        </w:rPr>
        <w:t xml:space="preserve"> is due to C–O stretching vibrations of alcohol, ether</w:t>
      </w:r>
      <w:r w:rsidR="000D3625" w:rsidRPr="000D3625">
        <w:rPr>
          <w:rFonts w:ascii="Times New Roman" w:hAnsi="Times New Roman"/>
          <w:spacing w:val="-2"/>
          <w:lang w:val="en-GB"/>
        </w:rPr>
        <w:t>,</w:t>
      </w:r>
      <w:r w:rsidRPr="000D3625">
        <w:rPr>
          <w:rFonts w:ascii="Times New Roman" w:hAnsi="Times New Roman"/>
          <w:spacing w:val="-2"/>
          <w:lang w:val="en-GB"/>
        </w:rPr>
        <w:t xml:space="preserve"> and phenolic groups. After malachite green adsorption, there w</w:t>
      </w:r>
      <w:r w:rsidR="000D3625" w:rsidRPr="000D3625">
        <w:rPr>
          <w:rFonts w:ascii="Times New Roman" w:hAnsi="Times New Roman"/>
          <w:spacing w:val="-2"/>
          <w:lang w:val="en-GB"/>
        </w:rPr>
        <w:t>as a significant drop in the peak intensity and a slight shift in the bands, indicating</w:t>
      </w:r>
      <w:r w:rsidRPr="000D3625">
        <w:rPr>
          <w:rFonts w:ascii="Times New Roman" w:hAnsi="Times New Roman"/>
          <w:spacing w:val="-2"/>
          <w:lang w:val="en-GB"/>
        </w:rPr>
        <w:t xml:space="preserve"> that the functional groups were directly involved in the adsorption process. The spectral shifts indicate that hydrogen bonding, electrostatic attraction, and </w:t>
      </w:r>
      <w:r w:rsidR="000D3625" w:rsidRPr="000D3625">
        <w:rPr>
          <w:rFonts w:ascii="Times New Roman" w:hAnsi="Times New Roman"/>
          <w:spacing w:val="-2"/>
          <w:lang w:val="en-GB"/>
        </w:rPr>
        <w:t>a π–π electron donor–acceptor interaction between the aromatic ring of malachite green and the conjugated carbon of GBHP are involved</w:t>
      </w:r>
      <w:r w:rsidRPr="000D3625">
        <w:rPr>
          <w:rFonts w:ascii="Times New Roman" w:hAnsi="Times New Roman"/>
          <w:spacing w:val="-2"/>
          <w:lang w:val="en-GB"/>
        </w:rPr>
        <w:t xml:space="preserve"> in the adsorption process.</w:t>
      </w:r>
    </w:p>
    <w:p w14:paraId="34D00EEA" w14:textId="41CC1F45" w:rsidR="00EF3802" w:rsidRPr="00536D16" w:rsidRDefault="00EF3802" w:rsidP="004F48A2">
      <w:pPr>
        <w:spacing w:after="0" w:line="240" w:lineRule="auto"/>
        <w:ind w:firstLine="284"/>
        <w:jc w:val="both"/>
        <w:rPr>
          <w:rFonts w:ascii="Times New Roman" w:hAnsi="Times New Roman"/>
          <w:lang w:val="en-GB"/>
        </w:rPr>
      </w:pPr>
      <w:r w:rsidRPr="000D3625">
        <w:rPr>
          <w:rFonts w:ascii="Times New Roman" w:hAnsi="Times New Roman"/>
          <w:spacing w:val="-2"/>
          <w:lang w:val="en-GB"/>
        </w:rPr>
        <w:t xml:space="preserve">The Raman spectrum shown in Figure </w:t>
      </w:r>
      <w:r w:rsidR="00FB278E" w:rsidRPr="000D3625">
        <w:rPr>
          <w:rFonts w:ascii="Times New Roman" w:hAnsi="Times New Roman"/>
          <w:spacing w:val="-2"/>
          <w:lang w:val="en-GB"/>
        </w:rPr>
        <w:t>1</w:t>
      </w:r>
      <w:r w:rsidRPr="000D3625">
        <w:rPr>
          <w:rFonts w:ascii="Times New Roman" w:hAnsi="Times New Roman"/>
          <w:spacing w:val="-2"/>
          <w:lang w:val="en-GB"/>
        </w:rPr>
        <w:t>(d) features the characteristic D and G bands at 1458 and 1657 cm</w:t>
      </w:r>
      <w:r w:rsidR="00257035" w:rsidRPr="000D3625">
        <w:rPr>
          <w:rFonts w:ascii="Times New Roman" w:hAnsi="Times New Roman"/>
          <w:spacing w:val="-2"/>
          <w:vertAlign w:val="superscript"/>
          <w:lang w:val="en-GB"/>
        </w:rPr>
        <w:t>-</w:t>
      </w:r>
      <w:r w:rsidR="00F932AE" w:rsidRPr="000D3625">
        <w:rPr>
          <w:rFonts w:ascii="Times New Roman" w:hAnsi="Times New Roman"/>
          <w:spacing w:val="-2"/>
          <w:vertAlign w:val="superscript"/>
          <w:lang w:val="en-GB"/>
        </w:rPr>
        <w:t>1</w:t>
      </w:r>
      <w:r w:rsidRPr="00536D16">
        <w:rPr>
          <w:rFonts w:ascii="Times New Roman" w:hAnsi="Times New Roman"/>
          <w:lang w:val="en-GB"/>
        </w:rPr>
        <w:t>, respectively. The ratio of the D band to G band intensities (I</w:t>
      </w:r>
      <w:r w:rsidRPr="00536D16">
        <w:rPr>
          <w:rFonts w:ascii="Times New Roman" w:hAnsi="Times New Roman"/>
          <w:vertAlign w:val="subscript"/>
          <w:lang w:val="en-GB"/>
        </w:rPr>
        <w:t>D</w:t>
      </w:r>
      <w:r w:rsidRPr="00536D16">
        <w:rPr>
          <w:rFonts w:ascii="Times New Roman" w:hAnsi="Times New Roman"/>
          <w:lang w:val="en-GB"/>
        </w:rPr>
        <w:t>/I</w:t>
      </w:r>
      <w:r w:rsidRPr="00536D16">
        <w:rPr>
          <w:rFonts w:ascii="Times New Roman" w:hAnsi="Times New Roman"/>
          <w:vertAlign w:val="subscript"/>
          <w:lang w:val="en-GB"/>
        </w:rPr>
        <w:t>G</w:t>
      </w:r>
      <w:r w:rsidRPr="00536D16">
        <w:rPr>
          <w:rFonts w:ascii="Times New Roman" w:hAnsi="Times New Roman"/>
          <w:lang w:val="en-GB"/>
        </w:rPr>
        <w:t xml:space="preserve"> = 0.88) indicates </w:t>
      </w:r>
      <w:r w:rsidR="000D3625">
        <w:rPr>
          <w:rFonts w:ascii="Times New Roman" w:hAnsi="Times New Roman"/>
          <w:lang w:val="en-GB"/>
        </w:rPr>
        <w:t>a medium degree of defectiveness in</w:t>
      </w:r>
      <w:r w:rsidRPr="00536D16">
        <w:rPr>
          <w:rFonts w:ascii="Times New Roman" w:hAnsi="Times New Roman"/>
          <w:lang w:val="en-GB"/>
        </w:rPr>
        <w:t xml:space="preserve"> the carbon structure, with partially formed graphitic domains. The defect generation </w:t>
      </w:r>
      <w:r w:rsidR="000D3625">
        <w:rPr>
          <w:rFonts w:ascii="Times New Roman" w:hAnsi="Times New Roman"/>
          <w:lang w:val="en-GB"/>
        </w:rPr>
        <w:t>during HC is relatively high, which is advantageous for adsorption, as defect</w:t>
      </w:r>
      <w:r w:rsidRPr="00536D16">
        <w:rPr>
          <w:rFonts w:ascii="Times New Roman" w:hAnsi="Times New Roman"/>
          <w:lang w:val="en-GB"/>
        </w:rPr>
        <w:t xml:space="preserve"> sites have higher surface energy and hence more chemically active sites available for dye adsorption. At the same time, the graphitic domains enable π–π stacking interactions with the aromatic structure of malachite green, </w:t>
      </w:r>
      <w:r w:rsidR="000D3625">
        <w:rPr>
          <w:rFonts w:ascii="Times New Roman" w:hAnsi="Times New Roman"/>
          <w:lang w:val="en-GB"/>
        </w:rPr>
        <w:t>thereby</w:t>
      </w:r>
      <w:r w:rsidRPr="00536D16">
        <w:rPr>
          <w:rFonts w:ascii="Times New Roman" w:hAnsi="Times New Roman"/>
          <w:lang w:val="en-GB"/>
        </w:rPr>
        <w:t xml:space="preserve"> improving adsorption affinity</w:t>
      </w:r>
      <w:r w:rsidR="00F932AE" w:rsidRPr="00536D16">
        <w:rPr>
          <w:rFonts w:ascii="Times New Roman" w:hAnsi="Times New Roman"/>
          <w:lang w:val="en-GB"/>
        </w:rPr>
        <w:t xml:space="preserve"> </w:t>
      </w:r>
      <w:r w:rsidR="00F932AE" w:rsidRPr="00536D16">
        <w:rPr>
          <w:rFonts w:ascii="Times New Roman" w:hAnsi="Times New Roman"/>
          <w:lang w:val="en-GB"/>
        </w:rPr>
        <w:fldChar w:fldCharType="begin" w:fldLock="1"/>
      </w:r>
      <w:r w:rsidR="00F932AE" w:rsidRPr="00536D16">
        <w:rPr>
          <w:rFonts w:ascii="Times New Roman" w:hAnsi="Times New Roman"/>
          <w:lang w:val="en-GB"/>
        </w:rPr>
        <w:instrText>ADDIN CSL_CITATION {"citationItems":[{"id":"ITEM-1","itemData":{"DOI":"10.1080/21622515.2023.2197128","author":[{"dropping-particle":"","family":"Hart","given":"Abarasi","non-dropping-particle":"","parse-names":false,"suffix":""},{"dropping-particle":"","family":"Omonmhenle","given":"Selina Ilunakan","non-dropping-particle":"","parse-names":false,"suffix":""},{"dropping-particle":"","family":"Peretomode","given":"Ebikapaye","non-dropping-particle":"","parse-names":false,"suffix":""}],"container-title":"Environmental technology reviews","id":"ITEM-1","issue":"1","issued":{"date-parts":[["2023"]]},"page":"175-204","title":"Waste bone char-derived adsorbents: characteristics, adsorption mechanism and model approach","type":"article-journal","volume":"12"},"uris":["http://www.mendeley.com/documents/?uuid=3ff8694b-df2e-46d0-9cf8-15400c8fd3c9"]},{"id":"ITEM-2","itemData":{"DOI":"10.3390/pr14020339","author":[{"dropping-particle":"","family":"Durak","given":"Halil","non-dropping-particle":"","parse-names":false,"suffix":""},{"dropping-particle":"","family":"Yarbay","given":"R Z","non-dropping-particle":"","parse-names":false,"suffix":""},{"dropping-particle":"","family":"Türkmen","given":"Burçin Atılgan","non-dropping-particle":"","parse-names":false,"suffix":""}],"container-title":"Processes","id":"ITEM-2","issued":{"date-parts":[["2026"]]},"title":"Hydrothermal Carbonization of Biomass for Hydrochar Production: Mechanisms, Process Parameters, and Sustainable Valorization","type":"article-journal"},"uris":["http://www.mendeley.com/documents/?uuid=056d7b84-85f5-4863-80bc-488fc300a07c"]}],"mendeley":{"formattedCitation":"(Durak et al., 2026; Hart et al., 2023)","plainTextFormattedCitation":"(Durak et al., 2026; Hart et al., 2023)","previouslyFormattedCitation":"(Durak et al., 2026; Hart et al., 2023)"},"properties":{"noteIndex":0},"schema":"https://github.com/citation-style-language/schema/raw/master/csl-citation.json"}</w:instrText>
      </w:r>
      <w:r w:rsidR="00F932AE" w:rsidRPr="00536D16">
        <w:rPr>
          <w:rFonts w:ascii="Times New Roman" w:hAnsi="Times New Roman"/>
          <w:lang w:val="en-GB"/>
        </w:rPr>
        <w:fldChar w:fldCharType="separate"/>
      </w:r>
      <w:r w:rsidR="00F932AE" w:rsidRPr="00536D16">
        <w:rPr>
          <w:rFonts w:ascii="Times New Roman" w:hAnsi="Times New Roman"/>
          <w:noProof/>
          <w:lang w:val="en-GB"/>
        </w:rPr>
        <w:t>(Durak et al., 2026; Hart et al., 2023)</w:t>
      </w:r>
      <w:r w:rsidR="00F932AE" w:rsidRPr="00536D16">
        <w:rPr>
          <w:rFonts w:ascii="Times New Roman" w:hAnsi="Times New Roman"/>
          <w:lang w:val="en-GB"/>
        </w:rPr>
        <w:fldChar w:fldCharType="end"/>
      </w:r>
      <w:r w:rsidRPr="00536D16">
        <w:rPr>
          <w:rFonts w:ascii="Times New Roman" w:hAnsi="Times New Roman"/>
          <w:lang w:val="en-GB"/>
        </w:rPr>
        <w:t xml:space="preserve">. </w:t>
      </w:r>
    </w:p>
    <w:p w14:paraId="1D4CAF01" w14:textId="17D9471B" w:rsidR="00EF3802" w:rsidRPr="000D3625" w:rsidRDefault="00EF3802" w:rsidP="004F48A2">
      <w:pPr>
        <w:spacing w:after="0" w:line="240" w:lineRule="auto"/>
        <w:ind w:firstLine="284"/>
        <w:jc w:val="both"/>
        <w:rPr>
          <w:rFonts w:ascii="Times New Roman" w:hAnsi="Times New Roman"/>
          <w:spacing w:val="-2"/>
          <w:lang w:val="en-GB"/>
        </w:rPr>
      </w:pPr>
      <w:r w:rsidRPr="00536D16">
        <w:rPr>
          <w:rFonts w:ascii="Times New Roman" w:hAnsi="Times New Roman"/>
          <w:lang w:val="en-GB"/>
        </w:rPr>
        <w:t xml:space="preserve">The XPS spectra </w:t>
      </w:r>
      <w:r w:rsidR="000D3625">
        <w:rPr>
          <w:rFonts w:ascii="Times New Roman" w:hAnsi="Times New Roman"/>
          <w:lang w:val="en-GB"/>
        </w:rPr>
        <w:t>shown in Figure 1(e–f) also</w:t>
      </w:r>
      <w:r w:rsidRPr="00536D16">
        <w:rPr>
          <w:rFonts w:ascii="Times New Roman" w:hAnsi="Times New Roman"/>
          <w:lang w:val="en-GB"/>
        </w:rPr>
        <w:t xml:space="preserve"> indicate the heterogeneous surface chemistry of GBHP. The </w:t>
      </w:r>
      <w:r w:rsidRPr="000D3625">
        <w:rPr>
          <w:rFonts w:ascii="Times New Roman" w:hAnsi="Times New Roman"/>
          <w:spacing w:val="-2"/>
          <w:lang w:val="en-GB"/>
        </w:rPr>
        <w:t xml:space="preserve">deconvoluted C1s spectrum consists of four components that are </w:t>
      </w:r>
      <w:proofErr w:type="spellStart"/>
      <w:r w:rsidRPr="000D3625">
        <w:rPr>
          <w:rFonts w:ascii="Times New Roman" w:hAnsi="Times New Roman"/>
          <w:spacing w:val="-2"/>
          <w:lang w:val="en-GB"/>
        </w:rPr>
        <w:t>centered</w:t>
      </w:r>
      <w:proofErr w:type="spellEnd"/>
      <w:r w:rsidRPr="000D3625">
        <w:rPr>
          <w:rFonts w:ascii="Times New Roman" w:hAnsi="Times New Roman"/>
          <w:spacing w:val="-2"/>
          <w:lang w:val="en-GB"/>
        </w:rPr>
        <w:t xml:space="preserve"> at approximately 284.5, 286.0, 288.1, and 290.2 eV, which can be assigned to C–C/C=C, C–O, C=O, and O–C=O species, respectively. Similarly, the O 1s spectrum can be resolved into three oxygen environments </w:t>
      </w:r>
      <w:proofErr w:type="spellStart"/>
      <w:r w:rsidRPr="000D3625">
        <w:rPr>
          <w:rFonts w:ascii="Times New Roman" w:hAnsi="Times New Roman"/>
          <w:spacing w:val="-2"/>
          <w:lang w:val="en-GB"/>
        </w:rPr>
        <w:t>centered</w:t>
      </w:r>
      <w:proofErr w:type="spellEnd"/>
      <w:r w:rsidRPr="000D3625">
        <w:rPr>
          <w:rFonts w:ascii="Times New Roman" w:hAnsi="Times New Roman"/>
          <w:spacing w:val="-2"/>
          <w:lang w:val="en-GB"/>
        </w:rPr>
        <w:t xml:space="preserve"> near 531.5 eV, 533.2 eV, and 535.6 eV, corresponding to C–OH, C–O–C, and oxygen-rich carbonyl or adsorbed oxygen species, respectively. </w:t>
      </w:r>
      <w:r w:rsidRPr="00B365B6">
        <w:rPr>
          <w:rFonts w:ascii="Times New Roman" w:hAnsi="Times New Roman"/>
          <w:lang w:val="en-GB"/>
        </w:rPr>
        <w:t xml:space="preserve">The preference for graphitic carbon over </w:t>
      </w:r>
      <w:r w:rsidR="000D3625" w:rsidRPr="00B365B6">
        <w:rPr>
          <w:rFonts w:ascii="Times New Roman" w:hAnsi="Times New Roman"/>
          <w:lang w:val="en-GB"/>
        </w:rPr>
        <w:t>other carbon forms, along with the presence of a significant number of oxygen-containing functional groups, confirms the successful hydrothermal carbonization, creating a chemically heterogeneous surface that interacts</w:t>
      </w:r>
      <w:r w:rsidRPr="00B365B6">
        <w:rPr>
          <w:rFonts w:ascii="Times New Roman" w:hAnsi="Times New Roman"/>
          <w:lang w:val="en-GB"/>
        </w:rPr>
        <w:t xml:space="preserve"> with malachite green through multiple adsorption mechanisms</w:t>
      </w:r>
      <w:r w:rsidR="00F932AE" w:rsidRPr="00B365B6">
        <w:rPr>
          <w:rFonts w:ascii="Times New Roman" w:hAnsi="Times New Roman"/>
          <w:lang w:val="en-GB"/>
        </w:rPr>
        <w:t xml:space="preserve"> </w:t>
      </w:r>
      <w:r w:rsidR="00F932AE" w:rsidRPr="00B365B6">
        <w:rPr>
          <w:rFonts w:ascii="Times New Roman" w:hAnsi="Times New Roman"/>
          <w:lang w:val="en-GB"/>
        </w:rPr>
        <w:fldChar w:fldCharType="begin" w:fldLock="1"/>
      </w:r>
      <w:r w:rsidR="00F932AE" w:rsidRPr="00B365B6">
        <w:rPr>
          <w:rFonts w:ascii="Times New Roman" w:hAnsi="Times New Roman"/>
          <w:lang w:val="en-GB"/>
        </w:rPr>
        <w:instrText>ADDIN CSL_CITATION {"citationItems":[{"id":"ITEM-1","itemData":{"DOI":"10.36948/ijfmr.2025.v07i01.35458","author":[{"dropping-particle":"","family":"Inala","given":"Bala Venkata Praveen","non-dropping-particle":"","parse-names":false,"suffix":""},{"dropping-particle":"","family":"Choksi","given":"Nikita","non-dropping-particle":"","parse-names":false,"suffix":""}],"container-title":"International Journal For Multidisciplinary Research","id":"ITEM-1","issue":"1","issued":{"date-parts":[["2025"]]},"publisher":"International Journal for Multidisciplinary Research (IJFMR)","title":"Animal Bone- Eco-friendly Adsorption Material in Waste Water Treatment","type":"article-journal","volume":"7"},"uris":["http://www.mendeley.com/documents/?uuid=31d6598c-751a-4949-8b3a-03f90bc4cb50"]},{"id":"ITEM-2","itemData":{"DOI":"10.9734/IRJPAC/2020/V21I1130225","author":[{"dropping-particle":"","family":"Beulah","given":"S Sophie","non-dropping-particle":"","parse-names":false,"suffix":""},{"dropping-particle":"","family":"Muthukumaran","given":"K","non-dropping-particle":"","parse-names":false,"suffix":""}],"container-title":"International Research Journal of Pure and Applied Chemistry","id":"ITEM-2","issued":{"date-parts":[["2020"]]},"page":"68-78","publisher":"Sciencedomain International","title":"Methodologies of Removal of Dyes from Wastewater: A Review","type":"article-journal"},"uris":["http://www.mendeley.com/documents/?uuid=3979df3e-c2be-4efb-bf69-5b461fb1bc5d"]}],"mendeley":{"formattedCitation":"(Beulah &amp; Muthukumaran, 2020; Inala &amp; Choksi, 2025)","plainTextFormattedCitation":"(Beulah &amp; Muthukumaran, 2020; Inala &amp; Choksi, 2025)","previouslyFormattedCitation":"(Beulah &amp; Muthukumaran, 2020; Inala &amp; Choksi, 2025)"},"properties":{"noteIndex":0},"schema":"https://github.com/citation-style-language/schema/raw/master/csl-citation.json"}</w:instrText>
      </w:r>
      <w:r w:rsidR="00F932AE" w:rsidRPr="00B365B6">
        <w:rPr>
          <w:rFonts w:ascii="Times New Roman" w:hAnsi="Times New Roman"/>
          <w:lang w:val="en-GB"/>
        </w:rPr>
        <w:fldChar w:fldCharType="separate"/>
      </w:r>
      <w:r w:rsidR="00F932AE" w:rsidRPr="00B365B6">
        <w:rPr>
          <w:rFonts w:ascii="Times New Roman" w:hAnsi="Times New Roman"/>
          <w:noProof/>
          <w:lang w:val="en-GB"/>
        </w:rPr>
        <w:t>(Beulah &amp;</w:t>
      </w:r>
      <w:r w:rsidR="00B365B6">
        <w:rPr>
          <w:rFonts w:ascii="Times New Roman" w:hAnsi="Times New Roman"/>
          <w:noProof/>
          <w:lang w:val="en-GB"/>
        </w:rPr>
        <w:t> </w:t>
      </w:r>
      <w:r w:rsidR="00F932AE" w:rsidRPr="00B365B6">
        <w:rPr>
          <w:rFonts w:ascii="Times New Roman" w:hAnsi="Times New Roman"/>
          <w:noProof/>
          <w:lang w:val="en-GB"/>
        </w:rPr>
        <w:t>Muthukumaran, 2020; Inala &amp; Choksi, 2025)</w:t>
      </w:r>
      <w:r w:rsidR="00F932AE" w:rsidRPr="00B365B6">
        <w:rPr>
          <w:rFonts w:ascii="Times New Roman" w:hAnsi="Times New Roman"/>
          <w:lang w:val="en-GB"/>
        </w:rPr>
        <w:fldChar w:fldCharType="end"/>
      </w:r>
      <w:r w:rsidRPr="00B365B6">
        <w:rPr>
          <w:rFonts w:ascii="Times New Roman" w:hAnsi="Times New Roman"/>
          <w:lang w:val="en-GB"/>
        </w:rPr>
        <w:t>.</w:t>
      </w:r>
      <w:r w:rsidRPr="000D3625">
        <w:rPr>
          <w:rFonts w:ascii="Times New Roman" w:hAnsi="Times New Roman"/>
          <w:spacing w:val="-2"/>
          <w:lang w:val="en-GB"/>
        </w:rPr>
        <w:t xml:space="preserve"> The presence of oxygenated </w:t>
      </w:r>
      <w:r w:rsidR="009857CB" w:rsidRPr="000D3625">
        <w:rPr>
          <w:rFonts w:ascii="Times New Roman" w:hAnsi="Times New Roman"/>
          <w:spacing w:val="-2"/>
          <w:lang w:val="en-GB"/>
        </w:rPr>
        <w:t xml:space="preserve">active </w:t>
      </w:r>
      <w:r w:rsidRPr="000D3625">
        <w:rPr>
          <w:rFonts w:ascii="Times New Roman" w:hAnsi="Times New Roman"/>
          <w:spacing w:val="-2"/>
          <w:lang w:val="en-GB"/>
        </w:rPr>
        <w:t xml:space="preserve">groups increases the </w:t>
      </w:r>
      <w:r w:rsidR="009857CB" w:rsidRPr="000D3625">
        <w:rPr>
          <w:rFonts w:ascii="Times New Roman" w:hAnsi="Times New Roman"/>
          <w:spacing w:val="-2"/>
          <w:lang w:val="en-GB"/>
        </w:rPr>
        <w:t>site</w:t>
      </w:r>
      <w:r w:rsidR="000D3625" w:rsidRPr="000D3625">
        <w:rPr>
          <w:rFonts w:ascii="Times New Roman" w:hAnsi="Times New Roman"/>
          <w:spacing w:val="-2"/>
          <w:lang w:val="en-GB"/>
        </w:rPr>
        <w:t>'s polarity. It provides hydrogen bonding and electrostatic attraction, as well as</w:t>
      </w:r>
      <w:r w:rsidRPr="000D3625">
        <w:rPr>
          <w:rFonts w:ascii="Times New Roman" w:hAnsi="Times New Roman"/>
          <w:spacing w:val="-2"/>
          <w:lang w:val="en-GB"/>
        </w:rPr>
        <w:t xml:space="preserve"> the aromatic carbon framework for strong π–π interactions with the dye molecules. The physicochemical characterization results overall show that the hydrothermal carbonization process successfully converted goat bone waste into a mesoporous carbonaceous adsorbent with a defect-rich</w:t>
      </w:r>
      <w:r w:rsidR="000D3625" w:rsidRPr="000D3625">
        <w:rPr>
          <w:rFonts w:ascii="Times New Roman" w:hAnsi="Times New Roman"/>
          <w:spacing w:val="-2"/>
          <w:lang w:val="en-GB"/>
        </w:rPr>
        <w:t>, partially graphitized structure, containing high levels of oxygen-containing functional groups and som</w:t>
      </w:r>
      <w:r w:rsidRPr="000D3625">
        <w:rPr>
          <w:rFonts w:ascii="Times New Roman" w:hAnsi="Times New Roman"/>
          <w:spacing w:val="-2"/>
          <w:lang w:val="en-GB"/>
        </w:rPr>
        <w:t xml:space="preserve">e mineral phases remaining. All these structural and surface properties combine to </w:t>
      </w:r>
      <w:r w:rsidR="000D3625" w:rsidRPr="000D3625">
        <w:rPr>
          <w:rFonts w:ascii="Times New Roman" w:hAnsi="Times New Roman"/>
          <w:spacing w:val="-2"/>
          <w:lang w:val="en-GB"/>
        </w:rPr>
        <w:t>enhance the adsorption capacity of the GBHP by providing conditions that promote molecular diffusion and multiple interactions with</w:t>
      </w:r>
      <w:r w:rsidRPr="000D3625">
        <w:rPr>
          <w:rFonts w:ascii="Times New Roman" w:hAnsi="Times New Roman"/>
          <w:spacing w:val="-2"/>
          <w:lang w:val="en-GB"/>
        </w:rPr>
        <w:t xml:space="preserve"> malachite green molecules</w:t>
      </w:r>
      <w:r w:rsidR="00F932AE" w:rsidRPr="000D3625">
        <w:rPr>
          <w:rFonts w:ascii="Times New Roman" w:hAnsi="Times New Roman"/>
          <w:spacing w:val="-2"/>
          <w:lang w:val="en-GB"/>
        </w:rPr>
        <w:t xml:space="preserve"> </w:t>
      </w:r>
      <w:r w:rsidR="00F932AE" w:rsidRPr="000D3625">
        <w:rPr>
          <w:rFonts w:ascii="Times New Roman" w:hAnsi="Times New Roman"/>
          <w:spacing w:val="-2"/>
          <w:lang w:val="en-GB"/>
        </w:rPr>
        <w:fldChar w:fldCharType="begin" w:fldLock="1"/>
      </w:r>
      <w:r w:rsidR="001B4A3A" w:rsidRPr="000D3625">
        <w:rPr>
          <w:rFonts w:ascii="Times New Roman" w:hAnsi="Times New Roman"/>
          <w:spacing w:val="-2"/>
          <w:lang w:val="en-GB"/>
        </w:rPr>
        <w:instrText>ADDIN CSL_CITATION {"citationItems":[{"id":"ITEM-1","itemData":{"DOI":"10.1016/J.BCAB.2019.01.030","author":[{"dropping-particle":"","family":"Arunprasath","given":"T","non-dropping-particle":"","parse-names":false,"suffix":""},{"dropping-particle":"","family":"Sudalai","given":"S","non-dropping-particle":"","parse-names":false,"suffix":""},{"dropping-particle":"","family":"Meenatchi","given":"R","non-dropping-particle":"","parse-names":false,"suffix":""},{"dropping-particle":"","family":"Jeyavishnu","given":"K","non-dropping-particle":"","parse-names":false,"suffix":""},{"dropping-particle":"","family":"Arumugam","given":"A","non-dropping-particle":"","parse-names":false,"suffix":""}],"container-title":"Biocatalysis and agricultural biotechnology","id":"ITEM-1","issued":{"date-parts":[["2019"]]},"page":"672-679","publisher":"Elsevier","title":"Biodegradation of triphenylmethane dye malachite green by a newly isolated fungus strain","type":"article-journal","volume":"17"},"uris":["http://www.mendeley.com/documents/?uuid=3b6d555a-c42a-4d3a-b3a1-a5024130b6a7"]}],"mendeley":{"formattedCitation":"(Arunprasath et al., 2019)","plainTextFormattedCitation":"(Arunprasath et al., 2019)","previouslyFormattedCitation":"(Arunprasath et al., 2019)"},"properties":{"noteIndex":0},"schema":"https://github.com/citation-style-language/schema/raw/master/csl-citation.json"}</w:instrText>
      </w:r>
      <w:r w:rsidR="00F932AE" w:rsidRPr="000D3625">
        <w:rPr>
          <w:rFonts w:ascii="Times New Roman" w:hAnsi="Times New Roman"/>
          <w:spacing w:val="-2"/>
          <w:lang w:val="en-GB"/>
        </w:rPr>
        <w:fldChar w:fldCharType="separate"/>
      </w:r>
      <w:r w:rsidR="00F932AE" w:rsidRPr="000D3625">
        <w:rPr>
          <w:rFonts w:ascii="Times New Roman" w:hAnsi="Times New Roman"/>
          <w:noProof/>
          <w:spacing w:val="-2"/>
          <w:lang w:val="en-GB"/>
        </w:rPr>
        <w:t>(Arunprasath et al., 2019)</w:t>
      </w:r>
      <w:r w:rsidR="00F932AE" w:rsidRPr="000D3625">
        <w:rPr>
          <w:rFonts w:ascii="Times New Roman" w:hAnsi="Times New Roman"/>
          <w:spacing w:val="-2"/>
          <w:lang w:val="en-GB"/>
        </w:rPr>
        <w:fldChar w:fldCharType="end"/>
      </w:r>
      <w:r w:rsidRPr="000D3625">
        <w:rPr>
          <w:rFonts w:ascii="Times New Roman" w:hAnsi="Times New Roman"/>
          <w:spacing w:val="-2"/>
          <w:lang w:val="en-GB"/>
        </w:rPr>
        <w:t>.</w:t>
      </w:r>
    </w:p>
    <w:p w14:paraId="0FB59480" w14:textId="5AF78FE6" w:rsidR="00E877AF" w:rsidRPr="00536D16" w:rsidRDefault="00E877AF" w:rsidP="00311173">
      <w:pPr>
        <w:pStyle w:val="Rn2"/>
        <w:rPr>
          <w:lang w:val="en-GB"/>
        </w:rPr>
      </w:pPr>
      <w:r w:rsidRPr="00536D16">
        <w:rPr>
          <w:lang w:val="en-GB"/>
        </w:rPr>
        <w:t>3.2. Surface Morphological Analysis (FESEM)</w:t>
      </w:r>
    </w:p>
    <w:p w14:paraId="3274A9D8" w14:textId="45E429DD" w:rsidR="00E877AF" w:rsidRPr="00536D16" w:rsidRDefault="00E877AF" w:rsidP="004F48A2">
      <w:pPr>
        <w:spacing w:after="0" w:line="240" w:lineRule="auto"/>
        <w:ind w:firstLine="284"/>
        <w:jc w:val="both"/>
        <w:rPr>
          <w:rFonts w:ascii="Times New Roman" w:hAnsi="Times New Roman"/>
          <w:lang w:val="en-GB"/>
        </w:rPr>
      </w:pPr>
      <w:r w:rsidRPr="00536D16">
        <w:rPr>
          <w:rFonts w:ascii="Times New Roman" w:hAnsi="Times New Roman"/>
          <w:lang w:val="en-GB"/>
        </w:rPr>
        <w:t xml:space="preserve">The surface </w:t>
      </w:r>
      <w:r w:rsidR="00760502" w:rsidRPr="00536D16">
        <w:rPr>
          <w:rFonts w:ascii="Times New Roman" w:hAnsi="Times New Roman"/>
          <w:lang w:val="en-GB"/>
        </w:rPr>
        <w:t>characterization</w:t>
      </w:r>
      <w:r w:rsidRPr="00536D16">
        <w:rPr>
          <w:rFonts w:ascii="Times New Roman" w:hAnsi="Times New Roman"/>
          <w:lang w:val="en-GB"/>
        </w:rPr>
        <w:t xml:space="preserve"> of the synthesized GBHP </w:t>
      </w:r>
      <w:r w:rsidR="009857CB" w:rsidRPr="00536D16">
        <w:rPr>
          <w:rFonts w:ascii="Times New Roman" w:hAnsi="Times New Roman"/>
          <w:lang w:val="en-GB"/>
        </w:rPr>
        <w:t>onto</w:t>
      </w:r>
      <w:r w:rsidRPr="00536D16">
        <w:rPr>
          <w:rFonts w:ascii="Times New Roman" w:hAnsi="Times New Roman"/>
          <w:lang w:val="en-GB"/>
        </w:rPr>
        <w:t xml:space="preserve"> MG adsorption was </w:t>
      </w:r>
      <w:proofErr w:type="spellStart"/>
      <w:r w:rsidR="00760502" w:rsidRPr="00536D16">
        <w:rPr>
          <w:rFonts w:ascii="Times New Roman" w:hAnsi="Times New Roman"/>
          <w:lang w:val="en-GB"/>
        </w:rPr>
        <w:t>analy</w:t>
      </w:r>
      <w:r w:rsidR="000D3625">
        <w:rPr>
          <w:rFonts w:ascii="Times New Roman" w:hAnsi="Times New Roman"/>
          <w:lang w:val="en-GB"/>
        </w:rPr>
        <w:t>zed</w:t>
      </w:r>
      <w:proofErr w:type="spellEnd"/>
      <w:r w:rsidRPr="00536D16">
        <w:rPr>
          <w:rFonts w:ascii="Times New Roman" w:hAnsi="Times New Roman"/>
          <w:lang w:val="en-GB"/>
        </w:rPr>
        <w:t xml:space="preserve"> using Field Emission Scanning Electron Microscopy (FESEM) coupled with three-dimensional (3D) surface topography, as presented in Figure</w:t>
      </w:r>
      <w:r w:rsidR="00FB278E" w:rsidRPr="00536D16">
        <w:rPr>
          <w:rFonts w:ascii="Times New Roman" w:hAnsi="Times New Roman"/>
          <w:lang w:val="en-GB"/>
        </w:rPr>
        <w:t>s</w:t>
      </w:r>
      <w:r w:rsidRPr="00536D16">
        <w:rPr>
          <w:rFonts w:ascii="Times New Roman" w:hAnsi="Times New Roman"/>
          <w:lang w:val="en-GB"/>
        </w:rPr>
        <w:t xml:space="preserve"> </w:t>
      </w:r>
      <w:r w:rsidR="00FB278E" w:rsidRPr="00536D16">
        <w:rPr>
          <w:rFonts w:ascii="Times New Roman" w:hAnsi="Times New Roman"/>
          <w:lang w:val="en-GB"/>
        </w:rPr>
        <w:t>2</w:t>
      </w:r>
      <w:r w:rsidRPr="00536D16">
        <w:rPr>
          <w:rFonts w:ascii="Times New Roman" w:hAnsi="Times New Roman"/>
          <w:lang w:val="en-GB"/>
        </w:rPr>
        <w:t>(a–d). The pristine GBHP</w:t>
      </w:r>
      <w:r w:rsidR="000D3625">
        <w:rPr>
          <w:rFonts w:ascii="Times New Roman" w:hAnsi="Times New Roman"/>
          <w:lang w:val="en-GB"/>
        </w:rPr>
        <w:t>, as shown in Figure 2(a), displays a heterogeneous, well-developed porous carbonaceous framework characterized by interconnected pores, voids, and a</w:t>
      </w:r>
      <w:r w:rsidRPr="00536D16">
        <w:rPr>
          <w:rFonts w:ascii="Times New Roman" w:hAnsi="Times New Roman"/>
          <w:lang w:val="en-GB"/>
        </w:rPr>
        <w:t xml:space="preserve"> fractured </w:t>
      </w:r>
      <w:r w:rsidR="00760502" w:rsidRPr="00536D16">
        <w:rPr>
          <w:rFonts w:ascii="Times New Roman" w:hAnsi="Times New Roman"/>
          <w:lang w:val="en-GB"/>
        </w:rPr>
        <w:t>morphology</w:t>
      </w:r>
      <w:r w:rsidRPr="00536D16">
        <w:rPr>
          <w:rFonts w:ascii="Times New Roman" w:hAnsi="Times New Roman"/>
          <w:lang w:val="en-GB"/>
        </w:rPr>
        <w:t xml:space="preserve">. </w:t>
      </w:r>
      <w:r w:rsidR="007E08A7" w:rsidRPr="00536D16">
        <w:rPr>
          <w:rFonts w:ascii="Times New Roman" w:hAnsi="Times New Roman"/>
          <w:lang w:val="en-GB"/>
        </w:rPr>
        <w:t xml:space="preserve">The morphological features highlight </w:t>
      </w:r>
      <w:r w:rsidR="000D3625">
        <w:rPr>
          <w:rFonts w:ascii="Times New Roman" w:hAnsi="Times New Roman"/>
          <w:lang w:val="en-GB"/>
        </w:rPr>
        <w:t xml:space="preserve">the successful formation of a porous framework with ample </w:t>
      </w:r>
      <w:r w:rsidR="000D3625">
        <w:rPr>
          <w:rFonts w:ascii="Times New Roman" w:hAnsi="Times New Roman"/>
          <w:lang w:val="en-GB"/>
        </w:rPr>
        <w:lastRenderedPageBreak/>
        <w:t>accessible adsorption sites</w:t>
      </w:r>
      <w:r w:rsidR="007E08A7" w:rsidRPr="00536D16">
        <w:rPr>
          <w:rFonts w:ascii="Times New Roman" w:hAnsi="Times New Roman"/>
          <w:lang w:val="en-GB"/>
        </w:rPr>
        <w:t xml:space="preserve"> and good diffusion of MG molecules into the internal pore structure. The 3D surface profile </w:t>
      </w:r>
      <w:r w:rsidR="00F932AE" w:rsidRPr="00536D16">
        <w:rPr>
          <w:rFonts w:ascii="Times New Roman" w:hAnsi="Times New Roman"/>
          <w:lang w:val="en-GB"/>
        </w:rPr>
        <w:t xml:space="preserve">shown in </w:t>
      </w:r>
      <w:r w:rsidR="007E08A7" w:rsidRPr="00536D16">
        <w:rPr>
          <w:rFonts w:ascii="Times New Roman" w:hAnsi="Times New Roman"/>
          <w:lang w:val="en-GB"/>
        </w:rPr>
        <w:t xml:space="preserve">Figure </w:t>
      </w:r>
      <w:r w:rsidR="00FB278E" w:rsidRPr="00536D16">
        <w:rPr>
          <w:rFonts w:ascii="Times New Roman" w:hAnsi="Times New Roman"/>
          <w:lang w:val="en-GB"/>
        </w:rPr>
        <w:t>2</w:t>
      </w:r>
      <w:r w:rsidR="007E08A7" w:rsidRPr="00536D16">
        <w:rPr>
          <w:rFonts w:ascii="Times New Roman" w:hAnsi="Times New Roman"/>
          <w:lang w:val="en-GB"/>
        </w:rPr>
        <w:t>(b)</w:t>
      </w:r>
      <w:r w:rsidR="000D3625">
        <w:rPr>
          <w:rFonts w:ascii="Times New Roman" w:hAnsi="Times New Roman"/>
          <w:lang w:val="en-GB"/>
        </w:rPr>
        <w:t xml:space="preserve"> also shows clear peaks, valleys, and irregularities, indicating a rough,</w:t>
      </w:r>
      <w:r w:rsidR="007E08A7" w:rsidRPr="00536D16">
        <w:rPr>
          <w:rFonts w:ascii="Times New Roman" w:hAnsi="Times New Roman"/>
          <w:lang w:val="en-GB"/>
        </w:rPr>
        <w:t xml:space="preserve"> uneven terrain. The surface morphology changes considerably after adsorption</w:t>
      </w:r>
      <w:r w:rsidR="000D3625">
        <w:rPr>
          <w:rFonts w:ascii="Times New Roman" w:hAnsi="Times New Roman"/>
          <w:lang w:val="en-GB"/>
        </w:rPr>
        <w:t>, as shown in Figure 2(c), with the surface partially filled by the MG molecules, making it</w:t>
      </w:r>
      <w:r w:rsidR="007E08A7" w:rsidRPr="00536D16">
        <w:rPr>
          <w:rFonts w:ascii="Times New Roman" w:hAnsi="Times New Roman"/>
          <w:lang w:val="en-GB"/>
        </w:rPr>
        <w:t xml:space="preserve"> denser and more compact. The decrease </w:t>
      </w:r>
      <w:r w:rsidR="000D3625">
        <w:rPr>
          <w:rFonts w:ascii="Times New Roman" w:hAnsi="Times New Roman"/>
          <w:lang w:val="en-GB"/>
        </w:rPr>
        <w:t>in the visible pore volume and the surface voids indicate successful pore filling and adsorption of dye molecules in the porous matrix, as show</w:t>
      </w:r>
      <w:r w:rsidR="00F932AE" w:rsidRPr="00536D16">
        <w:rPr>
          <w:rFonts w:ascii="Times New Roman" w:hAnsi="Times New Roman"/>
          <w:lang w:val="en-GB"/>
        </w:rPr>
        <w:t xml:space="preserve">n in Figure </w:t>
      </w:r>
      <w:r w:rsidR="00FB278E" w:rsidRPr="00536D16">
        <w:rPr>
          <w:rFonts w:ascii="Times New Roman" w:hAnsi="Times New Roman"/>
          <w:lang w:val="en-GB"/>
        </w:rPr>
        <w:t>2</w:t>
      </w:r>
      <w:r w:rsidR="00F932AE" w:rsidRPr="00536D16">
        <w:rPr>
          <w:rFonts w:ascii="Times New Roman" w:hAnsi="Times New Roman"/>
          <w:lang w:val="en-GB"/>
        </w:rPr>
        <w:t>(d)</w:t>
      </w:r>
      <w:r w:rsidR="007E08A7" w:rsidRPr="00536D16">
        <w:rPr>
          <w:rFonts w:ascii="Times New Roman" w:hAnsi="Times New Roman"/>
          <w:lang w:val="en-GB"/>
        </w:rPr>
        <w:t>.</w:t>
      </w:r>
    </w:p>
    <w:p w14:paraId="02638FDB" w14:textId="77777777" w:rsidR="004F48A2" w:rsidRPr="00536D16" w:rsidRDefault="004F48A2" w:rsidP="004F48A2">
      <w:pPr>
        <w:spacing w:after="0" w:line="240" w:lineRule="auto"/>
        <w:ind w:firstLine="284"/>
        <w:jc w:val="both"/>
        <w:rPr>
          <w:rFonts w:ascii="Times New Roman" w:hAnsi="Times New Roman"/>
          <w:lang w:val="en-GB"/>
        </w:rPr>
      </w:pPr>
    </w:p>
    <w:p w14:paraId="0675CE67" w14:textId="357101B7" w:rsidR="00E877AF" w:rsidRPr="00536D16" w:rsidRDefault="007E08A7" w:rsidP="00311173">
      <w:pPr>
        <w:spacing w:after="0" w:line="240" w:lineRule="auto"/>
        <w:jc w:val="center"/>
        <w:rPr>
          <w:rFonts w:ascii="Times New Roman" w:hAnsi="Times New Roman"/>
          <w:lang w:val="en-GB"/>
        </w:rPr>
      </w:pPr>
      <w:r w:rsidRPr="00536D16">
        <w:rPr>
          <w:rFonts w:ascii="Times New Roman" w:hAnsi="Times New Roman"/>
          <w:noProof/>
          <w:lang w:val="en-GB"/>
        </w:rPr>
        <w:drawing>
          <wp:inline distT="0" distB="0" distL="0" distR="0" wp14:anchorId="02DCC5F9" wp14:editId="38E5B216">
            <wp:extent cx="4239523" cy="3000480"/>
            <wp:effectExtent l="19050" t="19050" r="27940" b="9525"/>
            <wp:docPr id="589258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25831" name=""/>
                    <pic:cNvPicPr/>
                  </pic:nvPicPr>
                  <pic:blipFill>
                    <a:blip r:embed="rId17">
                      <a:extLst>
                        <a:ext uri="{28A0092B-C50C-407E-A947-70E740481C1C}">
                          <a14:useLocalDpi xmlns:a14="http://schemas.microsoft.com/office/drawing/2010/main" val="0"/>
                        </a:ext>
                      </a:extLst>
                    </a:blip>
                    <a:stretch>
                      <a:fillRect/>
                    </a:stretch>
                  </pic:blipFill>
                  <pic:spPr>
                    <a:xfrm>
                      <a:off x="0" y="0"/>
                      <a:ext cx="4243449" cy="3003259"/>
                    </a:xfrm>
                    <a:prstGeom prst="rect">
                      <a:avLst/>
                    </a:prstGeom>
                    <a:ln>
                      <a:solidFill>
                        <a:schemeClr val="tx1"/>
                      </a:solidFill>
                      <a:prstDash val="dash"/>
                    </a:ln>
                  </pic:spPr>
                </pic:pic>
              </a:graphicData>
            </a:graphic>
          </wp:inline>
        </w:drawing>
      </w:r>
    </w:p>
    <w:p w14:paraId="4D3B8C7C" w14:textId="31AADE37" w:rsidR="00E877AF" w:rsidRPr="00536D16" w:rsidRDefault="00B366EF" w:rsidP="004F48A2">
      <w:pPr>
        <w:pStyle w:val="Rrys"/>
        <w:rPr>
          <w:lang w:val="en-GB"/>
        </w:rPr>
      </w:pPr>
      <w:r w:rsidRPr="00536D16">
        <w:rPr>
          <w:b/>
          <w:bCs/>
          <w:lang w:val="en-GB"/>
        </w:rPr>
        <w:t>Fig</w:t>
      </w:r>
      <w:r w:rsidR="004F48A2" w:rsidRPr="00536D16">
        <w:rPr>
          <w:b/>
          <w:bCs/>
          <w:lang w:val="en-GB"/>
        </w:rPr>
        <w:t>.</w:t>
      </w:r>
      <w:r w:rsidRPr="00536D16">
        <w:rPr>
          <w:b/>
          <w:bCs/>
          <w:lang w:val="en-GB"/>
        </w:rPr>
        <w:t xml:space="preserve"> 2.</w:t>
      </w:r>
      <w:r w:rsidRPr="00536D16">
        <w:rPr>
          <w:lang w:val="en-GB"/>
        </w:rPr>
        <w:t xml:space="preserve"> FESEM and 3D surface morphology of GBHP: (a, b) before adsorption and (c, d) after MG adsorption</w:t>
      </w:r>
    </w:p>
    <w:p w14:paraId="35430029" w14:textId="77777777" w:rsidR="004F48A2" w:rsidRPr="00536D16" w:rsidRDefault="004F48A2" w:rsidP="00311173">
      <w:pPr>
        <w:spacing w:after="0" w:line="240" w:lineRule="auto"/>
        <w:ind w:firstLine="284"/>
        <w:jc w:val="both"/>
        <w:rPr>
          <w:rFonts w:ascii="Times New Roman" w:hAnsi="Times New Roman"/>
          <w:lang w:val="en-GB"/>
        </w:rPr>
      </w:pPr>
    </w:p>
    <w:p w14:paraId="6058B95F" w14:textId="5EF9BFCC" w:rsidR="007E08A7" w:rsidRPr="00536D16" w:rsidRDefault="007E08A7" w:rsidP="00311173">
      <w:pPr>
        <w:spacing w:after="0" w:line="240" w:lineRule="auto"/>
        <w:ind w:firstLine="284"/>
        <w:jc w:val="both"/>
        <w:rPr>
          <w:rFonts w:ascii="Times New Roman" w:hAnsi="Times New Roman"/>
          <w:lang w:val="en-GB"/>
        </w:rPr>
      </w:pPr>
      <w:r w:rsidRPr="00536D16">
        <w:rPr>
          <w:rFonts w:ascii="Times New Roman" w:hAnsi="Times New Roman"/>
          <w:lang w:val="en-GB"/>
        </w:rPr>
        <w:t>The morphological transformation observed is</w:t>
      </w:r>
      <w:r w:rsidR="00760502" w:rsidRPr="00536D16">
        <w:rPr>
          <w:rFonts w:ascii="Times New Roman" w:hAnsi="Times New Roman"/>
          <w:lang w:val="en-GB"/>
        </w:rPr>
        <w:t xml:space="preserve"> consistent with the BET analysis, </w:t>
      </w:r>
      <w:r w:rsidRPr="00536D16">
        <w:rPr>
          <w:rFonts w:ascii="Times New Roman" w:hAnsi="Times New Roman"/>
          <w:lang w:val="en-GB"/>
        </w:rPr>
        <w:t xml:space="preserve">which showed that the material </w:t>
      </w:r>
      <w:r w:rsidR="00760502" w:rsidRPr="00536D16">
        <w:rPr>
          <w:rFonts w:ascii="Times New Roman" w:hAnsi="Times New Roman"/>
          <w:lang w:val="en-GB"/>
        </w:rPr>
        <w:t>is</w:t>
      </w:r>
      <w:r w:rsidRPr="00536D16">
        <w:rPr>
          <w:rFonts w:ascii="Times New Roman" w:hAnsi="Times New Roman"/>
          <w:lang w:val="en-GB"/>
        </w:rPr>
        <w:t xml:space="preserve"> mesoporous, and </w:t>
      </w:r>
      <w:r w:rsidR="000D3625">
        <w:rPr>
          <w:rFonts w:ascii="Times New Roman" w:hAnsi="Times New Roman"/>
          <w:lang w:val="en-GB"/>
        </w:rPr>
        <w:t>with the FTIR and XPS results, which</w:t>
      </w:r>
      <w:r w:rsidRPr="00536D16">
        <w:rPr>
          <w:rFonts w:ascii="Times New Roman" w:hAnsi="Times New Roman"/>
          <w:lang w:val="en-GB"/>
        </w:rPr>
        <w:t xml:space="preserve"> confirmed the presence of abundant oxygen</w:t>
      </w:r>
      <w:r w:rsidR="000D3625">
        <w:rPr>
          <w:rFonts w:ascii="Times New Roman" w:hAnsi="Times New Roman"/>
          <w:lang w:val="en-GB"/>
        </w:rPr>
        <w:t>-</w:t>
      </w:r>
      <w:r w:rsidRPr="00536D16">
        <w:rPr>
          <w:rFonts w:ascii="Times New Roman" w:hAnsi="Times New Roman"/>
          <w:lang w:val="en-GB"/>
        </w:rPr>
        <w:t>containing functional groups. The results indicate that the adsorption of MG onto GBHP is controlled by a synerg</w:t>
      </w:r>
      <w:r w:rsidR="000D3625">
        <w:rPr>
          <w:rFonts w:ascii="Times New Roman" w:hAnsi="Times New Roman"/>
          <w:lang w:val="en-GB"/>
        </w:rPr>
        <w:t>ist</w:t>
      </w:r>
      <w:r w:rsidRPr="00536D16">
        <w:rPr>
          <w:rFonts w:ascii="Times New Roman" w:hAnsi="Times New Roman"/>
          <w:lang w:val="en-GB"/>
        </w:rPr>
        <w:t>ic process in which the mechanism</w:t>
      </w:r>
      <w:r w:rsidR="000D3625">
        <w:rPr>
          <w:rFonts w:ascii="Times New Roman" w:hAnsi="Times New Roman"/>
          <w:lang w:val="en-GB"/>
        </w:rPr>
        <w:t>s</w:t>
      </w:r>
      <w:r w:rsidRPr="00536D16">
        <w:rPr>
          <w:rFonts w:ascii="Times New Roman" w:hAnsi="Times New Roman"/>
          <w:lang w:val="en-GB"/>
        </w:rPr>
        <w:t xml:space="preserve"> of pore filling, electrostatic attraction, hydrogen bonding, π–π electron donor–acceptor interactions between the aromatic structure of MG and the partially graphitized carbon matrix, as well as adsorption by surface complexation through hydroxyl and carbonyl functionalities, all participate. Thus, </w:t>
      </w:r>
      <w:r w:rsidR="000D3625">
        <w:rPr>
          <w:rFonts w:ascii="Times New Roman" w:hAnsi="Times New Roman"/>
          <w:lang w:val="en-GB"/>
        </w:rPr>
        <w:t>FESEM and 3D topographical analysis can be used to provide direct morphological evidence of the high adsorption ability of GBHP towards malachite green</w:t>
      </w:r>
      <w:r w:rsidRPr="00536D16">
        <w:rPr>
          <w:rFonts w:ascii="Times New Roman" w:hAnsi="Times New Roman"/>
          <w:lang w:val="en-GB"/>
        </w:rPr>
        <w:t>.</w:t>
      </w:r>
    </w:p>
    <w:p w14:paraId="0C8C6B04" w14:textId="2D0BEBE4" w:rsidR="00EF3802" w:rsidRPr="00536D16" w:rsidRDefault="0015509E" w:rsidP="00311173">
      <w:pPr>
        <w:pStyle w:val="Rn2"/>
        <w:rPr>
          <w:lang w:val="en-GB"/>
        </w:rPr>
      </w:pPr>
      <w:r w:rsidRPr="00536D16">
        <w:rPr>
          <w:lang w:val="en-GB"/>
        </w:rPr>
        <w:t>3.</w:t>
      </w:r>
      <w:r w:rsidR="00257035">
        <w:rPr>
          <w:lang w:val="en-GB"/>
        </w:rPr>
        <w:t>3</w:t>
      </w:r>
      <w:r w:rsidR="00311173" w:rsidRPr="00536D16">
        <w:rPr>
          <w:lang w:val="en-GB"/>
        </w:rPr>
        <w:t>.</w:t>
      </w:r>
      <w:r w:rsidRPr="00536D16">
        <w:rPr>
          <w:lang w:val="en-GB"/>
        </w:rPr>
        <w:t xml:space="preserve"> Adsorption </w:t>
      </w:r>
      <w:r w:rsidR="00311173" w:rsidRPr="00536D16">
        <w:rPr>
          <w:lang w:val="en-GB"/>
        </w:rPr>
        <w:t>O</w:t>
      </w:r>
      <w:r w:rsidRPr="00536D16">
        <w:rPr>
          <w:lang w:val="en-GB"/>
        </w:rPr>
        <w:t xml:space="preserve">ptimization </w:t>
      </w:r>
      <w:r w:rsidR="00311173" w:rsidRPr="00536D16">
        <w:rPr>
          <w:lang w:val="en-GB"/>
        </w:rPr>
        <w:t>S</w:t>
      </w:r>
      <w:r w:rsidRPr="00536D16">
        <w:rPr>
          <w:lang w:val="en-GB"/>
        </w:rPr>
        <w:t>tudies</w:t>
      </w:r>
    </w:p>
    <w:p w14:paraId="57936AA4" w14:textId="7FAB359D" w:rsidR="0015509E" w:rsidRPr="00536D16" w:rsidRDefault="0015509E" w:rsidP="004F48A2">
      <w:pPr>
        <w:spacing w:after="0" w:line="240" w:lineRule="auto"/>
        <w:ind w:firstLine="284"/>
        <w:jc w:val="both"/>
        <w:rPr>
          <w:rFonts w:ascii="Times New Roman" w:hAnsi="Times New Roman"/>
          <w:lang w:val="en-GB"/>
        </w:rPr>
      </w:pPr>
      <w:r w:rsidRPr="00536D16">
        <w:rPr>
          <w:rFonts w:ascii="Times New Roman" w:hAnsi="Times New Roman"/>
          <w:lang w:val="en-GB"/>
        </w:rPr>
        <w:t xml:space="preserve">The adsorption </w:t>
      </w:r>
      <w:proofErr w:type="spellStart"/>
      <w:r w:rsidRPr="00536D16">
        <w:rPr>
          <w:rFonts w:ascii="Times New Roman" w:hAnsi="Times New Roman"/>
          <w:lang w:val="en-GB"/>
        </w:rPr>
        <w:t>behavior</w:t>
      </w:r>
      <w:proofErr w:type="spellEnd"/>
      <w:r w:rsidRPr="00536D16">
        <w:rPr>
          <w:rFonts w:ascii="Times New Roman" w:hAnsi="Times New Roman"/>
          <w:lang w:val="en-GB"/>
        </w:rPr>
        <w:t xml:space="preserve"> of goat bone </w:t>
      </w:r>
      <w:proofErr w:type="spellStart"/>
      <w:r w:rsidRPr="00536D16">
        <w:rPr>
          <w:rFonts w:ascii="Times New Roman" w:hAnsi="Times New Roman"/>
          <w:lang w:val="en-GB"/>
        </w:rPr>
        <w:t>hydrochar</w:t>
      </w:r>
      <w:proofErr w:type="spellEnd"/>
      <w:r w:rsidRPr="00536D16">
        <w:rPr>
          <w:rFonts w:ascii="Times New Roman" w:hAnsi="Times New Roman"/>
          <w:lang w:val="en-GB"/>
        </w:rPr>
        <w:t xml:space="preserve"> powder (GBHP) toward malachite green (MG) has been systematically evaluated by studying various parameters such as dye concentration, adsorbent dosage, pH, contact time, and temperature, as depicted in Figure</w:t>
      </w:r>
      <w:r w:rsidR="00FB278E" w:rsidRPr="00536D16">
        <w:rPr>
          <w:rFonts w:ascii="Times New Roman" w:hAnsi="Times New Roman"/>
          <w:lang w:val="en-GB"/>
        </w:rPr>
        <w:t>s</w:t>
      </w:r>
      <w:r w:rsidRPr="00536D16">
        <w:rPr>
          <w:rFonts w:ascii="Times New Roman" w:hAnsi="Times New Roman"/>
          <w:lang w:val="en-GB"/>
        </w:rPr>
        <w:t xml:space="preserve"> 3(a–e). The adsorption capacity (qₑ) and the removal efficiency (R%) were determined using the equations listed in Table 1. Optimization of these operating parameters is crucial to maximize </w:t>
      </w:r>
      <w:r w:rsidR="000D3625">
        <w:rPr>
          <w:rFonts w:ascii="Times New Roman" w:hAnsi="Times New Roman"/>
          <w:lang w:val="en-GB"/>
        </w:rPr>
        <w:t>dye removal by enhancing mass-transfer efficiency and increasing the accessibility of</w:t>
      </w:r>
      <w:r w:rsidR="00760502" w:rsidRPr="00536D16">
        <w:rPr>
          <w:rFonts w:ascii="Times New Roman" w:hAnsi="Times New Roman"/>
          <w:lang w:val="en-GB"/>
        </w:rPr>
        <w:t xml:space="preserve"> surface sites</w:t>
      </w:r>
      <w:r w:rsidRPr="00536D16">
        <w:rPr>
          <w:rFonts w:ascii="Times New Roman" w:hAnsi="Times New Roman"/>
          <w:lang w:val="en-GB"/>
        </w:rPr>
        <w:t xml:space="preserve">. </w:t>
      </w:r>
      <w:r w:rsidR="00760502" w:rsidRPr="00536D16">
        <w:rPr>
          <w:rFonts w:ascii="Times New Roman" w:hAnsi="Times New Roman"/>
          <w:lang w:val="en-GB"/>
        </w:rPr>
        <w:t>As a result</w:t>
      </w:r>
      <w:r w:rsidR="000D3625">
        <w:rPr>
          <w:rFonts w:ascii="Times New Roman" w:hAnsi="Times New Roman"/>
          <w:lang w:val="en-GB"/>
        </w:rPr>
        <w:t>, the adsorption efficiency rose rapidly with increasing MG concentration in the range of 5–20 mg L</w:t>
      </w:r>
      <w:r w:rsidR="000D3625" w:rsidRPr="00D05689">
        <w:rPr>
          <w:rFonts w:ascii="Times New Roman" w:hAnsi="Times New Roman"/>
          <w:vertAlign w:val="superscript"/>
          <w:lang w:val="en-GB"/>
        </w:rPr>
        <w:t>−1</w:t>
      </w:r>
      <w:r w:rsidR="000D3625">
        <w:rPr>
          <w:rFonts w:ascii="Times New Roman" w:hAnsi="Times New Roman"/>
          <w:lang w:val="en-GB"/>
        </w:rPr>
        <w:t>, as shown in Figure 3(a),</w:t>
      </w:r>
      <w:r w:rsidRPr="00536D16">
        <w:rPr>
          <w:rFonts w:ascii="Times New Roman" w:hAnsi="Times New Roman"/>
          <w:lang w:val="en-GB"/>
        </w:rPr>
        <w:t xml:space="preserve"> and then slowly to about 90% at 40 mg L</w:t>
      </w:r>
      <w:r w:rsidRPr="00536D16">
        <w:rPr>
          <w:rFonts w:ascii="Times New Roman" w:hAnsi="Times New Roman"/>
          <w:vertAlign w:val="superscript"/>
          <w:lang w:val="en-GB"/>
        </w:rPr>
        <w:t>−1</w:t>
      </w:r>
      <w:r w:rsidRPr="00536D16">
        <w:rPr>
          <w:rFonts w:ascii="Times New Roman" w:hAnsi="Times New Roman"/>
          <w:lang w:val="en-GB"/>
        </w:rPr>
        <w:t>. Further increase</w:t>
      </w:r>
      <w:r w:rsidR="000D3625">
        <w:rPr>
          <w:rFonts w:ascii="Times New Roman" w:hAnsi="Times New Roman"/>
          <w:lang w:val="en-GB"/>
        </w:rPr>
        <w:t>s in concentration did not yield a significant increase in adsorption, indicating</w:t>
      </w:r>
      <w:r w:rsidRPr="00536D16">
        <w:rPr>
          <w:rFonts w:ascii="Times New Roman" w:hAnsi="Times New Roman"/>
          <w:lang w:val="en-GB"/>
        </w:rPr>
        <w:t xml:space="preserve"> progressive saturation of the available adsorption sites. The initial rise is explained by the high concentration difference between the solution and the </w:t>
      </w:r>
      <w:r w:rsidR="000D3625">
        <w:rPr>
          <w:rFonts w:ascii="Times New Roman" w:hAnsi="Times New Roman"/>
          <w:lang w:val="en-GB"/>
        </w:rPr>
        <w:t>adsorbent surface, which increases the mass transfer of MG molecules to a high level, resulting in the achievement of</w:t>
      </w:r>
      <w:r w:rsidRPr="00536D16">
        <w:rPr>
          <w:rFonts w:ascii="Times New Roman" w:hAnsi="Times New Roman"/>
          <w:lang w:val="en-GB"/>
        </w:rPr>
        <w:t xml:space="preserve"> adsorption equilibrium.</w:t>
      </w:r>
    </w:p>
    <w:p w14:paraId="378A1AE9" w14:textId="77777777" w:rsidR="00E42965" w:rsidRPr="00536D16" w:rsidRDefault="00E42965" w:rsidP="00E42965">
      <w:pPr>
        <w:spacing w:after="0" w:line="240" w:lineRule="auto"/>
        <w:ind w:firstLine="284"/>
        <w:jc w:val="both"/>
        <w:rPr>
          <w:rFonts w:ascii="Times New Roman" w:hAnsi="Times New Roman"/>
          <w:lang w:val="en-GB"/>
        </w:rPr>
      </w:pPr>
      <w:r w:rsidRPr="00536D16">
        <w:rPr>
          <w:rFonts w:ascii="Times New Roman" w:hAnsi="Times New Roman"/>
          <w:lang w:val="en-GB"/>
        </w:rPr>
        <w:t>The dosage of adsorbent</w:t>
      </w:r>
      <w:r>
        <w:rPr>
          <w:rFonts w:ascii="Times New Roman" w:hAnsi="Times New Roman"/>
          <w:lang w:val="en-GB"/>
        </w:rPr>
        <w:t>, as illustrated in Figure 3(b), showed that the elimination efficiency increased from about 70% to 93% as the loading of GBHP increased from 0.1 to 1.5 g</w:t>
      </w:r>
      <w:r w:rsidRPr="00536D16">
        <w:rPr>
          <w:rFonts w:ascii="Times New Roman" w:hAnsi="Times New Roman"/>
          <w:lang w:val="en-GB"/>
        </w:rPr>
        <w:t xml:space="preserve">. This </w:t>
      </w:r>
      <w:proofErr w:type="spellStart"/>
      <w:r w:rsidRPr="00536D16">
        <w:rPr>
          <w:rFonts w:ascii="Times New Roman" w:hAnsi="Times New Roman"/>
          <w:lang w:val="en-GB"/>
        </w:rPr>
        <w:t>behavior</w:t>
      </w:r>
      <w:proofErr w:type="spellEnd"/>
      <w:r w:rsidRPr="00536D16">
        <w:rPr>
          <w:rFonts w:ascii="Times New Roman" w:hAnsi="Times New Roman"/>
          <w:lang w:val="en-GB"/>
        </w:rPr>
        <w:t xml:space="preserve"> accelerates </w:t>
      </w:r>
      <w:r>
        <w:rPr>
          <w:rFonts w:ascii="Times New Roman" w:hAnsi="Times New Roman"/>
          <w:lang w:val="en-GB"/>
        </w:rPr>
        <w:t>the formation of higher number</w:t>
      </w:r>
      <w:r w:rsidRPr="00536D16">
        <w:rPr>
          <w:rFonts w:ascii="Times New Roman" w:hAnsi="Times New Roman"/>
          <w:lang w:val="en-GB"/>
        </w:rPr>
        <w:t>s of surface-functional sites and oxygenated functional groups involved in adsorption. But</w:t>
      </w:r>
      <w:r>
        <w:rPr>
          <w:rFonts w:ascii="Times New Roman" w:hAnsi="Times New Roman"/>
          <w:lang w:val="en-GB"/>
        </w:rPr>
        <w:t xml:space="preserve"> increasing the dosage only slightly improved the removal efficiency, indicating that adsorbent particles may aggregate and that adsorption sites may overlap, resulting in a</w:t>
      </w:r>
      <w:r w:rsidRPr="00536D16">
        <w:rPr>
          <w:rFonts w:ascii="Times New Roman" w:hAnsi="Times New Roman"/>
          <w:lang w:val="en-GB"/>
        </w:rPr>
        <w:t xml:space="preserve"> reduced effective surface area. The effects of solution pH</w:t>
      </w:r>
      <w:r>
        <w:rPr>
          <w:rFonts w:ascii="Times New Roman" w:hAnsi="Times New Roman"/>
          <w:lang w:val="en-GB"/>
        </w:rPr>
        <w:t xml:space="preserve">, as illustrated in Figure 3(c), revealed that solution pH significantly influenced adsorption </w:t>
      </w:r>
      <w:proofErr w:type="spellStart"/>
      <w:r>
        <w:rPr>
          <w:rFonts w:ascii="Times New Roman" w:hAnsi="Times New Roman"/>
          <w:lang w:val="en-GB"/>
        </w:rPr>
        <w:t>behavior</w:t>
      </w:r>
      <w:proofErr w:type="spellEnd"/>
      <w:r>
        <w:rPr>
          <w:rFonts w:ascii="Times New Roman" w:hAnsi="Times New Roman"/>
          <w:lang w:val="en-GB"/>
        </w:rPr>
        <w:t>,</w:t>
      </w:r>
      <w:r w:rsidRPr="00536D16">
        <w:rPr>
          <w:rFonts w:ascii="Times New Roman" w:hAnsi="Times New Roman"/>
          <w:lang w:val="en-GB"/>
        </w:rPr>
        <w:t xml:space="preserve"> and the surface charge of GBHP was found to be crucial. The </w:t>
      </w:r>
      <w:r>
        <w:rPr>
          <w:rFonts w:ascii="Times New Roman" w:hAnsi="Times New Roman"/>
          <w:lang w:val="en-GB"/>
        </w:rPr>
        <w:t>removal efficiency increased from about 80% at pH 2 to 96% at pH 6, then decreased slightly</w:t>
      </w:r>
      <w:r w:rsidRPr="00536D16">
        <w:rPr>
          <w:rFonts w:ascii="Times New Roman" w:hAnsi="Times New Roman"/>
          <w:lang w:val="en-GB"/>
        </w:rPr>
        <w:t xml:space="preserve"> in the alkaline pH range. Lower pH results in proton </w:t>
      </w:r>
      <w:r w:rsidRPr="00536D16">
        <w:rPr>
          <w:rFonts w:ascii="Times New Roman" w:hAnsi="Times New Roman"/>
          <w:lang w:val="en-GB"/>
        </w:rPr>
        <w:lastRenderedPageBreak/>
        <w:t xml:space="preserve">enrichment </w:t>
      </w:r>
      <w:r>
        <w:rPr>
          <w:rFonts w:ascii="Times New Roman" w:hAnsi="Times New Roman"/>
          <w:lang w:val="en-GB"/>
        </w:rPr>
        <w:t>at the GBHP surface, with H+ ions and</w:t>
      </w:r>
      <w:r w:rsidRPr="00536D16">
        <w:rPr>
          <w:rFonts w:ascii="Times New Roman" w:hAnsi="Times New Roman"/>
          <w:lang w:val="en-GB"/>
        </w:rPr>
        <w:t xml:space="preserve"> positively charged MG molecules. At </w:t>
      </w:r>
      <w:r>
        <w:rPr>
          <w:rFonts w:ascii="Times New Roman" w:hAnsi="Times New Roman"/>
          <w:lang w:val="en-GB"/>
        </w:rPr>
        <w:t>a lower pH, nearly neutral, deprotonation of the oxygen-containing functional groups on the GBHP surface increased the density of negatively charged adsorption sites, thereby strengthening electrostatic interactions with cationic MG molecules and enhancing</w:t>
      </w:r>
      <w:r w:rsidRPr="00536D16">
        <w:rPr>
          <w:rFonts w:ascii="Times New Roman" w:hAnsi="Times New Roman"/>
          <w:lang w:val="en-GB"/>
        </w:rPr>
        <w:t xml:space="preserve"> overall adsorption efficiency. The adsorption kinetics </w:t>
      </w:r>
      <w:r>
        <w:rPr>
          <w:rFonts w:ascii="Times New Roman" w:hAnsi="Times New Roman"/>
          <w:lang w:val="en-GB"/>
        </w:rPr>
        <w:t>shown in Figure 3(d) suggest that adsorption occurred in two stages: a fast initial stage of dye removal during the first 30 min and a slower stage approaching equilibrium after about 90 min, where equilibrium removal reached</w:t>
      </w:r>
      <w:r w:rsidRPr="00536D16">
        <w:rPr>
          <w:rFonts w:ascii="Times New Roman" w:hAnsi="Times New Roman"/>
          <w:lang w:val="en-GB"/>
        </w:rPr>
        <w:t xml:space="preserve"> ~92%. The </w:t>
      </w:r>
      <w:r>
        <w:rPr>
          <w:rFonts w:ascii="Times New Roman" w:hAnsi="Times New Roman"/>
          <w:lang w:val="en-GB"/>
        </w:rPr>
        <w:t xml:space="preserve">rapid initial adsorption was due to the abundance of energetically </w:t>
      </w:r>
      <w:proofErr w:type="spellStart"/>
      <w:r>
        <w:rPr>
          <w:rFonts w:ascii="Times New Roman" w:hAnsi="Times New Roman"/>
          <w:lang w:val="en-GB"/>
        </w:rPr>
        <w:t>favorable</w:t>
      </w:r>
      <w:proofErr w:type="spellEnd"/>
      <w:r>
        <w:rPr>
          <w:rFonts w:ascii="Times New Roman" w:hAnsi="Times New Roman"/>
          <w:lang w:val="en-GB"/>
        </w:rPr>
        <w:t xml:space="preserve"> binding sites on the GBHP surface, whereas the subsequent slower phase was due to intraparticle diffusion and the gradual filling of the remaining active sites in the GBHP until reaching</w:t>
      </w:r>
      <w:r w:rsidRPr="00536D16">
        <w:rPr>
          <w:rFonts w:ascii="Times New Roman" w:hAnsi="Times New Roman"/>
          <w:lang w:val="en-GB"/>
        </w:rPr>
        <w:t xml:space="preserve"> dynamic equilibrium.</w:t>
      </w:r>
    </w:p>
    <w:p w14:paraId="6A4A248E" w14:textId="77777777" w:rsidR="004F48A2" w:rsidRPr="00536D16" w:rsidRDefault="004F48A2" w:rsidP="004F48A2">
      <w:pPr>
        <w:spacing w:after="0" w:line="240" w:lineRule="auto"/>
        <w:ind w:firstLine="284"/>
        <w:jc w:val="both"/>
        <w:rPr>
          <w:rFonts w:ascii="Times New Roman" w:hAnsi="Times New Roman"/>
          <w:lang w:val="en-GB"/>
        </w:rPr>
      </w:pPr>
    </w:p>
    <w:p w14:paraId="04E35CC7" w14:textId="1ED11A0A" w:rsidR="004F48A2" w:rsidRPr="00536D16" w:rsidRDefault="004F48A2" w:rsidP="004F48A2">
      <w:pPr>
        <w:spacing w:line="228" w:lineRule="auto"/>
        <w:jc w:val="center"/>
        <w:rPr>
          <w:rFonts w:ascii="Times New Roman" w:hAnsi="Times New Roman"/>
          <w:b/>
          <w:bCs/>
          <w:lang w:val="en-GB"/>
        </w:rPr>
      </w:pPr>
      <w:r w:rsidRPr="00536D16">
        <w:rPr>
          <w:noProof/>
          <w:lang w:val="en-GB"/>
        </w:rPr>
        <w:drawing>
          <wp:inline distT="0" distB="0" distL="0" distR="0" wp14:anchorId="56E0AACD" wp14:editId="02FFB256">
            <wp:extent cx="6041790" cy="3677696"/>
            <wp:effectExtent l="0" t="0" r="0" b="0"/>
            <wp:docPr id="931683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683036" name=""/>
                    <pic:cNvPicPr/>
                  </pic:nvPicPr>
                  <pic:blipFill>
                    <a:blip r:embed="rId18">
                      <a:extLst>
                        <a:ext uri="{28A0092B-C50C-407E-A947-70E740481C1C}">
                          <a14:useLocalDpi xmlns:a14="http://schemas.microsoft.com/office/drawing/2010/main" val="0"/>
                        </a:ext>
                      </a:extLst>
                    </a:blip>
                    <a:stretch>
                      <a:fillRect/>
                    </a:stretch>
                  </pic:blipFill>
                  <pic:spPr>
                    <a:xfrm>
                      <a:off x="0" y="0"/>
                      <a:ext cx="6051208" cy="3683429"/>
                    </a:xfrm>
                    <a:prstGeom prst="rect">
                      <a:avLst/>
                    </a:prstGeom>
                  </pic:spPr>
                </pic:pic>
              </a:graphicData>
            </a:graphic>
          </wp:inline>
        </w:drawing>
      </w:r>
    </w:p>
    <w:p w14:paraId="75A10610" w14:textId="6257B22B" w:rsidR="0015509E" w:rsidRPr="00536D16" w:rsidRDefault="00B366EF" w:rsidP="00EB7368">
      <w:pPr>
        <w:pStyle w:val="Rrys"/>
        <w:rPr>
          <w:lang w:val="en-GB"/>
        </w:rPr>
      </w:pPr>
      <w:r w:rsidRPr="00536D16">
        <w:rPr>
          <w:b/>
          <w:bCs/>
          <w:lang w:val="en-GB"/>
        </w:rPr>
        <w:t>Fig</w:t>
      </w:r>
      <w:r w:rsidR="00EB7368" w:rsidRPr="00536D16">
        <w:rPr>
          <w:b/>
          <w:bCs/>
          <w:lang w:val="en-GB"/>
        </w:rPr>
        <w:t>.</w:t>
      </w:r>
      <w:r w:rsidRPr="00536D16">
        <w:rPr>
          <w:b/>
          <w:bCs/>
          <w:lang w:val="en-GB"/>
        </w:rPr>
        <w:t xml:space="preserve"> 3. </w:t>
      </w:r>
      <w:r w:rsidRPr="00536D16">
        <w:rPr>
          <w:lang w:val="en-GB"/>
        </w:rPr>
        <w:t>Effect of operating parameters on MG adsorption by GBHP: (a) initial dye concentration, (b) adsorbent dosage, (c) solution pH, (d) contact time, and (e) temperature</w:t>
      </w:r>
    </w:p>
    <w:p w14:paraId="74AF06FA" w14:textId="77777777" w:rsidR="00EB7368" w:rsidRPr="00536D16" w:rsidRDefault="00EB7368" w:rsidP="00EB7368">
      <w:pPr>
        <w:spacing w:after="0" w:line="240" w:lineRule="auto"/>
        <w:ind w:firstLine="284"/>
        <w:jc w:val="both"/>
        <w:rPr>
          <w:rFonts w:ascii="Times New Roman" w:hAnsi="Times New Roman"/>
          <w:lang w:val="en-GB"/>
        </w:rPr>
      </w:pPr>
    </w:p>
    <w:p w14:paraId="2E06FB84" w14:textId="34056B01" w:rsidR="00EF3802" w:rsidRPr="00536D16" w:rsidRDefault="0015509E" w:rsidP="00EB7368">
      <w:pPr>
        <w:spacing w:after="0" w:line="240" w:lineRule="auto"/>
        <w:ind w:firstLine="284"/>
        <w:jc w:val="both"/>
        <w:rPr>
          <w:rFonts w:ascii="Times New Roman" w:hAnsi="Times New Roman"/>
          <w:lang w:val="en-GB"/>
        </w:rPr>
      </w:pPr>
      <w:r w:rsidRPr="00536D16">
        <w:rPr>
          <w:rFonts w:ascii="Times New Roman" w:hAnsi="Times New Roman"/>
          <w:lang w:val="en-GB"/>
        </w:rPr>
        <w:t>The effect of temperature</w:t>
      </w:r>
      <w:r w:rsidR="000D3625">
        <w:rPr>
          <w:rFonts w:ascii="Times New Roman" w:hAnsi="Times New Roman"/>
          <w:lang w:val="en-GB"/>
        </w:rPr>
        <w:t>,</w:t>
      </w:r>
      <w:r w:rsidRPr="00536D16">
        <w:rPr>
          <w:rFonts w:ascii="Times New Roman" w:hAnsi="Times New Roman"/>
          <w:lang w:val="en-GB"/>
        </w:rPr>
        <w:t xml:space="preserve"> </w:t>
      </w:r>
      <w:r w:rsidR="001B4A3A" w:rsidRPr="00536D16">
        <w:rPr>
          <w:rFonts w:ascii="Times New Roman" w:hAnsi="Times New Roman"/>
          <w:lang w:val="en-GB"/>
        </w:rPr>
        <w:t xml:space="preserve">as illustrated in </w:t>
      </w:r>
      <w:r w:rsidRPr="00536D16">
        <w:rPr>
          <w:rFonts w:ascii="Times New Roman" w:hAnsi="Times New Roman"/>
          <w:lang w:val="en-GB"/>
        </w:rPr>
        <w:t>Figure 3(e)</w:t>
      </w:r>
      <w:r w:rsidR="001B4A3A" w:rsidRPr="00536D16">
        <w:rPr>
          <w:rFonts w:ascii="Times New Roman" w:hAnsi="Times New Roman"/>
          <w:lang w:val="en-GB"/>
        </w:rPr>
        <w:t>,</w:t>
      </w:r>
      <w:r w:rsidRPr="00536D16">
        <w:rPr>
          <w:rFonts w:ascii="Times New Roman" w:hAnsi="Times New Roman"/>
          <w:lang w:val="en-GB"/>
        </w:rPr>
        <w:t xml:space="preserve"> indicated that the efficiency of the adsorption increased from about 78% at 298K to 97% at 308K and remained almost unchanged till 313K. It is seen that the adsorption at higher temperatures is higher</w:t>
      </w:r>
      <w:r w:rsidR="000D3625">
        <w:rPr>
          <w:rFonts w:ascii="Times New Roman" w:hAnsi="Times New Roman"/>
          <w:lang w:val="en-GB"/>
        </w:rPr>
        <w:t>,</w:t>
      </w:r>
      <w:r w:rsidRPr="00536D16">
        <w:rPr>
          <w:rFonts w:ascii="Times New Roman" w:hAnsi="Times New Roman"/>
          <w:lang w:val="en-GB"/>
        </w:rPr>
        <w:t xml:space="preserve"> which suggests endothermic adsorption of MG on the GBHP. As the temperature rises, the diffusion resistance decreases and </w:t>
      </w:r>
      <w:r w:rsidR="000D3625">
        <w:rPr>
          <w:rFonts w:ascii="Times New Roman" w:hAnsi="Times New Roman"/>
          <w:lang w:val="en-GB"/>
        </w:rPr>
        <w:t>molecular mobility increases, promoting</w:t>
      </w:r>
      <w:r w:rsidRPr="00536D16">
        <w:rPr>
          <w:rFonts w:ascii="Times New Roman" w:hAnsi="Times New Roman"/>
          <w:lang w:val="en-GB"/>
        </w:rPr>
        <w:t xml:space="preserve"> the diffusion of dye molecules into the inner pore structure of the adsorbent material. From the results of adsorption optimization,</w:t>
      </w:r>
      <w:r w:rsidR="00931C60" w:rsidRPr="00536D16">
        <w:rPr>
          <w:rFonts w:ascii="Times New Roman" w:hAnsi="Times New Roman"/>
          <w:lang w:val="en-GB"/>
        </w:rPr>
        <w:t xml:space="preserve"> </w:t>
      </w:r>
      <w:r w:rsidRPr="00536D16">
        <w:rPr>
          <w:rFonts w:ascii="Times New Roman" w:hAnsi="Times New Roman"/>
          <w:lang w:val="en-GB"/>
        </w:rPr>
        <w:t xml:space="preserve">GBHP </w:t>
      </w:r>
      <w:r w:rsidR="00931C60" w:rsidRPr="00536D16">
        <w:rPr>
          <w:rFonts w:ascii="Times New Roman" w:hAnsi="Times New Roman"/>
          <w:lang w:val="en-GB"/>
        </w:rPr>
        <w:t xml:space="preserve">shows </w:t>
      </w:r>
      <w:r w:rsidRPr="00536D16">
        <w:rPr>
          <w:rFonts w:ascii="Times New Roman" w:hAnsi="Times New Roman"/>
          <w:lang w:val="en-GB"/>
        </w:rPr>
        <w:t xml:space="preserve">excellent adsorption capacity for </w:t>
      </w:r>
      <w:r w:rsidR="00931C60" w:rsidRPr="00536D16">
        <w:rPr>
          <w:rFonts w:ascii="Times New Roman" w:hAnsi="Times New Roman"/>
          <w:lang w:val="en-GB"/>
        </w:rPr>
        <w:t>MG</w:t>
      </w:r>
      <w:r w:rsidRPr="00536D16">
        <w:rPr>
          <w:rFonts w:ascii="Times New Roman" w:hAnsi="Times New Roman"/>
          <w:lang w:val="en-GB"/>
        </w:rPr>
        <w:t xml:space="preserve"> at an initial dye concentration of 40 mg L</w:t>
      </w:r>
      <w:r w:rsidRPr="00536D16">
        <w:rPr>
          <w:rFonts w:ascii="Times New Roman" w:hAnsi="Times New Roman"/>
          <w:vertAlign w:val="superscript"/>
          <w:lang w:val="en-GB"/>
        </w:rPr>
        <w:t>-1</w:t>
      </w:r>
      <w:r w:rsidRPr="00536D16">
        <w:rPr>
          <w:rFonts w:ascii="Times New Roman" w:hAnsi="Times New Roman"/>
          <w:lang w:val="en-GB"/>
        </w:rPr>
        <w:t>, adsorbent dosage of 1.5 g, pH 6, contact time of 90 min</w:t>
      </w:r>
      <w:r w:rsidR="000D3625">
        <w:rPr>
          <w:rFonts w:ascii="Times New Roman" w:hAnsi="Times New Roman"/>
          <w:lang w:val="en-GB"/>
        </w:rPr>
        <w:t>,</w:t>
      </w:r>
      <w:r w:rsidRPr="00536D16">
        <w:rPr>
          <w:rFonts w:ascii="Times New Roman" w:hAnsi="Times New Roman"/>
          <w:lang w:val="en-GB"/>
        </w:rPr>
        <w:t xml:space="preserve"> and temperature of 308K. These optimized conditions were then used for the adsorption isotherm, kinetic</w:t>
      </w:r>
      <w:r w:rsidR="000D3625">
        <w:rPr>
          <w:rFonts w:ascii="Times New Roman" w:hAnsi="Times New Roman"/>
          <w:lang w:val="en-GB"/>
        </w:rPr>
        <w:t>,</w:t>
      </w:r>
      <w:r w:rsidRPr="00536D16">
        <w:rPr>
          <w:rFonts w:ascii="Times New Roman" w:hAnsi="Times New Roman"/>
          <w:lang w:val="en-GB"/>
        </w:rPr>
        <w:t xml:space="preserve"> and thermodynamic studies.</w:t>
      </w:r>
    </w:p>
    <w:p w14:paraId="3218ED7A" w14:textId="573DC0DC" w:rsidR="0015509E" w:rsidRPr="00536D16" w:rsidRDefault="0015509E" w:rsidP="00311173">
      <w:pPr>
        <w:pStyle w:val="Rn2"/>
        <w:rPr>
          <w:lang w:val="en-GB"/>
        </w:rPr>
      </w:pPr>
      <w:r w:rsidRPr="00536D16">
        <w:rPr>
          <w:lang w:val="en-GB"/>
        </w:rPr>
        <w:t>3.</w:t>
      </w:r>
      <w:r w:rsidR="00257035">
        <w:rPr>
          <w:lang w:val="en-GB"/>
        </w:rPr>
        <w:t>4</w:t>
      </w:r>
      <w:r w:rsidR="00311173" w:rsidRPr="00536D16">
        <w:rPr>
          <w:lang w:val="en-GB"/>
        </w:rPr>
        <w:t>.</w:t>
      </w:r>
      <w:r w:rsidRPr="00536D16">
        <w:rPr>
          <w:lang w:val="en-GB"/>
        </w:rPr>
        <w:t xml:space="preserve"> Kinetics </w:t>
      </w:r>
      <w:proofErr w:type="spellStart"/>
      <w:r w:rsidR="00311173" w:rsidRPr="00536D16">
        <w:rPr>
          <w:lang w:val="en-GB"/>
        </w:rPr>
        <w:t>M</w:t>
      </w:r>
      <w:r w:rsidRPr="00536D16">
        <w:rPr>
          <w:lang w:val="en-GB"/>
        </w:rPr>
        <w:t>odeling</w:t>
      </w:r>
      <w:proofErr w:type="spellEnd"/>
      <w:r w:rsidRPr="00536D16">
        <w:rPr>
          <w:lang w:val="en-GB"/>
        </w:rPr>
        <w:t xml:space="preserve"> </w:t>
      </w:r>
    </w:p>
    <w:p w14:paraId="272312CF" w14:textId="23F9505B" w:rsidR="006156E4" w:rsidRDefault="006156E4" w:rsidP="00EB7368">
      <w:pPr>
        <w:spacing w:after="0" w:line="240" w:lineRule="auto"/>
        <w:ind w:firstLine="284"/>
        <w:jc w:val="both"/>
        <w:rPr>
          <w:rFonts w:ascii="Times New Roman" w:hAnsi="Times New Roman"/>
          <w:lang w:val="en-GB"/>
        </w:rPr>
      </w:pPr>
      <w:r w:rsidRPr="00536D16">
        <w:rPr>
          <w:rFonts w:ascii="Times New Roman" w:hAnsi="Times New Roman"/>
          <w:lang w:val="en-GB"/>
        </w:rPr>
        <w:t>The kinetic study of the adsorption of malachite green MG</w:t>
      </w:r>
      <w:r w:rsidR="00931C60" w:rsidRPr="00536D16">
        <w:rPr>
          <w:rFonts w:ascii="Times New Roman" w:hAnsi="Times New Roman"/>
          <w:lang w:val="en-GB"/>
        </w:rPr>
        <w:t xml:space="preserve"> </w:t>
      </w:r>
      <w:r w:rsidRPr="00536D16">
        <w:rPr>
          <w:rFonts w:ascii="Times New Roman" w:hAnsi="Times New Roman"/>
          <w:lang w:val="en-GB"/>
        </w:rPr>
        <w:t xml:space="preserve">on GBHP </w:t>
      </w:r>
      <w:r w:rsidR="000D3625">
        <w:rPr>
          <w:rFonts w:ascii="Times New Roman" w:hAnsi="Times New Roman"/>
          <w:lang w:val="en-GB"/>
        </w:rPr>
        <w:t>wa</w:t>
      </w:r>
      <w:r w:rsidR="00931C60" w:rsidRPr="00536D16">
        <w:rPr>
          <w:rFonts w:ascii="Times New Roman" w:hAnsi="Times New Roman"/>
          <w:lang w:val="en-GB"/>
        </w:rPr>
        <w:t>s</w:t>
      </w:r>
      <w:r w:rsidRPr="00536D16">
        <w:rPr>
          <w:rFonts w:ascii="Times New Roman" w:hAnsi="Times New Roman"/>
          <w:lang w:val="en-GB"/>
        </w:rPr>
        <w:t xml:space="preserve"> </w:t>
      </w:r>
      <w:r w:rsidR="00931C60" w:rsidRPr="00536D16">
        <w:rPr>
          <w:rFonts w:ascii="Times New Roman" w:hAnsi="Times New Roman"/>
          <w:lang w:val="en-GB"/>
        </w:rPr>
        <w:t>calculated</w:t>
      </w:r>
      <w:r w:rsidRPr="00536D16">
        <w:rPr>
          <w:rFonts w:ascii="Times New Roman" w:hAnsi="Times New Roman"/>
          <w:lang w:val="en-GB"/>
        </w:rPr>
        <w:t xml:space="preserve"> using pseudo-first-order (PFO) and pseudo-second-order (PSO) models, as depicted in Figure</w:t>
      </w:r>
      <w:r w:rsidR="001B4A3A" w:rsidRPr="00536D16">
        <w:rPr>
          <w:rFonts w:ascii="Times New Roman" w:hAnsi="Times New Roman"/>
          <w:lang w:val="en-GB"/>
        </w:rPr>
        <w:t>s</w:t>
      </w:r>
      <w:r w:rsidRPr="00536D16">
        <w:rPr>
          <w:rFonts w:ascii="Times New Roman" w:hAnsi="Times New Roman"/>
          <w:lang w:val="en-GB"/>
        </w:rPr>
        <w:t xml:space="preserve"> 4(a–b). The linear equations corresponding to each are listed in Table 1. </w:t>
      </w:r>
      <w:r w:rsidR="0047206C" w:rsidRPr="00536D16">
        <w:rPr>
          <w:rFonts w:ascii="Times New Roman" w:hAnsi="Times New Roman"/>
          <w:lang w:val="en-GB"/>
        </w:rPr>
        <w:t xml:space="preserve">Adsorption kinetic models were employed to identify the controlling step of the adsorption process and clarify </w:t>
      </w:r>
      <w:r w:rsidR="000D3625">
        <w:rPr>
          <w:rFonts w:ascii="Times New Roman" w:hAnsi="Times New Roman"/>
          <w:lang w:val="en-GB"/>
        </w:rPr>
        <w:t>whether</w:t>
      </w:r>
      <w:r w:rsidR="0047206C" w:rsidRPr="00536D16">
        <w:rPr>
          <w:rFonts w:ascii="Times New Roman" w:hAnsi="Times New Roman"/>
          <w:lang w:val="en-GB"/>
        </w:rPr>
        <w:t xml:space="preserve"> </w:t>
      </w:r>
      <w:r w:rsidR="000D3625">
        <w:rPr>
          <w:rFonts w:ascii="Times New Roman" w:hAnsi="Times New Roman"/>
          <w:lang w:val="en-GB"/>
        </w:rPr>
        <w:t>physical or chemical interactions govern MG uptake</w:t>
      </w:r>
      <w:r w:rsidRPr="00536D16">
        <w:rPr>
          <w:rFonts w:ascii="Times New Roman" w:hAnsi="Times New Roman"/>
          <w:lang w:val="en-GB"/>
        </w:rPr>
        <w:t xml:space="preserve">. The model plot for </w:t>
      </w:r>
      <w:r w:rsidR="000D3625">
        <w:rPr>
          <w:rFonts w:ascii="Times New Roman" w:hAnsi="Times New Roman"/>
          <w:lang w:val="en-GB"/>
        </w:rPr>
        <w:t>PFO, shown in Figure 4(a), represents the variation of log</w:t>
      </w:r>
      <w:r w:rsidR="0047206C" w:rsidRPr="00536D16">
        <w:rPr>
          <w:rFonts w:ascii="Times New Roman" w:hAnsi="Times New Roman"/>
          <w:lang w:val="en-GB"/>
        </w:rPr>
        <w:t>(qₑ − qₜ) as a function of contact time</w:t>
      </w:r>
      <w:r w:rsidRPr="00536D16">
        <w:rPr>
          <w:rFonts w:ascii="Times New Roman" w:hAnsi="Times New Roman"/>
          <w:lang w:val="en-GB"/>
        </w:rPr>
        <w:t>. The correlation coefficient for the obtained data was relatively low (R</w:t>
      </w:r>
      <w:r w:rsidRPr="00536D16">
        <w:rPr>
          <w:rFonts w:ascii="Times New Roman" w:hAnsi="Times New Roman"/>
          <w:vertAlign w:val="superscript"/>
          <w:lang w:val="en-GB"/>
        </w:rPr>
        <w:t>2</w:t>
      </w:r>
      <w:r w:rsidRPr="00536D16">
        <w:rPr>
          <w:rFonts w:ascii="Times New Roman" w:hAnsi="Times New Roman"/>
          <w:lang w:val="en-GB"/>
        </w:rPr>
        <w:t xml:space="preserve"> = 0.71), </w:t>
      </w:r>
      <w:r w:rsidR="000D3625">
        <w:rPr>
          <w:rFonts w:ascii="Times New Roman" w:hAnsi="Times New Roman"/>
          <w:lang w:val="en-GB"/>
        </w:rPr>
        <w:t xml:space="preserve">indicating that the PFO model was not suitable for </w:t>
      </w:r>
      <w:proofErr w:type="spellStart"/>
      <w:r w:rsidR="000D3625">
        <w:rPr>
          <w:rFonts w:ascii="Times New Roman" w:hAnsi="Times New Roman"/>
          <w:lang w:val="en-GB"/>
        </w:rPr>
        <w:t>modeling</w:t>
      </w:r>
      <w:proofErr w:type="spellEnd"/>
      <w:r w:rsidRPr="00536D16">
        <w:rPr>
          <w:rFonts w:ascii="Times New Roman" w:hAnsi="Times New Roman"/>
          <w:lang w:val="en-GB"/>
        </w:rPr>
        <w:t xml:space="preserve"> MG adsorption on GBHP. The poor fit</w:t>
      </w:r>
      <w:r w:rsidR="000D3625">
        <w:rPr>
          <w:rFonts w:ascii="Times New Roman" w:hAnsi="Times New Roman"/>
          <w:lang w:val="en-GB"/>
        </w:rPr>
        <w:t xml:space="preserve"> indicates that the adsorption process does not follow simple diffusion and that the adsorption site is not a</w:t>
      </w:r>
      <w:r w:rsidRPr="00536D16">
        <w:rPr>
          <w:rFonts w:ascii="Times New Roman" w:hAnsi="Times New Roman"/>
          <w:lang w:val="en-GB"/>
        </w:rPr>
        <w:t xml:space="preserve"> uniform surface. The experimental points deviate f</w:t>
      </w:r>
      <w:r w:rsidR="000D3625">
        <w:rPr>
          <w:rFonts w:ascii="Times New Roman" w:hAnsi="Times New Roman"/>
          <w:lang w:val="en-GB"/>
        </w:rPr>
        <w:t>urther from the fitted line, suggesting that the rate of adsorption is not sole</w:t>
      </w:r>
      <w:r w:rsidRPr="00536D16">
        <w:rPr>
          <w:rFonts w:ascii="Times New Roman" w:hAnsi="Times New Roman"/>
          <w:lang w:val="en-GB"/>
        </w:rPr>
        <w:t>ly dependent on the concentration of unoccupied adsorption sites. However, the PSO model in Figure 4(b)</w:t>
      </w:r>
      <w:r w:rsidR="000D3625">
        <w:rPr>
          <w:rFonts w:ascii="Times New Roman" w:hAnsi="Times New Roman"/>
          <w:lang w:val="en-GB"/>
        </w:rPr>
        <w:t xml:space="preserve"> illustrates a very good linear relationship between t/qₜ and time,</w:t>
      </w:r>
      <w:r w:rsidRPr="00536D16">
        <w:rPr>
          <w:rFonts w:ascii="Times New Roman" w:hAnsi="Times New Roman"/>
          <w:lang w:val="en-GB"/>
        </w:rPr>
        <w:t xml:space="preserve"> with a very high correlation coefficient (R</w:t>
      </w:r>
      <w:r w:rsidR="001B4A3A" w:rsidRPr="00536D16">
        <w:rPr>
          <w:rFonts w:ascii="Times New Roman" w:hAnsi="Times New Roman"/>
          <w:vertAlign w:val="superscript"/>
          <w:lang w:val="en-GB"/>
        </w:rPr>
        <w:t>2</w:t>
      </w:r>
      <w:r w:rsidRPr="00536D16">
        <w:rPr>
          <w:rFonts w:ascii="Times New Roman" w:hAnsi="Times New Roman"/>
          <w:lang w:val="en-GB"/>
        </w:rPr>
        <w:t xml:space="preserve"> = 0.99). The high value of this </w:t>
      </w:r>
      <w:r w:rsidRPr="00536D16">
        <w:rPr>
          <w:rFonts w:ascii="Times New Roman" w:hAnsi="Times New Roman"/>
          <w:lang w:val="en-GB"/>
        </w:rPr>
        <w:lastRenderedPageBreak/>
        <w:t xml:space="preserve">agreement </w:t>
      </w:r>
      <w:r w:rsidR="000D3625">
        <w:rPr>
          <w:rFonts w:ascii="Times New Roman" w:hAnsi="Times New Roman"/>
          <w:lang w:val="en-GB"/>
        </w:rPr>
        <w:t>indicates that the pseudo-second-</w:t>
      </w:r>
      <w:r w:rsidRPr="00536D16">
        <w:rPr>
          <w:rFonts w:ascii="Times New Roman" w:hAnsi="Times New Roman"/>
          <w:lang w:val="en-GB"/>
        </w:rPr>
        <w:t xml:space="preserve">order kinetic model was followed for the adsorption of MG onto GBHP. The result indicates that the adsorption rate is primarily dependent </w:t>
      </w:r>
      <w:r w:rsidR="000D3625">
        <w:rPr>
          <w:rFonts w:ascii="Times New Roman" w:hAnsi="Times New Roman"/>
          <w:lang w:val="en-GB"/>
        </w:rPr>
        <w:t>on surface-active sites and chemisorption-type interactions, such as electron sharing, electrostatic attraction, hydrogen bonding, and π–π interactions, between MG molecules and the</w:t>
      </w:r>
      <w:r w:rsidRPr="00536D16">
        <w:rPr>
          <w:rFonts w:ascii="Times New Roman" w:hAnsi="Times New Roman"/>
          <w:lang w:val="en-GB"/>
        </w:rPr>
        <w:t xml:space="preserve"> functionalized carbon surface of GBHP.</w:t>
      </w:r>
    </w:p>
    <w:p w14:paraId="74EB2EA6" w14:textId="77777777" w:rsidR="00536D16" w:rsidRPr="00536D16" w:rsidRDefault="00536D16" w:rsidP="00EB7368">
      <w:pPr>
        <w:spacing w:after="0" w:line="240" w:lineRule="auto"/>
        <w:ind w:firstLine="284"/>
        <w:jc w:val="both"/>
        <w:rPr>
          <w:rFonts w:ascii="Times New Roman" w:hAnsi="Times New Roman"/>
          <w:lang w:val="en-GB"/>
        </w:rPr>
      </w:pPr>
    </w:p>
    <w:p w14:paraId="7CA91373" w14:textId="1662F019" w:rsidR="006156E4" w:rsidRPr="00536D16" w:rsidRDefault="004F48A2" w:rsidP="00311173">
      <w:pPr>
        <w:spacing w:after="0" w:line="240" w:lineRule="auto"/>
        <w:jc w:val="center"/>
        <w:rPr>
          <w:rFonts w:ascii="Times New Roman" w:hAnsi="Times New Roman"/>
          <w:lang w:val="en-GB"/>
        </w:rPr>
      </w:pPr>
      <w:r w:rsidRPr="00536D16">
        <w:rPr>
          <w:rFonts w:ascii="Times New Roman" w:hAnsi="Times New Roman"/>
          <w:noProof/>
          <w:lang w:val="en-GB"/>
        </w:rPr>
        <w:drawing>
          <wp:inline distT="0" distB="0" distL="0" distR="0" wp14:anchorId="6CA19BE3" wp14:editId="20616ABC">
            <wp:extent cx="5439746" cy="2155371"/>
            <wp:effectExtent l="0" t="0" r="8890" b="0"/>
            <wp:docPr id="1282337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337493" name=""/>
                    <pic:cNvPicPr/>
                  </pic:nvPicPr>
                  <pic:blipFill>
                    <a:blip r:embed="rId19">
                      <a:extLst>
                        <a:ext uri="{28A0092B-C50C-407E-A947-70E740481C1C}">
                          <a14:useLocalDpi xmlns:a14="http://schemas.microsoft.com/office/drawing/2010/main" val="0"/>
                        </a:ext>
                      </a:extLst>
                    </a:blip>
                    <a:stretch>
                      <a:fillRect/>
                    </a:stretch>
                  </pic:blipFill>
                  <pic:spPr>
                    <a:xfrm>
                      <a:off x="0" y="0"/>
                      <a:ext cx="5451051" cy="2159850"/>
                    </a:xfrm>
                    <a:prstGeom prst="rect">
                      <a:avLst/>
                    </a:prstGeom>
                  </pic:spPr>
                </pic:pic>
              </a:graphicData>
            </a:graphic>
          </wp:inline>
        </w:drawing>
      </w:r>
    </w:p>
    <w:p w14:paraId="134EE76E" w14:textId="33551A1E" w:rsidR="006156E4" w:rsidRPr="00536D16" w:rsidRDefault="006156E4" w:rsidP="00EB7368">
      <w:pPr>
        <w:pStyle w:val="Rrys"/>
        <w:rPr>
          <w:lang w:val="en-GB"/>
        </w:rPr>
      </w:pPr>
      <w:r w:rsidRPr="00536D16">
        <w:rPr>
          <w:b/>
          <w:bCs/>
          <w:lang w:val="en-GB"/>
        </w:rPr>
        <w:t>Fi</w:t>
      </w:r>
      <w:r w:rsidR="003F18D8" w:rsidRPr="00536D16">
        <w:rPr>
          <w:b/>
          <w:bCs/>
          <w:lang w:val="en-GB"/>
        </w:rPr>
        <w:t>g</w:t>
      </w:r>
      <w:r w:rsidR="00EB7368" w:rsidRPr="00536D16">
        <w:rPr>
          <w:b/>
          <w:bCs/>
          <w:lang w:val="en-GB"/>
        </w:rPr>
        <w:t>.</w:t>
      </w:r>
      <w:r w:rsidRPr="00536D16">
        <w:rPr>
          <w:b/>
          <w:bCs/>
          <w:lang w:val="en-GB"/>
        </w:rPr>
        <w:t xml:space="preserve"> 4</w:t>
      </w:r>
      <w:r w:rsidR="00EB7368" w:rsidRPr="00536D16">
        <w:rPr>
          <w:b/>
          <w:bCs/>
          <w:lang w:val="en-GB"/>
        </w:rPr>
        <w:t>.</w:t>
      </w:r>
      <w:r w:rsidR="00B366EF" w:rsidRPr="00536D16">
        <w:rPr>
          <w:b/>
          <w:bCs/>
          <w:lang w:val="en-GB"/>
        </w:rPr>
        <w:t xml:space="preserve"> </w:t>
      </w:r>
      <w:r w:rsidR="00B366EF" w:rsidRPr="00536D16">
        <w:rPr>
          <w:lang w:val="en-GB"/>
        </w:rPr>
        <w:t xml:space="preserve">Adsorption kinetic models for MG adsorption onto GBHP: (a) </w:t>
      </w:r>
      <w:r w:rsidR="0047206C" w:rsidRPr="00536D16">
        <w:rPr>
          <w:lang w:val="en-GB"/>
        </w:rPr>
        <w:t>PFO</w:t>
      </w:r>
      <w:r w:rsidR="00B366EF" w:rsidRPr="00536D16">
        <w:rPr>
          <w:lang w:val="en-GB"/>
        </w:rPr>
        <w:t xml:space="preserve"> and (b) </w:t>
      </w:r>
      <w:r w:rsidR="0047206C" w:rsidRPr="00536D16">
        <w:rPr>
          <w:lang w:val="en-GB"/>
        </w:rPr>
        <w:t>PSO</w:t>
      </w:r>
    </w:p>
    <w:p w14:paraId="00B84B25" w14:textId="77777777" w:rsidR="00EB7368" w:rsidRPr="00536D16" w:rsidRDefault="00EB7368" w:rsidP="00EB7368">
      <w:pPr>
        <w:spacing w:after="0" w:line="240" w:lineRule="auto"/>
        <w:ind w:firstLine="284"/>
        <w:jc w:val="both"/>
        <w:rPr>
          <w:rFonts w:ascii="Times New Roman" w:hAnsi="Times New Roman"/>
          <w:lang w:val="en-GB"/>
        </w:rPr>
      </w:pPr>
    </w:p>
    <w:p w14:paraId="21E27250" w14:textId="4E8319BC" w:rsidR="00EF3802" w:rsidRPr="00536D16" w:rsidRDefault="006156E4" w:rsidP="00EB7368">
      <w:pPr>
        <w:spacing w:after="0" w:line="240" w:lineRule="auto"/>
        <w:ind w:firstLine="284"/>
        <w:jc w:val="both"/>
        <w:rPr>
          <w:rFonts w:ascii="Times New Roman" w:hAnsi="Times New Roman"/>
          <w:lang w:val="en-GB"/>
        </w:rPr>
      </w:pPr>
      <w:r w:rsidRPr="00536D16">
        <w:rPr>
          <w:rFonts w:ascii="Times New Roman" w:hAnsi="Times New Roman"/>
          <w:lang w:val="en-GB"/>
        </w:rPr>
        <w:t>Compar</w:t>
      </w:r>
      <w:r w:rsidR="000D3625">
        <w:rPr>
          <w:rFonts w:ascii="Times New Roman" w:hAnsi="Times New Roman"/>
          <w:lang w:val="en-GB"/>
        </w:rPr>
        <w:t>ed with both models, the PSO model exhibits superior performance because chemical interactions, which play a dominant role in the adsorption of MG onto GBHP, are not only due to simple mass transfer but also to a specific site adsorption mechanism,</w:t>
      </w:r>
      <w:r w:rsidRPr="00536D16">
        <w:rPr>
          <w:rFonts w:ascii="Times New Roman" w:hAnsi="Times New Roman"/>
          <w:lang w:val="en-GB"/>
        </w:rPr>
        <w:t xml:space="preserve"> as shown in Table 2. This </w:t>
      </w:r>
      <w:proofErr w:type="spellStart"/>
      <w:r w:rsidRPr="00536D16">
        <w:rPr>
          <w:rFonts w:ascii="Times New Roman" w:hAnsi="Times New Roman"/>
          <w:lang w:val="en-GB"/>
        </w:rPr>
        <w:t>behavior</w:t>
      </w:r>
      <w:proofErr w:type="spellEnd"/>
      <w:r w:rsidRPr="00536D16">
        <w:rPr>
          <w:rFonts w:ascii="Times New Roman" w:hAnsi="Times New Roman"/>
          <w:lang w:val="en-GB"/>
        </w:rPr>
        <w:t xml:space="preserve"> is in line with the FTIR and XPS results</w:t>
      </w:r>
      <w:r w:rsidR="000D3625">
        <w:rPr>
          <w:rFonts w:ascii="Times New Roman" w:hAnsi="Times New Roman"/>
          <w:lang w:val="en-GB"/>
        </w:rPr>
        <w:t>, which confirmed the presence of hydroxyl, carbonyl, and C–O groups that interact</w:t>
      </w:r>
      <w:r w:rsidRPr="00536D16">
        <w:rPr>
          <w:rFonts w:ascii="Times New Roman" w:hAnsi="Times New Roman"/>
          <w:lang w:val="en-GB"/>
        </w:rPr>
        <w:t xml:space="preserve"> with the MG molecules. Therefore, the kinetic results confirm that the adsorption sites of GBHP are chemically active, and th</w:t>
      </w:r>
      <w:r w:rsidR="000D3625">
        <w:rPr>
          <w:rFonts w:ascii="Times New Roman" w:hAnsi="Times New Roman"/>
          <w:lang w:val="en-GB"/>
        </w:rPr>
        <w:t>at the removal of MG is primarily surface-controlled,</w:t>
      </w:r>
      <w:r w:rsidRPr="00536D16">
        <w:rPr>
          <w:rFonts w:ascii="Times New Roman" w:hAnsi="Times New Roman"/>
          <w:lang w:val="en-GB"/>
        </w:rPr>
        <w:t xml:space="preserve"> with a considerable contribution from chemisorption.</w:t>
      </w:r>
    </w:p>
    <w:p w14:paraId="44CF8951" w14:textId="77777777" w:rsidR="00EB7368" w:rsidRPr="00536D16" w:rsidRDefault="00EB7368" w:rsidP="00EB7368">
      <w:pPr>
        <w:spacing w:after="0" w:line="240" w:lineRule="auto"/>
        <w:ind w:firstLine="284"/>
        <w:jc w:val="both"/>
        <w:rPr>
          <w:rFonts w:ascii="Times New Roman" w:hAnsi="Times New Roman"/>
          <w:lang w:val="en-GB"/>
        </w:rPr>
      </w:pPr>
    </w:p>
    <w:p w14:paraId="7473EEB3" w14:textId="261CCB7F" w:rsidR="00EF3802" w:rsidRPr="00536D16" w:rsidRDefault="006156E4" w:rsidP="00EB7368">
      <w:pPr>
        <w:pStyle w:val="Rtab"/>
        <w:rPr>
          <w:lang w:val="en-GB"/>
        </w:rPr>
      </w:pPr>
      <w:r w:rsidRPr="00536D16">
        <w:rPr>
          <w:b/>
          <w:bCs/>
          <w:lang w:val="en-GB"/>
        </w:rPr>
        <w:t>Table 2</w:t>
      </w:r>
      <w:r w:rsidR="00EB7368" w:rsidRPr="00536D16">
        <w:rPr>
          <w:b/>
          <w:bCs/>
          <w:lang w:val="en-GB"/>
        </w:rPr>
        <w:t>.</w:t>
      </w:r>
      <w:r w:rsidR="00B366EF" w:rsidRPr="00536D16">
        <w:rPr>
          <w:lang w:val="en-GB"/>
        </w:rPr>
        <w:t xml:space="preserve"> Kinetic parameters for MG adsorption onto GBHP</w:t>
      </w:r>
    </w:p>
    <w:tbl>
      <w:tblPr>
        <w:tblW w:w="7730" w:type="dxa"/>
        <w:jc w:val="center"/>
        <w:tblBorders>
          <w:top w:val="single" w:sz="4" w:space="0" w:color="auto"/>
          <w:bottom w:val="single" w:sz="4" w:space="0" w:color="auto"/>
          <w:insideH w:val="single" w:sz="4" w:space="0" w:color="auto"/>
        </w:tblBorders>
        <w:tblLook w:val="0020" w:firstRow="1" w:lastRow="0" w:firstColumn="0" w:lastColumn="0" w:noHBand="0" w:noVBand="0"/>
      </w:tblPr>
      <w:tblGrid>
        <w:gridCol w:w="2977"/>
        <w:gridCol w:w="2256"/>
        <w:gridCol w:w="2497"/>
      </w:tblGrid>
      <w:tr w:rsidR="006156E4" w:rsidRPr="00536D16" w14:paraId="2FD77752" w14:textId="77777777" w:rsidTr="00536D16">
        <w:trPr>
          <w:trHeight w:val="397"/>
          <w:tblHeader/>
          <w:jc w:val="center"/>
        </w:trPr>
        <w:tc>
          <w:tcPr>
            <w:tcW w:w="2977" w:type="dxa"/>
            <w:vAlign w:val="center"/>
          </w:tcPr>
          <w:p w14:paraId="194FC362" w14:textId="77777777" w:rsidR="006156E4" w:rsidRPr="00536D16" w:rsidRDefault="006156E4" w:rsidP="00536D16">
            <w:pPr>
              <w:spacing w:after="0" w:line="240" w:lineRule="auto"/>
              <w:rPr>
                <w:rFonts w:ascii="Times New Roman" w:hAnsi="Times New Roman"/>
                <w:sz w:val="20"/>
                <w:szCs w:val="20"/>
                <w:lang w:val="en-GB"/>
              </w:rPr>
            </w:pPr>
            <w:r w:rsidRPr="00536D16">
              <w:rPr>
                <w:rFonts w:ascii="Times New Roman" w:hAnsi="Times New Roman"/>
                <w:sz w:val="20"/>
                <w:szCs w:val="20"/>
                <w:lang w:val="en-GB"/>
              </w:rPr>
              <w:t>Kinetic Model</w:t>
            </w:r>
          </w:p>
        </w:tc>
        <w:tc>
          <w:tcPr>
            <w:tcW w:w="2256" w:type="dxa"/>
            <w:vAlign w:val="center"/>
          </w:tcPr>
          <w:p w14:paraId="24074B63" w14:textId="77777777" w:rsidR="006156E4" w:rsidRPr="00536D16" w:rsidRDefault="006156E4" w:rsidP="00536D16">
            <w:pPr>
              <w:spacing w:after="0" w:line="240" w:lineRule="auto"/>
              <w:rPr>
                <w:rFonts w:ascii="Times New Roman" w:hAnsi="Times New Roman"/>
                <w:sz w:val="20"/>
                <w:szCs w:val="20"/>
                <w:lang w:val="en-GB"/>
              </w:rPr>
            </w:pPr>
            <w:r w:rsidRPr="00536D16">
              <w:rPr>
                <w:rFonts w:ascii="Times New Roman" w:hAnsi="Times New Roman"/>
                <w:sz w:val="20"/>
                <w:szCs w:val="20"/>
                <w:lang w:val="en-GB"/>
              </w:rPr>
              <w:t>Parameters</w:t>
            </w:r>
          </w:p>
        </w:tc>
        <w:tc>
          <w:tcPr>
            <w:tcW w:w="0" w:type="auto"/>
            <w:vAlign w:val="center"/>
          </w:tcPr>
          <w:p w14:paraId="46E3E510" w14:textId="77777777" w:rsidR="006156E4" w:rsidRPr="00536D16" w:rsidRDefault="006156E4" w:rsidP="00536D16">
            <w:pPr>
              <w:spacing w:after="0" w:line="240" w:lineRule="auto"/>
              <w:rPr>
                <w:rFonts w:ascii="Times New Roman" w:hAnsi="Times New Roman"/>
                <w:sz w:val="20"/>
                <w:szCs w:val="20"/>
                <w:lang w:val="en-GB"/>
              </w:rPr>
            </w:pPr>
            <w:r w:rsidRPr="00536D16">
              <w:rPr>
                <w:rFonts w:ascii="Times New Roman" w:hAnsi="Times New Roman"/>
                <w:sz w:val="20"/>
                <w:szCs w:val="20"/>
                <w:lang w:val="en-GB"/>
              </w:rPr>
              <w:t>Value</w:t>
            </w:r>
          </w:p>
        </w:tc>
      </w:tr>
      <w:tr w:rsidR="00536D16" w:rsidRPr="00536D16" w14:paraId="3BDB179F" w14:textId="77777777" w:rsidTr="00536D16">
        <w:trPr>
          <w:trHeight w:val="283"/>
          <w:jc w:val="center"/>
        </w:trPr>
        <w:tc>
          <w:tcPr>
            <w:tcW w:w="2977" w:type="dxa"/>
            <w:vMerge w:val="restart"/>
            <w:vAlign w:val="center"/>
          </w:tcPr>
          <w:p w14:paraId="78095CD4" w14:textId="77777777" w:rsidR="00536D16" w:rsidRPr="00536D16" w:rsidRDefault="00536D16" w:rsidP="00536D16">
            <w:pPr>
              <w:spacing w:after="0" w:line="240" w:lineRule="auto"/>
              <w:rPr>
                <w:rFonts w:ascii="Times New Roman" w:hAnsi="Times New Roman"/>
                <w:sz w:val="20"/>
                <w:szCs w:val="20"/>
                <w:lang w:val="en-GB"/>
              </w:rPr>
            </w:pPr>
            <w:r w:rsidRPr="00536D16">
              <w:rPr>
                <w:rFonts w:ascii="Times New Roman" w:hAnsi="Times New Roman"/>
                <w:sz w:val="20"/>
                <w:szCs w:val="20"/>
                <w:lang w:val="en-GB"/>
              </w:rPr>
              <w:t>Pseudo-First Order (PFO)</w:t>
            </w:r>
          </w:p>
        </w:tc>
        <w:tc>
          <w:tcPr>
            <w:tcW w:w="2256" w:type="dxa"/>
            <w:vAlign w:val="center"/>
          </w:tcPr>
          <w:p w14:paraId="1A3B1B44" w14:textId="77777777" w:rsidR="00536D16" w:rsidRPr="00536D16" w:rsidRDefault="00536D16" w:rsidP="00536D16">
            <w:pPr>
              <w:spacing w:after="0" w:line="240" w:lineRule="auto"/>
              <w:rPr>
                <w:rFonts w:ascii="Times New Roman" w:hAnsi="Times New Roman"/>
                <w:sz w:val="20"/>
                <w:szCs w:val="20"/>
                <w:lang w:val="en-GB"/>
              </w:rPr>
            </w:pPr>
            <w:r w:rsidRPr="00536D16">
              <w:rPr>
                <w:rFonts w:ascii="Times New Roman" w:hAnsi="Times New Roman"/>
                <w:sz w:val="20"/>
                <w:szCs w:val="20"/>
                <w:lang w:val="en-GB"/>
              </w:rPr>
              <w:t>Linear equation</w:t>
            </w:r>
          </w:p>
        </w:tc>
        <w:tc>
          <w:tcPr>
            <w:tcW w:w="0" w:type="auto"/>
            <w:vAlign w:val="center"/>
          </w:tcPr>
          <w:p w14:paraId="6891C90E" w14:textId="61DD1437" w:rsidR="00536D16" w:rsidRPr="00536D16" w:rsidRDefault="00536D16" w:rsidP="00536D16">
            <w:pPr>
              <w:spacing w:after="0" w:line="240" w:lineRule="auto"/>
              <w:rPr>
                <w:rFonts w:ascii="Times New Roman" w:hAnsi="Times New Roman"/>
                <w:sz w:val="20"/>
                <w:szCs w:val="20"/>
                <w:lang w:val="en-GB"/>
              </w:rPr>
            </w:pPr>
            <w:r w:rsidRPr="00536D16">
              <w:rPr>
                <w:rFonts w:ascii="Times New Roman" w:hAnsi="Times New Roman"/>
                <w:sz w:val="20"/>
                <w:szCs w:val="20"/>
                <w:lang w:val="en-GB"/>
              </w:rPr>
              <w:t>y = −0.0023x − 1.315</w:t>
            </w:r>
          </w:p>
        </w:tc>
      </w:tr>
      <w:tr w:rsidR="00536D16" w:rsidRPr="00536D16" w14:paraId="37BCEF46" w14:textId="77777777" w:rsidTr="00536D16">
        <w:trPr>
          <w:trHeight w:val="283"/>
          <w:jc w:val="center"/>
        </w:trPr>
        <w:tc>
          <w:tcPr>
            <w:tcW w:w="2977" w:type="dxa"/>
            <w:vMerge/>
            <w:vAlign w:val="center"/>
          </w:tcPr>
          <w:p w14:paraId="5F25FA10" w14:textId="77777777" w:rsidR="00536D16" w:rsidRPr="00536D16" w:rsidRDefault="00536D16" w:rsidP="00536D16">
            <w:pPr>
              <w:spacing w:after="0" w:line="240" w:lineRule="auto"/>
              <w:rPr>
                <w:rFonts w:ascii="Times New Roman" w:hAnsi="Times New Roman"/>
                <w:sz w:val="20"/>
                <w:szCs w:val="20"/>
                <w:lang w:val="en-GB"/>
              </w:rPr>
            </w:pPr>
          </w:p>
        </w:tc>
        <w:tc>
          <w:tcPr>
            <w:tcW w:w="2256" w:type="dxa"/>
            <w:vAlign w:val="center"/>
          </w:tcPr>
          <w:p w14:paraId="4EF726B5" w14:textId="77777777" w:rsidR="00536D16" w:rsidRPr="00536D16" w:rsidRDefault="00536D16" w:rsidP="00536D16">
            <w:pPr>
              <w:spacing w:after="0" w:line="240" w:lineRule="auto"/>
              <w:rPr>
                <w:rFonts w:ascii="Times New Roman" w:hAnsi="Times New Roman"/>
                <w:sz w:val="20"/>
                <w:szCs w:val="20"/>
                <w:lang w:val="en-GB"/>
              </w:rPr>
            </w:pPr>
            <w:r w:rsidRPr="00536D16">
              <w:rPr>
                <w:rFonts w:ascii="Times New Roman" w:hAnsi="Times New Roman"/>
                <w:sz w:val="20"/>
                <w:szCs w:val="20"/>
                <w:lang w:val="en-GB"/>
              </w:rPr>
              <w:t>R</w:t>
            </w:r>
            <w:r w:rsidRPr="00536D16">
              <w:rPr>
                <w:rFonts w:ascii="Times New Roman" w:hAnsi="Times New Roman"/>
                <w:sz w:val="20"/>
                <w:szCs w:val="20"/>
                <w:vertAlign w:val="superscript"/>
                <w:lang w:val="en-GB"/>
              </w:rPr>
              <w:t>2</w:t>
            </w:r>
          </w:p>
        </w:tc>
        <w:tc>
          <w:tcPr>
            <w:tcW w:w="0" w:type="auto"/>
            <w:vAlign w:val="center"/>
          </w:tcPr>
          <w:p w14:paraId="7A94C0FF" w14:textId="6A6B234C" w:rsidR="00536D16" w:rsidRPr="00536D16" w:rsidRDefault="00536D16" w:rsidP="00536D16">
            <w:pPr>
              <w:spacing w:after="0" w:line="240" w:lineRule="auto"/>
              <w:rPr>
                <w:rFonts w:ascii="Times New Roman" w:hAnsi="Times New Roman"/>
                <w:sz w:val="20"/>
                <w:szCs w:val="20"/>
                <w:lang w:val="en-GB"/>
              </w:rPr>
            </w:pPr>
            <w:r w:rsidRPr="00536D16">
              <w:rPr>
                <w:rFonts w:ascii="Times New Roman" w:hAnsi="Times New Roman"/>
                <w:sz w:val="20"/>
                <w:szCs w:val="20"/>
                <w:lang w:val="en-GB"/>
              </w:rPr>
              <w:t>0.71</w:t>
            </w:r>
          </w:p>
        </w:tc>
      </w:tr>
      <w:tr w:rsidR="00536D16" w:rsidRPr="00536D16" w14:paraId="006DFD71" w14:textId="77777777" w:rsidTr="00536D16">
        <w:trPr>
          <w:trHeight w:val="283"/>
          <w:jc w:val="center"/>
        </w:trPr>
        <w:tc>
          <w:tcPr>
            <w:tcW w:w="2977" w:type="dxa"/>
            <w:vMerge/>
            <w:vAlign w:val="center"/>
          </w:tcPr>
          <w:p w14:paraId="663414FD" w14:textId="77777777" w:rsidR="00536D16" w:rsidRPr="00536D16" w:rsidRDefault="00536D16" w:rsidP="00536D16">
            <w:pPr>
              <w:spacing w:after="0" w:line="240" w:lineRule="auto"/>
              <w:rPr>
                <w:rFonts w:ascii="Times New Roman" w:hAnsi="Times New Roman"/>
                <w:sz w:val="20"/>
                <w:szCs w:val="20"/>
                <w:lang w:val="en-GB"/>
              </w:rPr>
            </w:pPr>
          </w:p>
        </w:tc>
        <w:tc>
          <w:tcPr>
            <w:tcW w:w="2256" w:type="dxa"/>
            <w:vAlign w:val="center"/>
          </w:tcPr>
          <w:p w14:paraId="77160F77" w14:textId="77777777" w:rsidR="00536D16" w:rsidRPr="00536D16" w:rsidRDefault="00536D16" w:rsidP="00536D16">
            <w:pPr>
              <w:spacing w:after="0" w:line="240" w:lineRule="auto"/>
              <w:rPr>
                <w:rFonts w:ascii="Times New Roman" w:hAnsi="Times New Roman"/>
                <w:sz w:val="20"/>
                <w:szCs w:val="20"/>
                <w:lang w:val="en-GB"/>
              </w:rPr>
            </w:pPr>
            <w:r w:rsidRPr="00536D16">
              <w:rPr>
                <w:rFonts w:ascii="Times New Roman" w:hAnsi="Times New Roman"/>
                <w:sz w:val="20"/>
                <w:szCs w:val="20"/>
                <w:lang w:val="en-GB"/>
              </w:rPr>
              <w:t>k₁ (min⁻¹)</w:t>
            </w:r>
          </w:p>
        </w:tc>
        <w:tc>
          <w:tcPr>
            <w:tcW w:w="0" w:type="auto"/>
            <w:vAlign w:val="center"/>
          </w:tcPr>
          <w:p w14:paraId="245C351A" w14:textId="33C088BC" w:rsidR="00536D16" w:rsidRPr="00536D16" w:rsidRDefault="00536D16" w:rsidP="00536D16">
            <w:pPr>
              <w:spacing w:after="0" w:line="240" w:lineRule="auto"/>
              <w:rPr>
                <w:rFonts w:ascii="Times New Roman" w:hAnsi="Times New Roman"/>
                <w:sz w:val="20"/>
                <w:szCs w:val="20"/>
                <w:lang w:val="en-GB"/>
              </w:rPr>
            </w:pPr>
            <w:r w:rsidRPr="00536D16">
              <w:rPr>
                <w:rFonts w:ascii="Times New Roman" w:hAnsi="Times New Roman"/>
                <w:sz w:val="20"/>
                <w:szCs w:val="20"/>
                <w:lang w:val="en-GB"/>
              </w:rPr>
              <w:t>0.0063</w:t>
            </w:r>
          </w:p>
        </w:tc>
      </w:tr>
      <w:tr w:rsidR="00536D16" w:rsidRPr="00536D16" w14:paraId="47B92D6C" w14:textId="77777777" w:rsidTr="00536D16">
        <w:trPr>
          <w:trHeight w:val="283"/>
          <w:jc w:val="center"/>
        </w:trPr>
        <w:tc>
          <w:tcPr>
            <w:tcW w:w="2977" w:type="dxa"/>
            <w:vMerge/>
            <w:vAlign w:val="center"/>
          </w:tcPr>
          <w:p w14:paraId="16A0871C" w14:textId="77777777" w:rsidR="00536D16" w:rsidRPr="00536D16" w:rsidRDefault="00536D16" w:rsidP="00536D16">
            <w:pPr>
              <w:spacing w:after="0" w:line="240" w:lineRule="auto"/>
              <w:rPr>
                <w:rFonts w:ascii="Times New Roman" w:hAnsi="Times New Roman"/>
                <w:sz w:val="20"/>
                <w:szCs w:val="20"/>
                <w:lang w:val="en-GB"/>
              </w:rPr>
            </w:pPr>
          </w:p>
        </w:tc>
        <w:tc>
          <w:tcPr>
            <w:tcW w:w="2256" w:type="dxa"/>
            <w:vAlign w:val="center"/>
          </w:tcPr>
          <w:p w14:paraId="276BF359" w14:textId="77777777" w:rsidR="00536D16" w:rsidRPr="00536D16" w:rsidRDefault="00536D16" w:rsidP="00536D16">
            <w:pPr>
              <w:spacing w:after="0" w:line="240" w:lineRule="auto"/>
              <w:rPr>
                <w:rFonts w:ascii="Times New Roman" w:hAnsi="Times New Roman"/>
                <w:sz w:val="20"/>
                <w:szCs w:val="20"/>
                <w:lang w:val="en-GB"/>
              </w:rPr>
            </w:pPr>
            <w:proofErr w:type="spellStart"/>
            <w:r w:rsidRPr="00536D16">
              <w:rPr>
                <w:rFonts w:ascii="Times New Roman" w:hAnsi="Times New Roman"/>
                <w:sz w:val="20"/>
                <w:szCs w:val="20"/>
                <w:lang w:val="en-GB"/>
              </w:rPr>
              <w:t>qecal</w:t>
            </w:r>
            <w:proofErr w:type="spellEnd"/>
            <w:r w:rsidRPr="00536D16">
              <w:rPr>
                <w:rFonts w:ascii="Times New Roman" w:hAnsi="Times New Roman"/>
                <w:sz w:val="20"/>
                <w:szCs w:val="20"/>
                <w:lang w:val="en-GB"/>
              </w:rPr>
              <w:t xml:space="preserve"> (mg/g)</w:t>
            </w:r>
          </w:p>
        </w:tc>
        <w:tc>
          <w:tcPr>
            <w:tcW w:w="0" w:type="auto"/>
            <w:vAlign w:val="center"/>
          </w:tcPr>
          <w:p w14:paraId="736368D2" w14:textId="50BEA823" w:rsidR="00536D16" w:rsidRPr="00536D16" w:rsidRDefault="00536D16" w:rsidP="00536D16">
            <w:pPr>
              <w:spacing w:after="0" w:line="240" w:lineRule="auto"/>
              <w:rPr>
                <w:rFonts w:ascii="Times New Roman" w:hAnsi="Times New Roman"/>
                <w:sz w:val="20"/>
                <w:szCs w:val="20"/>
                <w:lang w:val="en-GB"/>
              </w:rPr>
            </w:pPr>
            <w:r w:rsidRPr="00536D16">
              <w:rPr>
                <w:rFonts w:ascii="Times New Roman" w:hAnsi="Times New Roman"/>
                <w:sz w:val="20"/>
                <w:szCs w:val="20"/>
                <w:lang w:val="en-GB"/>
              </w:rPr>
              <w:t>0.246</w:t>
            </w:r>
          </w:p>
        </w:tc>
      </w:tr>
      <w:tr w:rsidR="00536D16" w:rsidRPr="00536D16" w14:paraId="04510477" w14:textId="77777777" w:rsidTr="00536D16">
        <w:trPr>
          <w:trHeight w:val="283"/>
          <w:jc w:val="center"/>
        </w:trPr>
        <w:tc>
          <w:tcPr>
            <w:tcW w:w="2977" w:type="dxa"/>
            <w:vMerge w:val="restart"/>
            <w:vAlign w:val="center"/>
          </w:tcPr>
          <w:p w14:paraId="26106479" w14:textId="77777777" w:rsidR="00536D16" w:rsidRPr="00536D16" w:rsidRDefault="00536D16" w:rsidP="00536D16">
            <w:pPr>
              <w:spacing w:after="0" w:line="240" w:lineRule="auto"/>
              <w:rPr>
                <w:rFonts w:ascii="Times New Roman" w:hAnsi="Times New Roman"/>
                <w:sz w:val="20"/>
                <w:szCs w:val="20"/>
                <w:lang w:val="en-GB"/>
              </w:rPr>
            </w:pPr>
            <w:r w:rsidRPr="00536D16">
              <w:rPr>
                <w:rFonts w:ascii="Times New Roman" w:hAnsi="Times New Roman"/>
                <w:sz w:val="20"/>
                <w:szCs w:val="20"/>
                <w:lang w:val="en-GB"/>
              </w:rPr>
              <w:t>Pseudo-Second Order (PSO)</w:t>
            </w:r>
          </w:p>
        </w:tc>
        <w:tc>
          <w:tcPr>
            <w:tcW w:w="2256" w:type="dxa"/>
            <w:vAlign w:val="center"/>
          </w:tcPr>
          <w:p w14:paraId="5DEB406F" w14:textId="77777777" w:rsidR="00536D16" w:rsidRPr="00536D16" w:rsidRDefault="00536D16" w:rsidP="00536D16">
            <w:pPr>
              <w:spacing w:after="0" w:line="240" w:lineRule="auto"/>
              <w:rPr>
                <w:rFonts w:ascii="Times New Roman" w:hAnsi="Times New Roman"/>
                <w:sz w:val="20"/>
                <w:szCs w:val="20"/>
                <w:lang w:val="en-GB"/>
              </w:rPr>
            </w:pPr>
            <w:r w:rsidRPr="00536D16">
              <w:rPr>
                <w:rFonts w:ascii="Times New Roman" w:hAnsi="Times New Roman"/>
                <w:sz w:val="20"/>
                <w:szCs w:val="20"/>
                <w:lang w:val="en-GB"/>
              </w:rPr>
              <w:t>Linear equation</w:t>
            </w:r>
          </w:p>
        </w:tc>
        <w:tc>
          <w:tcPr>
            <w:tcW w:w="0" w:type="auto"/>
            <w:vAlign w:val="center"/>
          </w:tcPr>
          <w:p w14:paraId="2513D14C" w14:textId="1E62E28E" w:rsidR="00536D16" w:rsidRPr="00536D16" w:rsidRDefault="00536D16" w:rsidP="00536D16">
            <w:pPr>
              <w:spacing w:after="0" w:line="240" w:lineRule="auto"/>
              <w:rPr>
                <w:rFonts w:ascii="Times New Roman" w:hAnsi="Times New Roman"/>
                <w:sz w:val="20"/>
                <w:szCs w:val="20"/>
                <w:lang w:val="en-GB"/>
              </w:rPr>
            </w:pPr>
            <w:r w:rsidRPr="00536D16">
              <w:rPr>
                <w:rFonts w:ascii="Times New Roman" w:hAnsi="Times New Roman"/>
                <w:sz w:val="20"/>
                <w:szCs w:val="20"/>
                <w:lang w:val="en-GB"/>
              </w:rPr>
              <w:t>y = 0.3028x + 0.2394</w:t>
            </w:r>
          </w:p>
        </w:tc>
      </w:tr>
      <w:tr w:rsidR="00536D16" w:rsidRPr="00536D16" w14:paraId="7E01B380" w14:textId="77777777" w:rsidTr="00536D16">
        <w:trPr>
          <w:trHeight w:val="283"/>
          <w:jc w:val="center"/>
        </w:trPr>
        <w:tc>
          <w:tcPr>
            <w:tcW w:w="2977" w:type="dxa"/>
            <w:vMerge/>
            <w:vAlign w:val="center"/>
          </w:tcPr>
          <w:p w14:paraId="3324F105" w14:textId="77777777" w:rsidR="00536D16" w:rsidRPr="00536D16" w:rsidRDefault="00536D16" w:rsidP="00536D16">
            <w:pPr>
              <w:spacing w:after="0" w:line="240" w:lineRule="auto"/>
              <w:rPr>
                <w:rFonts w:ascii="Times New Roman" w:hAnsi="Times New Roman"/>
                <w:sz w:val="20"/>
                <w:szCs w:val="20"/>
                <w:lang w:val="en-GB"/>
              </w:rPr>
            </w:pPr>
          </w:p>
        </w:tc>
        <w:tc>
          <w:tcPr>
            <w:tcW w:w="2256" w:type="dxa"/>
            <w:vAlign w:val="center"/>
          </w:tcPr>
          <w:p w14:paraId="2B3F119A" w14:textId="77777777" w:rsidR="00536D16" w:rsidRPr="00536D16" w:rsidRDefault="00536D16" w:rsidP="00536D16">
            <w:pPr>
              <w:spacing w:after="0" w:line="240" w:lineRule="auto"/>
              <w:rPr>
                <w:rFonts w:ascii="Times New Roman" w:hAnsi="Times New Roman"/>
                <w:sz w:val="20"/>
                <w:szCs w:val="20"/>
                <w:lang w:val="en-GB"/>
              </w:rPr>
            </w:pPr>
            <w:r w:rsidRPr="00536D16">
              <w:rPr>
                <w:rFonts w:ascii="Times New Roman" w:hAnsi="Times New Roman"/>
                <w:sz w:val="20"/>
                <w:szCs w:val="20"/>
                <w:lang w:val="en-GB"/>
              </w:rPr>
              <w:t>R</w:t>
            </w:r>
            <w:r w:rsidRPr="00536D16">
              <w:rPr>
                <w:rFonts w:ascii="Times New Roman" w:hAnsi="Times New Roman"/>
                <w:sz w:val="20"/>
                <w:szCs w:val="20"/>
                <w:vertAlign w:val="superscript"/>
                <w:lang w:val="en-GB"/>
              </w:rPr>
              <w:t>2</w:t>
            </w:r>
          </w:p>
        </w:tc>
        <w:tc>
          <w:tcPr>
            <w:tcW w:w="0" w:type="auto"/>
            <w:vAlign w:val="center"/>
          </w:tcPr>
          <w:p w14:paraId="2D93110C" w14:textId="77777777" w:rsidR="00536D16" w:rsidRPr="00536D16" w:rsidRDefault="00536D16" w:rsidP="00536D16">
            <w:pPr>
              <w:spacing w:after="0" w:line="240" w:lineRule="auto"/>
              <w:rPr>
                <w:rFonts w:ascii="Times New Roman" w:hAnsi="Times New Roman"/>
                <w:sz w:val="20"/>
                <w:szCs w:val="20"/>
                <w:lang w:val="en-GB"/>
              </w:rPr>
            </w:pPr>
            <w:r w:rsidRPr="00536D16">
              <w:rPr>
                <w:rFonts w:ascii="Times New Roman" w:hAnsi="Times New Roman"/>
                <w:sz w:val="20"/>
                <w:szCs w:val="20"/>
                <w:lang w:val="en-GB"/>
              </w:rPr>
              <w:t>0.9901</w:t>
            </w:r>
          </w:p>
        </w:tc>
      </w:tr>
      <w:tr w:rsidR="00536D16" w:rsidRPr="00536D16" w14:paraId="7E2DCD49" w14:textId="77777777" w:rsidTr="00536D16">
        <w:trPr>
          <w:trHeight w:val="283"/>
          <w:jc w:val="center"/>
        </w:trPr>
        <w:tc>
          <w:tcPr>
            <w:tcW w:w="2977" w:type="dxa"/>
            <w:vMerge/>
            <w:vAlign w:val="center"/>
          </w:tcPr>
          <w:p w14:paraId="225033E8" w14:textId="77777777" w:rsidR="00536D16" w:rsidRPr="00536D16" w:rsidRDefault="00536D16" w:rsidP="00536D16">
            <w:pPr>
              <w:spacing w:after="0" w:line="240" w:lineRule="auto"/>
              <w:rPr>
                <w:rFonts w:ascii="Times New Roman" w:hAnsi="Times New Roman"/>
                <w:sz w:val="20"/>
                <w:szCs w:val="20"/>
                <w:lang w:val="en-GB"/>
              </w:rPr>
            </w:pPr>
          </w:p>
        </w:tc>
        <w:tc>
          <w:tcPr>
            <w:tcW w:w="2256" w:type="dxa"/>
            <w:vAlign w:val="center"/>
          </w:tcPr>
          <w:p w14:paraId="79E40F3D" w14:textId="77777777" w:rsidR="00536D16" w:rsidRPr="00536D16" w:rsidRDefault="00536D16" w:rsidP="00536D16">
            <w:pPr>
              <w:spacing w:after="0" w:line="240" w:lineRule="auto"/>
              <w:rPr>
                <w:rFonts w:ascii="Times New Roman" w:hAnsi="Times New Roman"/>
                <w:sz w:val="20"/>
                <w:szCs w:val="20"/>
                <w:lang w:val="en-GB"/>
              </w:rPr>
            </w:pPr>
            <w:proofErr w:type="spellStart"/>
            <w:r w:rsidRPr="00536D16">
              <w:rPr>
                <w:rFonts w:ascii="Times New Roman" w:hAnsi="Times New Roman"/>
                <w:sz w:val="20"/>
                <w:szCs w:val="20"/>
                <w:lang w:val="en-GB"/>
              </w:rPr>
              <w:t>qecal</w:t>
            </w:r>
            <w:proofErr w:type="spellEnd"/>
            <w:r w:rsidRPr="00536D16">
              <w:rPr>
                <w:rFonts w:ascii="Times New Roman" w:hAnsi="Times New Roman"/>
                <w:sz w:val="20"/>
                <w:szCs w:val="20"/>
                <w:lang w:val="en-GB"/>
              </w:rPr>
              <w:t xml:space="preserve"> (mg/g)</w:t>
            </w:r>
          </w:p>
        </w:tc>
        <w:tc>
          <w:tcPr>
            <w:tcW w:w="0" w:type="auto"/>
            <w:vAlign w:val="center"/>
          </w:tcPr>
          <w:p w14:paraId="3D298DB2" w14:textId="20EE967B" w:rsidR="00536D16" w:rsidRPr="00536D16" w:rsidRDefault="00536D16" w:rsidP="00536D16">
            <w:pPr>
              <w:spacing w:after="0" w:line="240" w:lineRule="auto"/>
              <w:rPr>
                <w:rFonts w:ascii="Times New Roman" w:hAnsi="Times New Roman"/>
                <w:sz w:val="20"/>
                <w:szCs w:val="20"/>
                <w:lang w:val="en-GB"/>
              </w:rPr>
            </w:pPr>
            <w:r w:rsidRPr="00536D16">
              <w:rPr>
                <w:rFonts w:ascii="Times New Roman" w:hAnsi="Times New Roman"/>
                <w:sz w:val="20"/>
                <w:szCs w:val="20"/>
                <w:lang w:val="en-GB"/>
              </w:rPr>
              <w:t>3.23</w:t>
            </w:r>
          </w:p>
        </w:tc>
      </w:tr>
      <w:tr w:rsidR="00536D16" w:rsidRPr="00536D16" w14:paraId="74822DB0" w14:textId="77777777" w:rsidTr="00536D16">
        <w:trPr>
          <w:trHeight w:val="283"/>
          <w:jc w:val="center"/>
        </w:trPr>
        <w:tc>
          <w:tcPr>
            <w:tcW w:w="2977" w:type="dxa"/>
            <w:vMerge/>
            <w:vAlign w:val="center"/>
          </w:tcPr>
          <w:p w14:paraId="3E2971BD" w14:textId="77777777" w:rsidR="00536D16" w:rsidRPr="00536D16" w:rsidRDefault="00536D16" w:rsidP="00536D16">
            <w:pPr>
              <w:spacing w:after="0" w:line="240" w:lineRule="auto"/>
              <w:rPr>
                <w:rFonts w:ascii="Times New Roman" w:hAnsi="Times New Roman"/>
                <w:sz w:val="20"/>
                <w:szCs w:val="20"/>
                <w:lang w:val="en-GB"/>
              </w:rPr>
            </w:pPr>
          </w:p>
        </w:tc>
        <w:tc>
          <w:tcPr>
            <w:tcW w:w="2256" w:type="dxa"/>
            <w:vAlign w:val="center"/>
          </w:tcPr>
          <w:p w14:paraId="56FD4231" w14:textId="77777777" w:rsidR="00536D16" w:rsidRPr="00536D16" w:rsidRDefault="00536D16" w:rsidP="00536D16">
            <w:pPr>
              <w:spacing w:after="0" w:line="240" w:lineRule="auto"/>
              <w:rPr>
                <w:rFonts w:ascii="Times New Roman" w:hAnsi="Times New Roman"/>
                <w:sz w:val="20"/>
                <w:szCs w:val="20"/>
                <w:lang w:val="en-GB"/>
              </w:rPr>
            </w:pPr>
            <w:r w:rsidRPr="00536D16">
              <w:rPr>
                <w:rFonts w:ascii="Times New Roman" w:hAnsi="Times New Roman"/>
                <w:sz w:val="20"/>
                <w:szCs w:val="20"/>
                <w:lang w:val="en-GB"/>
              </w:rPr>
              <w:t>k₂ (g mg⁻¹ min⁻¹)</w:t>
            </w:r>
          </w:p>
        </w:tc>
        <w:tc>
          <w:tcPr>
            <w:tcW w:w="0" w:type="auto"/>
            <w:vAlign w:val="center"/>
          </w:tcPr>
          <w:p w14:paraId="4CE1262B" w14:textId="39BAE132" w:rsidR="00536D16" w:rsidRPr="00536D16" w:rsidRDefault="00536D16" w:rsidP="00536D16">
            <w:pPr>
              <w:spacing w:after="0" w:line="240" w:lineRule="auto"/>
              <w:rPr>
                <w:rFonts w:ascii="Times New Roman" w:hAnsi="Times New Roman"/>
                <w:sz w:val="20"/>
                <w:szCs w:val="20"/>
                <w:lang w:val="en-GB"/>
              </w:rPr>
            </w:pPr>
            <w:r w:rsidRPr="00536D16">
              <w:rPr>
                <w:rFonts w:ascii="Times New Roman" w:hAnsi="Times New Roman"/>
                <w:sz w:val="20"/>
                <w:szCs w:val="20"/>
                <w:lang w:val="en-GB"/>
              </w:rPr>
              <w:t>0.152</w:t>
            </w:r>
          </w:p>
        </w:tc>
      </w:tr>
    </w:tbl>
    <w:p w14:paraId="4DA3A077" w14:textId="77777777" w:rsidR="006156E4" w:rsidRPr="00536D16" w:rsidRDefault="006156E4" w:rsidP="00EB7368">
      <w:pPr>
        <w:spacing w:after="0" w:line="240" w:lineRule="auto"/>
        <w:jc w:val="both"/>
        <w:rPr>
          <w:rFonts w:ascii="Times New Roman" w:hAnsi="Times New Roman"/>
          <w:lang w:val="en-GB"/>
        </w:rPr>
      </w:pPr>
    </w:p>
    <w:p w14:paraId="79B26EAB" w14:textId="1D10E306" w:rsidR="00F178DF" w:rsidRPr="00536D16" w:rsidRDefault="006156E4" w:rsidP="00311173">
      <w:pPr>
        <w:pStyle w:val="Rn2"/>
        <w:rPr>
          <w:lang w:val="en-GB"/>
        </w:rPr>
      </w:pPr>
      <w:r w:rsidRPr="00536D16">
        <w:rPr>
          <w:lang w:val="en-GB"/>
        </w:rPr>
        <w:t>3.</w:t>
      </w:r>
      <w:r w:rsidR="00257035">
        <w:rPr>
          <w:lang w:val="en-GB"/>
        </w:rPr>
        <w:t>5</w:t>
      </w:r>
      <w:r w:rsidR="00311173" w:rsidRPr="00536D16">
        <w:rPr>
          <w:lang w:val="en-GB"/>
        </w:rPr>
        <w:t>.</w:t>
      </w:r>
      <w:r w:rsidRPr="00536D16">
        <w:rPr>
          <w:lang w:val="en-GB"/>
        </w:rPr>
        <w:t xml:space="preserve"> </w:t>
      </w:r>
      <w:r w:rsidR="00B2118D" w:rsidRPr="00536D16">
        <w:rPr>
          <w:lang w:val="en-GB"/>
        </w:rPr>
        <w:t>Adsorption Isotherms</w:t>
      </w:r>
    </w:p>
    <w:p w14:paraId="7E2CF0B1" w14:textId="01EEA23F" w:rsidR="00B2118D" w:rsidRDefault="00B2118D" w:rsidP="00EB7368">
      <w:pPr>
        <w:spacing w:after="0" w:line="240" w:lineRule="auto"/>
        <w:ind w:firstLine="284"/>
        <w:jc w:val="both"/>
        <w:rPr>
          <w:rFonts w:ascii="Times New Roman" w:hAnsi="Times New Roman"/>
          <w:lang w:val="en-GB"/>
        </w:rPr>
      </w:pPr>
      <w:r w:rsidRPr="00536D16">
        <w:rPr>
          <w:rFonts w:ascii="Times New Roman" w:hAnsi="Times New Roman"/>
          <w:lang w:val="en-GB"/>
        </w:rPr>
        <w:t xml:space="preserve">The equilibrium adsorption </w:t>
      </w:r>
      <w:proofErr w:type="spellStart"/>
      <w:r w:rsidRPr="00536D16">
        <w:rPr>
          <w:rFonts w:ascii="Times New Roman" w:hAnsi="Times New Roman"/>
          <w:lang w:val="en-GB"/>
        </w:rPr>
        <w:t>behavior</w:t>
      </w:r>
      <w:proofErr w:type="spellEnd"/>
      <w:r w:rsidRPr="00536D16">
        <w:rPr>
          <w:rFonts w:ascii="Times New Roman" w:hAnsi="Times New Roman"/>
          <w:lang w:val="en-GB"/>
        </w:rPr>
        <w:t xml:space="preserve"> of malachite green (MG) onto goat bone </w:t>
      </w:r>
      <w:proofErr w:type="spellStart"/>
      <w:r w:rsidRPr="00536D16">
        <w:rPr>
          <w:rFonts w:ascii="Times New Roman" w:hAnsi="Times New Roman"/>
          <w:lang w:val="en-GB"/>
        </w:rPr>
        <w:t>hydrochar</w:t>
      </w:r>
      <w:proofErr w:type="spellEnd"/>
      <w:r w:rsidRPr="00536D16">
        <w:rPr>
          <w:rFonts w:ascii="Times New Roman" w:hAnsi="Times New Roman"/>
          <w:lang w:val="en-GB"/>
        </w:rPr>
        <w:t xml:space="preserve"> powder (GBHP) was investigated using the Langmuir, Freundlich, and Temkin isotherm models</w:t>
      </w:r>
      <w:r w:rsidR="00D27817" w:rsidRPr="00536D16">
        <w:rPr>
          <w:rFonts w:ascii="Times New Roman" w:hAnsi="Times New Roman"/>
          <w:lang w:val="en-GB"/>
        </w:rPr>
        <w:t xml:space="preserve">, </w:t>
      </w:r>
      <w:r w:rsidRPr="00536D16">
        <w:rPr>
          <w:rFonts w:ascii="Times New Roman" w:hAnsi="Times New Roman"/>
          <w:lang w:val="en-GB"/>
        </w:rPr>
        <w:t>are presented in Table 1</w:t>
      </w:r>
      <w:r w:rsidR="000D3625">
        <w:rPr>
          <w:rFonts w:ascii="Times New Roman" w:hAnsi="Times New Roman"/>
          <w:lang w:val="en-GB"/>
        </w:rPr>
        <w:t>. At</w:t>
      </w:r>
      <w:r w:rsidR="0009179F">
        <w:rPr>
          <w:rFonts w:ascii="Times New Roman" w:hAnsi="Times New Roman"/>
          <w:lang w:val="en-GB"/>
        </w:rPr>
        <w:t> </w:t>
      </w:r>
      <w:r w:rsidR="000D3625">
        <w:rPr>
          <w:rFonts w:ascii="Times New Roman" w:hAnsi="Times New Roman"/>
          <w:lang w:val="en-GB"/>
        </w:rPr>
        <w:t>the same time,</w:t>
      </w:r>
      <w:r w:rsidRPr="00536D16">
        <w:rPr>
          <w:rFonts w:ascii="Times New Roman" w:hAnsi="Times New Roman"/>
          <w:lang w:val="en-GB"/>
        </w:rPr>
        <w:t xml:space="preserve"> the corresponding fitting plots are illustrated in Figure</w:t>
      </w:r>
      <w:r w:rsidR="001B4A3A" w:rsidRPr="00536D16">
        <w:rPr>
          <w:rFonts w:ascii="Times New Roman" w:hAnsi="Times New Roman"/>
          <w:lang w:val="en-GB"/>
        </w:rPr>
        <w:t>s</w:t>
      </w:r>
      <w:r w:rsidRPr="00536D16">
        <w:rPr>
          <w:rFonts w:ascii="Times New Roman" w:hAnsi="Times New Roman"/>
          <w:lang w:val="en-GB"/>
        </w:rPr>
        <w:t xml:space="preserve"> 5(a–d). Isotherm analysis provides valuable information </w:t>
      </w:r>
      <w:r w:rsidR="000D3625">
        <w:rPr>
          <w:rFonts w:ascii="Times New Roman" w:hAnsi="Times New Roman"/>
          <w:lang w:val="en-GB"/>
        </w:rPr>
        <w:t>on the adsorption mechanism, surface heterogeneity, adsorption capacity, and adsorbate–adsorbent interactions at equilibrium</w:t>
      </w:r>
      <w:r w:rsidRPr="00536D16">
        <w:rPr>
          <w:rFonts w:ascii="Times New Roman" w:hAnsi="Times New Roman"/>
          <w:lang w:val="en-GB"/>
        </w:rPr>
        <w:t xml:space="preserve">. The linear Langmuir plot </w:t>
      </w:r>
      <w:r w:rsidR="000D3625">
        <w:rPr>
          <w:rFonts w:ascii="Times New Roman" w:hAnsi="Times New Roman"/>
          <w:lang w:val="en-GB"/>
        </w:rPr>
        <w:t xml:space="preserve">in </w:t>
      </w:r>
      <w:r w:rsidRPr="00536D16">
        <w:rPr>
          <w:rFonts w:ascii="Times New Roman" w:hAnsi="Times New Roman"/>
          <w:lang w:val="en-GB"/>
        </w:rPr>
        <w:t>Figure 5(a)</w:t>
      </w:r>
      <w:r w:rsidR="001B4A3A" w:rsidRPr="00536D16">
        <w:rPr>
          <w:rFonts w:ascii="Times New Roman" w:hAnsi="Times New Roman"/>
          <w:lang w:val="en-GB"/>
        </w:rPr>
        <w:t>,</w:t>
      </w:r>
      <w:r w:rsidRPr="00536D16">
        <w:rPr>
          <w:rFonts w:ascii="Times New Roman" w:hAnsi="Times New Roman"/>
          <w:lang w:val="en-GB"/>
        </w:rPr>
        <w:t xml:space="preserve"> exhibited an excellent correlation coefficient (R</w:t>
      </w:r>
      <w:r w:rsidR="001B4A3A" w:rsidRPr="00536D16">
        <w:rPr>
          <w:rFonts w:ascii="Times New Roman" w:hAnsi="Times New Roman"/>
          <w:vertAlign w:val="superscript"/>
          <w:lang w:val="en-GB"/>
        </w:rPr>
        <w:t>2</w:t>
      </w:r>
      <w:r w:rsidRPr="00536D16">
        <w:rPr>
          <w:rFonts w:ascii="Times New Roman" w:hAnsi="Times New Roman"/>
          <w:lang w:val="en-GB"/>
        </w:rPr>
        <w:t xml:space="preserve"> = 0.9504) with the regression equation 1/qₑ = 4.7232(1/Cₑ) + 6.8197, indicating that the adsorption of MG is reasonably described by monolayer adsorption on energetically equivalent adsorption sites. The satisfactory fitting suggests that each adsorption site accommodates one dye molecule without significant interaction between adjacent adsorbed species. The </w:t>
      </w:r>
      <w:r w:rsidR="00D27817" w:rsidRPr="00536D16">
        <w:rPr>
          <w:rFonts w:ascii="Times New Roman" w:hAnsi="Times New Roman"/>
          <w:lang w:val="en-GB"/>
        </w:rPr>
        <w:t>best</w:t>
      </w:r>
      <w:r w:rsidR="000D3625">
        <w:rPr>
          <w:rFonts w:ascii="Times New Roman" w:hAnsi="Times New Roman"/>
          <w:lang w:val="en-GB"/>
        </w:rPr>
        <w:t>-fit Langmuir model further confirms that the oxygen-containing functional groups and defect sites identified by</w:t>
      </w:r>
      <w:r w:rsidRPr="00536D16">
        <w:rPr>
          <w:rFonts w:ascii="Times New Roman" w:hAnsi="Times New Roman"/>
          <w:lang w:val="en-GB"/>
        </w:rPr>
        <w:t xml:space="preserve"> FTIR, Raman, and XPS analyses serve as the primary adsorption </w:t>
      </w:r>
      <w:proofErr w:type="spellStart"/>
      <w:r w:rsidRPr="00536D16">
        <w:rPr>
          <w:rFonts w:ascii="Times New Roman" w:hAnsi="Times New Roman"/>
          <w:lang w:val="en-GB"/>
        </w:rPr>
        <w:t>centers</w:t>
      </w:r>
      <w:proofErr w:type="spellEnd"/>
      <w:r w:rsidRPr="00536D16">
        <w:rPr>
          <w:rFonts w:ascii="Times New Roman" w:hAnsi="Times New Roman"/>
          <w:lang w:val="en-GB"/>
        </w:rPr>
        <w:t xml:space="preserve"> responsible for MG uptake.</w:t>
      </w:r>
    </w:p>
    <w:p w14:paraId="05490F48" w14:textId="77777777" w:rsidR="000D3625" w:rsidRDefault="000D3625" w:rsidP="00EB7368">
      <w:pPr>
        <w:spacing w:after="0" w:line="240" w:lineRule="auto"/>
        <w:ind w:firstLine="284"/>
        <w:jc w:val="both"/>
        <w:rPr>
          <w:rFonts w:ascii="Times New Roman" w:hAnsi="Times New Roman"/>
          <w:lang w:val="en-GB"/>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1"/>
        <w:gridCol w:w="4687"/>
      </w:tblGrid>
      <w:tr w:rsidR="000D3625" w14:paraId="109B7321" w14:textId="77777777" w:rsidTr="000D3625">
        <w:tc>
          <w:tcPr>
            <w:tcW w:w="4814" w:type="dxa"/>
          </w:tcPr>
          <w:p w14:paraId="3470837B" w14:textId="6966198E" w:rsidR="000D3625" w:rsidRDefault="000D3625" w:rsidP="00EB7368">
            <w:pPr>
              <w:spacing w:after="0" w:line="240" w:lineRule="auto"/>
              <w:jc w:val="both"/>
              <w:rPr>
                <w:rFonts w:ascii="Times New Roman" w:hAnsi="Times New Roman"/>
                <w:lang w:val="en-GB"/>
              </w:rPr>
            </w:pPr>
            <w:r w:rsidRPr="000D3625">
              <w:rPr>
                <w:rFonts w:ascii="Times New Roman" w:hAnsi="Times New Roman"/>
                <w:noProof/>
                <w:lang w:val="en-GB"/>
              </w:rPr>
              <w:lastRenderedPageBreak/>
              <mc:AlternateContent>
                <mc:Choice Requires="wps">
                  <w:drawing>
                    <wp:anchor distT="45720" distB="45720" distL="114300" distR="114300" simplePos="0" relativeHeight="251735552" behindDoc="0" locked="0" layoutInCell="1" allowOverlap="1" wp14:anchorId="0CEF5E24" wp14:editId="6AEE3B7F">
                      <wp:simplePos x="0" y="0"/>
                      <wp:positionH relativeFrom="column">
                        <wp:posOffset>2242583</wp:posOffset>
                      </wp:positionH>
                      <wp:positionV relativeFrom="paragraph">
                        <wp:posOffset>1438924</wp:posOffset>
                      </wp:positionV>
                      <wp:extent cx="311150" cy="1404620"/>
                      <wp:effectExtent l="0" t="0" r="12700" b="5715"/>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 cy="1404620"/>
                              </a:xfrm>
                              <a:prstGeom prst="rect">
                                <a:avLst/>
                              </a:prstGeom>
                              <a:noFill/>
                              <a:ln w="9525">
                                <a:noFill/>
                                <a:miter lim="800000"/>
                                <a:headEnd/>
                                <a:tailEnd/>
                              </a:ln>
                            </wps:spPr>
                            <wps:txbx>
                              <w:txbxContent>
                                <w:p w14:paraId="7BEAEE64" w14:textId="18196046" w:rsidR="000D3625" w:rsidRDefault="000D3625">
                                  <w:r w:rsidRPr="000D3625">
                                    <w:rPr>
                                      <w:rFonts w:ascii="Times New Roman" w:hAnsi="Times New Roman"/>
                                      <w:b/>
                                      <w:bCs/>
                                      <w:lang w:val="en-GB"/>
                                    </w:rPr>
                                    <w:t>(</w:t>
                                  </w:r>
                                  <w:r>
                                    <w:rPr>
                                      <w:rFonts w:ascii="Times New Roman" w:hAnsi="Times New Roman"/>
                                      <w:b/>
                                      <w:bCs/>
                                      <w:lang w:val="en-GB"/>
                                    </w:rPr>
                                    <w:t>a</w:t>
                                  </w:r>
                                  <w:r w:rsidRPr="000D3625">
                                    <w:rPr>
                                      <w:rFonts w:ascii="Times New Roman" w:hAnsi="Times New Roman"/>
                                      <w:b/>
                                      <w:bCs/>
                                      <w:lang w:val="en-GB"/>
                                    </w:rPr>
                                    <w:t>)</w:t>
                                  </w:r>
                                </w:p>
                              </w:txbxContent>
                            </wps:txbx>
                            <wps:bodyPr rot="0" vert="horz" wrap="square" lIns="0" tIns="45720" rIns="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EF5E24" id="_x0000_s1032" type="#_x0000_t202" style="position:absolute;left:0;text-align:left;margin-left:176.6pt;margin-top:113.3pt;width:24.5pt;height:110.6pt;z-index:251735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Ban+QEAAMwDAAAOAAAAZHJzL2Uyb0RvYy54bWysU9uO2yAQfa/Uf0C8N7bTJN1aIavtblNV&#10;2l6kbT+AYByjAkOBxE6/vgN2slH7VtUPaGA8hzlnDuvbwWhylD4osIxWs5ISaQU0yu4Z/f5t++qG&#10;khC5bbgGKxk9yUBvNy9frHtXyzl0oBvpCYLYUPeO0S5GVxdFEJ00PMzASYvJFrzhEbd+XzSe94hu&#10;dDEvy1XRg2+cByFDwNOHMUk3Gb9tpYhf2jbISDSj2FvMq8/rLq3FZs3rveeuU2Jqg/9DF4Yri5de&#10;oB545OTg1V9QRgkPAdo4E2AKaFslZOaAbKryDzZPHXcyc0FxgrvIFP4frPh8fHJfPYnDOxhwgJlE&#10;cI8gfgRi4b7jdi/vvIe+k7zBi6skWdG7UE+lSepQhwSy6z9Bg0PmhwgZaGi9SaogT4LoOIDTRXQ5&#10;RCLw8HVVVUvMCExVi3KxmuepFLw+Vzsf4gcJhqSAUY9Dzej8+Bhi6obX51/SZRa2Sus8WG1Jz+jb&#10;5XyZC64yRkX0nVaG0ZsyfaMTEsn3tsnFkSs9xniBthPrRHSkHIfdQFTD6CrVJhF20JxQBg+jzfBZ&#10;YNCB/0VJjxZjNPw8cC8p0R8tSpn8mIPF8g2SJv58urs+5VYgBKORkjG8j9m/iWpwdyj1VmUVnjuY&#10;WkXLZHEmeydPXu/zX8+PcPMbAAD//wMAUEsDBBQABgAIAAAAIQD4uUH73QAAAAsBAAAPAAAAZHJz&#10;L2Rvd25yZXYueG1sTI9NT4QwEIbvJv6HZky8ucWCuEHKxhiNXt1143WgFYh0SmiXhX/veNLbfDx5&#10;55lyt7hBzHYKvScNt5sEhKXGm55aDR+Hl5stiBCRDA6erIbVBthVlxclFsaf6d3O+9gKDqFQoIYu&#10;xrGQMjSddRg2frTEuy8/OYzcTq00E5453A1SJUkuHfbEFzoc7VNnm+/9yWlwh+zt+Lp+pkuOx1o+&#10;x34086r19dXy+AAi2iX+wfCrz+pQsVPtT2SCGDSkd6liVINSeQ6CiSxRPKm5yO63IKtS/v+h+gEA&#10;AP//AwBQSwECLQAUAAYACAAAACEAtoM4kv4AAADhAQAAEwAAAAAAAAAAAAAAAAAAAAAAW0NvbnRl&#10;bnRfVHlwZXNdLnhtbFBLAQItABQABgAIAAAAIQA4/SH/1gAAAJQBAAALAAAAAAAAAAAAAAAAAC8B&#10;AABfcmVscy8ucmVsc1BLAQItABQABgAIAAAAIQAUEBan+QEAAMwDAAAOAAAAAAAAAAAAAAAAAC4C&#10;AABkcnMvZTJvRG9jLnhtbFBLAQItABQABgAIAAAAIQD4uUH73QAAAAsBAAAPAAAAAAAAAAAAAAAA&#10;AFMEAABkcnMvZG93bnJldi54bWxQSwUGAAAAAAQABADzAAAAXQUAAAAA&#10;" filled="f" stroked="f">
                      <v:textbox style="mso-fit-shape-to-text:t" inset="0,,0">
                        <w:txbxContent>
                          <w:p w14:paraId="7BEAEE64" w14:textId="18196046" w:rsidR="000D3625" w:rsidRDefault="000D3625">
                            <w:r w:rsidRPr="000D3625">
                              <w:rPr>
                                <w:rFonts w:ascii="Times New Roman" w:hAnsi="Times New Roman"/>
                                <w:b/>
                                <w:bCs/>
                                <w:lang w:val="en-GB"/>
                              </w:rPr>
                              <w:t>(</w:t>
                            </w:r>
                            <w:r>
                              <w:rPr>
                                <w:rFonts w:ascii="Times New Roman" w:hAnsi="Times New Roman"/>
                                <w:b/>
                                <w:bCs/>
                                <w:lang w:val="en-GB"/>
                              </w:rPr>
                              <w:t>a</w:t>
                            </w:r>
                            <w:r w:rsidRPr="000D3625">
                              <w:rPr>
                                <w:rFonts w:ascii="Times New Roman" w:hAnsi="Times New Roman"/>
                                <w:b/>
                                <w:bCs/>
                                <w:lang w:val="en-GB"/>
                              </w:rPr>
                              <w:t>)</w:t>
                            </w:r>
                          </w:p>
                        </w:txbxContent>
                      </v:textbox>
                    </v:shape>
                  </w:pict>
                </mc:Fallback>
              </mc:AlternateContent>
            </w:r>
            <w:r w:rsidRPr="00536D16">
              <w:rPr>
                <w:b/>
                <w:bCs/>
                <w:noProof/>
                <w:lang w:val="en-GB"/>
              </w:rPr>
              <w:drawing>
                <wp:inline distT="0" distB="0" distL="0" distR="0" wp14:anchorId="218B887E" wp14:editId="66B2DDD5">
                  <wp:extent cx="3085771" cy="2495550"/>
                  <wp:effectExtent l="0" t="0" r="635" b="0"/>
                  <wp:docPr id="6926638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663828" name=""/>
                          <pic:cNvPicPr/>
                        </pic:nvPicPr>
                        <pic:blipFill>
                          <a:blip r:embed="rId20">
                            <a:extLst>
                              <a:ext uri="{28A0092B-C50C-407E-A947-70E740481C1C}">
                                <a14:useLocalDpi xmlns:a14="http://schemas.microsoft.com/office/drawing/2010/main" val="0"/>
                              </a:ext>
                            </a:extLst>
                          </a:blip>
                          <a:stretch>
                            <a:fillRect/>
                          </a:stretch>
                        </pic:blipFill>
                        <pic:spPr>
                          <a:xfrm>
                            <a:off x="0" y="0"/>
                            <a:ext cx="3085771" cy="2495550"/>
                          </a:xfrm>
                          <a:prstGeom prst="rect">
                            <a:avLst/>
                          </a:prstGeom>
                        </pic:spPr>
                      </pic:pic>
                    </a:graphicData>
                  </a:graphic>
                </wp:inline>
              </w:drawing>
            </w:r>
          </w:p>
        </w:tc>
        <w:tc>
          <w:tcPr>
            <w:tcW w:w="4814" w:type="dxa"/>
          </w:tcPr>
          <w:p w14:paraId="5B70C752" w14:textId="6E2C75F8" w:rsidR="000D3625" w:rsidRDefault="000D3625" w:rsidP="00EB7368">
            <w:pPr>
              <w:spacing w:after="0" w:line="240" w:lineRule="auto"/>
              <w:jc w:val="both"/>
              <w:rPr>
                <w:rFonts w:ascii="Times New Roman" w:hAnsi="Times New Roman"/>
                <w:lang w:val="en-GB"/>
              </w:rPr>
            </w:pPr>
            <w:r w:rsidRPr="000D3625">
              <w:rPr>
                <w:rFonts w:ascii="Times New Roman" w:hAnsi="Times New Roman"/>
                <w:noProof/>
                <w:lang w:val="en-GB"/>
              </w:rPr>
              <mc:AlternateContent>
                <mc:Choice Requires="wps">
                  <w:drawing>
                    <wp:anchor distT="45720" distB="45720" distL="114300" distR="114300" simplePos="0" relativeHeight="251737600" behindDoc="0" locked="0" layoutInCell="1" allowOverlap="1" wp14:anchorId="0484573D" wp14:editId="5569F586">
                      <wp:simplePos x="0" y="0"/>
                      <wp:positionH relativeFrom="column">
                        <wp:posOffset>2093700</wp:posOffset>
                      </wp:positionH>
                      <wp:positionV relativeFrom="paragraph">
                        <wp:posOffset>1434081</wp:posOffset>
                      </wp:positionV>
                      <wp:extent cx="311150" cy="1404620"/>
                      <wp:effectExtent l="0" t="0" r="12700" b="5715"/>
                      <wp:wrapNone/>
                      <wp:docPr id="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 cy="1404620"/>
                              </a:xfrm>
                              <a:prstGeom prst="rect">
                                <a:avLst/>
                              </a:prstGeom>
                              <a:noFill/>
                              <a:ln w="9525">
                                <a:noFill/>
                                <a:miter lim="800000"/>
                                <a:headEnd/>
                                <a:tailEnd/>
                              </a:ln>
                            </wps:spPr>
                            <wps:txbx>
                              <w:txbxContent>
                                <w:p w14:paraId="3F9D8C2C" w14:textId="09D40E2E" w:rsidR="000D3625" w:rsidRDefault="000D3625" w:rsidP="000D3625">
                                  <w:r w:rsidRPr="000D3625">
                                    <w:rPr>
                                      <w:rFonts w:ascii="Times New Roman" w:hAnsi="Times New Roman"/>
                                      <w:b/>
                                      <w:bCs/>
                                      <w:lang w:val="en-GB"/>
                                    </w:rPr>
                                    <w:t>(</w:t>
                                  </w:r>
                                  <w:r>
                                    <w:rPr>
                                      <w:rFonts w:ascii="Times New Roman" w:hAnsi="Times New Roman"/>
                                      <w:b/>
                                      <w:bCs/>
                                      <w:lang w:val="en-GB"/>
                                    </w:rPr>
                                    <w:t>b</w:t>
                                  </w:r>
                                  <w:r w:rsidRPr="000D3625">
                                    <w:rPr>
                                      <w:rFonts w:ascii="Times New Roman" w:hAnsi="Times New Roman"/>
                                      <w:b/>
                                      <w:bCs/>
                                      <w:lang w:val="en-GB"/>
                                    </w:rPr>
                                    <w:t>)</w:t>
                                  </w:r>
                                </w:p>
                              </w:txbxContent>
                            </wps:txbx>
                            <wps:bodyPr rot="0" vert="horz" wrap="square" lIns="0" tIns="45720" rIns="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84573D" id="_x0000_s1033" type="#_x0000_t202" style="position:absolute;left:0;text-align:left;margin-left:164.85pt;margin-top:112.9pt;width:24.5pt;height:110.6pt;z-index:251737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J7B+gEAAMwDAAAOAAAAZHJzL2Uyb0RvYy54bWysU9uO2yAQfa/Uf0C8N7bTZHdrhay2u01V&#10;aXuRtv0AgnGMCgwFEjv9+h2wk43at6p+QAPjOcw5c1jdDkaTg/RBgWW0mpWUSCugUXbH6I/vmzc3&#10;lITIbcM1WMnoUQZ6u379atW7Ws6hA91ITxDEhrp3jHYxurooguik4WEGTlpMtuANj7j1u6LxvEd0&#10;o4t5WV4VPfjGeRAyBDx9GJN0nfHbVor4tW2DjEQzir3FvPq8btNarFe83nnuOiWmNvg/dGG4snjp&#10;GeqBR072Xv0FZZTwEKCNMwGmgLZVQmYOyKYq/2Dz1HEnMxcUJ7izTOH/wYovhyf3zZM4vIcBB5hJ&#10;BPcI4mcgFu47bnfyznvoO8kbvLhKkhW9C/VUmqQOdUgg2/4zNDhkvo+QgYbWm6QK8iSIjgM4nkWX&#10;QyQCD99WVbXEjMBUtSgXV/M8lYLXp2rnQ/wowZAUMOpxqBmdHx5DTN3w+vRLuszCRmmdB6st6Rl9&#10;t5wvc8FFxqiIvtPKMHpTpm90QiL5wTa5OHKlxxgv0HZinYiOlOOwHYhqGL1OtUmELTRHlMHDaDN8&#10;Fhh04H9T0qPFGA2/9txLSvQni1ImP+ZgsbxG0sSfTreXp9wKhGA0UjKG9zH7N1EN7g6l3qiswksH&#10;U6tomSzOZO/kyct9/uvlEa6fAQAA//8DAFBLAwQUAAYACAAAACEAwg4b4d4AAAALAQAADwAAAGRy&#10;cy9kb3ducmV2LnhtbEyPwU6DQBCG7ya+w2ZMvNlFwFKRpTFGY6+2Nl4XdgQiO0vYLYW3d3rS48x8&#10;+ef7i+1sezHh6DtHCu5XEQik2pmOGgWfh7e7DQgfNBndO0IFC3rYltdXhc6NO9MHTvvQCA4hn2sF&#10;bQhDLqWvW7Tar9yAxLdvN1odeBwbaUZ95nDbyziK1tLqjvhDqwd8abH+2Z+sAntId8f35SuZ1/pY&#10;ydfQDWZalLq9mZ+fQAScwx8MF31Wh5KdKnci40WvIIkfM0YVxPEDd2AiyTa8qRSkaRaBLAv5v0P5&#10;CwAA//8DAFBLAQItABQABgAIAAAAIQC2gziS/gAAAOEBAAATAAAAAAAAAAAAAAAAAAAAAABbQ29u&#10;dGVudF9UeXBlc10ueG1sUEsBAi0AFAAGAAgAAAAhADj9If/WAAAAlAEAAAsAAAAAAAAAAAAAAAAA&#10;LwEAAF9yZWxzLy5yZWxzUEsBAi0AFAAGAAgAAAAhADAsnsH6AQAAzAMAAA4AAAAAAAAAAAAAAAAA&#10;LgIAAGRycy9lMm9Eb2MueG1sUEsBAi0AFAAGAAgAAAAhAMIOG+HeAAAACwEAAA8AAAAAAAAAAAAA&#10;AAAAVAQAAGRycy9kb3ducmV2LnhtbFBLBQYAAAAABAAEAPMAAABfBQAAAAA=&#10;" filled="f" stroked="f">
                      <v:textbox style="mso-fit-shape-to-text:t" inset="0,,0">
                        <w:txbxContent>
                          <w:p w14:paraId="3F9D8C2C" w14:textId="09D40E2E" w:rsidR="000D3625" w:rsidRDefault="000D3625" w:rsidP="000D3625">
                            <w:r w:rsidRPr="000D3625">
                              <w:rPr>
                                <w:rFonts w:ascii="Times New Roman" w:hAnsi="Times New Roman"/>
                                <w:b/>
                                <w:bCs/>
                                <w:lang w:val="en-GB"/>
                              </w:rPr>
                              <w:t>(</w:t>
                            </w:r>
                            <w:r>
                              <w:rPr>
                                <w:rFonts w:ascii="Times New Roman" w:hAnsi="Times New Roman"/>
                                <w:b/>
                                <w:bCs/>
                                <w:lang w:val="en-GB"/>
                              </w:rPr>
                              <w:t>b</w:t>
                            </w:r>
                            <w:r w:rsidRPr="000D3625">
                              <w:rPr>
                                <w:rFonts w:ascii="Times New Roman" w:hAnsi="Times New Roman"/>
                                <w:b/>
                                <w:bCs/>
                                <w:lang w:val="en-GB"/>
                              </w:rPr>
                              <w:t>)</w:t>
                            </w:r>
                          </w:p>
                        </w:txbxContent>
                      </v:textbox>
                    </v:shape>
                  </w:pict>
                </mc:Fallback>
              </mc:AlternateContent>
            </w:r>
            <w:r w:rsidRPr="00536D16">
              <w:rPr>
                <w:b/>
                <w:bCs/>
                <w:noProof/>
                <w:lang w:val="en-GB"/>
              </w:rPr>
              <w:drawing>
                <wp:inline distT="0" distB="0" distL="0" distR="0" wp14:anchorId="4D77764A" wp14:editId="01644AFC">
                  <wp:extent cx="2907665" cy="2552700"/>
                  <wp:effectExtent l="0" t="0" r="6985" b="0"/>
                  <wp:docPr id="14324052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405264" name=""/>
                          <pic:cNvPicPr/>
                        </pic:nvPicPr>
                        <pic:blipFill>
                          <a:blip r:embed="rId21">
                            <a:extLst>
                              <a:ext uri="{28A0092B-C50C-407E-A947-70E740481C1C}">
                                <a14:useLocalDpi xmlns:a14="http://schemas.microsoft.com/office/drawing/2010/main" val="0"/>
                              </a:ext>
                            </a:extLst>
                          </a:blip>
                          <a:stretch>
                            <a:fillRect/>
                          </a:stretch>
                        </pic:blipFill>
                        <pic:spPr>
                          <a:xfrm>
                            <a:off x="0" y="0"/>
                            <a:ext cx="2907665" cy="2552700"/>
                          </a:xfrm>
                          <a:prstGeom prst="rect">
                            <a:avLst/>
                          </a:prstGeom>
                        </pic:spPr>
                      </pic:pic>
                    </a:graphicData>
                  </a:graphic>
                </wp:inline>
              </w:drawing>
            </w:r>
          </w:p>
        </w:tc>
      </w:tr>
      <w:tr w:rsidR="000D3625" w14:paraId="1839F8EA" w14:textId="77777777" w:rsidTr="000D3625">
        <w:tc>
          <w:tcPr>
            <w:tcW w:w="4814" w:type="dxa"/>
          </w:tcPr>
          <w:p w14:paraId="369C6067" w14:textId="565582A0" w:rsidR="000D3625" w:rsidRDefault="000D3625" w:rsidP="00EB7368">
            <w:pPr>
              <w:spacing w:after="0" w:line="240" w:lineRule="auto"/>
              <w:jc w:val="both"/>
              <w:rPr>
                <w:rFonts w:ascii="Times New Roman" w:hAnsi="Times New Roman"/>
                <w:lang w:val="en-GB"/>
              </w:rPr>
            </w:pPr>
            <w:r w:rsidRPr="000D3625">
              <w:rPr>
                <w:rFonts w:ascii="Times New Roman" w:hAnsi="Times New Roman"/>
                <w:noProof/>
                <w:lang w:val="en-GB"/>
              </w:rPr>
              <mc:AlternateContent>
                <mc:Choice Requires="wps">
                  <w:drawing>
                    <wp:anchor distT="45720" distB="45720" distL="114300" distR="114300" simplePos="0" relativeHeight="251739648" behindDoc="0" locked="0" layoutInCell="1" allowOverlap="1" wp14:anchorId="5389579E" wp14:editId="5915567A">
                      <wp:simplePos x="0" y="0"/>
                      <wp:positionH relativeFrom="column">
                        <wp:posOffset>2314728</wp:posOffset>
                      </wp:positionH>
                      <wp:positionV relativeFrom="paragraph">
                        <wp:posOffset>1557941</wp:posOffset>
                      </wp:positionV>
                      <wp:extent cx="311150" cy="1404620"/>
                      <wp:effectExtent l="0" t="0" r="12700" b="5715"/>
                      <wp:wrapNone/>
                      <wp:docPr id="1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 cy="1404620"/>
                              </a:xfrm>
                              <a:prstGeom prst="rect">
                                <a:avLst/>
                              </a:prstGeom>
                              <a:noFill/>
                              <a:ln w="9525">
                                <a:noFill/>
                                <a:miter lim="800000"/>
                                <a:headEnd/>
                                <a:tailEnd/>
                              </a:ln>
                            </wps:spPr>
                            <wps:txbx>
                              <w:txbxContent>
                                <w:p w14:paraId="3AB6ADBB" w14:textId="0F35D488" w:rsidR="000D3625" w:rsidRDefault="000D3625" w:rsidP="000D3625">
                                  <w:r w:rsidRPr="000D3625">
                                    <w:rPr>
                                      <w:rFonts w:ascii="Times New Roman" w:hAnsi="Times New Roman"/>
                                      <w:b/>
                                      <w:bCs/>
                                      <w:lang w:val="en-GB"/>
                                    </w:rPr>
                                    <w:t>(</w:t>
                                  </w:r>
                                  <w:r>
                                    <w:rPr>
                                      <w:rFonts w:ascii="Times New Roman" w:hAnsi="Times New Roman"/>
                                      <w:b/>
                                      <w:bCs/>
                                      <w:lang w:val="en-GB"/>
                                    </w:rPr>
                                    <w:t>c</w:t>
                                  </w:r>
                                  <w:r w:rsidRPr="000D3625">
                                    <w:rPr>
                                      <w:rFonts w:ascii="Times New Roman" w:hAnsi="Times New Roman"/>
                                      <w:b/>
                                      <w:bCs/>
                                      <w:lang w:val="en-GB"/>
                                    </w:rPr>
                                    <w:t>)</w:t>
                                  </w:r>
                                </w:p>
                              </w:txbxContent>
                            </wps:txbx>
                            <wps:bodyPr rot="0" vert="horz" wrap="square" lIns="0" tIns="45720" rIns="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89579E" id="_x0000_s1034" type="#_x0000_t202" style="position:absolute;left:0;text-align:left;margin-left:182.25pt;margin-top:122.65pt;width:24.5pt;height:110.6pt;z-index:251739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Sp+QEAAMwDAAAOAAAAZHJzL2Uyb0RvYy54bWysU9uO0zAQfUfiHyy/0ySlXZao6WrZpQhp&#10;uUgLH+A6TmNhe8zYbbJ8PWOn7VbwhsiDNfZkjuecOV7djNawg8KgwTW8mpWcKSeh1W7X8O/fNq+u&#10;OQtRuFYYcKrhTyrwm/XLF6vB12oOPZhWISMQF+rBN7yP0ddFEWSvrAgz8MpRsgO0ItIWd0WLYiB0&#10;a4p5WV4VA2DrEaQKgU7vpyRfZ/yuUzJ+6bqgIjMNp95iXjGv27QW65Wodyh8r+WxDfEPXVihHV16&#10;hroXUbA96r+grJYIAbo4k2AL6DotVeZAbKryDzaPvfAqcyFxgj/LFP4frPx8ePRfkcXxHYw0wEwi&#10;+AeQPwJzcNcLt1O3iDD0SrR0cZUkKwYf6mNpkjrUIYFsh0/Q0pDFPkIGGju0SRXiyQidBvB0Fl2N&#10;kUk6fF1V1ZIyklLVolxczfNUClGfqj2G+EGBZSloONJQM7o4PISYuhH16Zd0mYONNiYP1jg2NPzt&#10;cr7MBRcZqyP5zmjb8OsyfZMTEsn3rs3FUWgzxXSBcUfWiehEOY7bkemWAFJtEmEL7RPJgDDZjJ4F&#10;BT3gL84GsljDw8+9QMWZ+ehIyuTHHCyWb4g0w9Pp9vJUOEkQDY+cTeFdzP5NVIO/Jak3Oqvw3MGx&#10;VbJMFudo7+TJy33+6/kRrn8DAAD//wMAUEsDBBQABgAIAAAAIQBVY2ru3QAAAAsBAAAPAAAAZHJz&#10;L2Rvd25yZXYueG1sTI9NT4QwEIbvJv6HZky8uWUXaAxSNsZo9OquG68DHYFIW0K7LPx7x5Pe5uPJ&#10;O8+U+8UOYqYp9N5p2G4SEOQab3rXavg4vtzdgwgRncHBO9KwUoB9dX1VYmH8xb3TfIit4BAXCtTQ&#10;xTgWUoamI4th40dyvPvyk8XI7dRKM+GFw+0gd0mipMXe8YUOR3rqqPk+nK0Ge8zeTq/rZ7ooPNXy&#10;OfajmVetb2+WxwcQkZb4B8OvPqtDxU61PzsTxKAhVVnOqIZdlqcgmMi2KU9qLpTKQVal/P9D9QMA&#10;AP//AwBQSwECLQAUAAYACAAAACEAtoM4kv4AAADhAQAAEwAAAAAAAAAAAAAAAAAAAAAAW0NvbnRl&#10;bnRfVHlwZXNdLnhtbFBLAQItABQABgAIAAAAIQA4/SH/1gAAAJQBAAALAAAAAAAAAAAAAAAAAC8B&#10;AABfcmVscy8ucmVsc1BLAQItABQABgAIAAAAIQAvc/Sp+QEAAMwDAAAOAAAAAAAAAAAAAAAAAC4C&#10;AABkcnMvZTJvRG9jLnhtbFBLAQItABQABgAIAAAAIQBVY2ru3QAAAAsBAAAPAAAAAAAAAAAAAAAA&#10;AFMEAABkcnMvZG93bnJldi54bWxQSwUGAAAAAAQABADzAAAAXQUAAAAA&#10;" filled="f" stroked="f">
                      <v:textbox style="mso-fit-shape-to-text:t" inset="0,,0">
                        <w:txbxContent>
                          <w:p w14:paraId="3AB6ADBB" w14:textId="0F35D488" w:rsidR="000D3625" w:rsidRDefault="000D3625" w:rsidP="000D3625">
                            <w:r w:rsidRPr="000D3625">
                              <w:rPr>
                                <w:rFonts w:ascii="Times New Roman" w:hAnsi="Times New Roman"/>
                                <w:b/>
                                <w:bCs/>
                                <w:lang w:val="en-GB"/>
                              </w:rPr>
                              <w:t>(</w:t>
                            </w:r>
                            <w:r>
                              <w:rPr>
                                <w:rFonts w:ascii="Times New Roman" w:hAnsi="Times New Roman"/>
                                <w:b/>
                                <w:bCs/>
                                <w:lang w:val="en-GB"/>
                              </w:rPr>
                              <w:t>c</w:t>
                            </w:r>
                            <w:r w:rsidRPr="000D3625">
                              <w:rPr>
                                <w:rFonts w:ascii="Times New Roman" w:hAnsi="Times New Roman"/>
                                <w:b/>
                                <w:bCs/>
                                <w:lang w:val="en-GB"/>
                              </w:rPr>
                              <w:t>)</w:t>
                            </w:r>
                          </w:p>
                        </w:txbxContent>
                      </v:textbox>
                    </v:shape>
                  </w:pict>
                </mc:Fallback>
              </mc:AlternateContent>
            </w:r>
            <w:r w:rsidRPr="00536D16">
              <w:rPr>
                <w:b/>
                <w:bCs/>
                <w:noProof/>
                <w:lang w:val="en-GB"/>
              </w:rPr>
              <w:drawing>
                <wp:inline distT="0" distB="0" distL="0" distR="0" wp14:anchorId="29B47FBC" wp14:editId="02124F61">
                  <wp:extent cx="3048000" cy="2566670"/>
                  <wp:effectExtent l="0" t="0" r="0" b="5080"/>
                  <wp:docPr id="16983984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398451" name=""/>
                          <pic:cNvPicPr/>
                        </pic:nvPicPr>
                        <pic:blipFill>
                          <a:blip r:embed="rId22">
                            <a:extLst>
                              <a:ext uri="{28A0092B-C50C-407E-A947-70E740481C1C}">
                                <a14:useLocalDpi xmlns:a14="http://schemas.microsoft.com/office/drawing/2010/main" val="0"/>
                              </a:ext>
                            </a:extLst>
                          </a:blip>
                          <a:stretch>
                            <a:fillRect/>
                          </a:stretch>
                        </pic:blipFill>
                        <pic:spPr>
                          <a:xfrm>
                            <a:off x="0" y="0"/>
                            <a:ext cx="3048000" cy="2566670"/>
                          </a:xfrm>
                          <a:prstGeom prst="rect">
                            <a:avLst/>
                          </a:prstGeom>
                        </pic:spPr>
                      </pic:pic>
                    </a:graphicData>
                  </a:graphic>
                </wp:inline>
              </w:drawing>
            </w:r>
          </w:p>
        </w:tc>
        <w:tc>
          <w:tcPr>
            <w:tcW w:w="4814" w:type="dxa"/>
          </w:tcPr>
          <w:p w14:paraId="282B17BA" w14:textId="2D9E9A12" w:rsidR="000D3625" w:rsidRDefault="000D3625" w:rsidP="00EB7368">
            <w:pPr>
              <w:spacing w:after="0" w:line="240" w:lineRule="auto"/>
              <w:jc w:val="both"/>
              <w:rPr>
                <w:rFonts w:ascii="Times New Roman" w:hAnsi="Times New Roman"/>
                <w:lang w:val="en-GB"/>
              </w:rPr>
            </w:pPr>
            <w:r w:rsidRPr="000D3625">
              <w:rPr>
                <w:rFonts w:ascii="Times New Roman" w:hAnsi="Times New Roman"/>
                <w:noProof/>
                <w:lang w:val="en-GB"/>
              </w:rPr>
              <mc:AlternateContent>
                <mc:Choice Requires="wps">
                  <w:drawing>
                    <wp:anchor distT="45720" distB="45720" distL="114300" distR="114300" simplePos="0" relativeHeight="251741696" behindDoc="0" locked="0" layoutInCell="1" allowOverlap="1" wp14:anchorId="2C3165BF" wp14:editId="0CC56476">
                      <wp:simplePos x="0" y="0"/>
                      <wp:positionH relativeFrom="column">
                        <wp:posOffset>541229</wp:posOffset>
                      </wp:positionH>
                      <wp:positionV relativeFrom="paragraph">
                        <wp:posOffset>1482460</wp:posOffset>
                      </wp:positionV>
                      <wp:extent cx="311150" cy="1404620"/>
                      <wp:effectExtent l="0" t="0" r="12700" b="5715"/>
                      <wp:wrapNone/>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 cy="1404620"/>
                              </a:xfrm>
                              <a:prstGeom prst="rect">
                                <a:avLst/>
                              </a:prstGeom>
                              <a:noFill/>
                              <a:ln w="9525">
                                <a:noFill/>
                                <a:miter lim="800000"/>
                                <a:headEnd/>
                                <a:tailEnd/>
                              </a:ln>
                            </wps:spPr>
                            <wps:txbx>
                              <w:txbxContent>
                                <w:p w14:paraId="5E560D58" w14:textId="3893B78D" w:rsidR="000D3625" w:rsidRDefault="000D3625" w:rsidP="000D3625">
                                  <w:r w:rsidRPr="000D3625">
                                    <w:rPr>
                                      <w:rFonts w:ascii="Times New Roman" w:hAnsi="Times New Roman"/>
                                      <w:b/>
                                      <w:bCs/>
                                      <w:lang w:val="en-GB"/>
                                    </w:rPr>
                                    <w:t>(</w:t>
                                  </w:r>
                                  <w:r>
                                    <w:rPr>
                                      <w:rFonts w:ascii="Times New Roman" w:hAnsi="Times New Roman"/>
                                      <w:b/>
                                      <w:bCs/>
                                      <w:lang w:val="en-GB"/>
                                    </w:rPr>
                                    <w:t>d</w:t>
                                  </w:r>
                                  <w:r w:rsidRPr="000D3625">
                                    <w:rPr>
                                      <w:rFonts w:ascii="Times New Roman" w:hAnsi="Times New Roman"/>
                                      <w:b/>
                                      <w:bCs/>
                                      <w:lang w:val="en-GB"/>
                                    </w:rPr>
                                    <w:t>)</w:t>
                                  </w:r>
                                </w:p>
                              </w:txbxContent>
                            </wps:txbx>
                            <wps:bodyPr rot="0" vert="horz" wrap="square" lIns="0" tIns="45720" rIns="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3165BF" id="_x0000_s1035" type="#_x0000_t202" style="position:absolute;left:0;text-align:left;margin-left:42.6pt;margin-top:116.75pt;width:24.5pt;height:110.6pt;z-index:251741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3zP+QEAAMwDAAAOAAAAZHJzL2Uyb0RvYy54bWysU9uO0zAQfUfiHyy/0ySlXZao6WrZpQhp&#10;uUgLH+A6TmNhe8zYbbJ8PWOn7VbwhsiDNfZkjuecOV7djNawg8KgwTW8mpWcKSeh1W7X8O/fNq+u&#10;OQtRuFYYcKrhTyrwm/XLF6vB12oOPZhWISMQF+rBN7yP0ddFEWSvrAgz8MpRsgO0ItIWd0WLYiB0&#10;a4p5WV4VA2DrEaQKgU7vpyRfZ/yuUzJ+6bqgIjMNp95iXjGv27QW65Wodyh8r+WxDfEPXVihHV16&#10;hroXUbA96r+grJYIAbo4k2AL6DotVeZAbKryDzaPvfAqcyFxgj/LFP4frPx8ePRfkcXxHYw0wEwi&#10;+AeQPwJzcNcLt1O3iDD0SrR0cZUkKwYf6mNpkjrUIYFsh0/Q0pDFPkIGGju0SRXiyQidBvB0Fl2N&#10;kUk6fF1V1ZIyklLVolxczfNUClGfqj2G+EGBZSloONJQM7o4PISYuhH16Zd0mYONNiYP1jg2NPzt&#10;cr7MBRcZqyP5zmjb8OsyfZMTEsn3rs3FUWgzxXSBcUfWiehEOY7bkemW8FNtEmEL7RPJgDDZjJ4F&#10;BT3gL84GsljDw8+9QMWZ+ehIyuTHHCyWb4g0w9Pp9vJUOEkQDY+cTeFdzP5NVIO/Jak3Oqvw3MGx&#10;VbJMFudo7+TJy33+6/kRrn8DAAD//wMAUEsDBBQABgAIAAAAIQCpiUJB3gAAAAoBAAAPAAAAZHJz&#10;L2Rvd25yZXYueG1sTI9NT8MwDIbvSPyHyEjcWEo/xtTVnRACwZWNiavbeG1Fk1RN1rX/nuwER9uP&#10;Xj9vsZt1LyYeXWcNwuMqAsGmtqozDcLX4e1hA8J5Mop6axhhYQe78vamoFzZi/nkae8bEUKMywmh&#10;9X7IpXR1y5rcyg5swu1kR00+jGMj1UiXEK57GUfRWmrqTPjQ0sAvLdc/+7NG0If04/i+fCfzmo6V&#10;fPXdoKYF8f5uft6C8Dz7Pxiu+kEdyuBU2bNRTvQImywOJEKcJBmIK5CkYVMhpFn6BLIs5P8K5S8A&#10;AAD//wMAUEsBAi0AFAAGAAgAAAAhALaDOJL+AAAA4QEAABMAAAAAAAAAAAAAAAAAAAAAAFtDb250&#10;ZW50X1R5cGVzXS54bWxQSwECLQAUAAYACAAAACEAOP0h/9YAAACUAQAACwAAAAAAAAAAAAAAAAAv&#10;AQAAX3JlbHMvLnJlbHNQSwECLQAUAAYACAAAACEAC098z/kBAADMAwAADgAAAAAAAAAAAAAAAAAu&#10;AgAAZHJzL2Uyb0RvYy54bWxQSwECLQAUAAYACAAAACEAqYlCQd4AAAAKAQAADwAAAAAAAAAAAAAA&#10;AABTBAAAZHJzL2Rvd25yZXYueG1sUEsFBgAAAAAEAAQA8wAAAF4FAAAAAA==&#10;" filled="f" stroked="f">
                      <v:textbox style="mso-fit-shape-to-text:t" inset="0,,0">
                        <w:txbxContent>
                          <w:p w14:paraId="5E560D58" w14:textId="3893B78D" w:rsidR="000D3625" w:rsidRDefault="000D3625" w:rsidP="000D3625">
                            <w:r w:rsidRPr="000D3625">
                              <w:rPr>
                                <w:rFonts w:ascii="Times New Roman" w:hAnsi="Times New Roman"/>
                                <w:b/>
                                <w:bCs/>
                                <w:lang w:val="en-GB"/>
                              </w:rPr>
                              <w:t>(</w:t>
                            </w:r>
                            <w:r>
                              <w:rPr>
                                <w:rFonts w:ascii="Times New Roman" w:hAnsi="Times New Roman"/>
                                <w:b/>
                                <w:bCs/>
                                <w:lang w:val="en-GB"/>
                              </w:rPr>
                              <w:t>d</w:t>
                            </w:r>
                            <w:r w:rsidRPr="000D3625">
                              <w:rPr>
                                <w:rFonts w:ascii="Times New Roman" w:hAnsi="Times New Roman"/>
                                <w:b/>
                                <w:bCs/>
                                <w:lang w:val="en-GB"/>
                              </w:rPr>
                              <w:t>)</w:t>
                            </w:r>
                          </w:p>
                        </w:txbxContent>
                      </v:textbox>
                    </v:shape>
                  </w:pict>
                </mc:Fallback>
              </mc:AlternateContent>
            </w:r>
            <w:r w:rsidRPr="00536D16">
              <w:rPr>
                <w:b/>
                <w:bCs/>
                <w:noProof/>
                <w:lang w:val="en-GB"/>
              </w:rPr>
              <w:drawing>
                <wp:inline distT="0" distB="0" distL="0" distR="0" wp14:anchorId="25648AEB" wp14:editId="71FD4F1D">
                  <wp:extent cx="2838450" cy="2501900"/>
                  <wp:effectExtent l="0" t="0" r="0" b="0"/>
                  <wp:docPr id="232186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186245" name=""/>
                          <pic:cNvPicPr/>
                        </pic:nvPicPr>
                        <pic:blipFill>
                          <a:blip r:embed="rId23">
                            <a:extLst>
                              <a:ext uri="{28A0092B-C50C-407E-A947-70E740481C1C}">
                                <a14:useLocalDpi xmlns:a14="http://schemas.microsoft.com/office/drawing/2010/main" val="0"/>
                              </a:ext>
                            </a:extLst>
                          </a:blip>
                          <a:stretch>
                            <a:fillRect/>
                          </a:stretch>
                        </pic:blipFill>
                        <pic:spPr>
                          <a:xfrm>
                            <a:off x="0" y="0"/>
                            <a:ext cx="2838450" cy="2501900"/>
                          </a:xfrm>
                          <a:prstGeom prst="rect">
                            <a:avLst/>
                          </a:prstGeom>
                        </pic:spPr>
                      </pic:pic>
                    </a:graphicData>
                  </a:graphic>
                </wp:inline>
              </w:drawing>
            </w:r>
          </w:p>
        </w:tc>
      </w:tr>
    </w:tbl>
    <w:p w14:paraId="7C84CB48" w14:textId="2F808851" w:rsidR="000D3625" w:rsidRPr="00536D16" w:rsidRDefault="000D3625" w:rsidP="000D3625">
      <w:pPr>
        <w:pStyle w:val="Rrys"/>
        <w:rPr>
          <w:lang w:val="en-GB"/>
        </w:rPr>
      </w:pPr>
      <w:r w:rsidRPr="00536D16">
        <w:rPr>
          <w:b/>
          <w:bCs/>
          <w:lang w:val="en-GB"/>
        </w:rPr>
        <w:t>Fig. 5.</w:t>
      </w:r>
      <w:r w:rsidRPr="00536D16">
        <w:rPr>
          <w:lang w:val="en-GB"/>
        </w:rPr>
        <w:t xml:space="preserve"> Adsorption isotherm models for MG adsorption onto GBHP: (a) Langmuir, (b) Freundlich, (c) Temkin, and (d)</w:t>
      </w:r>
      <w:r w:rsidR="00805C75">
        <w:rPr>
          <w:lang w:val="en-GB"/>
        </w:rPr>
        <w:t> </w:t>
      </w:r>
      <w:r w:rsidRPr="00536D16">
        <w:rPr>
          <w:lang w:val="en-GB"/>
        </w:rPr>
        <w:t>nonlinear isotherm fitting</w:t>
      </w:r>
    </w:p>
    <w:p w14:paraId="6D7729B0" w14:textId="77777777" w:rsidR="000D3625" w:rsidRDefault="000D3625" w:rsidP="00EB7368">
      <w:pPr>
        <w:spacing w:after="0" w:line="240" w:lineRule="auto"/>
        <w:ind w:firstLine="284"/>
        <w:jc w:val="both"/>
        <w:rPr>
          <w:rFonts w:ascii="Times New Roman" w:hAnsi="Times New Roman"/>
          <w:lang w:val="en-GB"/>
        </w:rPr>
      </w:pPr>
    </w:p>
    <w:p w14:paraId="2334977E" w14:textId="66029AC8" w:rsidR="00B2118D" w:rsidRPr="00536D16" w:rsidRDefault="00B2118D" w:rsidP="00EB7368">
      <w:pPr>
        <w:spacing w:after="0" w:line="240" w:lineRule="auto"/>
        <w:ind w:firstLine="284"/>
        <w:jc w:val="both"/>
        <w:rPr>
          <w:rFonts w:ascii="Times New Roman" w:hAnsi="Times New Roman"/>
          <w:lang w:val="en-GB"/>
        </w:rPr>
      </w:pPr>
      <w:r w:rsidRPr="00536D16">
        <w:rPr>
          <w:rFonts w:ascii="Times New Roman" w:hAnsi="Times New Roman"/>
          <w:lang w:val="en-GB"/>
        </w:rPr>
        <w:t>The Freundlich isotherm</w:t>
      </w:r>
      <w:r w:rsidR="000D3625">
        <w:rPr>
          <w:rFonts w:ascii="Times New Roman" w:hAnsi="Times New Roman"/>
          <w:lang w:val="en-GB"/>
        </w:rPr>
        <w:t>,</w:t>
      </w:r>
      <w:r w:rsidRPr="00536D16">
        <w:rPr>
          <w:rFonts w:ascii="Times New Roman" w:hAnsi="Times New Roman"/>
          <w:lang w:val="en-GB"/>
        </w:rPr>
        <w:t xml:space="preserve"> </w:t>
      </w:r>
      <w:r w:rsidR="001B4A3A" w:rsidRPr="00536D16">
        <w:rPr>
          <w:rFonts w:ascii="Times New Roman" w:hAnsi="Times New Roman"/>
          <w:lang w:val="en-GB"/>
        </w:rPr>
        <w:t xml:space="preserve">as </w:t>
      </w:r>
      <w:r w:rsidR="00D27817" w:rsidRPr="00536D16">
        <w:rPr>
          <w:rFonts w:ascii="Times New Roman" w:hAnsi="Times New Roman"/>
          <w:lang w:val="en-GB"/>
        </w:rPr>
        <w:t>illustrated</w:t>
      </w:r>
      <w:r w:rsidR="001B4A3A" w:rsidRPr="00536D16">
        <w:rPr>
          <w:rFonts w:ascii="Times New Roman" w:hAnsi="Times New Roman"/>
          <w:lang w:val="en-GB"/>
        </w:rPr>
        <w:t xml:space="preserve"> in </w:t>
      </w:r>
      <w:r w:rsidRPr="00536D16">
        <w:rPr>
          <w:rFonts w:ascii="Times New Roman" w:hAnsi="Times New Roman"/>
          <w:lang w:val="en-GB"/>
        </w:rPr>
        <w:t>Figure 5(b)</w:t>
      </w:r>
      <w:r w:rsidR="001B4A3A" w:rsidRPr="00536D16">
        <w:rPr>
          <w:rFonts w:ascii="Times New Roman" w:hAnsi="Times New Roman"/>
          <w:lang w:val="en-GB"/>
        </w:rPr>
        <w:t>,</w:t>
      </w:r>
      <w:r w:rsidRPr="00536D16">
        <w:rPr>
          <w:rFonts w:ascii="Times New Roman" w:hAnsi="Times New Roman"/>
          <w:lang w:val="en-GB"/>
        </w:rPr>
        <w:t xml:space="preserve"> showed a </w:t>
      </w:r>
      <w:r w:rsidR="00D27817" w:rsidRPr="00536D16">
        <w:rPr>
          <w:rFonts w:ascii="Times New Roman" w:hAnsi="Times New Roman"/>
          <w:lang w:val="en-GB"/>
        </w:rPr>
        <w:t>good</w:t>
      </w:r>
      <w:r w:rsidRPr="00536D16">
        <w:rPr>
          <w:rFonts w:ascii="Times New Roman" w:hAnsi="Times New Roman"/>
          <w:lang w:val="en-GB"/>
        </w:rPr>
        <w:t xml:space="preserve"> </w:t>
      </w:r>
      <w:r w:rsidR="000D3625">
        <w:rPr>
          <w:rFonts w:ascii="Times New Roman" w:hAnsi="Times New Roman"/>
          <w:lang w:val="en-GB"/>
        </w:rPr>
        <w:t>fit (R</w:t>
      </w:r>
      <w:r w:rsidR="000D3625" w:rsidRPr="000D3625">
        <w:rPr>
          <w:rFonts w:ascii="Times New Roman" w:hAnsi="Times New Roman"/>
          <w:vertAlign w:val="superscript"/>
          <w:lang w:val="en-GB"/>
        </w:rPr>
        <w:t>2</w:t>
      </w:r>
      <w:r w:rsidR="000D3625">
        <w:rPr>
          <w:rFonts w:ascii="Times New Roman" w:hAnsi="Times New Roman"/>
          <w:lang w:val="en-GB"/>
        </w:rPr>
        <w:t xml:space="preserve"> = 0.9451)</w:t>
      </w:r>
      <w:r w:rsidR="001B4A3A" w:rsidRPr="00536D16">
        <w:rPr>
          <w:rFonts w:ascii="Times New Roman" w:hAnsi="Times New Roman"/>
          <w:lang w:val="en-GB"/>
        </w:rPr>
        <w:t xml:space="preserve"> </w:t>
      </w:r>
      <w:r w:rsidRPr="00536D16">
        <w:rPr>
          <w:rFonts w:ascii="Times New Roman" w:hAnsi="Times New Roman"/>
          <w:lang w:val="en-GB"/>
        </w:rPr>
        <w:t xml:space="preserve">with the regression equation log qₑ = 0.4482 log Cₑ + 0.3893, indicating that GBHP possesses a moderately heterogeneous surface. The slightly lower correlation coefficient compared with the Langmuir model suggests that although surface heterogeneity exists, monolayer adsorption remains the dominant equilibrium mechanism. The Freundlich </w:t>
      </w:r>
      <w:proofErr w:type="spellStart"/>
      <w:r w:rsidRPr="00536D16">
        <w:rPr>
          <w:rFonts w:ascii="Times New Roman" w:hAnsi="Times New Roman"/>
          <w:lang w:val="en-GB"/>
        </w:rPr>
        <w:t>behavior</w:t>
      </w:r>
      <w:proofErr w:type="spellEnd"/>
      <w:r w:rsidRPr="00536D16">
        <w:rPr>
          <w:rFonts w:ascii="Times New Roman" w:hAnsi="Times New Roman"/>
          <w:lang w:val="en-GB"/>
        </w:rPr>
        <w:t xml:space="preserve"> reflects the existence of adsorption sites possessing different surface energies arising from the coexistence of graphitic carbon, hydroxyl groups, carbonyl groups, and residual mineral phases within the </w:t>
      </w:r>
      <w:proofErr w:type="spellStart"/>
      <w:r w:rsidRPr="00536D16">
        <w:rPr>
          <w:rFonts w:ascii="Times New Roman" w:hAnsi="Times New Roman"/>
          <w:lang w:val="en-GB"/>
        </w:rPr>
        <w:t>hydrochar</w:t>
      </w:r>
      <w:proofErr w:type="spellEnd"/>
      <w:r w:rsidRPr="00536D16">
        <w:rPr>
          <w:rFonts w:ascii="Times New Roman" w:hAnsi="Times New Roman"/>
          <w:lang w:val="en-GB"/>
        </w:rPr>
        <w:t xml:space="preserve"> matrix. The Temkin model</w:t>
      </w:r>
      <w:r w:rsidR="000D3625">
        <w:rPr>
          <w:rFonts w:ascii="Times New Roman" w:hAnsi="Times New Roman"/>
          <w:lang w:val="en-GB"/>
        </w:rPr>
        <w:t>, as shown in Figure 5(c), provides a linear correlation among the three linear isotherms with R²</w:t>
      </w:r>
      <w:r w:rsidRPr="00536D16">
        <w:rPr>
          <w:rFonts w:ascii="Times New Roman" w:hAnsi="Times New Roman"/>
          <w:lang w:val="en-GB"/>
        </w:rPr>
        <w:t xml:space="preserve"> = 0.92</w:t>
      </w:r>
      <w:r w:rsidR="00342263" w:rsidRPr="00536D16">
        <w:rPr>
          <w:rFonts w:ascii="Times New Roman" w:hAnsi="Times New Roman"/>
          <w:lang w:val="en-GB"/>
        </w:rPr>
        <w:t>9</w:t>
      </w:r>
      <w:r w:rsidRPr="00536D16">
        <w:rPr>
          <w:rFonts w:ascii="Times New Roman" w:hAnsi="Times New Roman"/>
          <w:lang w:val="en-GB"/>
        </w:rPr>
        <w:t>8</w:t>
      </w:r>
      <w:r w:rsidR="001B4A3A" w:rsidRPr="00536D16">
        <w:rPr>
          <w:rFonts w:ascii="Times New Roman" w:hAnsi="Times New Roman"/>
          <w:lang w:val="en-GB"/>
        </w:rPr>
        <w:t>,</w:t>
      </w:r>
      <w:r w:rsidRPr="00536D16">
        <w:rPr>
          <w:rFonts w:ascii="Times New Roman" w:hAnsi="Times New Roman"/>
          <w:lang w:val="en-GB"/>
        </w:rPr>
        <w:t xml:space="preserve"> with the regression equation qₑ = 2.1124 ln Cₑ + 3.6428. The </w:t>
      </w:r>
      <w:r w:rsidR="00AB58E1" w:rsidRPr="00536D16">
        <w:rPr>
          <w:rFonts w:ascii="Times New Roman" w:hAnsi="Times New Roman"/>
          <w:lang w:val="en-GB"/>
        </w:rPr>
        <w:t>results</w:t>
      </w:r>
      <w:r w:rsidRPr="00536D16">
        <w:rPr>
          <w:rFonts w:ascii="Times New Roman" w:hAnsi="Times New Roman"/>
          <w:lang w:val="en-GB"/>
        </w:rPr>
        <w:t xml:space="preserve"> indicate</w:t>
      </w:r>
      <w:r w:rsidR="000D3625">
        <w:rPr>
          <w:rFonts w:ascii="Times New Roman" w:hAnsi="Times New Roman"/>
          <w:lang w:val="en-GB"/>
        </w:rPr>
        <w:t xml:space="preserve"> a progressive decline in adsorption energy as surface occupancy increases, owing to interactions between adsorbed MG molecules and the GBHP surface during adsorption</w:t>
      </w:r>
      <w:r w:rsidRPr="00536D16">
        <w:rPr>
          <w:rFonts w:ascii="Times New Roman" w:hAnsi="Times New Roman"/>
          <w:lang w:val="en-GB"/>
        </w:rPr>
        <w:t>. The applicability of the Temkin model suggests that electrostatic attraction, hydrogen bonding, π–π interactions, and surface complexation collectively contribute to MG adsorption rather than a purely physical adsorption mechanism.</w:t>
      </w:r>
    </w:p>
    <w:p w14:paraId="33A490FE" w14:textId="0CF8D150" w:rsidR="00B2118D" w:rsidRPr="00536D16" w:rsidRDefault="00B2118D" w:rsidP="00EB7368">
      <w:pPr>
        <w:spacing w:after="0" w:line="240" w:lineRule="auto"/>
        <w:ind w:firstLine="284"/>
        <w:jc w:val="both"/>
        <w:rPr>
          <w:rFonts w:ascii="Times New Roman" w:hAnsi="Times New Roman"/>
          <w:lang w:val="en-GB"/>
        </w:rPr>
      </w:pPr>
      <w:r w:rsidRPr="00536D16">
        <w:rPr>
          <w:rFonts w:ascii="Times New Roman" w:hAnsi="Times New Roman"/>
          <w:lang w:val="en-GB"/>
        </w:rPr>
        <w:t xml:space="preserve">To further evaluate the adsorption </w:t>
      </w:r>
      <w:proofErr w:type="spellStart"/>
      <w:r w:rsidRPr="00536D16">
        <w:rPr>
          <w:rFonts w:ascii="Times New Roman" w:hAnsi="Times New Roman"/>
          <w:lang w:val="en-GB"/>
        </w:rPr>
        <w:t>behavior</w:t>
      </w:r>
      <w:proofErr w:type="spellEnd"/>
      <w:r w:rsidRPr="00536D16">
        <w:rPr>
          <w:rFonts w:ascii="Times New Roman" w:hAnsi="Times New Roman"/>
          <w:lang w:val="en-GB"/>
        </w:rPr>
        <w:t xml:space="preserve">, nonlinear fitting was performed using the Langmuir, Freundlich, and Temkin equations </w:t>
      </w:r>
      <w:r w:rsidR="001B4A3A" w:rsidRPr="00536D16">
        <w:rPr>
          <w:rFonts w:ascii="Times New Roman" w:hAnsi="Times New Roman"/>
          <w:lang w:val="en-GB"/>
        </w:rPr>
        <w:t xml:space="preserve">as in </w:t>
      </w:r>
      <w:r w:rsidRPr="00536D16">
        <w:rPr>
          <w:rFonts w:ascii="Times New Roman" w:hAnsi="Times New Roman"/>
          <w:lang w:val="en-GB"/>
        </w:rPr>
        <w:t>Figure 5(d). Among the nonlinear models, the Langmuir model exhibited the best fitting (R</w:t>
      </w:r>
      <w:r w:rsidR="001B4A3A" w:rsidRPr="00536D16">
        <w:rPr>
          <w:rFonts w:ascii="Times New Roman" w:hAnsi="Times New Roman"/>
          <w:vertAlign w:val="superscript"/>
          <w:lang w:val="en-GB"/>
        </w:rPr>
        <w:t>2</w:t>
      </w:r>
      <w:r w:rsidRPr="00536D16">
        <w:rPr>
          <w:rFonts w:ascii="Times New Roman" w:hAnsi="Times New Roman"/>
          <w:lang w:val="en-GB"/>
        </w:rPr>
        <w:t xml:space="preserve"> = 0.9801), followed by the Freundlich (R</w:t>
      </w:r>
      <w:r w:rsidR="001B4A3A" w:rsidRPr="00536D16">
        <w:rPr>
          <w:rFonts w:ascii="Times New Roman" w:hAnsi="Times New Roman"/>
          <w:vertAlign w:val="superscript"/>
          <w:lang w:val="en-GB"/>
        </w:rPr>
        <w:t>2</w:t>
      </w:r>
      <w:r w:rsidRPr="00536D16">
        <w:rPr>
          <w:rFonts w:ascii="Times New Roman" w:hAnsi="Times New Roman"/>
          <w:lang w:val="en-GB"/>
        </w:rPr>
        <w:t xml:space="preserve"> = 0.9524) and Temkin (R</w:t>
      </w:r>
      <w:r w:rsidR="001B4A3A" w:rsidRPr="00536D16">
        <w:rPr>
          <w:rFonts w:ascii="Times New Roman" w:hAnsi="Times New Roman"/>
          <w:vertAlign w:val="superscript"/>
          <w:lang w:val="en-GB"/>
        </w:rPr>
        <w:t>2</w:t>
      </w:r>
      <w:r w:rsidRPr="00536D16">
        <w:rPr>
          <w:rFonts w:ascii="Times New Roman" w:hAnsi="Times New Roman"/>
          <w:lang w:val="en-GB"/>
        </w:rPr>
        <w:t xml:space="preserve"> = 0.8923) models. The superior nonlinear Langmuir fitting confirms that monolayer adsorption predominates on the GBHP surface and validates the assumptions of the linear Langmuir analysis. </w:t>
      </w:r>
      <w:r w:rsidR="0021019F" w:rsidRPr="00E42965">
        <w:rPr>
          <w:rFonts w:ascii="Times New Roman" w:hAnsi="Times New Roman"/>
          <w:spacing w:val="-2"/>
          <w:lang w:val="en-GB"/>
        </w:rPr>
        <w:t>The relatively lower fitting achieved with the Freundlich and Temkin models indicates that surface heterogeneity and variations in adsorption energy influence MG uptake; however, these effects are secondary to the predominant monolayer adsorption mechanism</w:t>
      </w:r>
      <w:r w:rsidRPr="00E42965">
        <w:rPr>
          <w:rFonts w:ascii="Times New Roman" w:hAnsi="Times New Roman"/>
          <w:spacing w:val="-2"/>
          <w:lang w:val="en-GB"/>
        </w:rPr>
        <w:t>.</w:t>
      </w:r>
    </w:p>
    <w:p w14:paraId="09F29C0F" w14:textId="77777777" w:rsidR="00E42965" w:rsidRDefault="00E42965">
      <w:pPr>
        <w:spacing w:after="0" w:line="240" w:lineRule="auto"/>
        <w:rPr>
          <w:rFonts w:ascii="Times New Roman" w:hAnsi="Times New Roman"/>
          <w:lang w:val="en-GB"/>
        </w:rPr>
      </w:pPr>
      <w:r>
        <w:rPr>
          <w:rFonts w:ascii="Times New Roman" w:hAnsi="Times New Roman"/>
          <w:lang w:val="en-GB"/>
        </w:rPr>
        <w:br w:type="page"/>
      </w:r>
    </w:p>
    <w:p w14:paraId="67922B72" w14:textId="48373B81" w:rsidR="0058579C" w:rsidRPr="00536D16" w:rsidRDefault="0058579C" w:rsidP="00EB7368">
      <w:pPr>
        <w:spacing w:after="0" w:line="240" w:lineRule="auto"/>
        <w:ind w:firstLine="284"/>
        <w:jc w:val="both"/>
        <w:rPr>
          <w:rFonts w:ascii="Times New Roman" w:hAnsi="Times New Roman"/>
          <w:lang w:val="en-GB"/>
        </w:rPr>
      </w:pPr>
      <w:r w:rsidRPr="00536D16">
        <w:rPr>
          <w:rFonts w:ascii="Times New Roman" w:hAnsi="Times New Roman"/>
          <w:lang w:val="en-GB"/>
        </w:rPr>
        <w:lastRenderedPageBreak/>
        <w:t>Overall, both linear and nonlinear isotherm analyses demonstrate that malachite green adsorption onto GBHP is predominantly governed by Langmuir-type monolayer adsorption, with additional contributions from heterogeneous surface interactions described by the Freundlich and Temkin models. The excellent agreement of the Langmuir model indicates that the synthesized GBHP possesses uniformly distributed active adsorption sites capable of efficiently adsorbing MG molecules, while the oxygen-containing functional groups and defect-rich carbon framework facilitate strong adsorbate–adsorbent interactions under equilibrium conditions</w:t>
      </w:r>
      <w:r w:rsidR="00B73E92" w:rsidRPr="00536D16">
        <w:rPr>
          <w:rFonts w:ascii="Times New Roman" w:hAnsi="Times New Roman"/>
          <w:lang w:val="en-GB"/>
        </w:rPr>
        <w:t xml:space="preserve"> </w:t>
      </w:r>
      <w:r w:rsidR="00B73E92" w:rsidRPr="00536D16">
        <w:rPr>
          <w:rFonts w:ascii="Times New Roman" w:hAnsi="Times New Roman"/>
          <w:lang w:val="en-GB"/>
        </w:rPr>
        <w:fldChar w:fldCharType="begin" w:fldLock="1"/>
      </w:r>
      <w:r w:rsidR="001F0E7F" w:rsidRPr="00536D16">
        <w:rPr>
          <w:rFonts w:ascii="Times New Roman" w:hAnsi="Times New Roman"/>
          <w:lang w:val="en-GB"/>
        </w:rPr>
        <w:instrText>ADDIN CSL_CITATION {"citationItems":[{"id":"ITEM-1","itemData":{"ISSN":"0193-2691","author":[{"dropping-particle":"","family":"Kizilkaya","given":"Bayram","non-dropping-particle":"","parse-names":false,"suffix":""}],"container-title":"Journal of Dispersion Science and Technology","id":"ITEM-1","issue":"11","issued":{"date-parts":[["2012"]]},"page":"1596-1602","publisher":"Taylor &amp; Francis","title":"Usage of biogenic apatite (fish bones) on removal of basic fuchsin dye from aqueous solution","type":"article-journal","volume":"33"},"uris":["http://www.mendeley.com/documents/?uuid=ab40dd08-73b7-40af-8f2f-e7c4b23fb779"]}],"mendeley":{"formattedCitation":"(Kizilkaya, 2012)","plainTextFormattedCitation":"(Kizilkaya, 2012)","previouslyFormattedCitation":"(Kizilkaya, 2012)"},"properties":{"noteIndex":0},"schema":"https://github.com/citation-style-language/schema/raw/master/csl-citation.json"}</w:instrText>
      </w:r>
      <w:r w:rsidR="00B73E92" w:rsidRPr="00536D16">
        <w:rPr>
          <w:rFonts w:ascii="Times New Roman" w:hAnsi="Times New Roman"/>
          <w:lang w:val="en-GB"/>
        </w:rPr>
        <w:fldChar w:fldCharType="separate"/>
      </w:r>
      <w:r w:rsidR="00B73E92" w:rsidRPr="00536D16">
        <w:rPr>
          <w:rFonts w:ascii="Times New Roman" w:hAnsi="Times New Roman"/>
          <w:noProof/>
          <w:lang w:val="en-GB"/>
        </w:rPr>
        <w:t>(Kizilkaya, 2012)</w:t>
      </w:r>
      <w:r w:rsidR="00B73E92" w:rsidRPr="00536D16">
        <w:rPr>
          <w:rFonts w:ascii="Times New Roman" w:hAnsi="Times New Roman"/>
          <w:lang w:val="en-GB"/>
        </w:rPr>
        <w:fldChar w:fldCharType="end"/>
      </w:r>
      <w:r w:rsidRPr="00536D16">
        <w:rPr>
          <w:rFonts w:ascii="Times New Roman" w:hAnsi="Times New Roman"/>
          <w:lang w:val="en-GB"/>
        </w:rPr>
        <w:t>.</w:t>
      </w:r>
    </w:p>
    <w:p w14:paraId="38FCA73C" w14:textId="1DD06A3C" w:rsidR="00B2118D" w:rsidRPr="00536D16" w:rsidRDefault="00B2118D" w:rsidP="00311173">
      <w:pPr>
        <w:pStyle w:val="Rn2"/>
        <w:rPr>
          <w:lang w:val="en-GB"/>
        </w:rPr>
      </w:pPr>
      <w:r w:rsidRPr="00536D16">
        <w:rPr>
          <w:lang w:val="en-GB"/>
        </w:rPr>
        <w:t>3.</w:t>
      </w:r>
      <w:r w:rsidR="00257035">
        <w:rPr>
          <w:lang w:val="en-GB"/>
        </w:rPr>
        <w:t>6</w:t>
      </w:r>
      <w:r w:rsidR="00311173" w:rsidRPr="00536D16">
        <w:rPr>
          <w:lang w:val="en-GB"/>
        </w:rPr>
        <w:t>.</w:t>
      </w:r>
      <w:r w:rsidRPr="00536D16">
        <w:rPr>
          <w:lang w:val="en-GB"/>
        </w:rPr>
        <w:t xml:space="preserve"> Thermodynamic Study</w:t>
      </w:r>
    </w:p>
    <w:p w14:paraId="2D0F7F56" w14:textId="451D39AE" w:rsidR="0058579C" w:rsidRPr="00536D16" w:rsidRDefault="0058579C" w:rsidP="00EB7368">
      <w:pPr>
        <w:spacing w:after="0" w:line="240" w:lineRule="auto"/>
        <w:ind w:firstLine="284"/>
        <w:jc w:val="both"/>
        <w:rPr>
          <w:rFonts w:ascii="Times New Roman" w:hAnsi="Times New Roman"/>
          <w:lang w:val="en-GB"/>
        </w:rPr>
      </w:pPr>
      <w:r w:rsidRPr="00536D16">
        <w:rPr>
          <w:rFonts w:ascii="Times New Roman" w:hAnsi="Times New Roman"/>
          <w:lang w:val="en-GB"/>
        </w:rPr>
        <w:t>The thermodynamic parameters of adsorption of MG on GBHP were studied at different temperature</w:t>
      </w:r>
      <w:r w:rsidR="000D3625">
        <w:rPr>
          <w:rFonts w:ascii="Times New Roman" w:hAnsi="Times New Roman"/>
          <w:lang w:val="en-GB"/>
        </w:rPr>
        <w:t>s (293, 298, 303, and 308 K)</w:t>
      </w:r>
      <w:r w:rsidRPr="00536D16">
        <w:rPr>
          <w:rFonts w:ascii="Times New Roman" w:hAnsi="Times New Roman"/>
          <w:lang w:val="en-GB"/>
        </w:rPr>
        <w:t xml:space="preserve">, and the results are given in Table </w:t>
      </w:r>
      <w:r w:rsidR="001B4A3A" w:rsidRPr="00536D16">
        <w:rPr>
          <w:rFonts w:ascii="Times New Roman" w:hAnsi="Times New Roman"/>
          <w:lang w:val="en-GB"/>
        </w:rPr>
        <w:t>3</w:t>
      </w:r>
      <w:r w:rsidRPr="00536D16">
        <w:rPr>
          <w:rFonts w:ascii="Times New Roman" w:hAnsi="Times New Roman"/>
          <w:lang w:val="en-GB"/>
        </w:rPr>
        <w:t xml:space="preserve">. Estimations of thermodynamic parameters were carried out </w:t>
      </w:r>
      <w:r w:rsidR="000D3625">
        <w:rPr>
          <w:rFonts w:ascii="Times New Roman" w:hAnsi="Times New Roman"/>
          <w:lang w:val="en-GB"/>
        </w:rPr>
        <w:t>using the relationships summarized in Table 1, and the good linearity of the Van't Hoff plot shown in Figure 6 (R</w:t>
      </w:r>
      <w:r w:rsidR="000D3625" w:rsidRPr="000D3625">
        <w:rPr>
          <w:rFonts w:ascii="Times New Roman" w:hAnsi="Times New Roman"/>
          <w:vertAlign w:val="superscript"/>
          <w:lang w:val="en-GB"/>
        </w:rPr>
        <w:t>2</w:t>
      </w:r>
      <w:r w:rsidR="000D3625">
        <w:rPr>
          <w:rFonts w:ascii="Times New Roman" w:hAnsi="Times New Roman"/>
          <w:lang w:val="en-GB"/>
        </w:rPr>
        <w:t xml:space="preserve"> = 0.9899) indicates that the adsorption equilibrium in the studied temperature range exhibits</w:t>
      </w:r>
      <w:r w:rsidRPr="00536D16">
        <w:rPr>
          <w:rFonts w:ascii="Times New Roman" w:hAnsi="Times New Roman"/>
          <w:lang w:val="en-GB"/>
        </w:rPr>
        <w:t xml:space="preserve"> classical thermodynamic </w:t>
      </w:r>
      <w:proofErr w:type="spellStart"/>
      <w:r w:rsidRPr="00536D16">
        <w:rPr>
          <w:rFonts w:ascii="Times New Roman" w:hAnsi="Times New Roman"/>
          <w:lang w:val="en-GB"/>
        </w:rPr>
        <w:t>behavior</w:t>
      </w:r>
      <w:proofErr w:type="spellEnd"/>
      <w:r w:rsidRPr="00536D16">
        <w:rPr>
          <w:rFonts w:ascii="Times New Roman" w:hAnsi="Times New Roman"/>
          <w:lang w:val="en-GB"/>
        </w:rPr>
        <w:t>. The calculated Gibbs free energy (ΔG°) values were −</w:t>
      </w:r>
      <w:r w:rsidR="00452AC8" w:rsidRPr="00536D16">
        <w:rPr>
          <w:rFonts w:ascii="Times New Roman" w:hAnsi="Times New Roman"/>
          <w:lang w:val="en-GB"/>
        </w:rPr>
        <w:t>2.690</w:t>
      </w:r>
      <w:r w:rsidRPr="00536D16">
        <w:rPr>
          <w:rFonts w:ascii="Times New Roman" w:hAnsi="Times New Roman"/>
          <w:lang w:val="en-GB"/>
        </w:rPr>
        <w:t>, −</w:t>
      </w:r>
      <w:r w:rsidR="00452AC8" w:rsidRPr="00536D16">
        <w:rPr>
          <w:rFonts w:ascii="Times New Roman" w:hAnsi="Times New Roman"/>
          <w:lang w:val="en-GB"/>
        </w:rPr>
        <w:t>2.677</w:t>
      </w:r>
      <w:r w:rsidRPr="00536D16">
        <w:rPr>
          <w:rFonts w:ascii="Times New Roman" w:hAnsi="Times New Roman"/>
          <w:lang w:val="en-GB"/>
        </w:rPr>
        <w:t>, −</w:t>
      </w:r>
      <w:r w:rsidR="00452AC8" w:rsidRPr="00536D16">
        <w:rPr>
          <w:rFonts w:ascii="Times New Roman" w:hAnsi="Times New Roman"/>
          <w:lang w:val="en-GB"/>
        </w:rPr>
        <w:t>2.664</w:t>
      </w:r>
      <w:r w:rsidRPr="00536D16">
        <w:rPr>
          <w:rFonts w:ascii="Times New Roman" w:hAnsi="Times New Roman"/>
          <w:lang w:val="en-GB"/>
        </w:rPr>
        <w:t>, and −</w:t>
      </w:r>
      <w:r w:rsidR="00452AC8" w:rsidRPr="00536D16">
        <w:rPr>
          <w:rFonts w:ascii="Times New Roman" w:hAnsi="Times New Roman"/>
          <w:lang w:val="en-GB"/>
        </w:rPr>
        <w:t>2.651</w:t>
      </w:r>
      <w:r w:rsidRPr="00536D16">
        <w:rPr>
          <w:rFonts w:ascii="Times New Roman" w:hAnsi="Times New Roman"/>
          <w:lang w:val="en-GB"/>
        </w:rPr>
        <w:t xml:space="preserve"> kJ mol⁻¹ at 293, 298, 303, and 308 K, respectively. </w:t>
      </w:r>
      <w:r w:rsidR="000D3625">
        <w:rPr>
          <w:rFonts w:ascii="Times New Roman" w:hAnsi="Times New Roman"/>
          <w:lang w:val="en-GB"/>
        </w:rPr>
        <w:t>Negative ΔG° values indicate that the adsorption of MG on GBHP is spontaneous over</w:t>
      </w:r>
      <w:r w:rsidRPr="00536D16">
        <w:rPr>
          <w:rFonts w:ascii="Times New Roman" w:hAnsi="Times New Roman"/>
          <w:lang w:val="en-GB"/>
        </w:rPr>
        <w:t xml:space="preserve"> the studied temperature range. In addition, the relatively small value of ΔG° (around </w:t>
      </w:r>
      <w:r w:rsidR="00452AC8" w:rsidRPr="00536D16">
        <w:rPr>
          <w:rFonts w:ascii="Times New Roman" w:hAnsi="Times New Roman"/>
          <w:lang w:val="en-GB"/>
        </w:rPr>
        <w:t>-2</w:t>
      </w:r>
      <w:r w:rsidRPr="00536D16">
        <w:rPr>
          <w:rFonts w:ascii="Times New Roman" w:hAnsi="Times New Roman"/>
          <w:lang w:val="en-GB"/>
        </w:rPr>
        <w:t xml:space="preserve"> kJ mol</w:t>
      </w:r>
      <w:r w:rsidRPr="00536D16">
        <w:rPr>
          <w:rFonts w:ascii="Times New Roman" w:hAnsi="Times New Roman"/>
          <w:vertAlign w:val="superscript"/>
          <w:lang w:val="en-GB"/>
        </w:rPr>
        <w:t>−1</w:t>
      </w:r>
      <w:r w:rsidRPr="00536D16">
        <w:rPr>
          <w:rFonts w:ascii="Times New Roman" w:hAnsi="Times New Roman"/>
          <w:lang w:val="en-GB"/>
        </w:rPr>
        <w:t xml:space="preserve">) </w:t>
      </w:r>
      <w:r w:rsidR="00194ED5" w:rsidRPr="00536D16">
        <w:rPr>
          <w:rFonts w:ascii="Times New Roman" w:hAnsi="Times New Roman"/>
          <w:lang w:val="en-GB"/>
        </w:rPr>
        <w:t>confirm</w:t>
      </w:r>
      <w:r w:rsidR="000D3625">
        <w:rPr>
          <w:rFonts w:ascii="Times New Roman" w:hAnsi="Times New Roman"/>
          <w:lang w:val="en-GB"/>
        </w:rPr>
        <w:t>s adsorption via physisorption and weak chemisorption interactions, rather than</w:t>
      </w:r>
      <w:r w:rsidRPr="00536D16">
        <w:rPr>
          <w:rFonts w:ascii="Times New Roman" w:hAnsi="Times New Roman"/>
          <w:lang w:val="en-GB"/>
        </w:rPr>
        <w:t xml:space="preserve"> purely chemical bonding. </w:t>
      </w:r>
      <w:r w:rsidR="00194ED5" w:rsidRPr="00536D16">
        <w:rPr>
          <w:rFonts w:ascii="Times New Roman" w:hAnsi="Times New Roman"/>
          <w:lang w:val="en-GB"/>
        </w:rPr>
        <w:t xml:space="preserve">The gradual reduction in the magnitude of ΔG° with increasing temperature suggests that </w:t>
      </w:r>
      <w:r w:rsidR="000D3625">
        <w:rPr>
          <w:rFonts w:ascii="Times New Roman" w:hAnsi="Times New Roman"/>
          <w:lang w:val="en-GB"/>
        </w:rPr>
        <w:t>adsorption becomes progressively weaker, indicating that the affinity of the MG molecules for the GBHP surface is greater at lower temperature</w:t>
      </w:r>
      <w:r w:rsidRPr="00536D16">
        <w:rPr>
          <w:rFonts w:ascii="Times New Roman" w:hAnsi="Times New Roman"/>
          <w:lang w:val="en-GB"/>
        </w:rPr>
        <w:t xml:space="preserve">s. </w:t>
      </w:r>
      <w:r w:rsidR="000B582F" w:rsidRPr="00536D16">
        <w:rPr>
          <w:rFonts w:ascii="Times New Roman" w:hAnsi="Times New Roman"/>
          <w:lang w:val="en-GB"/>
        </w:rPr>
        <w:t>The exothermic nature of MG adsorption was verified by the negative ΔH° value of (-3</w:t>
      </w:r>
      <w:r w:rsidR="00452AC8" w:rsidRPr="00536D16">
        <w:rPr>
          <w:rFonts w:ascii="Times New Roman" w:hAnsi="Times New Roman"/>
          <w:lang w:val="en-GB"/>
        </w:rPr>
        <w:t>.451</w:t>
      </w:r>
      <w:r w:rsidR="000B582F" w:rsidRPr="00536D16">
        <w:rPr>
          <w:rFonts w:ascii="Times New Roman" w:hAnsi="Times New Roman"/>
          <w:lang w:val="en-GB"/>
        </w:rPr>
        <w:t xml:space="preserve"> kJ mol</w:t>
      </w:r>
      <w:r w:rsidR="000B582F" w:rsidRPr="00536D16">
        <w:rPr>
          <w:rFonts w:ascii="Times New Roman" w:hAnsi="Times New Roman"/>
          <w:vertAlign w:val="superscript"/>
          <w:lang w:val="en-GB"/>
        </w:rPr>
        <w:t>-1</w:t>
      </w:r>
      <w:r w:rsidR="000B582F" w:rsidRPr="00536D16">
        <w:rPr>
          <w:rFonts w:ascii="Times New Roman" w:hAnsi="Times New Roman"/>
          <w:lang w:val="en-GB"/>
        </w:rPr>
        <w:t>)</w:t>
      </w:r>
      <w:r w:rsidR="000D3625">
        <w:rPr>
          <w:rFonts w:ascii="Times New Roman" w:hAnsi="Times New Roman"/>
          <w:lang w:val="en-GB"/>
        </w:rPr>
        <w:t xml:space="preserve">, </w:t>
      </w:r>
      <w:r w:rsidRPr="00536D16">
        <w:rPr>
          <w:rFonts w:ascii="Times New Roman" w:hAnsi="Times New Roman"/>
          <w:lang w:val="en-GB"/>
        </w:rPr>
        <w:t xml:space="preserve">which means that heat is released </w:t>
      </w:r>
      <w:r w:rsidR="000B582F" w:rsidRPr="00536D16">
        <w:rPr>
          <w:rFonts w:ascii="Times New Roman" w:hAnsi="Times New Roman"/>
          <w:lang w:val="en-GB"/>
        </w:rPr>
        <w:t xml:space="preserve">as MG molecules become immobilized on the active sites of GBHP </w:t>
      </w:r>
      <w:r w:rsidR="00B73E92" w:rsidRPr="00536D16">
        <w:rPr>
          <w:rFonts w:ascii="Times New Roman" w:hAnsi="Times New Roman"/>
          <w:lang w:val="en-GB"/>
        </w:rPr>
        <w:fldChar w:fldCharType="begin" w:fldLock="1"/>
      </w:r>
      <w:r w:rsidR="00B73E92" w:rsidRPr="00536D16">
        <w:rPr>
          <w:rFonts w:ascii="Times New Roman" w:hAnsi="Times New Roman"/>
          <w:lang w:val="en-GB"/>
        </w:rPr>
        <w:instrText>ADDIN CSL_CITATION {"citationItems":[{"id":"ITEM-1","itemData":{"author":[{"dropping-particle":"","family":"Gumus","given":"R H","non-dropping-particle":"","parse-names":false,"suffix":""},{"dropping-particle":"","family":"Wauton","given":"I","non-dropping-particle":"","parse-names":false,"suffix":""},{"dropping-particle":"","family":"Aliu","given":"A M","non-dropping-particle":"","parse-names":false,"suffix":""}],"container-title":"Journal of Engineering and Applied Science","id":"ITEM-1","issued":{"date-parts":[["2012"]]},"page":"34-45","title":"Investigation of the effect of Chemical Activation and characterization of bone char: Cow bone","type":"article-journal","volume":"4"},"uris":["http://www.mendeley.com/documents/?uuid=a7dcf4e2-928f-4027-8a2c-5ffdf8c807a8"]}],"mendeley":{"formattedCitation":"(Gumus, Wauton, &amp; Aliu, 2012)","plainTextFormattedCitation":"(Gumus, Wauton, &amp; Aliu, 2012)","previouslyFormattedCitation":"(Gumus, Wauton, &amp; Aliu, 2012)"},"properties":{"noteIndex":0},"schema":"https://github.com/citation-style-language/schema/raw/master/csl-citation.json"}</w:instrText>
      </w:r>
      <w:r w:rsidR="00B73E92" w:rsidRPr="00536D16">
        <w:rPr>
          <w:rFonts w:ascii="Times New Roman" w:hAnsi="Times New Roman"/>
          <w:lang w:val="en-GB"/>
        </w:rPr>
        <w:fldChar w:fldCharType="separate"/>
      </w:r>
      <w:r w:rsidR="00B73E92" w:rsidRPr="00536D16">
        <w:rPr>
          <w:rFonts w:ascii="Times New Roman" w:hAnsi="Times New Roman"/>
          <w:noProof/>
          <w:lang w:val="en-GB"/>
        </w:rPr>
        <w:t>(Gumus</w:t>
      </w:r>
      <w:r w:rsidR="001755B6">
        <w:rPr>
          <w:rFonts w:ascii="Times New Roman" w:hAnsi="Times New Roman"/>
          <w:noProof/>
          <w:lang w:val="en-GB"/>
        </w:rPr>
        <w:t xml:space="preserve"> et al.</w:t>
      </w:r>
      <w:r w:rsidR="00B73E92" w:rsidRPr="00536D16">
        <w:rPr>
          <w:rFonts w:ascii="Times New Roman" w:hAnsi="Times New Roman"/>
          <w:noProof/>
          <w:lang w:val="en-GB"/>
        </w:rPr>
        <w:t>, 2012)</w:t>
      </w:r>
      <w:r w:rsidR="00B73E92" w:rsidRPr="00536D16">
        <w:rPr>
          <w:rFonts w:ascii="Times New Roman" w:hAnsi="Times New Roman"/>
          <w:lang w:val="en-GB"/>
        </w:rPr>
        <w:fldChar w:fldCharType="end"/>
      </w:r>
      <w:r w:rsidRPr="00536D16">
        <w:rPr>
          <w:rFonts w:ascii="Times New Roman" w:hAnsi="Times New Roman"/>
          <w:lang w:val="en-GB"/>
        </w:rPr>
        <w:t xml:space="preserve">. The magnitude of ΔH° </w:t>
      </w:r>
      <w:r w:rsidR="000D3625">
        <w:rPr>
          <w:rFonts w:ascii="Times New Roman" w:hAnsi="Times New Roman"/>
          <w:lang w:val="en-GB"/>
        </w:rPr>
        <w:t>falls within the range usually observed for adsorption processes, including both physical</w:t>
      </w:r>
      <w:r w:rsidRPr="00536D16">
        <w:rPr>
          <w:rFonts w:ascii="Times New Roman" w:hAnsi="Times New Roman"/>
          <w:lang w:val="en-GB"/>
        </w:rPr>
        <w:t xml:space="preserve"> and specific surface adsorption, suggesting that several adsorptive mechanisms may be involved simultaneously in the removal of MG. The exothermic nature indicates that after adsorption of MG molecules on the active sites, the adsorbent–adsorbate interactions become energetically stable without </w:t>
      </w:r>
      <w:r w:rsidR="000D3625">
        <w:rPr>
          <w:rFonts w:ascii="Times New Roman" w:hAnsi="Times New Roman"/>
          <w:lang w:val="en-GB"/>
        </w:rPr>
        <w:t xml:space="preserve">the </w:t>
      </w:r>
      <w:r w:rsidRPr="00536D16">
        <w:rPr>
          <w:rFonts w:ascii="Times New Roman" w:hAnsi="Times New Roman"/>
          <w:lang w:val="en-GB"/>
        </w:rPr>
        <w:t xml:space="preserve">need for further thermal energy. The electrostatic attraction, hydrogen bonding, </w:t>
      </w:r>
      <w:r w:rsidR="000D3625">
        <w:rPr>
          <w:rFonts w:ascii="Times New Roman" w:hAnsi="Times New Roman"/>
          <w:lang w:val="en-GB"/>
        </w:rPr>
        <w:t>and π–π electron donor–acceptor interaction between the aromatic rings of MG and the partially graphitized carbon framework, in addition to surface complexation involving OH, CO, and ether functional groups, as revealed by</w:t>
      </w:r>
      <w:r w:rsidRPr="00536D16">
        <w:rPr>
          <w:rFonts w:ascii="Times New Roman" w:hAnsi="Times New Roman"/>
          <w:lang w:val="en-GB"/>
        </w:rPr>
        <w:t xml:space="preserve"> FTIR and XPS studies, may govern these interactions.</w:t>
      </w:r>
    </w:p>
    <w:p w14:paraId="5BEB4E8D" w14:textId="252843F4" w:rsidR="0058579C" w:rsidRPr="000D3625" w:rsidRDefault="0058579C" w:rsidP="00EB7368">
      <w:pPr>
        <w:spacing w:after="0" w:line="240" w:lineRule="auto"/>
        <w:ind w:firstLine="284"/>
        <w:jc w:val="both"/>
        <w:rPr>
          <w:rFonts w:ascii="Times New Roman" w:hAnsi="Times New Roman"/>
          <w:spacing w:val="-2"/>
          <w:lang w:val="en-GB"/>
        </w:rPr>
      </w:pPr>
      <w:r w:rsidRPr="000D3625">
        <w:rPr>
          <w:rFonts w:ascii="Times New Roman" w:hAnsi="Times New Roman"/>
          <w:spacing w:val="-2"/>
          <w:lang w:val="en-GB"/>
        </w:rPr>
        <w:t xml:space="preserve">The value of </w:t>
      </w:r>
      <w:r w:rsidR="000D3625" w:rsidRPr="000D3625">
        <w:rPr>
          <w:rFonts w:ascii="Times New Roman" w:hAnsi="Times New Roman"/>
          <w:spacing w:val="-2"/>
          <w:lang w:val="en-GB"/>
        </w:rPr>
        <w:t>the entropy change (ΔS° = −0.002598 kJ mol</w:t>
      </w:r>
      <w:r w:rsidR="000D3625" w:rsidRPr="00D05689">
        <w:rPr>
          <w:rFonts w:ascii="Times New Roman" w:hAnsi="Times New Roman"/>
          <w:spacing w:val="-2"/>
          <w:vertAlign w:val="superscript"/>
          <w:lang w:val="en-GB"/>
        </w:rPr>
        <w:t>-1</w:t>
      </w:r>
      <w:r w:rsidR="000D3625" w:rsidRPr="000D3625">
        <w:rPr>
          <w:rFonts w:ascii="Times New Roman" w:hAnsi="Times New Roman"/>
          <w:spacing w:val="-2"/>
          <w:lang w:val="en-GB"/>
        </w:rPr>
        <w:t xml:space="preserve"> K</w:t>
      </w:r>
      <w:r w:rsidR="000D3625" w:rsidRPr="00D05689">
        <w:rPr>
          <w:rFonts w:ascii="Times New Roman" w:hAnsi="Times New Roman"/>
          <w:spacing w:val="-2"/>
          <w:vertAlign w:val="superscript"/>
          <w:lang w:val="en-GB"/>
        </w:rPr>
        <w:t>-1</w:t>
      </w:r>
      <w:r w:rsidR="000D3625" w:rsidRPr="000D3625">
        <w:rPr>
          <w:rFonts w:ascii="Times New Roman" w:hAnsi="Times New Roman"/>
          <w:spacing w:val="-2"/>
          <w:lang w:val="en-GB"/>
        </w:rPr>
        <w:t>) was also found to be negative, indicating that the degree of disorder at the solid solution interface decreases as adsorption progresse</w:t>
      </w:r>
      <w:r w:rsidR="000B582F" w:rsidRPr="000D3625">
        <w:rPr>
          <w:rFonts w:ascii="Times New Roman" w:hAnsi="Times New Roman"/>
          <w:spacing w:val="-2"/>
          <w:lang w:val="en-GB"/>
        </w:rPr>
        <w:t>s</w:t>
      </w:r>
      <w:r w:rsidRPr="000D3625">
        <w:rPr>
          <w:rFonts w:ascii="Times New Roman" w:hAnsi="Times New Roman"/>
          <w:spacing w:val="-2"/>
          <w:lang w:val="en-GB"/>
        </w:rPr>
        <w:t>. This decrease in entropy indicates that</w:t>
      </w:r>
      <w:r w:rsidR="000D3625" w:rsidRPr="000D3625">
        <w:rPr>
          <w:rFonts w:ascii="Times New Roman" w:hAnsi="Times New Roman"/>
          <w:spacing w:val="-2"/>
          <w:lang w:val="en-GB"/>
        </w:rPr>
        <w:t>, upon immobilization on the GBHP surface, the MG molecules adopt a more aligned configuration than the freely moving molecules in the aqueous phase, replacing the less orderly aqueous-phase molecules with a more orderly</w:t>
      </w:r>
      <w:r w:rsidRPr="000D3625">
        <w:rPr>
          <w:rFonts w:ascii="Times New Roman" w:hAnsi="Times New Roman"/>
          <w:spacing w:val="-2"/>
          <w:lang w:val="en-GB"/>
        </w:rPr>
        <w:t xml:space="preserve"> adsorbed layer. The negative entropy change is also attributed to the establishment of stable adsorbate</w:t>
      </w:r>
      <w:r w:rsidR="000D3625" w:rsidRPr="000D3625">
        <w:rPr>
          <w:rFonts w:ascii="Times New Roman" w:hAnsi="Times New Roman"/>
          <w:spacing w:val="-2"/>
          <w:lang w:val="en-GB"/>
        </w:rPr>
        <w:t>–adsorbent interactions and suggests a decrease in</w:t>
      </w:r>
      <w:r w:rsidRPr="000D3625">
        <w:rPr>
          <w:rFonts w:ascii="Times New Roman" w:hAnsi="Times New Roman"/>
          <w:spacing w:val="-2"/>
          <w:lang w:val="en-GB"/>
        </w:rPr>
        <w:t xml:space="preserve"> configurational freedom at equilibrium.</w:t>
      </w:r>
    </w:p>
    <w:p w14:paraId="22359D0B" w14:textId="77777777" w:rsidR="00EB7368" w:rsidRPr="00536D16" w:rsidRDefault="00EB7368" w:rsidP="00EB7368">
      <w:pPr>
        <w:spacing w:after="0" w:line="240" w:lineRule="auto"/>
        <w:ind w:firstLine="284"/>
        <w:jc w:val="both"/>
        <w:rPr>
          <w:rFonts w:ascii="Times New Roman" w:hAnsi="Times New Roman"/>
          <w:lang w:val="en-GB"/>
        </w:rPr>
      </w:pPr>
    </w:p>
    <w:p w14:paraId="613DCAC3" w14:textId="249AECFC" w:rsidR="0021019F" w:rsidRPr="00536D16" w:rsidRDefault="0021019F" w:rsidP="00EB7368">
      <w:pPr>
        <w:pStyle w:val="Rtab"/>
        <w:rPr>
          <w:lang w:val="en-GB"/>
        </w:rPr>
      </w:pPr>
      <w:r w:rsidRPr="00536D16">
        <w:rPr>
          <w:b/>
          <w:bCs/>
          <w:lang w:val="en-GB"/>
        </w:rPr>
        <w:t>Table 3</w:t>
      </w:r>
      <w:r w:rsidR="00EB7368" w:rsidRPr="00536D16">
        <w:rPr>
          <w:b/>
          <w:bCs/>
          <w:lang w:val="en-GB"/>
        </w:rPr>
        <w:t>.</w:t>
      </w:r>
      <w:r w:rsidRPr="00536D16">
        <w:rPr>
          <w:lang w:val="en-GB"/>
        </w:rPr>
        <w:t xml:space="preserve"> Thermodynamic parameters for MG adsorption onto GBHP</w:t>
      </w:r>
    </w:p>
    <w:tbl>
      <w:tblPr>
        <w:tblW w:w="5000" w:type="pct"/>
        <w:tblLook w:val="04A0" w:firstRow="1" w:lastRow="0" w:firstColumn="1" w:lastColumn="0" w:noHBand="0" w:noVBand="1"/>
      </w:tblPr>
      <w:tblGrid>
        <w:gridCol w:w="2410"/>
        <w:gridCol w:w="1843"/>
        <w:gridCol w:w="1985"/>
        <w:gridCol w:w="2126"/>
        <w:gridCol w:w="1274"/>
      </w:tblGrid>
      <w:tr w:rsidR="0021019F" w:rsidRPr="00536D16" w14:paraId="42849F62" w14:textId="77777777" w:rsidTr="00E42965">
        <w:trPr>
          <w:trHeight w:val="397"/>
        </w:trPr>
        <w:tc>
          <w:tcPr>
            <w:tcW w:w="1250" w:type="pct"/>
            <w:tcBorders>
              <w:top w:val="single" w:sz="4" w:space="0" w:color="auto"/>
              <w:bottom w:val="single" w:sz="4" w:space="0" w:color="auto"/>
            </w:tcBorders>
            <w:vAlign w:val="center"/>
          </w:tcPr>
          <w:p w14:paraId="1A9895A6" w14:textId="77777777" w:rsidR="0021019F" w:rsidRPr="00536D16" w:rsidRDefault="0021019F" w:rsidP="00DF3BDC">
            <w:pPr>
              <w:spacing w:after="0"/>
              <w:rPr>
                <w:rFonts w:ascii="Times New Roman" w:hAnsi="Times New Roman"/>
                <w:sz w:val="20"/>
                <w:szCs w:val="20"/>
                <w:lang w:val="en-GB"/>
              </w:rPr>
            </w:pPr>
            <w:r w:rsidRPr="00536D16">
              <w:rPr>
                <w:rFonts w:ascii="Times New Roman" w:hAnsi="Times New Roman"/>
                <w:sz w:val="20"/>
                <w:szCs w:val="20"/>
                <w:lang w:val="en-GB"/>
              </w:rPr>
              <w:t>Temperature (Kelvin)</w:t>
            </w:r>
          </w:p>
        </w:tc>
        <w:tc>
          <w:tcPr>
            <w:tcW w:w="3750" w:type="pct"/>
            <w:gridSpan w:val="4"/>
            <w:tcBorders>
              <w:top w:val="single" w:sz="4" w:space="0" w:color="auto"/>
              <w:bottom w:val="single" w:sz="4" w:space="0" w:color="auto"/>
            </w:tcBorders>
            <w:vAlign w:val="center"/>
          </w:tcPr>
          <w:p w14:paraId="6AB1CFFA" w14:textId="77777777" w:rsidR="0021019F" w:rsidRPr="00536D16" w:rsidRDefault="0021019F" w:rsidP="00DF3BDC">
            <w:pPr>
              <w:spacing w:after="0"/>
              <w:jc w:val="center"/>
              <w:rPr>
                <w:rFonts w:ascii="Times New Roman" w:hAnsi="Times New Roman"/>
                <w:sz w:val="20"/>
                <w:szCs w:val="20"/>
                <w:lang w:val="en-GB"/>
              </w:rPr>
            </w:pPr>
            <w:r w:rsidRPr="00536D16">
              <w:rPr>
                <w:rFonts w:ascii="Times New Roman" w:hAnsi="Times New Roman"/>
                <w:sz w:val="20"/>
                <w:szCs w:val="20"/>
                <w:lang w:val="en-GB"/>
              </w:rPr>
              <w:t>Thermodynamic Parameters</w:t>
            </w:r>
          </w:p>
        </w:tc>
      </w:tr>
      <w:tr w:rsidR="0021019F" w:rsidRPr="00536D16" w14:paraId="4FD43D2D" w14:textId="77777777" w:rsidTr="00E42965">
        <w:trPr>
          <w:trHeight w:val="397"/>
        </w:trPr>
        <w:tc>
          <w:tcPr>
            <w:tcW w:w="1250" w:type="pct"/>
            <w:tcBorders>
              <w:top w:val="single" w:sz="4" w:space="0" w:color="auto"/>
              <w:bottom w:val="single" w:sz="4" w:space="0" w:color="auto"/>
            </w:tcBorders>
          </w:tcPr>
          <w:p w14:paraId="74E34C37" w14:textId="77777777" w:rsidR="0021019F" w:rsidRPr="00536D16" w:rsidRDefault="0021019F" w:rsidP="009A75DD">
            <w:pPr>
              <w:spacing w:after="0"/>
              <w:rPr>
                <w:rFonts w:ascii="Times New Roman" w:hAnsi="Times New Roman"/>
                <w:sz w:val="20"/>
                <w:szCs w:val="20"/>
                <w:lang w:val="en-GB"/>
              </w:rPr>
            </w:pPr>
          </w:p>
        </w:tc>
        <w:tc>
          <w:tcPr>
            <w:tcW w:w="956" w:type="pct"/>
            <w:tcBorders>
              <w:top w:val="single" w:sz="4" w:space="0" w:color="auto"/>
              <w:bottom w:val="single" w:sz="4" w:space="0" w:color="auto"/>
            </w:tcBorders>
            <w:vAlign w:val="center"/>
          </w:tcPr>
          <w:p w14:paraId="4EEFBD1C" w14:textId="77777777" w:rsidR="0021019F" w:rsidRPr="00536D16" w:rsidRDefault="0021019F" w:rsidP="00620CB9">
            <w:pPr>
              <w:spacing w:after="0"/>
              <w:rPr>
                <w:rFonts w:ascii="Times New Roman" w:hAnsi="Times New Roman"/>
                <w:sz w:val="20"/>
                <w:szCs w:val="20"/>
                <w:lang w:val="en-GB"/>
              </w:rPr>
            </w:pPr>
            <w:r w:rsidRPr="00536D16">
              <w:rPr>
                <w:rFonts w:ascii="Times New Roman" w:hAnsi="Times New Roman"/>
                <w:sz w:val="20"/>
                <w:szCs w:val="20"/>
                <w:lang w:val="en-GB"/>
              </w:rPr>
              <w:t>ΔG</w:t>
            </w:r>
            <w:r w:rsidRPr="00536D16">
              <w:rPr>
                <w:rFonts w:ascii="Times New Roman" w:hAnsi="Times New Roman"/>
                <w:sz w:val="20"/>
                <w:szCs w:val="20"/>
                <w:vertAlign w:val="superscript"/>
                <w:lang w:val="en-GB"/>
              </w:rPr>
              <w:t>0</w:t>
            </w:r>
            <w:r w:rsidRPr="00536D16">
              <w:rPr>
                <w:rFonts w:ascii="Times New Roman" w:hAnsi="Times New Roman"/>
                <w:sz w:val="20"/>
                <w:szCs w:val="20"/>
                <w:lang w:val="en-GB"/>
              </w:rPr>
              <w:t>(kJmol</w:t>
            </w:r>
            <w:r w:rsidRPr="009155D4">
              <w:rPr>
                <w:rFonts w:ascii="Times New Roman" w:hAnsi="Times New Roman"/>
                <w:sz w:val="20"/>
                <w:szCs w:val="20"/>
                <w:vertAlign w:val="superscript"/>
                <w:lang w:val="en-GB"/>
              </w:rPr>
              <w:t>-1</w:t>
            </w:r>
            <w:r w:rsidRPr="00536D16">
              <w:rPr>
                <w:rFonts w:ascii="Times New Roman" w:hAnsi="Times New Roman"/>
                <w:sz w:val="20"/>
                <w:szCs w:val="20"/>
                <w:lang w:val="en-GB"/>
              </w:rPr>
              <w:t>)</w:t>
            </w:r>
          </w:p>
        </w:tc>
        <w:tc>
          <w:tcPr>
            <w:tcW w:w="1030" w:type="pct"/>
            <w:tcBorders>
              <w:top w:val="single" w:sz="4" w:space="0" w:color="auto"/>
              <w:bottom w:val="single" w:sz="4" w:space="0" w:color="auto"/>
            </w:tcBorders>
            <w:vAlign w:val="center"/>
          </w:tcPr>
          <w:p w14:paraId="5E36C0FF" w14:textId="05E08157" w:rsidR="0021019F" w:rsidRPr="00536D16" w:rsidRDefault="0021019F" w:rsidP="00620CB9">
            <w:pPr>
              <w:spacing w:after="0"/>
              <w:rPr>
                <w:rFonts w:ascii="Times New Roman" w:hAnsi="Times New Roman"/>
                <w:sz w:val="20"/>
                <w:szCs w:val="20"/>
                <w:lang w:val="en-GB"/>
              </w:rPr>
            </w:pPr>
            <w:r w:rsidRPr="00536D16">
              <w:rPr>
                <w:rFonts w:ascii="Times New Roman" w:hAnsi="Times New Roman"/>
                <w:sz w:val="20"/>
                <w:szCs w:val="20"/>
                <w:lang w:val="en-GB"/>
              </w:rPr>
              <w:t>ΔH</w:t>
            </w:r>
            <w:r w:rsidRPr="00536D16">
              <w:rPr>
                <w:rFonts w:ascii="Times New Roman" w:hAnsi="Times New Roman"/>
                <w:sz w:val="20"/>
                <w:szCs w:val="20"/>
                <w:vertAlign w:val="superscript"/>
                <w:lang w:val="en-GB"/>
              </w:rPr>
              <w:t>0</w:t>
            </w:r>
            <w:r w:rsidRPr="00536D16">
              <w:rPr>
                <w:rFonts w:ascii="Times New Roman" w:hAnsi="Times New Roman"/>
                <w:sz w:val="20"/>
                <w:szCs w:val="20"/>
                <w:lang w:val="en-GB"/>
              </w:rPr>
              <w:t>(kJmol</w:t>
            </w:r>
            <w:r w:rsidRPr="009155D4">
              <w:rPr>
                <w:rFonts w:ascii="Times New Roman" w:hAnsi="Times New Roman"/>
                <w:sz w:val="20"/>
                <w:szCs w:val="20"/>
                <w:vertAlign w:val="superscript"/>
                <w:lang w:val="en-GB"/>
              </w:rPr>
              <w:t>-1</w:t>
            </w:r>
            <w:r w:rsidRPr="00536D16">
              <w:rPr>
                <w:rFonts w:ascii="Times New Roman" w:hAnsi="Times New Roman"/>
                <w:sz w:val="20"/>
                <w:szCs w:val="20"/>
                <w:lang w:val="en-GB"/>
              </w:rPr>
              <w:t>)</w:t>
            </w:r>
          </w:p>
        </w:tc>
        <w:tc>
          <w:tcPr>
            <w:tcW w:w="1103" w:type="pct"/>
            <w:tcBorders>
              <w:top w:val="single" w:sz="4" w:space="0" w:color="auto"/>
              <w:bottom w:val="single" w:sz="4" w:space="0" w:color="auto"/>
            </w:tcBorders>
            <w:vAlign w:val="center"/>
          </w:tcPr>
          <w:p w14:paraId="7596F111" w14:textId="3AC96D3C" w:rsidR="0021019F" w:rsidRPr="00536D16" w:rsidRDefault="0021019F" w:rsidP="00620CB9">
            <w:pPr>
              <w:spacing w:after="0"/>
              <w:rPr>
                <w:rFonts w:ascii="Times New Roman" w:hAnsi="Times New Roman"/>
                <w:sz w:val="20"/>
                <w:szCs w:val="20"/>
                <w:lang w:val="en-GB"/>
              </w:rPr>
            </w:pPr>
            <w:r w:rsidRPr="00536D16">
              <w:rPr>
                <w:rFonts w:ascii="Times New Roman" w:hAnsi="Times New Roman"/>
                <w:sz w:val="20"/>
                <w:szCs w:val="20"/>
                <w:lang w:val="en-GB"/>
              </w:rPr>
              <w:t>ΔS</w:t>
            </w:r>
            <w:r w:rsidRPr="00536D16">
              <w:rPr>
                <w:rFonts w:ascii="Times New Roman" w:hAnsi="Times New Roman"/>
                <w:sz w:val="20"/>
                <w:szCs w:val="20"/>
                <w:vertAlign w:val="superscript"/>
                <w:lang w:val="en-GB"/>
              </w:rPr>
              <w:t>0</w:t>
            </w:r>
            <w:r w:rsidRPr="00536D16">
              <w:rPr>
                <w:rFonts w:ascii="Times New Roman" w:hAnsi="Times New Roman"/>
                <w:sz w:val="20"/>
                <w:szCs w:val="20"/>
                <w:lang w:val="en-GB"/>
              </w:rPr>
              <w:t>(kJmol</w:t>
            </w:r>
            <w:r w:rsidRPr="009155D4">
              <w:rPr>
                <w:rFonts w:ascii="Times New Roman" w:hAnsi="Times New Roman"/>
                <w:sz w:val="20"/>
                <w:szCs w:val="20"/>
                <w:vertAlign w:val="superscript"/>
                <w:lang w:val="en-GB"/>
              </w:rPr>
              <w:t>-1</w:t>
            </w:r>
            <w:r w:rsidRPr="00536D16">
              <w:rPr>
                <w:rFonts w:ascii="Times New Roman" w:hAnsi="Times New Roman"/>
                <w:sz w:val="20"/>
                <w:szCs w:val="20"/>
                <w:lang w:val="en-GB"/>
              </w:rPr>
              <w:t>K</w:t>
            </w:r>
            <w:r w:rsidRPr="009155D4">
              <w:rPr>
                <w:rFonts w:ascii="Times New Roman" w:hAnsi="Times New Roman"/>
                <w:sz w:val="20"/>
                <w:szCs w:val="20"/>
                <w:vertAlign w:val="superscript"/>
                <w:lang w:val="en-GB"/>
              </w:rPr>
              <w:t>-1</w:t>
            </w:r>
            <w:r w:rsidRPr="00536D16">
              <w:rPr>
                <w:rFonts w:ascii="Times New Roman" w:hAnsi="Times New Roman"/>
                <w:sz w:val="20"/>
                <w:szCs w:val="20"/>
                <w:lang w:val="en-GB"/>
              </w:rPr>
              <w:t>)</w:t>
            </w:r>
          </w:p>
        </w:tc>
        <w:tc>
          <w:tcPr>
            <w:tcW w:w="661" w:type="pct"/>
            <w:tcBorders>
              <w:top w:val="single" w:sz="4" w:space="0" w:color="auto"/>
              <w:bottom w:val="single" w:sz="4" w:space="0" w:color="auto"/>
            </w:tcBorders>
            <w:vAlign w:val="center"/>
          </w:tcPr>
          <w:p w14:paraId="3AAB11BC" w14:textId="77777777" w:rsidR="0021019F" w:rsidRPr="00536D16" w:rsidRDefault="0021019F" w:rsidP="00D05689">
            <w:pPr>
              <w:spacing w:after="0"/>
              <w:ind w:left="173"/>
              <w:rPr>
                <w:rFonts w:ascii="Times New Roman" w:hAnsi="Times New Roman"/>
                <w:sz w:val="20"/>
                <w:szCs w:val="20"/>
                <w:lang w:val="en-GB"/>
              </w:rPr>
            </w:pPr>
            <w:r w:rsidRPr="00536D16">
              <w:rPr>
                <w:rFonts w:ascii="Times New Roman" w:hAnsi="Times New Roman"/>
                <w:sz w:val="20"/>
                <w:szCs w:val="20"/>
                <w:lang w:val="en-GB"/>
              </w:rPr>
              <w:t>R</w:t>
            </w:r>
            <w:r w:rsidRPr="00536D16">
              <w:rPr>
                <w:rFonts w:ascii="Times New Roman" w:hAnsi="Times New Roman"/>
                <w:sz w:val="20"/>
                <w:szCs w:val="20"/>
                <w:vertAlign w:val="superscript"/>
                <w:lang w:val="en-GB"/>
              </w:rPr>
              <w:t>2</w:t>
            </w:r>
          </w:p>
        </w:tc>
      </w:tr>
      <w:tr w:rsidR="0021019F" w:rsidRPr="00536D16" w14:paraId="43240B5C" w14:textId="77777777" w:rsidTr="00D05689">
        <w:tc>
          <w:tcPr>
            <w:tcW w:w="1250" w:type="pct"/>
            <w:tcBorders>
              <w:top w:val="single" w:sz="4" w:space="0" w:color="auto"/>
              <w:bottom w:val="single" w:sz="4" w:space="0" w:color="auto"/>
            </w:tcBorders>
            <w:vAlign w:val="center"/>
          </w:tcPr>
          <w:p w14:paraId="1C3BC60F" w14:textId="77777777" w:rsidR="0021019F" w:rsidRPr="00536D16" w:rsidRDefault="0021019F" w:rsidP="00620CB9">
            <w:pPr>
              <w:spacing w:after="0"/>
              <w:ind w:left="598"/>
              <w:rPr>
                <w:rFonts w:ascii="Times New Roman" w:hAnsi="Times New Roman"/>
                <w:sz w:val="20"/>
                <w:szCs w:val="20"/>
                <w:lang w:val="en-GB"/>
              </w:rPr>
            </w:pPr>
            <w:r w:rsidRPr="00536D16">
              <w:rPr>
                <w:rFonts w:ascii="Times New Roman" w:hAnsi="Times New Roman"/>
                <w:sz w:val="20"/>
                <w:szCs w:val="20"/>
                <w:lang w:val="en-GB"/>
              </w:rPr>
              <w:t>293</w:t>
            </w:r>
          </w:p>
        </w:tc>
        <w:tc>
          <w:tcPr>
            <w:tcW w:w="956" w:type="pct"/>
            <w:tcBorders>
              <w:top w:val="single" w:sz="4" w:space="0" w:color="auto"/>
              <w:bottom w:val="single" w:sz="4" w:space="0" w:color="auto"/>
            </w:tcBorders>
            <w:vAlign w:val="center"/>
          </w:tcPr>
          <w:p w14:paraId="3C29F7B4" w14:textId="41E8AA5E" w:rsidR="0021019F" w:rsidRPr="00536D16" w:rsidRDefault="0021019F" w:rsidP="00D05689">
            <w:pPr>
              <w:spacing w:after="0"/>
              <w:ind w:left="178"/>
              <w:rPr>
                <w:rFonts w:ascii="Times New Roman" w:hAnsi="Times New Roman"/>
                <w:sz w:val="20"/>
                <w:szCs w:val="20"/>
                <w:lang w:val="en-GB"/>
              </w:rPr>
            </w:pPr>
            <w:r w:rsidRPr="00536D16">
              <w:rPr>
                <w:rFonts w:ascii="Times New Roman" w:hAnsi="Times New Roman"/>
                <w:sz w:val="20"/>
                <w:szCs w:val="20"/>
                <w:lang w:val="en-GB"/>
              </w:rPr>
              <w:t>-</w:t>
            </w:r>
            <w:r w:rsidR="00834FEF" w:rsidRPr="00536D16">
              <w:rPr>
                <w:rFonts w:ascii="Times New Roman" w:hAnsi="Times New Roman"/>
                <w:sz w:val="20"/>
                <w:szCs w:val="20"/>
                <w:lang w:val="en-GB"/>
              </w:rPr>
              <w:t>2.690</w:t>
            </w:r>
          </w:p>
        </w:tc>
        <w:tc>
          <w:tcPr>
            <w:tcW w:w="1030" w:type="pct"/>
            <w:tcBorders>
              <w:top w:val="single" w:sz="4" w:space="0" w:color="auto"/>
              <w:bottom w:val="single" w:sz="4" w:space="0" w:color="auto"/>
            </w:tcBorders>
            <w:vAlign w:val="center"/>
          </w:tcPr>
          <w:p w14:paraId="31108E75" w14:textId="3B3535A2" w:rsidR="0021019F" w:rsidRPr="00536D16" w:rsidRDefault="0021019F" w:rsidP="00D05689">
            <w:pPr>
              <w:spacing w:after="0"/>
              <w:ind w:left="176"/>
              <w:rPr>
                <w:rFonts w:ascii="Times New Roman" w:hAnsi="Times New Roman"/>
                <w:sz w:val="20"/>
                <w:szCs w:val="20"/>
                <w:lang w:val="en-GB"/>
              </w:rPr>
            </w:pPr>
            <w:r w:rsidRPr="00536D16">
              <w:rPr>
                <w:rFonts w:ascii="Times New Roman" w:hAnsi="Times New Roman"/>
                <w:sz w:val="20"/>
                <w:szCs w:val="20"/>
                <w:lang w:val="en-GB"/>
              </w:rPr>
              <w:t>-3</w:t>
            </w:r>
            <w:r w:rsidR="00834FEF" w:rsidRPr="00536D16">
              <w:rPr>
                <w:rFonts w:ascii="Times New Roman" w:hAnsi="Times New Roman"/>
                <w:sz w:val="20"/>
                <w:szCs w:val="20"/>
                <w:lang w:val="en-GB"/>
              </w:rPr>
              <w:t>.451</w:t>
            </w:r>
          </w:p>
        </w:tc>
        <w:tc>
          <w:tcPr>
            <w:tcW w:w="1103" w:type="pct"/>
            <w:tcBorders>
              <w:top w:val="single" w:sz="4" w:space="0" w:color="auto"/>
              <w:bottom w:val="single" w:sz="4" w:space="0" w:color="auto"/>
            </w:tcBorders>
            <w:vAlign w:val="center"/>
          </w:tcPr>
          <w:p w14:paraId="6335DEB7" w14:textId="361C49FC" w:rsidR="0021019F" w:rsidRPr="00536D16" w:rsidRDefault="0021019F" w:rsidP="00D05689">
            <w:pPr>
              <w:spacing w:after="0"/>
              <w:ind w:left="175"/>
              <w:rPr>
                <w:rFonts w:ascii="Times New Roman" w:hAnsi="Times New Roman"/>
                <w:sz w:val="20"/>
                <w:szCs w:val="20"/>
                <w:lang w:val="en-GB"/>
              </w:rPr>
            </w:pPr>
            <w:r w:rsidRPr="00536D16">
              <w:rPr>
                <w:rFonts w:ascii="Times New Roman" w:hAnsi="Times New Roman"/>
                <w:sz w:val="20"/>
                <w:szCs w:val="20"/>
                <w:lang w:val="en-GB"/>
              </w:rPr>
              <w:t>- 0.0</w:t>
            </w:r>
            <w:r w:rsidR="00834FEF" w:rsidRPr="00536D16">
              <w:rPr>
                <w:rFonts w:ascii="Times New Roman" w:hAnsi="Times New Roman"/>
                <w:sz w:val="20"/>
                <w:szCs w:val="20"/>
                <w:lang w:val="en-GB"/>
              </w:rPr>
              <w:t>02598</w:t>
            </w:r>
          </w:p>
        </w:tc>
        <w:tc>
          <w:tcPr>
            <w:tcW w:w="661" w:type="pct"/>
            <w:tcBorders>
              <w:top w:val="single" w:sz="4" w:space="0" w:color="auto"/>
              <w:bottom w:val="single" w:sz="4" w:space="0" w:color="auto"/>
            </w:tcBorders>
            <w:vAlign w:val="center"/>
          </w:tcPr>
          <w:p w14:paraId="24AE05DF" w14:textId="77777777" w:rsidR="0021019F" w:rsidRPr="00536D16" w:rsidRDefault="0021019F" w:rsidP="00620CB9">
            <w:pPr>
              <w:spacing w:after="0"/>
              <w:rPr>
                <w:rFonts w:ascii="Times New Roman" w:hAnsi="Times New Roman"/>
                <w:sz w:val="20"/>
                <w:szCs w:val="20"/>
                <w:lang w:val="en-GB"/>
              </w:rPr>
            </w:pPr>
            <w:r w:rsidRPr="00536D16">
              <w:rPr>
                <w:rFonts w:ascii="Times New Roman" w:hAnsi="Times New Roman"/>
                <w:sz w:val="20"/>
                <w:szCs w:val="20"/>
                <w:lang w:val="en-GB"/>
              </w:rPr>
              <w:t>0.9899</w:t>
            </w:r>
          </w:p>
        </w:tc>
      </w:tr>
      <w:tr w:rsidR="0021019F" w:rsidRPr="00536D16" w14:paraId="4F03350F" w14:textId="77777777" w:rsidTr="00D05689">
        <w:tc>
          <w:tcPr>
            <w:tcW w:w="1250" w:type="pct"/>
            <w:tcBorders>
              <w:top w:val="single" w:sz="4" w:space="0" w:color="auto"/>
              <w:bottom w:val="single" w:sz="4" w:space="0" w:color="auto"/>
            </w:tcBorders>
            <w:vAlign w:val="center"/>
          </w:tcPr>
          <w:p w14:paraId="58D4AFF9" w14:textId="77777777" w:rsidR="0021019F" w:rsidRPr="00536D16" w:rsidRDefault="0021019F" w:rsidP="00620CB9">
            <w:pPr>
              <w:spacing w:after="0"/>
              <w:ind w:left="598"/>
              <w:rPr>
                <w:rFonts w:ascii="Times New Roman" w:hAnsi="Times New Roman"/>
                <w:sz w:val="20"/>
                <w:szCs w:val="20"/>
                <w:lang w:val="en-GB"/>
              </w:rPr>
            </w:pPr>
            <w:r w:rsidRPr="00536D16">
              <w:rPr>
                <w:rFonts w:ascii="Times New Roman" w:hAnsi="Times New Roman"/>
                <w:sz w:val="20"/>
                <w:szCs w:val="20"/>
                <w:lang w:val="en-GB"/>
              </w:rPr>
              <w:t>298</w:t>
            </w:r>
          </w:p>
        </w:tc>
        <w:tc>
          <w:tcPr>
            <w:tcW w:w="956" w:type="pct"/>
            <w:tcBorders>
              <w:top w:val="single" w:sz="4" w:space="0" w:color="auto"/>
              <w:bottom w:val="single" w:sz="4" w:space="0" w:color="auto"/>
            </w:tcBorders>
            <w:vAlign w:val="center"/>
          </w:tcPr>
          <w:p w14:paraId="726FBE58" w14:textId="638D4C09" w:rsidR="0021019F" w:rsidRPr="00536D16" w:rsidRDefault="0021019F" w:rsidP="00D05689">
            <w:pPr>
              <w:spacing w:after="0"/>
              <w:ind w:left="178"/>
              <w:rPr>
                <w:rFonts w:ascii="Times New Roman" w:hAnsi="Times New Roman"/>
                <w:sz w:val="20"/>
                <w:szCs w:val="20"/>
                <w:lang w:val="en-GB"/>
              </w:rPr>
            </w:pPr>
            <w:r w:rsidRPr="00536D16">
              <w:rPr>
                <w:rFonts w:ascii="Times New Roman" w:hAnsi="Times New Roman"/>
                <w:sz w:val="20"/>
                <w:szCs w:val="20"/>
                <w:lang w:val="en-GB"/>
              </w:rPr>
              <w:t>-</w:t>
            </w:r>
            <w:r w:rsidR="00834FEF" w:rsidRPr="00536D16">
              <w:rPr>
                <w:rFonts w:ascii="Times New Roman" w:hAnsi="Times New Roman"/>
                <w:sz w:val="20"/>
                <w:szCs w:val="20"/>
                <w:lang w:val="en-GB"/>
              </w:rPr>
              <w:t>2.677</w:t>
            </w:r>
          </w:p>
        </w:tc>
        <w:tc>
          <w:tcPr>
            <w:tcW w:w="1030" w:type="pct"/>
            <w:tcBorders>
              <w:top w:val="single" w:sz="4" w:space="0" w:color="auto"/>
              <w:bottom w:val="single" w:sz="4" w:space="0" w:color="auto"/>
            </w:tcBorders>
            <w:vAlign w:val="center"/>
          </w:tcPr>
          <w:p w14:paraId="43E61C79" w14:textId="77777777" w:rsidR="0021019F" w:rsidRPr="00536D16" w:rsidRDefault="0021019F" w:rsidP="00620CB9">
            <w:pPr>
              <w:spacing w:after="0"/>
              <w:rPr>
                <w:rFonts w:ascii="Times New Roman" w:hAnsi="Times New Roman"/>
                <w:sz w:val="20"/>
                <w:szCs w:val="20"/>
                <w:lang w:val="en-GB"/>
              </w:rPr>
            </w:pPr>
          </w:p>
        </w:tc>
        <w:tc>
          <w:tcPr>
            <w:tcW w:w="1103" w:type="pct"/>
            <w:tcBorders>
              <w:top w:val="single" w:sz="4" w:space="0" w:color="auto"/>
              <w:bottom w:val="single" w:sz="4" w:space="0" w:color="auto"/>
            </w:tcBorders>
            <w:vAlign w:val="center"/>
          </w:tcPr>
          <w:p w14:paraId="6DDF1403" w14:textId="77777777" w:rsidR="0021019F" w:rsidRPr="00536D16" w:rsidRDefault="0021019F" w:rsidP="00620CB9">
            <w:pPr>
              <w:spacing w:after="0"/>
              <w:rPr>
                <w:rFonts w:ascii="Times New Roman" w:hAnsi="Times New Roman"/>
                <w:sz w:val="20"/>
                <w:szCs w:val="20"/>
                <w:lang w:val="en-GB"/>
              </w:rPr>
            </w:pPr>
          </w:p>
        </w:tc>
        <w:tc>
          <w:tcPr>
            <w:tcW w:w="661" w:type="pct"/>
            <w:tcBorders>
              <w:top w:val="single" w:sz="4" w:space="0" w:color="auto"/>
              <w:bottom w:val="single" w:sz="4" w:space="0" w:color="auto"/>
            </w:tcBorders>
            <w:vAlign w:val="center"/>
          </w:tcPr>
          <w:p w14:paraId="220FB0ED" w14:textId="77777777" w:rsidR="0021019F" w:rsidRPr="00536D16" w:rsidRDefault="0021019F" w:rsidP="00620CB9">
            <w:pPr>
              <w:spacing w:after="0"/>
              <w:rPr>
                <w:rFonts w:ascii="Times New Roman" w:hAnsi="Times New Roman"/>
                <w:sz w:val="20"/>
                <w:szCs w:val="20"/>
                <w:lang w:val="en-GB"/>
              </w:rPr>
            </w:pPr>
          </w:p>
        </w:tc>
      </w:tr>
      <w:tr w:rsidR="0021019F" w:rsidRPr="00536D16" w14:paraId="313F7168" w14:textId="77777777" w:rsidTr="00D05689">
        <w:tc>
          <w:tcPr>
            <w:tcW w:w="1250" w:type="pct"/>
            <w:tcBorders>
              <w:top w:val="single" w:sz="4" w:space="0" w:color="auto"/>
              <w:bottom w:val="single" w:sz="4" w:space="0" w:color="auto"/>
            </w:tcBorders>
            <w:vAlign w:val="center"/>
          </w:tcPr>
          <w:p w14:paraId="49176CCC" w14:textId="77777777" w:rsidR="0021019F" w:rsidRPr="00536D16" w:rsidRDefault="0021019F" w:rsidP="00620CB9">
            <w:pPr>
              <w:spacing w:after="0"/>
              <w:ind w:left="598"/>
              <w:rPr>
                <w:rFonts w:ascii="Times New Roman" w:hAnsi="Times New Roman"/>
                <w:sz w:val="20"/>
                <w:szCs w:val="20"/>
                <w:lang w:val="en-GB"/>
              </w:rPr>
            </w:pPr>
            <w:r w:rsidRPr="00536D16">
              <w:rPr>
                <w:rFonts w:ascii="Times New Roman" w:hAnsi="Times New Roman"/>
                <w:sz w:val="20"/>
                <w:szCs w:val="20"/>
                <w:lang w:val="en-GB"/>
              </w:rPr>
              <w:t>303</w:t>
            </w:r>
          </w:p>
        </w:tc>
        <w:tc>
          <w:tcPr>
            <w:tcW w:w="956" w:type="pct"/>
            <w:tcBorders>
              <w:top w:val="single" w:sz="4" w:space="0" w:color="auto"/>
              <w:bottom w:val="single" w:sz="4" w:space="0" w:color="auto"/>
            </w:tcBorders>
            <w:vAlign w:val="center"/>
          </w:tcPr>
          <w:p w14:paraId="22B59A9D" w14:textId="413AD5B6" w:rsidR="0021019F" w:rsidRPr="00536D16" w:rsidRDefault="0021019F" w:rsidP="00D05689">
            <w:pPr>
              <w:spacing w:after="0"/>
              <w:ind w:left="178"/>
              <w:rPr>
                <w:rFonts w:ascii="Times New Roman" w:hAnsi="Times New Roman"/>
                <w:sz w:val="20"/>
                <w:szCs w:val="20"/>
                <w:lang w:val="en-GB"/>
              </w:rPr>
            </w:pPr>
            <w:r w:rsidRPr="00536D16">
              <w:rPr>
                <w:rFonts w:ascii="Times New Roman" w:hAnsi="Times New Roman"/>
                <w:sz w:val="20"/>
                <w:szCs w:val="20"/>
                <w:lang w:val="en-GB"/>
              </w:rPr>
              <w:t>-</w:t>
            </w:r>
            <w:r w:rsidR="00834FEF" w:rsidRPr="00536D16">
              <w:rPr>
                <w:rFonts w:ascii="Times New Roman" w:hAnsi="Times New Roman"/>
                <w:sz w:val="20"/>
                <w:szCs w:val="20"/>
                <w:lang w:val="en-GB"/>
              </w:rPr>
              <w:t>2.664</w:t>
            </w:r>
          </w:p>
        </w:tc>
        <w:tc>
          <w:tcPr>
            <w:tcW w:w="1030" w:type="pct"/>
            <w:tcBorders>
              <w:top w:val="single" w:sz="4" w:space="0" w:color="auto"/>
              <w:bottom w:val="single" w:sz="4" w:space="0" w:color="auto"/>
            </w:tcBorders>
            <w:vAlign w:val="center"/>
          </w:tcPr>
          <w:p w14:paraId="2BF93DF9" w14:textId="77777777" w:rsidR="0021019F" w:rsidRPr="00536D16" w:rsidRDefault="0021019F" w:rsidP="00620CB9">
            <w:pPr>
              <w:spacing w:after="0"/>
              <w:rPr>
                <w:rFonts w:ascii="Times New Roman" w:hAnsi="Times New Roman"/>
                <w:sz w:val="20"/>
                <w:szCs w:val="20"/>
                <w:lang w:val="en-GB"/>
              </w:rPr>
            </w:pPr>
          </w:p>
        </w:tc>
        <w:tc>
          <w:tcPr>
            <w:tcW w:w="1103" w:type="pct"/>
            <w:tcBorders>
              <w:top w:val="single" w:sz="4" w:space="0" w:color="auto"/>
              <w:bottom w:val="single" w:sz="4" w:space="0" w:color="auto"/>
            </w:tcBorders>
            <w:vAlign w:val="center"/>
          </w:tcPr>
          <w:p w14:paraId="13CB3122" w14:textId="77777777" w:rsidR="0021019F" w:rsidRPr="00536D16" w:rsidRDefault="0021019F" w:rsidP="00620CB9">
            <w:pPr>
              <w:spacing w:after="0"/>
              <w:rPr>
                <w:rFonts w:ascii="Times New Roman" w:hAnsi="Times New Roman"/>
                <w:sz w:val="20"/>
                <w:szCs w:val="20"/>
                <w:lang w:val="en-GB"/>
              </w:rPr>
            </w:pPr>
          </w:p>
        </w:tc>
        <w:tc>
          <w:tcPr>
            <w:tcW w:w="661" w:type="pct"/>
            <w:tcBorders>
              <w:top w:val="single" w:sz="4" w:space="0" w:color="auto"/>
              <w:bottom w:val="single" w:sz="4" w:space="0" w:color="auto"/>
            </w:tcBorders>
            <w:vAlign w:val="center"/>
          </w:tcPr>
          <w:p w14:paraId="75289740" w14:textId="77777777" w:rsidR="0021019F" w:rsidRPr="00536D16" w:rsidRDefault="0021019F" w:rsidP="00620CB9">
            <w:pPr>
              <w:spacing w:after="0"/>
              <w:rPr>
                <w:rFonts w:ascii="Times New Roman" w:hAnsi="Times New Roman"/>
                <w:sz w:val="20"/>
                <w:szCs w:val="20"/>
                <w:lang w:val="en-GB"/>
              </w:rPr>
            </w:pPr>
          </w:p>
        </w:tc>
      </w:tr>
      <w:tr w:rsidR="0021019F" w:rsidRPr="00536D16" w14:paraId="69D1A05B" w14:textId="77777777" w:rsidTr="00D05689">
        <w:tc>
          <w:tcPr>
            <w:tcW w:w="1250" w:type="pct"/>
            <w:tcBorders>
              <w:top w:val="single" w:sz="4" w:space="0" w:color="auto"/>
              <w:bottom w:val="single" w:sz="4" w:space="0" w:color="auto"/>
            </w:tcBorders>
            <w:vAlign w:val="center"/>
          </w:tcPr>
          <w:p w14:paraId="69EE5FB2" w14:textId="77777777" w:rsidR="0021019F" w:rsidRPr="00536D16" w:rsidRDefault="0021019F" w:rsidP="00620CB9">
            <w:pPr>
              <w:spacing w:after="0"/>
              <w:ind w:left="598"/>
              <w:rPr>
                <w:rFonts w:ascii="Times New Roman" w:hAnsi="Times New Roman"/>
                <w:sz w:val="20"/>
                <w:szCs w:val="20"/>
                <w:lang w:val="en-GB"/>
              </w:rPr>
            </w:pPr>
            <w:r w:rsidRPr="00536D16">
              <w:rPr>
                <w:rFonts w:ascii="Times New Roman" w:hAnsi="Times New Roman"/>
                <w:sz w:val="20"/>
                <w:szCs w:val="20"/>
                <w:lang w:val="en-GB"/>
              </w:rPr>
              <w:t>308</w:t>
            </w:r>
          </w:p>
        </w:tc>
        <w:tc>
          <w:tcPr>
            <w:tcW w:w="956" w:type="pct"/>
            <w:tcBorders>
              <w:top w:val="single" w:sz="4" w:space="0" w:color="auto"/>
              <w:bottom w:val="single" w:sz="4" w:space="0" w:color="auto"/>
            </w:tcBorders>
            <w:vAlign w:val="center"/>
          </w:tcPr>
          <w:p w14:paraId="78DA235A" w14:textId="16BFE268" w:rsidR="0021019F" w:rsidRPr="00536D16" w:rsidRDefault="0021019F" w:rsidP="00D05689">
            <w:pPr>
              <w:spacing w:after="0"/>
              <w:ind w:left="178"/>
              <w:rPr>
                <w:rFonts w:ascii="Times New Roman" w:hAnsi="Times New Roman"/>
                <w:sz w:val="20"/>
                <w:szCs w:val="20"/>
                <w:lang w:val="en-GB"/>
              </w:rPr>
            </w:pPr>
            <w:r w:rsidRPr="00536D16">
              <w:rPr>
                <w:rFonts w:ascii="Times New Roman" w:hAnsi="Times New Roman"/>
                <w:sz w:val="20"/>
                <w:szCs w:val="20"/>
                <w:lang w:val="en-GB"/>
              </w:rPr>
              <w:t>-</w:t>
            </w:r>
            <w:r w:rsidR="00834FEF" w:rsidRPr="00536D16">
              <w:rPr>
                <w:rFonts w:ascii="Times New Roman" w:hAnsi="Times New Roman"/>
                <w:sz w:val="20"/>
                <w:szCs w:val="20"/>
                <w:lang w:val="en-GB"/>
              </w:rPr>
              <w:t>2.651</w:t>
            </w:r>
          </w:p>
        </w:tc>
        <w:tc>
          <w:tcPr>
            <w:tcW w:w="1030" w:type="pct"/>
            <w:tcBorders>
              <w:top w:val="single" w:sz="4" w:space="0" w:color="auto"/>
              <w:bottom w:val="single" w:sz="4" w:space="0" w:color="auto"/>
            </w:tcBorders>
            <w:vAlign w:val="center"/>
          </w:tcPr>
          <w:p w14:paraId="638B1EEA" w14:textId="77777777" w:rsidR="0021019F" w:rsidRPr="00536D16" w:rsidRDefault="0021019F" w:rsidP="00620CB9">
            <w:pPr>
              <w:spacing w:after="0"/>
              <w:rPr>
                <w:rFonts w:ascii="Times New Roman" w:hAnsi="Times New Roman"/>
                <w:sz w:val="20"/>
                <w:szCs w:val="20"/>
                <w:lang w:val="en-GB"/>
              </w:rPr>
            </w:pPr>
          </w:p>
        </w:tc>
        <w:tc>
          <w:tcPr>
            <w:tcW w:w="1103" w:type="pct"/>
            <w:tcBorders>
              <w:top w:val="single" w:sz="4" w:space="0" w:color="auto"/>
              <w:bottom w:val="single" w:sz="4" w:space="0" w:color="auto"/>
            </w:tcBorders>
            <w:vAlign w:val="center"/>
          </w:tcPr>
          <w:p w14:paraId="6B2DF483" w14:textId="77777777" w:rsidR="0021019F" w:rsidRPr="00536D16" w:rsidRDefault="0021019F" w:rsidP="00620CB9">
            <w:pPr>
              <w:spacing w:after="0"/>
              <w:rPr>
                <w:rFonts w:ascii="Times New Roman" w:hAnsi="Times New Roman"/>
                <w:sz w:val="20"/>
                <w:szCs w:val="20"/>
                <w:lang w:val="en-GB"/>
              </w:rPr>
            </w:pPr>
          </w:p>
        </w:tc>
        <w:tc>
          <w:tcPr>
            <w:tcW w:w="661" w:type="pct"/>
            <w:tcBorders>
              <w:top w:val="single" w:sz="4" w:space="0" w:color="auto"/>
              <w:bottom w:val="single" w:sz="4" w:space="0" w:color="auto"/>
            </w:tcBorders>
            <w:vAlign w:val="center"/>
          </w:tcPr>
          <w:p w14:paraId="5D0A28F1" w14:textId="77777777" w:rsidR="0021019F" w:rsidRPr="00536D16" w:rsidRDefault="0021019F" w:rsidP="00620CB9">
            <w:pPr>
              <w:spacing w:after="0"/>
              <w:rPr>
                <w:rFonts w:ascii="Times New Roman" w:hAnsi="Times New Roman"/>
                <w:sz w:val="20"/>
                <w:szCs w:val="20"/>
                <w:lang w:val="en-GB"/>
              </w:rPr>
            </w:pPr>
          </w:p>
        </w:tc>
      </w:tr>
    </w:tbl>
    <w:p w14:paraId="45AA9717" w14:textId="521AC9A7" w:rsidR="00B2118D" w:rsidRPr="00536D16" w:rsidRDefault="0058579C" w:rsidP="00FA19DD">
      <w:pPr>
        <w:spacing w:after="0" w:line="240" w:lineRule="auto"/>
        <w:jc w:val="center"/>
        <w:rPr>
          <w:rFonts w:ascii="Times New Roman" w:hAnsi="Times New Roman"/>
          <w:lang w:val="en-GB"/>
        </w:rPr>
      </w:pPr>
      <w:r w:rsidRPr="00536D16">
        <w:rPr>
          <w:rFonts w:ascii="Times New Roman" w:hAnsi="Times New Roman"/>
          <w:noProof/>
          <w:lang w:val="en-GB"/>
        </w:rPr>
        <w:lastRenderedPageBreak/>
        <w:drawing>
          <wp:inline distT="0" distB="0" distL="0" distR="0" wp14:anchorId="3A379740" wp14:editId="1CB800B5">
            <wp:extent cx="3835400" cy="3168650"/>
            <wp:effectExtent l="0" t="0" r="0" b="0"/>
            <wp:docPr id="1956742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742204" name=""/>
                    <pic:cNvPicPr/>
                  </pic:nvPicPr>
                  <pic:blipFill>
                    <a:blip r:embed="rId24">
                      <a:extLst>
                        <a:ext uri="{28A0092B-C50C-407E-A947-70E740481C1C}">
                          <a14:useLocalDpi xmlns:a14="http://schemas.microsoft.com/office/drawing/2010/main" val="0"/>
                        </a:ext>
                      </a:extLst>
                    </a:blip>
                    <a:stretch>
                      <a:fillRect/>
                    </a:stretch>
                  </pic:blipFill>
                  <pic:spPr>
                    <a:xfrm>
                      <a:off x="0" y="0"/>
                      <a:ext cx="3835400" cy="3168650"/>
                    </a:xfrm>
                    <a:prstGeom prst="rect">
                      <a:avLst/>
                    </a:prstGeom>
                  </pic:spPr>
                </pic:pic>
              </a:graphicData>
            </a:graphic>
          </wp:inline>
        </w:drawing>
      </w:r>
    </w:p>
    <w:p w14:paraId="3DEA97A2" w14:textId="77167657" w:rsidR="00F178DF" w:rsidRPr="00536D16" w:rsidRDefault="0058579C" w:rsidP="00EB7368">
      <w:pPr>
        <w:pStyle w:val="Rrys"/>
        <w:rPr>
          <w:lang w:val="en-GB"/>
        </w:rPr>
      </w:pPr>
      <w:r w:rsidRPr="00536D16">
        <w:rPr>
          <w:b/>
          <w:bCs/>
          <w:lang w:val="en-GB"/>
        </w:rPr>
        <w:t>Fig</w:t>
      </w:r>
      <w:r w:rsidR="00EB7368" w:rsidRPr="00536D16">
        <w:rPr>
          <w:b/>
          <w:bCs/>
          <w:lang w:val="en-GB"/>
        </w:rPr>
        <w:t>.</w:t>
      </w:r>
      <w:r w:rsidRPr="00536D16">
        <w:rPr>
          <w:b/>
          <w:bCs/>
          <w:lang w:val="en-GB"/>
        </w:rPr>
        <w:t xml:space="preserve"> 6</w:t>
      </w:r>
      <w:r w:rsidR="00EB7368" w:rsidRPr="00536D16">
        <w:rPr>
          <w:b/>
          <w:bCs/>
          <w:lang w:val="en-GB"/>
        </w:rPr>
        <w:t>.</w:t>
      </w:r>
      <w:r w:rsidRPr="00536D16">
        <w:rPr>
          <w:lang w:val="en-GB"/>
        </w:rPr>
        <w:t xml:space="preserve"> </w:t>
      </w:r>
      <w:r w:rsidR="00194ED5" w:rsidRPr="00536D16">
        <w:rPr>
          <w:lang w:val="en-GB"/>
        </w:rPr>
        <w:t>Van't Hoff analysis</w:t>
      </w:r>
      <w:r w:rsidR="00B366EF" w:rsidRPr="00536D16">
        <w:rPr>
          <w:lang w:val="en-GB"/>
        </w:rPr>
        <w:t xml:space="preserve"> </w:t>
      </w:r>
      <w:r w:rsidR="0021019F" w:rsidRPr="00536D16">
        <w:rPr>
          <w:lang w:val="en-GB"/>
        </w:rPr>
        <w:t xml:space="preserve">of </w:t>
      </w:r>
      <w:r w:rsidR="00B366EF" w:rsidRPr="00536D16">
        <w:rPr>
          <w:lang w:val="en-GB"/>
        </w:rPr>
        <w:t>GBHP</w:t>
      </w:r>
    </w:p>
    <w:p w14:paraId="798C50C8" w14:textId="5FAC000C" w:rsidR="00BA5049" w:rsidRPr="00536D16" w:rsidRDefault="00BA5049" w:rsidP="00311173">
      <w:pPr>
        <w:pStyle w:val="Rn1"/>
        <w:rPr>
          <w:lang w:val="en-GB"/>
        </w:rPr>
      </w:pPr>
      <w:r w:rsidRPr="00536D16">
        <w:rPr>
          <w:lang w:val="en-GB"/>
        </w:rPr>
        <w:t>4. Adsorption Mechanism</w:t>
      </w:r>
    </w:p>
    <w:p w14:paraId="0DE27F1F" w14:textId="792C136C" w:rsidR="00EB7368" w:rsidRDefault="00BA5049" w:rsidP="00EB7368">
      <w:pPr>
        <w:spacing w:after="0" w:line="240" w:lineRule="auto"/>
        <w:ind w:firstLine="284"/>
        <w:jc w:val="both"/>
        <w:rPr>
          <w:rFonts w:ascii="Times New Roman" w:hAnsi="Times New Roman"/>
          <w:lang w:val="en-GB"/>
        </w:rPr>
      </w:pPr>
      <w:r w:rsidRPr="00536D16">
        <w:rPr>
          <w:rFonts w:ascii="Times New Roman" w:hAnsi="Times New Roman"/>
          <w:lang w:val="en-GB"/>
        </w:rPr>
        <w:t>The proposed adsorption mechanism of MG</w:t>
      </w:r>
      <w:r w:rsidR="001B4A3A" w:rsidRPr="00536D16">
        <w:rPr>
          <w:rFonts w:ascii="Times New Roman" w:hAnsi="Times New Roman"/>
          <w:lang w:val="en-GB"/>
        </w:rPr>
        <w:t xml:space="preserve"> </w:t>
      </w:r>
      <w:r w:rsidRPr="00536D16">
        <w:rPr>
          <w:rFonts w:ascii="Times New Roman" w:hAnsi="Times New Roman"/>
          <w:lang w:val="en-GB"/>
        </w:rPr>
        <w:t xml:space="preserve">on GBHP </w:t>
      </w:r>
      <w:r w:rsidR="000D3625">
        <w:rPr>
          <w:rFonts w:ascii="Times New Roman" w:hAnsi="Times New Roman"/>
          <w:lang w:val="en-GB"/>
        </w:rPr>
        <w:t>i</w:t>
      </w:r>
      <w:r w:rsidRPr="00536D16">
        <w:rPr>
          <w:rFonts w:ascii="Times New Roman" w:hAnsi="Times New Roman"/>
          <w:lang w:val="en-GB"/>
        </w:rPr>
        <w:t xml:space="preserve">s shown in Figure 7. </w:t>
      </w:r>
    </w:p>
    <w:p w14:paraId="2AF20A26" w14:textId="77777777" w:rsidR="000D3625" w:rsidRPr="00536D16" w:rsidRDefault="000D3625" w:rsidP="00EB7368">
      <w:pPr>
        <w:spacing w:after="0" w:line="240" w:lineRule="auto"/>
        <w:ind w:firstLine="284"/>
        <w:jc w:val="both"/>
        <w:rPr>
          <w:rFonts w:ascii="Times New Roman" w:hAnsi="Times New Roman"/>
          <w:lang w:val="en-GB"/>
        </w:rPr>
      </w:pPr>
    </w:p>
    <w:p w14:paraId="0955C5E9" w14:textId="120AB771" w:rsidR="00156C72" w:rsidRPr="00536D16" w:rsidRDefault="00BA5049" w:rsidP="00EB7368">
      <w:pPr>
        <w:spacing w:line="228" w:lineRule="auto"/>
        <w:jc w:val="center"/>
        <w:rPr>
          <w:rFonts w:ascii="Times New Roman" w:hAnsi="Times New Roman"/>
          <w:lang w:val="en-GB"/>
        </w:rPr>
      </w:pPr>
      <w:r w:rsidRPr="00536D16">
        <w:rPr>
          <w:rFonts w:ascii="Times New Roman" w:hAnsi="Times New Roman"/>
          <w:noProof/>
          <w:lang w:val="en-GB"/>
        </w:rPr>
        <w:drawing>
          <wp:inline distT="0" distB="0" distL="0" distR="0" wp14:anchorId="59B20528" wp14:editId="67B3C97A">
            <wp:extent cx="3714941" cy="2851297"/>
            <wp:effectExtent l="19050" t="19050" r="19050" b="25400"/>
            <wp:docPr id="602813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813659" name=""/>
                    <pic:cNvPicPr/>
                  </pic:nvPicPr>
                  <pic:blipFill>
                    <a:blip r:embed="rId25">
                      <a:extLst>
                        <a:ext uri="{28A0092B-C50C-407E-A947-70E740481C1C}">
                          <a14:useLocalDpi xmlns:a14="http://schemas.microsoft.com/office/drawing/2010/main" val="0"/>
                        </a:ext>
                      </a:extLst>
                    </a:blip>
                    <a:stretch>
                      <a:fillRect/>
                    </a:stretch>
                  </pic:blipFill>
                  <pic:spPr>
                    <a:xfrm>
                      <a:off x="0" y="0"/>
                      <a:ext cx="3714941" cy="2851297"/>
                    </a:xfrm>
                    <a:prstGeom prst="rect">
                      <a:avLst/>
                    </a:prstGeom>
                    <a:ln w="19050">
                      <a:solidFill>
                        <a:schemeClr val="tx1"/>
                      </a:solidFill>
                      <a:prstDash val="dash"/>
                    </a:ln>
                  </pic:spPr>
                </pic:pic>
              </a:graphicData>
            </a:graphic>
          </wp:inline>
        </w:drawing>
      </w:r>
    </w:p>
    <w:p w14:paraId="34D07E4A" w14:textId="227C2DA5" w:rsidR="00EF3802" w:rsidRDefault="00BA5049" w:rsidP="00EB7368">
      <w:pPr>
        <w:pStyle w:val="Rrys"/>
        <w:rPr>
          <w:lang w:val="en-GB"/>
        </w:rPr>
      </w:pPr>
      <w:r w:rsidRPr="00536D16">
        <w:rPr>
          <w:b/>
          <w:bCs/>
          <w:lang w:val="en-GB"/>
        </w:rPr>
        <w:t>Fig</w:t>
      </w:r>
      <w:r w:rsidR="00EB7368" w:rsidRPr="00536D16">
        <w:rPr>
          <w:b/>
          <w:bCs/>
          <w:lang w:val="en-GB"/>
        </w:rPr>
        <w:t>.</w:t>
      </w:r>
      <w:r w:rsidRPr="00536D16">
        <w:rPr>
          <w:b/>
          <w:bCs/>
          <w:lang w:val="en-GB"/>
        </w:rPr>
        <w:t xml:space="preserve"> 7</w:t>
      </w:r>
      <w:r w:rsidR="00EB7368" w:rsidRPr="00536D16">
        <w:rPr>
          <w:b/>
          <w:bCs/>
          <w:lang w:val="en-GB"/>
        </w:rPr>
        <w:t>.</w:t>
      </w:r>
      <w:r w:rsidRPr="00536D16">
        <w:rPr>
          <w:lang w:val="en-GB"/>
        </w:rPr>
        <w:t xml:space="preserve"> </w:t>
      </w:r>
      <w:r w:rsidR="00B366EF" w:rsidRPr="00536D16">
        <w:rPr>
          <w:lang w:val="en-GB"/>
        </w:rPr>
        <w:t xml:space="preserve">Proposed adsorption mechanism of malachite green onto goat bone </w:t>
      </w:r>
      <w:proofErr w:type="spellStart"/>
      <w:r w:rsidR="00B366EF" w:rsidRPr="00536D16">
        <w:rPr>
          <w:lang w:val="en-GB"/>
        </w:rPr>
        <w:t>hydrochar</w:t>
      </w:r>
      <w:proofErr w:type="spellEnd"/>
      <w:r w:rsidR="00B366EF" w:rsidRPr="00536D16">
        <w:rPr>
          <w:lang w:val="en-GB"/>
        </w:rPr>
        <w:t xml:space="preserve"> powder (GBHP)</w:t>
      </w:r>
    </w:p>
    <w:p w14:paraId="66FD62C2" w14:textId="77777777" w:rsidR="000D3625" w:rsidRDefault="000D3625" w:rsidP="000D3625">
      <w:pPr>
        <w:spacing w:after="0" w:line="240" w:lineRule="auto"/>
        <w:ind w:firstLine="284"/>
        <w:jc w:val="both"/>
        <w:rPr>
          <w:rFonts w:ascii="Times New Roman" w:hAnsi="Times New Roman"/>
          <w:lang w:val="en-GB"/>
        </w:rPr>
      </w:pPr>
    </w:p>
    <w:p w14:paraId="5E22346C" w14:textId="45EF4C68" w:rsidR="000D3625" w:rsidRPr="00536D16" w:rsidRDefault="000D3625" w:rsidP="000D3625">
      <w:pPr>
        <w:spacing w:after="0" w:line="240" w:lineRule="auto"/>
        <w:ind w:firstLine="284"/>
        <w:jc w:val="both"/>
        <w:rPr>
          <w:rFonts w:ascii="Times New Roman" w:hAnsi="Times New Roman"/>
          <w:lang w:val="en-GB"/>
        </w:rPr>
      </w:pPr>
      <w:r w:rsidRPr="00536D16">
        <w:rPr>
          <w:rFonts w:ascii="Times New Roman" w:hAnsi="Times New Roman"/>
          <w:lang w:val="en-GB"/>
        </w:rPr>
        <w:t>The removal process is driven by the synergistic effect</w:t>
      </w:r>
      <w:r>
        <w:rPr>
          <w:rFonts w:ascii="Times New Roman" w:hAnsi="Times New Roman"/>
          <w:lang w:val="en-GB"/>
        </w:rPr>
        <w:t>s of various physicochemical interactions related to the porous carbonaceous structure, O-containing surface functionalities, and naturally occurring mineral components</w:t>
      </w:r>
      <w:r w:rsidRPr="00536D16">
        <w:rPr>
          <w:rFonts w:ascii="Times New Roman" w:hAnsi="Times New Roman"/>
          <w:lang w:val="en-GB"/>
        </w:rPr>
        <w:t xml:space="preserve"> in GBHP. At first, the MG molecules </w:t>
      </w:r>
      <w:r>
        <w:rPr>
          <w:rFonts w:ascii="Times New Roman" w:hAnsi="Times New Roman"/>
          <w:lang w:val="en-GB"/>
        </w:rPr>
        <w:t>migrate across the liquid boundary layer before reaching the external surface of GBHP, then in</w:t>
      </w:r>
      <w:r w:rsidRPr="00536D16">
        <w:rPr>
          <w:rFonts w:ascii="Times New Roman" w:hAnsi="Times New Roman"/>
          <w:lang w:val="en-GB"/>
        </w:rPr>
        <w:t>to the interconnected pore network. The BET and FESEM analysis show that the mesoporous structure is well formed</w:t>
      </w:r>
      <w:r>
        <w:rPr>
          <w:rFonts w:ascii="Times New Roman" w:hAnsi="Times New Roman"/>
          <w:lang w:val="en-GB"/>
        </w:rPr>
        <w:t>, with many accessible adsorption sites, which also help fill the pores, resulting in efficient diffusion and the</w:t>
      </w:r>
      <w:r w:rsidRPr="00536D16">
        <w:rPr>
          <w:rFonts w:ascii="Times New Roman" w:hAnsi="Times New Roman"/>
          <w:lang w:val="en-GB"/>
        </w:rPr>
        <w:t xml:space="preserve"> confinement of MG molecules within the internal porous structure. The abundance of oxygen</w:t>
      </w:r>
      <w:r>
        <w:rPr>
          <w:rFonts w:ascii="Times New Roman" w:hAnsi="Times New Roman"/>
          <w:lang w:val="en-GB"/>
        </w:rPr>
        <w:t xml:space="preserve">-containing functional groups, such as hydroxyl (–OH), carbonyl (C=O), </w:t>
      </w:r>
      <w:r w:rsidR="00805C75">
        <w:rPr>
          <w:rFonts w:ascii="Times New Roman" w:hAnsi="Times New Roman"/>
          <w:lang w:val="en-GB"/>
        </w:rPr>
        <w:br/>
      </w:r>
      <w:r>
        <w:rPr>
          <w:rFonts w:ascii="Times New Roman" w:hAnsi="Times New Roman"/>
          <w:lang w:val="en-GB"/>
        </w:rPr>
        <w:t>carboxyl (–COOH), and ether (C–O) groups, created during hydrothermal carbonization further promotes</w:t>
      </w:r>
      <w:r w:rsidRPr="00536D16">
        <w:rPr>
          <w:rFonts w:ascii="Times New Roman" w:hAnsi="Times New Roman"/>
          <w:lang w:val="en-GB"/>
        </w:rPr>
        <w:t xml:space="preserve"> adsorption. These functional groups are active adsorption </w:t>
      </w:r>
      <w:proofErr w:type="spellStart"/>
      <w:r w:rsidRPr="00536D16">
        <w:rPr>
          <w:rFonts w:ascii="Times New Roman" w:hAnsi="Times New Roman"/>
          <w:lang w:val="en-GB"/>
        </w:rPr>
        <w:t>centers</w:t>
      </w:r>
      <w:proofErr w:type="spellEnd"/>
      <w:r w:rsidRPr="00536D16">
        <w:rPr>
          <w:rFonts w:ascii="Times New Roman" w:hAnsi="Times New Roman"/>
          <w:lang w:val="en-GB"/>
        </w:rPr>
        <w:t xml:space="preserve"> </w:t>
      </w:r>
      <w:r>
        <w:rPr>
          <w:rFonts w:ascii="Times New Roman" w:hAnsi="Times New Roman"/>
          <w:lang w:val="en-GB"/>
        </w:rPr>
        <w:t>that can form hydrogen bonds with the nitrogen-containing functional groups of malachite green, thereby enhancing adsorbate</w:t>
      </w:r>
      <w:r w:rsidRPr="00536D16">
        <w:rPr>
          <w:rFonts w:ascii="Times New Roman" w:hAnsi="Times New Roman"/>
          <w:lang w:val="en-GB"/>
        </w:rPr>
        <w:t>–adsorbent interaction. At</w:t>
      </w:r>
      <w:r w:rsidR="00FA19DD">
        <w:rPr>
          <w:rFonts w:ascii="Times New Roman" w:hAnsi="Times New Roman"/>
          <w:lang w:val="en-GB"/>
        </w:rPr>
        <w:t> </w:t>
      </w:r>
      <w:r w:rsidRPr="00536D16">
        <w:rPr>
          <w:rFonts w:ascii="Times New Roman" w:hAnsi="Times New Roman"/>
          <w:lang w:val="en-GB"/>
        </w:rPr>
        <w:t xml:space="preserve">the same time, </w:t>
      </w:r>
      <w:r>
        <w:rPr>
          <w:rFonts w:ascii="Times New Roman" w:hAnsi="Times New Roman"/>
          <w:lang w:val="en-GB"/>
        </w:rPr>
        <w:t xml:space="preserve">partial deprotonation of these oxygenated groups at the optimal adsorption pH creates </w:t>
      </w:r>
      <w:r>
        <w:rPr>
          <w:rFonts w:ascii="Times New Roman" w:hAnsi="Times New Roman"/>
          <w:lang w:val="en-GB"/>
        </w:rPr>
        <w:lastRenderedPageBreak/>
        <w:t>negatively charged surface sites that</w:t>
      </w:r>
      <w:r w:rsidRPr="00536D16">
        <w:rPr>
          <w:rFonts w:ascii="Times New Roman" w:hAnsi="Times New Roman"/>
          <w:lang w:val="en-GB"/>
        </w:rPr>
        <w:t xml:space="preserve"> strongly attract the positively charged MG molecules. The partially graphitized carbon framework</w:t>
      </w:r>
      <w:r>
        <w:rPr>
          <w:rFonts w:ascii="Times New Roman" w:hAnsi="Times New Roman"/>
          <w:lang w:val="en-GB"/>
        </w:rPr>
        <w:t>, detected by XRD and Raman analysis, is also</w:t>
      </w:r>
      <w:r w:rsidRPr="00536D16">
        <w:rPr>
          <w:rFonts w:ascii="Times New Roman" w:hAnsi="Times New Roman"/>
          <w:lang w:val="en-GB"/>
        </w:rPr>
        <w:t xml:space="preserve"> an important feature in the adsorption process </w:t>
      </w:r>
      <w:r w:rsidRPr="00536D16">
        <w:rPr>
          <w:rFonts w:ascii="Times New Roman" w:hAnsi="Times New Roman"/>
          <w:lang w:val="en-GB"/>
        </w:rPr>
        <w:fldChar w:fldCharType="begin" w:fldLock="1"/>
      </w:r>
      <w:r w:rsidRPr="00536D16">
        <w:rPr>
          <w:rFonts w:ascii="Times New Roman" w:hAnsi="Times New Roman"/>
          <w:lang w:val="en-GB"/>
        </w:rPr>
        <w:instrText>ADDIN CSL_CITATION {"citationItems":[{"id":"ITEM-1","itemData":{"DOI":"https://doi.org/10.1039/d4ra05782a","ISSN":"2046-2069","abstract":"In this study, a binary composite adsorbent based on activated carbon and phosphoric acid geopolymer foam (ACP) was prepared by combining phosphoric acid geopolymer (PAGP) with activated carbon (AC) and applied for the removal of methylene blue (MB). Activated carbon was thoroughly mixed with a mixture of fly ash and metakaolin in varying ratios, followed by phosphoric acid activation and thermal curing. The ACP adsorbent was characterized using scanning electron microscope (SEM), Fourier transform infrared (FTIR) spectrophotometer, X-ray diffractometer (XRD), surface area analyser (SAP), and thermogravimetric analyser (TGA). Batch analysis was performed to examine the effects of various adsorption parameters including pH (2, 4, 6, 7, 8, and 10), adsorbent dosage (0.06–0.2 g), MB concentration (50–250 mg L−1), contact duration (up to 240 minutes), and temperature (25–55 °C). The ACP with 70% PAGP and 30% AC was found to be the most suitable adsorbent as it maintained its structure and exhibited better MB adsorption. The ACP had a surface area of 47.36 m2 g−1 and a pore size of 5.6 nm and was found to be amorphous in nature. The adsorption equilibrium reached in 240 minutes at pH 7, indicating an efficient adsorption process. The adsorption increased with the initial dye concentration and decreased with the increase in temperature. The ideal parameters for adsorption of MB using ACP include 0.2 g of adsorbent, 25 °C, pH 10, and 240 minutes. The adsorption data fitted well with the Langmuir isotherm, pseudo-second-order (PSO) kinetics model, and three-step intraparticle diffusion (IPD) model. The adsorption capacity calculated using the Langmuir isotherm was 204.8 mg g−1 with an R2 = 0.989. Thermodynamics parameters showed that the adsorption process was exothermic, energetically favourable, and associated with a decrease in entropy. According to the FTIR findings, pH effect, Langmuir isotherm, PSO kinetics, IPD model, and thermodynamics factors, chemisorption is identified as the predominant process. Different machine learning models, i.e., gaussian process regression (GPR), support vector regression (SVR and SVR-rbf), random forest regression (RFR), decision tree regression (DTR) and artificial neural network (ANN), were trained and tested using adsorption capacity and % removal data. The ANN model (random search) demonstrated better performance compared to other models, achieving an R2 value of 0.873 for adsorption capacity and 0.799 for % removal on t…","author":[{"dropping-particle":"","family":"Khan","given":"Muhammad Irfan","non-dropping-particle":"","parse-names":false,"suffix":""},{"dropping-particle":"","family":"Sufian","given":"Suriati","non-dropping-particle":"","parse-names":false,"suffix":""},{"dropping-particle":"","family":"Hassan","given":"Farrukh","non-dropping-particle":"","parse-names":false,"suffix":""},{"dropping-particle":"","family":"Shamsuddin","given":"Rashid","non-dropping-particle":"","parse-names":false,"suffix":""},{"dropping-particle":"","family":"Farooq","given":"Muhammad","non-dropping-particle":"","parse-names":false,"suffix":""}],"container-title":"RSC Advances","id":"ITEM-1","issue":"3","issued":{"date-parts":[["2025"]]},"page":"1989-2010","title":"Phosphoric acid based geopolymer foam-activated carbon composite for methylene blue adsorption: isotherm, kinetics, thermodynamics, and machine learning studies","type":"article-journal","volume":"15"},"uris":["http://www.mendeley.com/documents/?uuid=c8da7b51-d7a5-408c-a37b-c0617ea1b6ed"]}],"mendeley":{"formattedCitation":"(M. I. Khan, Sufian, Hassan, Shamsuddin, &amp; Farooq, 2025)","plainTextFormattedCitation":"(M. I. Khan, Sufian, Hassan, Shamsuddin, &amp; Farooq, 2025)","previouslyFormattedCitation":"(M. I. Khan, Sufian, Hassan, Shamsuddin, &amp; Farooq, 2025)"},"properties":{"noteIndex":0},"schema":"https://github.com/citation-style-language/schema/raw/master/csl-citation.json"}</w:instrText>
      </w:r>
      <w:r w:rsidRPr="00536D16">
        <w:rPr>
          <w:rFonts w:ascii="Times New Roman" w:hAnsi="Times New Roman"/>
          <w:lang w:val="en-GB"/>
        </w:rPr>
        <w:fldChar w:fldCharType="separate"/>
      </w:r>
      <w:r w:rsidRPr="00536D16">
        <w:rPr>
          <w:rFonts w:ascii="Times New Roman" w:hAnsi="Times New Roman"/>
          <w:noProof/>
          <w:lang w:val="en-GB"/>
        </w:rPr>
        <w:t>(Khan</w:t>
      </w:r>
      <w:r w:rsidR="004A47BF">
        <w:rPr>
          <w:rFonts w:ascii="Times New Roman" w:hAnsi="Times New Roman"/>
          <w:noProof/>
          <w:lang w:val="en-GB"/>
        </w:rPr>
        <w:t xml:space="preserve"> M.I. et al.</w:t>
      </w:r>
      <w:r w:rsidRPr="00536D16">
        <w:rPr>
          <w:rFonts w:ascii="Times New Roman" w:hAnsi="Times New Roman"/>
          <w:noProof/>
          <w:lang w:val="en-GB"/>
        </w:rPr>
        <w:t>, 2025)</w:t>
      </w:r>
      <w:r w:rsidRPr="00536D16">
        <w:rPr>
          <w:rFonts w:ascii="Times New Roman" w:hAnsi="Times New Roman"/>
          <w:lang w:val="en-GB"/>
        </w:rPr>
        <w:fldChar w:fldCharType="end"/>
      </w:r>
      <w:r w:rsidRPr="00536D16">
        <w:rPr>
          <w:rFonts w:ascii="Times New Roman" w:hAnsi="Times New Roman"/>
          <w:lang w:val="en-GB"/>
        </w:rPr>
        <w:t xml:space="preserve">. The aromatic carbon structure of GBHP provides electron-rich sites capable of interacting with the aromatic surface of MG through π–π interactions contained in GBHP. In addition, the presence of mineral species in the residual matter from the goat bone compound, such as calcium and phosphate, can be coordinated with the oxygen-containing surface groups of the dye molecules, which </w:t>
      </w:r>
      <w:r>
        <w:rPr>
          <w:rFonts w:ascii="Times New Roman" w:hAnsi="Times New Roman"/>
          <w:lang w:val="en-GB"/>
        </w:rPr>
        <w:t>increases</w:t>
      </w:r>
      <w:r w:rsidRPr="00536D16">
        <w:rPr>
          <w:rFonts w:ascii="Times New Roman" w:hAnsi="Times New Roman"/>
          <w:lang w:val="en-GB"/>
        </w:rPr>
        <w:t xml:space="preserve"> the affinity for the adsorption of the dye molecules on the surface </w:t>
      </w:r>
      <w:r w:rsidRPr="00536D16">
        <w:rPr>
          <w:rFonts w:ascii="Times New Roman" w:hAnsi="Times New Roman"/>
          <w:lang w:val="en-GB"/>
        </w:rPr>
        <w:fldChar w:fldCharType="begin" w:fldLock="1"/>
      </w:r>
      <w:r w:rsidRPr="00536D16">
        <w:rPr>
          <w:rFonts w:ascii="Times New Roman" w:hAnsi="Times New Roman"/>
          <w:lang w:val="en-GB"/>
        </w:rPr>
        <w:instrText>ADDIN CSL_CITATION {"citationItems":[{"id":"ITEM-1","itemData":{"DOI":"10.1007/s40201-025-00946-0","ISSN":"2052-336X","abstract":"Biofuels and bioenergy production are increasingly being viewed as viable alternatives to conventional energy sources because of their renewable nature and ability to reduce greenhouse gas emissions. Waste products, lignocellulosic materials, and agricultural residues are some of the feedstocks that can be used to create biofuels, including biodiesel, bioethanol, and biogas. The production of biofuels not only promotes sustainable energy but also addresses environmental problems. This review article explores the challenges posed by dependence on non-sustainable resources and the environmental benefits of renewable energy sources. It provides a detailed examination of the advancements, possibilities, and obstacles linked to biofuels and bioenergy. It outlines the harmful effects of prolonged fossil fuel use on the environment, including soil degradation, air and water contamination, and climate change, highlighting the critical necessity to shift towards renewable energy alternatives. The analysis evaluates the socioeconomic effects of bioenergy and its capacity to enhance food and energy security, generate employment, and boost rural economies. Nevertheless, it also recognizes important obstacles that need to be overcome for wider adoption, competition with food crops, issues related to water consumption, and regulatory constraints. It explores the potential of hydrogen fuel cell vehicles and battery electric vehicles as replacements for conventional vehicles that rely on fossil fuels. It emphasizes the need to explore alternative feedstock sources and implement next-generation conversion processes prioritising environmental sustainability by incorporating recent advancements in machine intelligence (MI), including machine learning and artificial intelligence techniques. The study dedicates considerable effort to exploring the global regulatory and policy landscape, including how various nations promote bioenergy initiatives through financial incentives, blending mandates, and sustainability criteria. To encourage the adoption of bioenergy solutions and facilitate a fair and effective energy transition, the research winds up by highlighting the importance of international collaboration, interdisciplinary investigation, and innovation. With the appropriate laws and technologies in place, biofuels and bioenergy could play an important role in achieving a sustainable, low-carbon future.","author":[{"dropping-particle":"","family":"Singh","given":"Rajat","non-dropping-particle":"","parse-names":false,"suffix":""},{"dropping-particle":"","family":"Gaur","given":"Ashish","non-dropping-particle":"","parse-names":false,"suffix":""},{"dropping-particle":"","family":"Soni","given":"Priyanka","non-dropping-particle":"","parse-names":false,"suffix":""},{"dropping-particle":"","family":"Jain","given":"Rajul","non-dropping-particle":"","parse-names":false,"suffix":""},{"dropping-particle":"","family":"Pant","given":"Gaurav","non-dropping-particle":"","parse-names":false,"suffix":""},{"dropping-particle":"","family":"Kumar","given":"Deepak","non-dropping-particle":"","parse-names":false,"suffix":""},{"dropping-particle":"","family":"Kumar","given":"Gaurav","non-dropping-particle":"","parse-names":false,"suffix":""},{"dropping-particle":"","family":"Shamshuddin","given":"S Z M","non-dropping-particle":"","parse-names":false,"suffix":""},{"dropping-particle":"","family":"Mubarak","given":"Nabisab Mujawar","non-dropping-particle":"","parse-names":false,"suffix":""},{"dropping-particle":"","family":"Dehghani","given":"Mohammad Hadi","non-dropping-particle":"","parse-names":false,"suffix":""},{"dropping-particle":"","family":"Suhas","given":"","non-dropping-particle":"","parse-names":false,"suffix":""},{"dropping-particle":"","family":"Ansari","given":"Khalid","non-dropping-particle":"","parse-names":false,"suffix":""}],"container-title":"Journal of Environmental Health Science and Engineering","id":"ITEM-1","issue":"2","issued":{"date-parts":[["2025"]]},"page":"23","title":"A review of biofuels and bioenergy production as a sustainable alternative: opportunities, challenges and future perspectives","type":"article-journal","volume":"23"},"uris":["http://www.mendeley.com/documents/?uuid=1973cfa5-ddf6-40a7-a0a4-a367dad261ac"]},{"id":"ITEM-2","itemData":{"DOI":"10.1007/s41742-026-01205-2","ISSN":"2008-2304","abstract":"The increasing discharge of dye-laden wastewater from industrial activities presents significant environmental and public health challenges, necessitating efficient treatment strategies. This review evaluates coconut-based biochar as a cost-effective adsorbent for removing industrial dyes from aqueous systems. The analysis examines feedstock characteristics, thermochemical conversion methods, activation techniques, physicochemical properties, adsorption performance, and removal mechanisms of coconut-derived biochars. Biochar from coconut shells, husks, and coir exhibits a high surface area, well-developed porosity, and abundant functional groups, contributing to strong adsorption capacities for various dyes. Advanced activation strategies enhance adsorption efficiency. The adsorption process is governed by electrostatic interactions, π–π stacking, hydrogen bonding, and pore filling, with the Langmuir isotherm and pseudo-second-order kinetic model providing the best fit. Coconut-based biochar offers a sustainable wastewater treatment solution by converting agricultural residues into value-added materials, aligning with circular economy principles. Its low cost, availability, and regeneration potential make it suitable for both decentralized and large-scale applications, particularly in developing regions. Challenges include variability in production methods, lack of standardization, and limited validation under industrial conditions. Future research should focus on pilot-scale studies, process optimization, and life cycle assessment which will represents a promising material for dye wastewater remediation and supports biomass valorization in biorefinery systems.","author":[{"dropping-particle":"","family":"Arshad","given":"Mohammad Shahid","non-dropping-particle":"","parse-names":false,"suffix":""},{"dropping-particle":"","family":"Ansari","given":"Khalid","non-dropping-particle":"","parse-names":false,"suffix":""},{"dropping-particle":"","family":"Waghmare","given":"Charuta","non-dropping-particle":"","parse-names":false,"suffix":""},{"dropping-particle":"","family":"Eyvaz","given":"Murat","non-dropping-particle":"","parse-names":false,"suffix":""},{"dropping-particle":"","family":"Alqahtani","given":"Dhafer Ali","non-dropping-particle":"","parse-names":false,"suffix":""},{"dropping-particle":"","family":"Alkhtani","given":"Nasser Abdullah Nasser","non-dropping-particle":"","parse-names":false,"suffix":""}],"container-title":"International Journal of Environmental Research","id":"ITEM-2","issue":"5","issued":{"date-parts":[["2026"]]},"page":"250","title":"Thermochemical Conversion and Activation-Driven Performance of Coconut Biochar: A Critical Review on Structure–Property–Adsorption Relationships in Dye Wastewater Treatment","type":"article-journal","volume":"20"},"uris":["http://www.mendeley.com/documents/?uuid=6c029486-69d5-4b6f-92c5-9432772532b8"]}],"mendeley":{"formattedCitation":"(Arshad et al., 2026; Singh et al., 2025)","plainTextFormattedCitation":"(Arshad et al., 2026; Singh et al., 2025)"},"properties":{"noteIndex":0},"schema":"https://github.com/citation-style-language/schema/raw/master/csl-citation.json"}</w:instrText>
      </w:r>
      <w:r w:rsidRPr="00536D16">
        <w:rPr>
          <w:rFonts w:ascii="Times New Roman" w:hAnsi="Times New Roman"/>
          <w:lang w:val="en-GB"/>
        </w:rPr>
        <w:fldChar w:fldCharType="separate"/>
      </w:r>
      <w:r w:rsidRPr="00536D16">
        <w:rPr>
          <w:rFonts w:ascii="Times New Roman" w:hAnsi="Times New Roman"/>
          <w:noProof/>
          <w:lang w:val="en-GB"/>
        </w:rPr>
        <w:t>(Arshad et al., 2026; Singh et al., 2025)</w:t>
      </w:r>
      <w:r w:rsidRPr="00536D16">
        <w:rPr>
          <w:rFonts w:ascii="Times New Roman" w:hAnsi="Times New Roman"/>
          <w:lang w:val="en-GB"/>
        </w:rPr>
        <w:fldChar w:fldCharType="end"/>
      </w:r>
      <w:r w:rsidRPr="00536D16">
        <w:rPr>
          <w:rFonts w:ascii="Times New Roman" w:hAnsi="Times New Roman"/>
          <w:lang w:val="en-GB"/>
        </w:rPr>
        <w:t xml:space="preserve">. The presence of these adsorption pathways also suggests that the removal of MG using GBHP is not dominated by </w:t>
      </w:r>
      <w:r>
        <w:rPr>
          <w:rFonts w:ascii="Times New Roman" w:hAnsi="Times New Roman"/>
          <w:lang w:val="en-GB"/>
        </w:rPr>
        <w:t>a single interaction mechanism, but rather by a combination of pore filling, hydrogen bonding, electrostatic attraction, π–π interactions</w:t>
      </w:r>
      <w:r w:rsidRPr="00536D16">
        <w:rPr>
          <w:rFonts w:ascii="Times New Roman" w:hAnsi="Times New Roman"/>
          <w:lang w:val="en-GB"/>
        </w:rPr>
        <w:t>, and surface complexation. The synergi</w:t>
      </w:r>
      <w:r>
        <w:rPr>
          <w:rFonts w:ascii="Times New Roman" w:hAnsi="Times New Roman"/>
          <w:lang w:val="en-GB"/>
        </w:rPr>
        <w:t>stic adsorption mechanism is in line with the PSO kinetic model and the Langmuir adsorption isotherm, as well as the FTIR and XPS results, which indicate that both the porous structure and surface chemical functionalization contribute to the high</w:t>
      </w:r>
      <w:r w:rsidRPr="00536D16">
        <w:rPr>
          <w:rFonts w:ascii="Times New Roman" w:hAnsi="Times New Roman"/>
          <w:lang w:val="en-GB"/>
        </w:rPr>
        <w:t xml:space="preserve"> adsorption capacity of GBHP for MG.</w:t>
      </w:r>
    </w:p>
    <w:p w14:paraId="68365D3D" w14:textId="056F9B2C" w:rsidR="00EF3802" w:rsidRPr="00536D16" w:rsidRDefault="00BA5049" w:rsidP="00311173">
      <w:pPr>
        <w:pStyle w:val="Rn1"/>
        <w:rPr>
          <w:lang w:val="en-GB"/>
        </w:rPr>
      </w:pPr>
      <w:r w:rsidRPr="00536D16">
        <w:rPr>
          <w:lang w:val="en-GB"/>
        </w:rPr>
        <w:t>5. Conclusion</w:t>
      </w:r>
    </w:p>
    <w:p w14:paraId="24194F96" w14:textId="4836DCB1" w:rsidR="009E41FD" w:rsidRPr="00536D16" w:rsidRDefault="005016C0" w:rsidP="003F18D8">
      <w:pPr>
        <w:spacing w:after="0" w:line="240" w:lineRule="auto"/>
        <w:ind w:firstLine="284"/>
        <w:jc w:val="both"/>
        <w:rPr>
          <w:rFonts w:ascii="Times New Roman" w:hAnsi="Times New Roman"/>
          <w:lang w:val="en-GB"/>
        </w:rPr>
      </w:pPr>
      <w:r w:rsidRPr="00536D16">
        <w:rPr>
          <w:rFonts w:ascii="Times New Roman" w:hAnsi="Times New Roman"/>
          <w:lang w:val="en-GB"/>
        </w:rPr>
        <w:t xml:space="preserve">In this study, the effective conversion of waste goat bones to sustainable goat bone </w:t>
      </w:r>
      <w:proofErr w:type="spellStart"/>
      <w:r w:rsidRPr="00536D16">
        <w:rPr>
          <w:rFonts w:ascii="Times New Roman" w:hAnsi="Times New Roman"/>
          <w:lang w:val="en-GB"/>
        </w:rPr>
        <w:t>hydrochar</w:t>
      </w:r>
      <w:proofErr w:type="spellEnd"/>
      <w:r w:rsidRPr="00536D16">
        <w:rPr>
          <w:rFonts w:ascii="Times New Roman" w:hAnsi="Times New Roman"/>
          <w:lang w:val="en-GB"/>
        </w:rPr>
        <w:t xml:space="preserve"> powder (GBHP) by hydrothermal carbonization was performed </w:t>
      </w:r>
      <w:r w:rsidR="00A05AE8" w:rsidRPr="00536D16">
        <w:rPr>
          <w:rFonts w:ascii="Times New Roman" w:hAnsi="Times New Roman"/>
          <w:lang w:val="en-GB"/>
        </w:rPr>
        <w:t>for</w:t>
      </w:r>
      <w:r w:rsidRPr="00536D16">
        <w:rPr>
          <w:rFonts w:ascii="Times New Roman" w:hAnsi="Times New Roman"/>
          <w:lang w:val="en-GB"/>
        </w:rPr>
        <w:t xml:space="preserve"> </w:t>
      </w:r>
      <w:r w:rsidR="000D3625">
        <w:rPr>
          <w:rFonts w:ascii="Times New Roman" w:hAnsi="Times New Roman"/>
          <w:lang w:val="en-GB"/>
        </w:rPr>
        <w:t xml:space="preserve">the </w:t>
      </w:r>
      <w:r w:rsidRPr="00536D16">
        <w:rPr>
          <w:rFonts w:ascii="Times New Roman" w:hAnsi="Times New Roman"/>
          <w:lang w:val="en-GB"/>
        </w:rPr>
        <w:t>removal of MG from an aqueous solution. Physicochemical characterization confirmed that the carbonaceous structure formed had a mesoporous structure with defects</w:t>
      </w:r>
      <w:r w:rsidR="000D3625">
        <w:rPr>
          <w:rFonts w:ascii="Times New Roman" w:hAnsi="Times New Roman"/>
          <w:lang w:val="en-GB"/>
        </w:rPr>
        <w:t>, a BET surface area of 16.8 m</w:t>
      </w:r>
      <w:r w:rsidR="000D3625" w:rsidRPr="00D05689">
        <w:rPr>
          <w:rFonts w:ascii="Times New Roman" w:hAnsi="Times New Roman"/>
          <w:vertAlign w:val="superscript"/>
          <w:lang w:val="en-GB"/>
        </w:rPr>
        <w:t>2</w:t>
      </w:r>
      <w:r w:rsidR="000D3625">
        <w:rPr>
          <w:rFonts w:ascii="Times New Roman" w:hAnsi="Times New Roman"/>
          <w:lang w:val="en-GB"/>
        </w:rPr>
        <w:t xml:space="preserve"> g</w:t>
      </w:r>
      <w:r w:rsidR="000D3625" w:rsidRPr="00D05689">
        <w:rPr>
          <w:rFonts w:ascii="Times New Roman" w:hAnsi="Times New Roman"/>
          <w:vertAlign w:val="superscript"/>
          <w:lang w:val="en-GB"/>
        </w:rPr>
        <w:t>-1</w:t>
      </w:r>
      <w:r w:rsidR="000D3625">
        <w:rPr>
          <w:rFonts w:ascii="Times New Roman" w:hAnsi="Times New Roman"/>
          <w:lang w:val="en-GB"/>
        </w:rPr>
        <w:t>, a</w:t>
      </w:r>
      <w:r w:rsidRPr="00536D16">
        <w:rPr>
          <w:rFonts w:ascii="Times New Roman" w:hAnsi="Times New Roman"/>
          <w:lang w:val="en-GB"/>
        </w:rPr>
        <w:t xml:space="preserve"> pore volume of 0.139 cm</w:t>
      </w:r>
      <w:r w:rsidRPr="00536D16">
        <w:rPr>
          <w:rFonts w:ascii="Times New Roman" w:hAnsi="Times New Roman"/>
          <w:vertAlign w:val="superscript"/>
          <w:lang w:val="en-GB"/>
        </w:rPr>
        <w:t>3</w:t>
      </w:r>
      <w:r w:rsidRPr="00536D16">
        <w:rPr>
          <w:rFonts w:ascii="Times New Roman" w:hAnsi="Times New Roman"/>
          <w:lang w:val="en-GB"/>
        </w:rPr>
        <w:t xml:space="preserve"> g</w:t>
      </w:r>
      <w:r w:rsidRPr="00536D16">
        <w:rPr>
          <w:rFonts w:ascii="Times New Roman" w:hAnsi="Times New Roman"/>
          <w:vertAlign w:val="superscript"/>
          <w:lang w:val="en-GB"/>
        </w:rPr>
        <w:t>-1</w:t>
      </w:r>
      <w:r w:rsidRPr="00536D16">
        <w:rPr>
          <w:rFonts w:ascii="Times New Roman" w:hAnsi="Times New Roman"/>
          <w:lang w:val="en-GB"/>
        </w:rPr>
        <w:t>, and an average pore diameter of 4.6 nm. XRD, FTIR, Raman</w:t>
      </w:r>
      <w:r w:rsidR="00984B05" w:rsidRPr="00536D16">
        <w:rPr>
          <w:rFonts w:ascii="Times New Roman" w:hAnsi="Times New Roman"/>
          <w:lang w:val="en-GB"/>
        </w:rPr>
        <w:t>,</w:t>
      </w:r>
      <w:r w:rsidRPr="00536D16">
        <w:rPr>
          <w:rFonts w:ascii="Times New Roman" w:hAnsi="Times New Roman"/>
          <w:lang w:val="en-GB"/>
        </w:rPr>
        <w:t xml:space="preserve"> and XPS analyses showed that the carbon framework was partially graphitized and contained oxygen</w:t>
      </w:r>
      <w:r w:rsidR="00984B05" w:rsidRPr="00536D16">
        <w:rPr>
          <w:rFonts w:ascii="Times New Roman" w:hAnsi="Times New Roman"/>
          <w:lang w:val="en-GB"/>
        </w:rPr>
        <w:t>-</w:t>
      </w:r>
      <w:r w:rsidRPr="00536D16">
        <w:rPr>
          <w:rFonts w:ascii="Times New Roman" w:hAnsi="Times New Roman"/>
          <w:lang w:val="en-GB"/>
        </w:rPr>
        <w:t>containing functional groups and mineral</w:t>
      </w:r>
      <w:r w:rsidR="000D3625">
        <w:rPr>
          <w:rFonts w:ascii="Times New Roman" w:hAnsi="Times New Roman"/>
          <w:lang w:val="en-GB"/>
        </w:rPr>
        <w:t>-phase impurities, which provided abundant</w:t>
      </w:r>
      <w:r w:rsidRPr="00536D16">
        <w:rPr>
          <w:rFonts w:ascii="Times New Roman" w:hAnsi="Times New Roman"/>
          <w:lang w:val="en-GB"/>
        </w:rPr>
        <w:t xml:space="preserve"> active adsorption sites. </w:t>
      </w:r>
      <w:r w:rsidR="00984B05" w:rsidRPr="00536D16">
        <w:rPr>
          <w:rFonts w:ascii="Times New Roman" w:hAnsi="Times New Roman"/>
          <w:lang w:val="en-GB"/>
        </w:rPr>
        <w:t>Under</w:t>
      </w:r>
      <w:r w:rsidRPr="00536D16">
        <w:rPr>
          <w:rFonts w:ascii="Times New Roman" w:hAnsi="Times New Roman"/>
          <w:lang w:val="en-GB"/>
        </w:rPr>
        <w:t xml:space="preserve"> optimized conditions (40 mg L</w:t>
      </w:r>
      <w:r w:rsidRPr="00536D16">
        <w:rPr>
          <w:rFonts w:ascii="Times New Roman" w:hAnsi="Times New Roman"/>
          <w:vertAlign w:val="superscript"/>
          <w:lang w:val="en-GB"/>
        </w:rPr>
        <w:t>-1</w:t>
      </w:r>
      <w:r w:rsidRPr="00536D16">
        <w:rPr>
          <w:rFonts w:ascii="Times New Roman" w:hAnsi="Times New Roman"/>
          <w:lang w:val="en-GB"/>
        </w:rPr>
        <w:t xml:space="preserve"> initial dye concentration, 1.5 g adsorbent dosage, pH 6, 90 min contact time</w:t>
      </w:r>
      <w:r w:rsidR="00984B05" w:rsidRPr="00536D16">
        <w:rPr>
          <w:rFonts w:ascii="Times New Roman" w:hAnsi="Times New Roman"/>
          <w:lang w:val="en-GB"/>
        </w:rPr>
        <w:t>,</w:t>
      </w:r>
      <w:r w:rsidRPr="00536D16">
        <w:rPr>
          <w:rFonts w:ascii="Times New Roman" w:hAnsi="Times New Roman"/>
          <w:lang w:val="en-GB"/>
        </w:rPr>
        <w:t xml:space="preserve"> and 308 K), GBHP </w:t>
      </w:r>
      <w:r w:rsidR="00984B05" w:rsidRPr="00536D16">
        <w:rPr>
          <w:rFonts w:ascii="Times New Roman" w:hAnsi="Times New Roman"/>
          <w:lang w:val="en-GB"/>
        </w:rPr>
        <w:t>achieved</w:t>
      </w:r>
      <w:r w:rsidRPr="00536D16">
        <w:rPr>
          <w:rFonts w:ascii="Times New Roman" w:hAnsi="Times New Roman"/>
          <w:lang w:val="en-GB"/>
        </w:rPr>
        <w:t xml:space="preserve"> an adsorption efficiency of about 97%. The </w:t>
      </w:r>
      <w:r w:rsidR="00A05AE8" w:rsidRPr="00536D16">
        <w:rPr>
          <w:rFonts w:ascii="Times New Roman" w:hAnsi="Times New Roman"/>
          <w:lang w:val="en-GB"/>
        </w:rPr>
        <w:t>PSO</w:t>
      </w:r>
      <w:r w:rsidRPr="00536D16">
        <w:rPr>
          <w:rFonts w:ascii="Times New Roman" w:hAnsi="Times New Roman"/>
          <w:lang w:val="en-GB"/>
        </w:rPr>
        <w:t xml:space="preserve"> model (R</w:t>
      </w:r>
      <w:r w:rsidR="00984B05" w:rsidRPr="00536D16">
        <w:rPr>
          <w:rFonts w:ascii="Times New Roman" w:hAnsi="Times New Roman"/>
          <w:vertAlign w:val="superscript"/>
          <w:lang w:val="en-GB"/>
        </w:rPr>
        <w:t>2</w:t>
      </w:r>
      <w:r w:rsidRPr="00536D16">
        <w:rPr>
          <w:rFonts w:ascii="Times New Roman" w:hAnsi="Times New Roman"/>
          <w:lang w:val="en-GB"/>
        </w:rPr>
        <w:t xml:space="preserve"> = 0.9901) </w:t>
      </w:r>
      <w:r w:rsidR="00A05AE8" w:rsidRPr="00536D16">
        <w:rPr>
          <w:rFonts w:ascii="Times New Roman" w:hAnsi="Times New Roman"/>
          <w:lang w:val="en-GB"/>
        </w:rPr>
        <w:t>showed the highest correlation with experimental results</w:t>
      </w:r>
      <w:r w:rsidRPr="00536D16">
        <w:rPr>
          <w:rFonts w:ascii="Times New Roman" w:hAnsi="Times New Roman"/>
          <w:lang w:val="en-GB"/>
        </w:rPr>
        <w:t xml:space="preserve"> by surface interaction</w:t>
      </w:r>
      <w:r w:rsidR="00984B05" w:rsidRPr="00536D16">
        <w:rPr>
          <w:rFonts w:ascii="Times New Roman" w:hAnsi="Times New Roman"/>
          <w:lang w:val="en-GB"/>
        </w:rPr>
        <w:t>s</w:t>
      </w:r>
      <w:r w:rsidRPr="00536D16">
        <w:rPr>
          <w:rFonts w:ascii="Times New Roman" w:hAnsi="Times New Roman"/>
          <w:lang w:val="en-GB"/>
        </w:rPr>
        <w:t>. The</w:t>
      </w:r>
      <w:r w:rsidR="00984B05" w:rsidRPr="00536D16">
        <w:rPr>
          <w:rFonts w:ascii="Times New Roman" w:hAnsi="Times New Roman"/>
          <w:lang w:val="en-GB"/>
        </w:rPr>
        <w:t xml:space="preserve"> </w:t>
      </w:r>
      <w:r w:rsidRPr="00536D16">
        <w:rPr>
          <w:rFonts w:ascii="Times New Roman" w:hAnsi="Times New Roman"/>
          <w:lang w:val="en-GB"/>
        </w:rPr>
        <w:t xml:space="preserve">equilibrium data showed </w:t>
      </w:r>
      <w:r w:rsidR="00984B05" w:rsidRPr="00536D16">
        <w:rPr>
          <w:rFonts w:ascii="Times New Roman" w:hAnsi="Times New Roman"/>
          <w:lang w:val="en-GB"/>
        </w:rPr>
        <w:t xml:space="preserve">a </w:t>
      </w:r>
      <w:r w:rsidRPr="00536D16">
        <w:rPr>
          <w:rFonts w:ascii="Times New Roman" w:hAnsi="Times New Roman"/>
          <w:lang w:val="en-GB"/>
        </w:rPr>
        <w:t>good correlation with the Langmuir isotherm</w:t>
      </w:r>
      <w:r w:rsidR="00984B05" w:rsidRPr="00536D16">
        <w:rPr>
          <w:rFonts w:ascii="Times New Roman" w:hAnsi="Times New Roman"/>
          <w:lang w:val="en-GB"/>
        </w:rPr>
        <w:t>,</w:t>
      </w:r>
      <w:r w:rsidRPr="00536D16">
        <w:rPr>
          <w:rFonts w:ascii="Times New Roman" w:hAnsi="Times New Roman"/>
          <w:lang w:val="en-GB"/>
        </w:rPr>
        <w:t xml:space="preserve"> </w:t>
      </w:r>
      <w:r w:rsidR="000D3625">
        <w:rPr>
          <w:rFonts w:ascii="Times New Roman" w:hAnsi="Times New Roman"/>
          <w:lang w:val="en-GB"/>
        </w:rPr>
        <w:t>indicating homogeneous adsorption on</w:t>
      </w:r>
      <w:r w:rsidR="00A05AE8" w:rsidRPr="00536D16">
        <w:rPr>
          <w:rFonts w:ascii="Times New Roman" w:hAnsi="Times New Roman"/>
          <w:lang w:val="en-GB"/>
        </w:rPr>
        <w:t xml:space="preserve"> a single layer of MG molecules. In addition, thermodynamic investigations demonstrated </w:t>
      </w:r>
      <w:r w:rsidR="000D3625">
        <w:rPr>
          <w:rFonts w:ascii="Times New Roman" w:hAnsi="Times New Roman"/>
          <w:lang w:val="en-GB"/>
        </w:rPr>
        <w:t>that the reaction was exothermic and spontaneous, with a</w:t>
      </w:r>
      <w:r w:rsidRPr="00536D16">
        <w:rPr>
          <w:rFonts w:ascii="Times New Roman" w:hAnsi="Times New Roman"/>
          <w:lang w:val="en-GB"/>
        </w:rPr>
        <w:t xml:space="preserve"> decrease in interfacial randomness. The adsorption mechanism proposed demonstrated that the contribution</w:t>
      </w:r>
      <w:r w:rsidR="000D3625">
        <w:rPr>
          <w:rFonts w:ascii="Times New Roman" w:hAnsi="Times New Roman"/>
          <w:lang w:val="en-GB"/>
        </w:rPr>
        <w:t>s</w:t>
      </w:r>
      <w:r w:rsidRPr="00536D16">
        <w:rPr>
          <w:rFonts w:ascii="Times New Roman" w:hAnsi="Times New Roman"/>
          <w:lang w:val="en-GB"/>
        </w:rPr>
        <w:t xml:space="preserve"> of pore filling, electrostatic attraction, hydrogen bonding, π–π interactions, and surface complexation to the removal of MG were all considered. </w:t>
      </w:r>
      <w:r w:rsidR="00060BC5" w:rsidRPr="00536D16">
        <w:rPr>
          <w:rFonts w:ascii="Times New Roman" w:hAnsi="Times New Roman"/>
          <w:lang w:val="en-GB"/>
        </w:rPr>
        <w:t xml:space="preserve">The adsorption </w:t>
      </w:r>
      <w:proofErr w:type="spellStart"/>
      <w:r w:rsidR="00060BC5" w:rsidRPr="00536D16">
        <w:rPr>
          <w:rFonts w:ascii="Times New Roman" w:hAnsi="Times New Roman"/>
          <w:lang w:val="en-GB"/>
        </w:rPr>
        <w:t>behavior</w:t>
      </w:r>
      <w:proofErr w:type="spellEnd"/>
      <w:r w:rsidR="00060BC5" w:rsidRPr="00536D16">
        <w:rPr>
          <w:rFonts w:ascii="Times New Roman" w:hAnsi="Times New Roman"/>
          <w:lang w:val="en-GB"/>
        </w:rPr>
        <w:t xml:space="preserve"> of GBHP was assessed using laboratory-scale batch experiments</w:t>
      </w:r>
      <w:r w:rsidR="00984B05" w:rsidRPr="00536D16">
        <w:rPr>
          <w:rFonts w:ascii="Times New Roman" w:hAnsi="Times New Roman"/>
          <w:lang w:val="en-GB"/>
        </w:rPr>
        <w:t>;</w:t>
      </w:r>
      <w:r w:rsidRPr="00536D16">
        <w:rPr>
          <w:rFonts w:ascii="Times New Roman" w:hAnsi="Times New Roman"/>
          <w:lang w:val="en-GB"/>
        </w:rPr>
        <w:t xml:space="preserve"> however, the results would still be beneficial and insightful for </w:t>
      </w:r>
      <w:r w:rsidR="000D3625">
        <w:rPr>
          <w:rFonts w:ascii="Times New Roman" w:hAnsi="Times New Roman"/>
          <w:lang w:val="en-GB"/>
        </w:rPr>
        <w:t xml:space="preserve">bone-derived </w:t>
      </w:r>
      <w:proofErr w:type="spellStart"/>
      <w:r w:rsidR="000D3625">
        <w:rPr>
          <w:rFonts w:ascii="Times New Roman" w:hAnsi="Times New Roman"/>
          <w:lang w:val="en-GB"/>
        </w:rPr>
        <w:t>hydrochar</w:t>
      </w:r>
      <w:proofErr w:type="spellEnd"/>
      <w:r w:rsidR="000D3625">
        <w:rPr>
          <w:rFonts w:ascii="Times New Roman" w:hAnsi="Times New Roman"/>
          <w:lang w:val="en-GB"/>
        </w:rPr>
        <w:t xml:space="preserve"> adsorption</w:t>
      </w:r>
      <w:r w:rsidRPr="00536D16">
        <w:rPr>
          <w:rFonts w:ascii="Times New Roman" w:hAnsi="Times New Roman"/>
          <w:lang w:val="en-GB"/>
        </w:rPr>
        <w:t>. The continuous flow system, regeneration and reuse systems, real industrial wastewater treatment, competitive multi-component adsorption</w:t>
      </w:r>
      <w:r w:rsidR="000D3625">
        <w:rPr>
          <w:rFonts w:ascii="Times New Roman" w:hAnsi="Times New Roman"/>
          <w:lang w:val="en-GB"/>
        </w:rPr>
        <w:t>, and techno-economic evaluation are proposed for future research, with the potential to serve</w:t>
      </w:r>
      <w:r w:rsidR="009E41FD" w:rsidRPr="00536D16">
        <w:rPr>
          <w:rFonts w:ascii="Times New Roman" w:hAnsi="Times New Roman"/>
          <w:lang w:val="en-GB"/>
        </w:rPr>
        <w:t xml:space="preserve"> as a low-cost waste-derived adsorbent for dye-contaminated wastewater. </w:t>
      </w:r>
    </w:p>
    <w:p w14:paraId="2FB8DE08" w14:textId="5CE5AD4C" w:rsidR="0052565E" w:rsidRPr="00536D16" w:rsidRDefault="0052565E" w:rsidP="00EB7368">
      <w:pPr>
        <w:pStyle w:val="Rn2"/>
        <w:rPr>
          <w:lang w:val="en-GB"/>
        </w:rPr>
      </w:pPr>
      <w:r w:rsidRPr="00536D16">
        <w:rPr>
          <w:lang w:val="en-GB"/>
        </w:rPr>
        <w:t>Acknowledgements</w:t>
      </w:r>
    </w:p>
    <w:p w14:paraId="168ECF4F" w14:textId="5C31DE2D" w:rsidR="0052565E" w:rsidRPr="00536D16" w:rsidRDefault="00060BC5" w:rsidP="0052565E">
      <w:pPr>
        <w:spacing w:line="228" w:lineRule="auto"/>
        <w:jc w:val="both"/>
        <w:rPr>
          <w:rFonts w:ascii="Times New Roman" w:hAnsi="Times New Roman"/>
          <w:lang w:val="en-GB"/>
        </w:rPr>
      </w:pPr>
      <w:r w:rsidRPr="00536D16">
        <w:rPr>
          <w:rFonts w:ascii="Times New Roman" w:hAnsi="Times New Roman"/>
          <w:lang w:val="en-GB"/>
        </w:rPr>
        <w:t>The authors thank King Faisal University, Saudi Arabia, for providing the resources for conducting this study.</w:t>
      </w:r>
    </w:p>
    <w:p w14:paraId="31E54507" w14:textId="55E57FAD" w:rsidR="001B6862" w:rsidRPr="00536D16" w:rsidRDefault="001B6862" w:rsidP="00EB7368">
      <w:pPr>
        <w:pStyle w:val="Rn2"/>
        <w:rPr>
          <w:lang w:val="en-GB"/>
        </w:rPr>
      </w:pPr>
      <w:r w:rsidRPr="00536D16">
        <w:rPr>
          <w:lang w:val="en-GB"/>
        </w:rPr>
        <w:t>Funding Statement</w:t>
      </w:r>
    </w:p>
    <w:p w14:paraId="5B1910A9" w14:textId="1F65E210" w:rsidR="001B6862" w:rsidRPr="00536D16" w:rsidRDefault="001B6862" w:rsidP="0052565E">
      <w:pPr>
        <w:spacing w:line="228" w:lineRule="auto"/>
        <w:jc w:val="both"/>
        <w:rPr>
          <w:rFonts w:ascii="Times New Roman" w:hAnsi="Times New Roman"/>
          <w:lang w:val="en-GB"/>
        </w:rPr>
      </w:pPr>
      <w:r w:rsidRPr="00536D16">
        <w:rPr>
          <w:rFonts w:ascii="Times New Roman" w:hAnsi="Times New Roman"/>
          <w:lang w:val="en-GB"/>
        </w:rPr>
        <w:t>This work was supported by the Deanship of Scientific Research, Vice Presidency for Graduate Studies and Scientific Research, King Faisal University, Saudi Arabia [Grant No. KFU264843].</w:t>
      </w:r>
    </w:p>
    <w:p w14:paraId="7FB3CC02" w14:textId="57344405" w:rsidR="0052565E" w:rsidRPr="00536D16" w:rsidRDefault="0052565E" w:rsidP="00EB7368">
      <w:pPr>
        <w:pStyle w:val="Rn2"/>
        <w:rPr>
          <w:lang w:val="en-GB"/>
        </w:rPr>
      </w:pPr>
      <w:r w:rsidRPr="00536D16">
        <w:rPr>
          <w:lang w:val="en-GB"/>
        </w:rPr>
        <w:t>References</w:t>
      </w:r>
    </w:p>
    <w:p w14:paraId="7B3F10CF" w14:textId="7C412C98" w:rsidR="001F0E7F" w:rsidRPr="00536D16" w:rsidRDefault="00761F2A" w:rsidP="00620CB9">
      <w:pPr>
        <w:pStyle w:val="Rlit"/>
        <w:jc w:val="left"/>
        <w:rPr>
          <w:noProof/>
          <w:lang w:val="en-GB"/>
        </w:rPr>
      </w:pPr>
      <w:r w:rsidRPr="00536D16">
        <w:rPr>
          <w:b/>
          <w:bCs/>
          <w:lang w:val="en-GB"/>
        </w:rPr>
        <w:fldChar w:fldCharType="begin" w:fldLock="1"/>
      </w:r>
      <w:r w:rsidRPr="00536D16">
        <w:rPr>
          <w:b/>
          <w:bCs/>
          <w:lang w:val="en-GB"/>
        </w:rPr>
        <w:instrText xml:space="preserve">ADDIN Mendeley Bibliography CSL_BIBLIOGRAPHY </w:instrText>
      </w:r>
      <w:r w:rsidRPr="00536D16">
        <w:rPr>
          <w:b/>
          <w:bCs/>
          <w:lang w:val="en-GB"/>
        </w:rPr>
        <w:fldChar w:fldCharType="separate"/>
      </w:r>
      <w:r w:rsidR="001F0E7F" w:rsidRPr="00536D16">
        <w:rPr>
          <w:noProof/>
          <w:lang w:val="en-GB"/>
        </w:rPr>
        <w:t xml:space="preserve">Abioye, K.J., Falua, K.J., Rezaee, M., Zamiri, M.A., Zou, F., &amp; Acharya, B. (2025). Global insights into biomass pyrolysis mechanisms: A scientometric and mechanistic approach. </w:t>
      </w:r>
      <w:r w:rsidR="001F0E7F" w:rsidRPr="00536D16">
        <w:rPr>
          <w:i/>
          <w:iCs/>
          <w:noProof/>
          <w:lang w:val="en-GB"/>
        </w:rPr>
        <w:t>Results in Engineering</w:t>
      </w:r>
      <w:r w:rsidR="001F0E7F" w:rsidRPr="00536D16">
        <w:rPr>
          <w:noProof/>
          <w:lang w:val="en-GB"/>
        </w:rPr>
        <w:t xml:space="preserve">, </w:t>
      </w:r>
      <w:r w:rsidR="001F0E7F" w:rsidRPr="00620CB9">
        <w:rPr>
          <w:i/>
          <w:iCs/>
          <w:noProof/>
          <w:lang w:val="en-GB"/>
        </w:rPr>
        <w:t>28</w:t>
      </w:r>
      <w:r w:rsidR="001F0E7F" w:rsidRPr="00536D16">
        <w:rPr>
          <w:noProof/>
          <w:lang w:val="en-GB"/>
        </w:rPr>
        <w:t xml:space="preserve">, 107123. </w:t>
      </w:r>
      <w:r w:rsidR="00620CB9">
        <w:rPr>
          <w:noProof/>
          <w:lang w:val="en-GB"/>
        </w:rPr>
        <w:br/>
      </w:r>
      <w:r w:rsidR="001F0E7F" w:rsidRPr="00536D16">
        <w:rPr>
          <w:noProof/>
          <w:lang w:val="en-GB"/>
        </w:rPr>
        <w:t>https://doi.org/https://doi.org/10.1016/j.rineng.2025.107123</w:t>
      </w:r>
    </w:p>
    <w:p w14:paraId="3D74DB19" w14:textId="6B58AB97" w:rsidR="001F0E7F" w:rsidRPr="00805C75" w:rsidRDefault="001F0E7F" w:rsidP="00EB7368">
      <w:pPr>
        <w:pStyle w:val="Rlit"/>
        <w:rPr>
          <w:noProof/>
          <w:lang w:val="de-DE"/>
        </w:rPr>
      </w:pPr>
      <w:r w:rsidRPr="00536D16">
        <w:rPr>
          <w:noProof/>
          <w:lang w:val="en-GB"/>
        </w:rPr>
        <w:t xml:space="preserve">Abioye, K.J., Harun, N.Y., Chofreh, A.G., Kamyab, H., Yusuf, M., Jagaba, A.H., … Ighalo, J.O. (2025). Trends and Advancements in Utilization of Biomass Waste for Gasification: A Bibliometric Review. </w:t>
      </w:r>
      <w:r w:rsidRPr="00805C75">
        <w:rPr>
          <w:i/>
          <w:iCs/>
          <w:noProof/>
          <w:lang w:val="de-DE"/>
        </w:rPr>
        <w:t>GCB Bioenergy</w:t>
      </w:r>
      <w:r w:rsidRPr="00805C75">
        <w:rPr>
          <w:noProof/>
          <w:lang w:val="de-DE"/>
        </w:rPr>
        <w:t xml:space="preserve">, </w:t>
      </w:r>
      <w:r w:rsidRPr="00805C75">
        <w:rPr>
          <w:i/>
          <w:iCs/>
          <w:noProof/>
          <w:lang w:val="de-DE"/>
        </w:rPr>
        <w:t>17</w:t>
      </w:r>
      <w:r w:rsidRPr="00805C75">
        <w:rPr>
          <w:noProof/>
          <w:lang w:val="de-DE"/>
        </w:rPr>
        <w:t>(12), e70095. https://doi.org/https://doi.org/10.1111/gcbb.70095</w:t>
      </w:r>
    </w:p>
    <w:p w14:paraId="47061856" w14:textId="14EC0F63" w:rsidR="001F0E7F" w:rsidRPr="00536D16" w:rsidRDefault="001F0E7F" w:rsidP="00620CB9">
      <w:pPr>
        <w:pStyle w:val="Rlit"/>
        <w:jc w:val="left"/>
        <w:rPr>
          <w:noProof/>
          <w:lang w:val="en-GB"/>
        </w:rPr>
      </w:pPr>
      <w:r w:rsidRPr="00805C75">
        <w:rPr>
          <w:noProof/>
          <w:lang w:val="de-DE"/>
        </w:rPr>
        <w:t xml:space="preserve">Abioye, K.J., Harun, N.Y., Sufian, S., Yusuf, M., Jagaba, A.H., Waqas, S., … </w:t>
      </w:r>
      <w:r w:rsidRPr="00536D16">
        <w:rPr>
          <w:noProof/>
          <w:lang w:val="en-GB"/>
        </w:rPr>
        <w:t xml:space="preserve">Kang, K. (2024). Optimization of syngas production from co-gasification of palm oil decanter cake and alum sludge: An RSM approach with char characterization. </w:t>
      </w:r>
      <w:r w:rsidRPr="00536D16">
        <w:rPr>
          <w:i/>
          <w:iCs/>
          <w:noProof/>
          <w:lang w:val="en-GB"/>
        </w:rPr>
        <w:t>Environmental Research</w:t>
      </w:r>
      <w:r w:rsidRPr="00536D16">
        <w:rPr>
          <w:noProof/>
          <w:lang w:val="en-GB"/>
        </w:rPr>
        <w:t xml:space="preserve">, </w:t>
      </w:r>
      <w:r w:rsidRPr="00620CB9">
        <w:rPr>
          <w:i/>
          <w:iCs/>
          <w:noProof/>
          <w:lang w:val="en-GB"/>
        </w:rPr>
        <w:t>246</w:t>
      </w:r>
      <w:r w:rsidRPr="00536D16">
        <w:rPr>
          <w:noProof/>
          <w:lang w:val="en-GB"/>
        </w:rPr>
        <w:t>, 118027. https://doi.org/https://doi.org/10.1016/j.envres.2023.118027</w:t>
      </w:r>
    </w:p>
    <w:p w14:paraId="4FE0754E" w14:textId="3F1715FE" w:rsidR="001F0E7F" w:rsidRPr="00536D16" w:rsidRDefault="001F0E7F" w:rsidP="00620CB9">
      <w:pPr>
        <w:pStyle w:val="Rlit"/>
        <w:jc w:val="left"/>
        <w:rPr>
          <w:noProof/>
          <w:lang w:val="en-GB"/>
        </w:rPr>
      </w:pPr>
      <w:r w:rsidRPr="00536D16">
        <w:rPr>
          <w:noProof/>
          <w:lang w:val="en-GB"/>
        </w:rPr>
        <w:t xml:space="preserve">Abioye, K.J., Harun, N.Y., Yusuf, M., Kamyab, H., Ighalo, J.O., Almusattar, W., … Pande, S. (2024). RSM-based co-gasification of palm oil decanter cake and sugarcane bagasse: Syngas production and biochar characteristics. </w:t>
      </w:r>
      <w:r w:rsidRPr="00536D16">
        <w:rPr>
          <w:i/>
          <w:iCs/>
          <w:noProof/>
          <w:lang w:val="en-GB"/>
        </w:rPr>
        <w:t>Biomass and Bioenergy</w:t>
      </w:r>
      <w:r w:rsidRPr="00536D16">
        <w:rPr>
          <w:noProof/>
          <w:lang w:val="en-GB"/>
        </w:rPr>
        <w:t xml:space="preserve">, </w:t>
      </w:r>
      <w:r w:rsidRPr="00620CB9">
        <w:rPr>
          <w:i/>
          <w:iCs/>
          <w:noProof/>
          <w:lang w:val="en-GB"/>
        </w:rPr>
        <w:t>191</w:t>
      </w:r>
      <w:r w:rsidRPr="00536D16">
        <w:rPr>
          <w:noProof/>
          <w:lang w:val="en-GB"/>
        </w:rPr>
        <w:t xml:space="preserve">, 107482. </w:t>
      </w:r>
      <w:r w:rsidR="00620CB9">
        <w:rPr>
          <w:noProof/>
          <w:lang w:val="en-GB"/>
        </w:rPr>
        <w:br/>
      </w:r>
      <w:r w:rsidRPr="00536D16">
        <w:rPr>
          <w:noProof/>
          <w:lang w:val="en-GB"/>
        </w:rPr>
        <w:t>https://doi.org/https://doi.org/10.1016/j.biombioe.2024.107482</w:t>
      </w:r>
    </w:p>
    <w:p w14:paraId="710117E9" w14:textId="73B3809F" w:rsidR="001F0E7F" w:rsidRPr="00536D16" w:rsidRDefault="001F0E7F" w:rsidP="00EB7368">
      <w:pPr>
        <w:pStyle w:val="Rlit"/>
        <w:rPr>
          <w:noProof/>
          <w:lang w:val="en-GB"/>
        </w:rPr>
      </w:pPr>
      <w:r w:rsidRPr="00620CB9">
        <w:rPr>
          <w:noProof/>
          <w:spacing w:val="-2"/>
          <w:lang w:val="en-GB"/>
        </w:rPr>
        <w:lastRenderedPageBreak/>
        <w:t xml:space="preserve">Arshad, M.S., Ansari, K., Waghmare, C., Eyvaz, M., Alqahtani, D.A., &amp; Alkhtani, N.A.N. (2026). Thermochemical Conversion and Activation-Driven Performance of Coconut Biochar: A Critical Review on Structure–Property–Adsorption Relationships in Dye Wastewater Treatment. </w:t>
      </w:r>
      <w:r w:rsidRPr="00620CB9">
        <w:rPr>
          <w:i/>
          <w:iCs/>
          <w:noProof/>
          <w:spacing w:val="-2"/>
          <w:lang w:val="en-GB"/>
        </w:rPr>
        <w:t>International Journal of Environmental Research</w:t>
      </w:r>
      <w:r w:rsidRPr="00620CB9">
        <w:rPr>
          <w:noProof/>
          <w:spacing w:val="-2"/>
          <w:lang w:val="en-GB"/>
        </w:rPr>
        <w:t xml:space="preserve">, </w:t>
      </w:r>
      <w:r w:rsidRPr="00620CB9">
        <w:rPr>
          <w:i/>
          <w:iCs/>
          <w:noProof/>
          <w:spacing w:val="-2"/>
          <w:lang w:val="en-GB"/>
        </w:rPr>
        <w:t>20</w:t>
      </w:r>
      <w:r w:rsidRPr="00620CB9">
        <w:rPr>
          <w:noProof/>
          <w:spacing w:val="-2"/>
          <w:lang w:val="en-GB"/>
        </w:rPr>
        <w:t xml:space="preserve">(5), 250. </w:t>
      </w:r>
      <w:r w:rsidRPr="00536D16">
        <w:rPr>
          <w:noProof/>
          <w:lang w:val="en-GB"/>
        </w:rPr>
        <w:t>https://doi.org/10.1007/s41742-026-01205-2</w:t>
      </w:r>
    </w:p>
    <w:p w14:paraId="51FF3909" w14:textId="485A3B50" w:rsidR="001F0E7F" w:rsidRPr="00536D16" w:rsidRDefault="001F0E7F" w:rsidP="00EB7368">
      <w:pPr>
        <w:pStyle w:val="Rlit"/>
        <w:rPr>
          <w:noProof/>
          <w:lang w:val="en-GB"/>
        </w:rPr>
      </w:pPr>
      <w:r w:rsidRPr="00536D16">
        <w:rPr>
          <w:noProof/>
          <w:lang w:val="en-GB"/>
        </w:rPr>
        <w:t xml:space="preserve">Arunprasath, T., Sudalai, S., Meenatchi, R., Jeyavishnu, K., &amp; Arumugam, A. (2019). Biodegradation of triphenylmethane dye malachite green by a newly isolated fungus strain. </w:t>
      </w:r>
      <w:r w:rsidRPr="00536D16">
        <w:rPr>
          <w:i/>
          <w:iCs/>
          <w:noProof/>
          <w:lang w:val="en-GB"/>
        </w:rPr>
        <w:t>Biocatalysis and Agricultural Biotechnology</w:t>
      </w:r>
      <w:r w:rsidRPr="00536D16">
        <w:rPr>
          <w:noProof/>
          <w:lang w:val="en-GB"/>
        </w:rPr>
        <w:t xml:space="preserve">, </w:t>
      </w:r>
      <w:r w:rsidRPr="00180C08">
        <w:rPr>
          <w:i/>
          <w:iCs/>
          <w:noProof/>
          <w:lang w:val="en-GB"/>
        </w:rPr>
        <w:t>17</w:t>
      </w:r>
      <w:r w:rsidRPr="00536D16">
        <w:rPr>
          <w:noProof/>
          <w:lang w:val="en-GB"/>
        </w:rPr>
        <w:t>, 672–679. https://doi.org/10.1016/J.BCAB.2019.01.030</w:t>
      </w:r>
    </w:p>
    <w:p w14:paraId="473BDD9E" w14:textId="48A2471A" w:rsidR="001F0E7F" w:rsidRPr="00536D16" w:rsidRDefault="001F0E7F" w:rsidP="00EB7368">
      <w:pPr>
        <w:pStyle w:val="Rlit"/>
        <w:rPr>
          <w:noProof/>
          <w:lang w:val="en-GB"/>
        </w:rPr>
      </w:pPr>
      <w:r w:rsidRPr="00536D16">
        <w:rPr>
          <w:noProof/>
          <w:lang w:val="en-GB"/>
        </w:rPr>
        <w:t xml:space="preserve">Awad, A.M., Shaikh, S.M.R., Jalab, R., Gulied, M.H., Nasser, M.S., Benamor, A., &amp; Adham, S. (2019). Adsorption of Organic Pollutants by Natural and Modified Clays : A Comprehensive Review. </w:t>
      </w:r>
      <w:r w:rsidRPr="00536D16">
        <w:rPr>
          <w:i/>
          <w:iCs/>
          <w:noProof/>
          <w:lang w:val="en-GB"/>
        </w:rPr>
        <w:t>Separation and Purification Technology</w:t>
      </w:r>
      <w:r w:rsidRPr="00536D16">
        <w:rPr>
          <w:noProof/>
          <w:lang w:val="en-GB"/>
        </w:rPr>
        <w:t>, 115719. https://doi.org/10.1016/j.seppur.2019.115719</w:t>
      </w:r>
    </w:p>
    <w:p w14:paraId="5EB1DDF3" w14:textId="148E7E86" w:rsidR="001F0E7F" w:rsidRPr="00536D16" w:rsidRDefault="001F0E7F" w:rsidP="00620CB9">
      <w:pPr>
        <w:pStyle w:val="Rlit"/>
        <w:jc w:val="left"/>
        <w:rPr>
          <w:noProof/>
          <w:lang w:val="en-GB"/>
        </w:rPr>
      </w:pPr>
      <w:r w:rsidRPr="00536D16">
        <w:rPr>
          <w:noProof/>
          <w:lang w:val="en-GB"/>
        </w:rPr>
        <w:t xml:space="preserve">Beulah, S.S., &amp; Muthukumaran, K. (2020). Methodologies of Removal of Dyes from Wastewater: A Review. </w:t>
      </w:r>
      <w:r w:rsidRPr="00536D16">
        <w:rPr>
          <w:i/>
          <w:iCs/>
          <w:noProof/>
          <w:lang w:val="en-GB"/>
        </w:rPr>
        <w:t>International Research Journal of Pure and Applied Chemistry</w:t>
      </w:r>
      <w:r w:rsidRPr="00536D16">
        <w:rPr>
          <w:noProof/>
          <w:lang w:val="en-GB"/>
        </w:rPr>
        <w:t xml:space="preserve">, 68–78. </w:t>
      </w:r>
      <w:r w:rsidR="00620CB9">
        <w:rPr>
          <w:noProof/>
          <w:lang w:val="en-GB"/>
        </w:rPr>
        <w:br/>
      </w:r>
      <w:r w:rsidRPr="00536D16">
        <w:rPr>
          <w:noProof/>
          <w:lang w:val="en-GB"/>
        </w:rPr>
        <w:t>https://doi.org/10.9734/IRJPAC/2020/V21I1130225</w:t>
      </w:r>
    </w:p>
    <w:p w14:paraId="689C8E2A" w14:textId="3998987F" w:rsidR="001F0E7F" w:rsidRPr="00536D16" w:rsidRDefault="001F0E7F" w:rsidP="00EB7368">
      <w:pPr>
        <w:pStyle w:val="Rlit"/>
        <w:rPr>
          <w:noProof/>
          <w:lang w:val="en-GB"/>
        </w:rPr>
      </w:pPr>
      <w:r w:rsidRPr="00805C75">
        <w:rPr>
          <w:noProof/>
          <w:lang w:val="de-DE"/>
        </w:rPr>
        <w:t xml:space="preserve">Bian, Y., Zhang, Y., Chen, Z., Xu, L., Zhang, C., Shi, D., … </w:t>
      </w:r>
      <w:r w:rsidRPr="00536D16">
        <w:rPr>
          <w:noProof/>
          <w:lang w:val="en-GB"/>
        </w:rPr>
        <w:t xml:space="preserve">Wang, X. (2025). Malachite green in environmental samples: Updates on sources, fates, distribution and removal techniques. </w:t>
      </w:r>
      <w:r w:rsidRPr="00536D16">
        <w:rPr>
          <w:i/>
          <w:iCs/>
          <w:noProof/>
          <w:lang w:val="en-GB"/>
        </w:rPr>
        <w:t>Ecotoxicology and Environmental Safety</w:t>
      </w:r>
      <w:r w:rsidRPr="00536D16">
        <w:rPr>
          <w:noProof/>
          <w:lang w:val="en-GB"/>
        </w:rPr>
        <w:t xml:space="preserve">, </w:t>
      </w:r>
      <w:r w:rsidRPr="00620CB9">
        <w:rPr>
          <w:i/>
          <w:iCs/>
          <w:noProof/>
          <w:lang w:val="en-GB"/>
        </w:rPr>
        <w:t>303</w:t>
      </w:r>
      <w:r w:rsidRPr="00536D16">
        <w:rPr>
          <w:noProof/>
          <w:lang w:val="en-GB"/>
        </w:rPr>
        <w:t>, 118978. https://doi.org/10.1016/j.ecoenv.2025.118978</w:t>
      </w:r>
    </w:p>
    <w:p w14:paraId="5906C7C2" w14:textId="77527E5C" w:rsidR="001F0E7F" w:rsidRPr="00620CB9" w:rsidRDefault="001F0E7F" w:rsidP="00620CB9">
      <w:pPr>
        <w:pStyle w:val="Rlit"/>
        <w:jc w:val="left"/>
        <w:rPr>
          <w:noProof/>
          <w:spacing w:val="-2"/>
          <w:lang w:val="en-GB"/>
        </w:rPr>
      </w:pPr>
      <w:r w:rsidRPr="00620CB9">
        <w:rPr>
          <w:noProof/>
          <w:spacing w:val="-2"/>
          <w:lang w:val="en-GB"/>
        </w:rPr>
        <w:t>Boakye, P., Ohemeng‐Boahen, G., Darkwah, L., Neuyam, Y. A. S., Appiah-Effah, E., Oduro‑Kwarteng, S., … Woo, S. H. (2024). Waste Biomass and Biomaterials Adsorbents for Wastewater Treatment. https://doi.org/10.60692/fj7f2-vjy65</w:t>
      </w:r>
    </w:p>
    <w:p w14:paraId="742A49E5" w14:textId="32C68E6D" w:rsidR="001F0E7F" w:rsidRPr="00536D16" w:rsidRDefault="001F0E7F" w:rsidP="00EB7368">
      <w:pPr>
        <w:pStyle w:val="Rlit"/>
        <w:rPr>
          <w:noProof/>
          <w:lang w:val="en-GB"/>
        </w:rPr>
      </w:pPr>
      <w:r w:rsidRPr="00536D16">
        <w:rPr>
          <w:noProof/>
          <w:lang w:val="en-GB"/>
        </w:rPr>
        <w:t xml:space="preserve">Bushra, R., Mohamad, S., Alias, Y., Jin, Y., &amp; Ahmad, M. (2021). Current approaches and methodologies to explore the perceptive adsorption mechanism of dyes on low-cost agricultural waste: A review. </w:t>
      </w:r>
      <w:r w:rsidRPr="00536D16">
        <w:rPr>
          <w:i/>
          <w:iCs/>
          <w:noProof/>
          <w:lang w:val="en-GB"/>
        </w:rPr>
        <w:t>Microporous and Mesoporous Materials</w:t>
      </w:r>
      <w:r w:rsidRPr="00536D16">
        <w:rPr>
          <w:noProof/>
          <w:lang w:val="en-GB"/>
        </w:rPr>
        <w:t xml:space="preserve">, </w:t>
      </w:r>
      <w:r w:rsidRPr="00620CB9">
        <w:rPr>
          <w:i/>
          <w:iCs/>
          <w:noProof/>
          <w:lang w:val="en-GB"/>
        </w:rPr>
        <w:t>319</w:t>
      </w:r>
      <w:r w:rsidRPr="00536D16">
        <w:rPr>
          <w:noProof/>
          <w:lang w:val="en-GB"/>
        </w:rPr>
        <w:t>(March), 111040. https://doi.org/10.1016/j.micromeso.2021.111040</w:t>
      </w:r>
    </w:p>
    <w:p w14:paraId="1561D007" w14:textId="0652C0F2" w:rsidR="001F0E7F" w:rsidRPr="00536D16" w:rsidRDefault="001F0E7F" w:rsidP="00EB7368">
      <w:pPr>
        <w:pStyle w:val="Rlit"/>
        <w:rPr>
          <w:noProof/>
          <w:lang w:val="en-GB"/>
        </w:rPr>
      </w:pPr>
      <w:r w:rsidRPr="00536D16">
        <w:rPr>
          <w:noProof/>
          <w:lang w:val="en-GB"/>
        </w:rPr>
        <w:t xml:space="preserve">Clark, T., Chandrasekhar, J., Spitznagel, G.W., &amp; Schleyer, P.V.R. (1983). Efficient diffuse function‐augmented basis sets for anion calculations. III. The 3‐21+G basis set for first‐row elements, Li–F. </w:t>
      </w:r>
      <w:r w:rsidRPr="00536D16">
        <w:rPr>
          <w:i/>
          <w:iCs/>
          <w:noProof/>
          <w:lang w:val="en-GB"/>
        </w:rPr>
        <w:t>Journal of Computational Chemistry</w:t>
      </w:r>
      <w:r w:rsidRPr="00536D16">
        <w:rPr>
          <w:noProof/>
          <w:lang w:val="en-GB"/>
        </w:rPr>
        <w:t xml:space="preserve">, </w:t>
      </w:r>
      <w:r w:rsidRPr="00620CB9">
        <w:rPr>
          <w:i/>
          <w:iCs/>
          <w:noProof/>
          <w:lang w:val="en-GB"/>
        </w:rPr>
        <w:t>4</w:t>
      </w:r>
      <w:r w:rsidRPr="00536D16">
        <w:rPr>
          <w:noProof/>
          <w:lang w:val="en-GB"/>
        </w:rPr>
        <w:t>(3), 294–301. https://doi.org/10.1002/JCC.540040303</w:t>
      </w:r>
    </w:p>
    <w:p w14:paraId="64765D81" w14:textId="2FC0B31F" w:rsidR="001F0E7F" w:rsidRPr="00536D16" w:rsidRDefault="001F0E7F" w:rsidP="00620CB9">
      <w:pPr>
        <w:pStyle w:val="Rlit"/>
        <w:jc w:val="left"/>
        <w:rPr>
          <w:noProof/>
          <w:lang w:val="en-GB"/>
        </w:rPr>
      </w:pPr>
      <w:r w:rsidRPr="00536D16">
        <w:rPr>
          <w:noProof/>
          <w:lang w:val="en-GB"/>
        </w:rPr>
        <w:t xml:space="preserve">Durak, H., Yarbay, R.Z., &amp; Türkmen, B.A. (2026). Hydrothermal Carbonization of Biomass for Hydrochar Production: Mechanisms, Process Parameters, and Sustainable Valorization. </w:t>
      </w:r>
      <w:r w:rsidRPr="00536D16">
        <w:rPr>
          <w:i/>
          <w:iCs/>
          <w:noProof/>
          <w:lang w:val="en-GB"/>
        </w:rPr>
        <w:t>Processes</w:t>
      </w:r>
      <w:r w:rsidRPr="00536D16">
        <w:rPr>
          <w:noProof/>
          <w:lang w:val="en-GB"/>
        </w:rPr>
        <w:t>. https://doi.org/10.3390/pr14020339</w:t>
      </w:r>
    </w:p>
    <w:p w14:paraId="2BEE0A36" w14:textId="5577CA9F" w:rsidR="001F0E7F" w:rsidRPr="00536D16" w:rsidRDefault="001F0E7F" w:rsidP="00EB7368">
      <w:pPr>
        <w:pStyle w:val="Rlit"/>
        <w:rPr>
          <w:noProof/>
          <w:lang w:val="en-GB"/>
        </w:rPr>
      </w:pPr>
      <w:r w:rsidRPr="00536D16">
        <w:rPr>
          <w:noProof/>
          <w:lang w:val="en-GB"/>
        </w:rPr>
        <w:t xml:space="preserve">Gumus, R.H., Wauton, I., &amp; Aliu, A.M. (2012). Investigation of the effect of Chemical Activation and characterization of bone char: Cow bone. </w:t>
      </w:r>
      <w:r w:rsidRPr="00536D16">
        <w:rPr>
          <w:i/>
          <w:iCs/>
          <w:noProof/>
          <w:lang w:val="en-GB"/>
        </w:rPr>
        <w:t>Journal of Engineering and Applied Science</w:t>
      </w:r>
      <w:r w:rsidRPr="00536D16">
        <w:rPr>
          <w:noProof/>
          <w:lang w:val="en-GB"/>
        </w:rPr>
        <w:t xml:space="preserve">, </w:t>
      </w:r>
      <w:r w:rsidRPr="00620CB9">
        <w:rPr>
          <w:i/>
          <w:iCs/>
          <w:noProof/>
          <w:lang w:val="en-GB"/>
        </w:rPr>
        <w:t>4</w:t>
      </w:r>
      <w:r w:rsidRPr="00536D16">
        <w:rPr>
          <w:noProof/>
          <w:lang w:val="en-GB"/>
        </w:rPr>
        <w:t>, 34–45.</w:t>
      </w:r>
    </w:p>
    <w:p w14:paraId="660A861E" w14:textId="6FA514FE" w:rsidR="001F0E7F" w:rsidRPr="00536D16" w:rsidRDefault="001F0E7F" w:rsidP="00EB7368">
      <w:pPr>
        <w:pStyle w:val="Rlit"/>
        <w:rPr>
          <w:noProof/>
          <w:lang w:val="en-GB"/>
        </w:rPr>
      </w:pPr>
      <w:r w:rsidRPr="00536D16">
        <w:rPr>
          <w:noProof/>
          <w:lang w:val="en-GB"/>
        </w:rPr>
        <w:t xml:space="preserve">Hart, A., Ebiundu, K., Peretomode, E., Onyeaka, H., Nwabor, O. F., &amp; Obileke, K. (2022). Value-added materials recovered from waste bone biomass: technologies and applications. </w:t>
      </w:r>
      <w:r w:rsidRPr="00536D16">
        <w:rPr>
          <w:i/>
          <w:iCs/>
          <w:noProof/>
          <w:lang w:val="en-GB"/>
        </w:rPr>
        <w:t>RSC Advances</w:t>
      </w:r>
      <w:r w:rsidRPr="00536D16">
        <w:rPr>
          <w:noProof/>
          <w:lang w:val="en-GB"/>
        </w:rPr>
        <w:t xml:space="preserve">, </w:t>
      </w:r>
      <w:r w:rsidRPr="00620CB9">
        <w:rPr>
          <w:i/>
          <w:iCs/>
          <w:noProof/>
          <w:lang w:val="en-GB"/>
        </w:rPr>
        <w:t>12</w:t>
      </w:r>
      <w:r w:rsidRPr="00536D16">
        <w:rPr>
          <w:noProof/>
          <w:lang w:val="en-GB"/>
        </w:rPr>
        <w:t>(34), 22302–22330. https://doi.org/10.1039/d2ra03557j</w:t>
      </w:r>
    </w:p>
    <w:p w14:paraId="3CC81832" w14:textId="04A64712" w:rsidR="001F0E7F" w:rsidRPr="00536D16" w:rsidRDefault="001F0E7F" w:rsidP="00620CB9">
      <w:pPr>
        <w:pStyle w:val="Rlit"/>
        <w:jc w:val="left"/>
        <w:rPr>
          <w:noProof/>
          <w:lang w:val="en-GB"/>
        </w:rPr>
      </w:pPr>
      <w:r w:rsidRPr="00536D16">
        <w:rPr>
          <w:noProof/>
          <w:lang w:val="en-GB"/>
        </w:rPr>
        <w:t xml:space="preserve">Hart, A., Omonmhenle, S.I., &amp; Peretomode, E. (2023). Waste bone char-derived adsorbents: characteristics, adsorption mechanism and model approach. </w:t>
      </w:r>
      <w:r w:rsidRPr="00536D16">
        <w:rPr>
          <w:i/>
          <w:iCs/>
          <w:noProof/>
          <w:lang w:val="en-GB"/>
        </w:rPr>
        <w:t>Environmental Technology Reviews</w:t>
      </w:r>
      <w:r w:rsidRPr="00536D16">
        <w:rPr>
          <w:noProof/>
          <w:lang w:val="en-GB"/>
        </w:rPr>
        <w:t xml:space="preserve">, </w:t>
      </w:r>
      <w:r w:rsidRPr="00620CB9">
        <w:rPr>
          <w:i/>
          <w:iCs/>
          <w:noProof/>
          <w:lang w:val="en-GB"/>
        </w:rPr>
        <w:t>12</w:t>
      </w:r>
      <w:r w:rsidRPr="00536D16">
        <w:rPr>
          <w:noProof/>
          <w:lang w:val="en-GB"/>
        </w:rPr>
        <w:t>(1), 175–204. https://doi.org/10.1080/21622515.2023.2197128</w:t>
      </w:r>
    </w:p>
    <w:p w14:paraId="63551432" w14:textId="3E98272D" w:rsidR="001F0E7F" w:rsidRPr="00536D16" w:rsidRDefault="001F0E7F" w:rsidP="00EB7368">
      <w:pPr>
        <w:pStyle w:val="Rlit"/>
        <w:rPr>
          <w:noProof/>
          <w:lang w:val="en-GB"/>
        </w:rPr>
      </w:pPr>
      <w:r w:rsidRPr="00536D16">
        <w:rPr>
          <w:noProof/>
          <w:lang w:val="en-GB"/>
        </w:rPr>
        <w:t xml:space="preserve">He, J., Mo, P.-H., Luo, Y.-S., &amp; Yang, P. (2023). Strategies for Solving the Issue of Malachite Green Residues in Aquatic Products: A Review. </w:t>
      </w:r>
      <w:r w:rsidRPr="00536D16">
        <w:rPr>
          <w:i/>
          <w:iCs/>
          <w:noProof/>
          <w:lang w:val="en-GB"/>
        </w:rPr>
        <w:t>Aquaculture Research</w:t>
      </w:r>
      <w:r w:rsidRPr="00536D16">
        <w:rPr>
          <w:noProof/>
          <w:lang w:val="en-GB"/>
        </w:rPr>
        <w:t xml:space="preserve">, </w:t>
      </w:r>
      <w:r w:rsidRPr="00D9548C">
        <w:rPr>
          <w:i/>
          <w:iCs/>
          <w:noProof/>
          <w:lang w:val="en-GB"/>
        </w:rPr>
        <w:t>2023</w:t>
      </w:r>
      <w:r w:rsidRPr="00536D16">
        <w:rPr>
          <w:noProof/>
          <w:lang w:val="en-GB"/>
        </w:rPr>
        <w:t>, 1–17. https://doi.org/10.1155/2023/8578570</w:t>
      </w:r>
    </w:p>
    <w:p w14:paraId="51F4C0CB" w14:textId="6E23C6DB" w:rsidR="001F0E7F" w:rsidRPr="00536D16" w:rsidRDefault="001F0E7F" w:rsidP="00D9548C">
      <w:pPr>
        <w:pStyle w:val="Rlit"/>
        <w:jc w:val="left"/>
        <w:rPr>
          <w:noProof/>
          <w:lang w:val="en-GB"/>
        </w:rPr>
      </w:pPr>
      <w:r w:rsidRPr="00536D16">
        <w:rPr>
          <w:noProof/>
          <w:lang w:val="en-GB"/>
        </w:rPr>
        <w:t xml:space="preserve">Hussain, N., Kumar, J., Ali, S., Ahmed, S., &amp; Fatima, N. (2021). Development of fruit waste derived bio-adsorbents for wastewater treatment : A review. </w:t>
      </w:r>
      <w:r w:rsidRPr="00536D16">
        <w:rPr>
          <w:i/>
          <w:iCs/>
          <w:noProof/>
          <w:lang w:val="en-GB"/>
        </w:rPr>
        <w:t>Journal of Hazardous Materials</w:t>
      </w:r>
      <w:r w:rsidRPr="00536D16">
        <w:rPr>
          <w:noProof/>
          <w:lang w:val="en-GB"/>
        </w:rPr>
        <w:t xml:space="preserve">, </w:t>
      </w:r>
      <w:r w:rsidRPr="00D9548C">
        <w:rPr>
          <w:i/>
          <w:iCs/>
          <w:noProof/>
          <w:lang w:val="en-GB"/>
        </w:rPr>
        <w:t>416</w:t>
      </w:r>
      <w:r w:rsidRPr="00536D16">
        <w:rPr>
          <w:noProof/>
          <w:lang w:val="en-GB"/>
        </w:rPr>
        <w:t>(April), 125848. https://doi.org/10.1016/j.jhazmat.2021.125848</w:t>
      </w:r>
    </w:p>
    <w:p w14:paraId="35950489" w14:textId="2F8BC56C" w:rsidR="001F0E7F" w:rsidRPr="00536D16" w:rsidRDefault="001F0E7F" w:rsidP="00D9548C">
      <w:pPr>
        <w:pStyle w:val="Rlit"/>
        <w:jc w:val="left"/>
        <w:rPr>
          <w:noProof/>
          <w:lang w:val="en-GB"/>
        </w:rPr>
      </w:pPr>
      <w:r w:rsidRPr="00805C75">
        <w:rPr>
          <w:noProof/>
          <w:lang w:val="pl-PL"/>
        </w:rPr>
        <w:t xml:space="preserve">Inala, B.V.P., &amp; Choksi, N. (2025). </w:t>
      </w:r>
      <w:r w:rsidRPr="00536D16">
        <w:rPr>
          <w:noProof/>
          <w:lang w:val="en-GB"/>
        </w:rPr>
        <w:t xml:space="preserve">Animal Bone- Eco-friendly Adsorption Material in Waste Water Treatment. </w:t>
      </w:r>
      <w:r w:rsidRPr="00536D16">
        <w:rPr>
          <w:i/>
          <w:iCs/>
          <w:noProof/>
          <w:lang w:val="en-GB"/>
        </w:rPr>
        <w:t>International Journal For Multidisciplinary Research</w:t>
      </w:r>
      <w:r w:rsidRPr="00536D16">
        <w:rPr>
          <w:noProof/>
          <w:lang w:val="en-GB"/>
        </w:rPr>
        <w:t>, 7(1). https://doi.org/10.36948/ijfmr.2025.v07i01.35458</w:t>
      </w:r>
    </w:p>
    <w:p w14:paraId="30DBDEFA" w14:textId="20217BBB" w:rsidR="001F0E7F" w:rsidRPr="00536D16" w:rsidRDefault="001F0E7F" w:rsidP="00EB7368">
      <w:pPr>
        <w:pStyle w:val="Rlit"/>
        <w:rPr>
          <w:noProof/>
          <w:lang w:val="en-GB"/>
        </w:rPr>
      </w:pPr>
      <w:r w:rsidRPr="00536D16">
        <w:rPr>
          <w:noProof/>
          <w:lang w:val="en-GB"/>
        </w:rPr>
        <w:t>Jankovská, Z., Peikertova, P., Tokarský, J., &amp; Matejová, L. (2025). Adsorbents prepared by pyrolysis for VOC abatement. https://doi.org/10.21203/rs.3.rs-7807256/v1</w:t>
      </w:r>
    </w:p>
    <w:p w14:paraId="7E05E32D" w14:textId="782C04C3" w:rsidR="001F0E7F" w:rsidRPr="00536D16" w:rsidRDefault="001F0E7F" w:rsidP="00EB7368">
      <w:pPr>
        <w:pStyle w:val="Rlit"/>
        <w:rPr>
          <w:noProof/>
          <w:lang w:val="en-GB"/>
        </w:rPr>
      </w:pPr>
      <w:r w:rsidRPr="00536D16">
        <w:rPr>
          <w:noProof/>
          <w:lang w:val="en-GB"/>
        </w:rPr>
        <w:t>Khan, A.M., Usmani, M.A., Yasmeen, K., Ahmed, M.N., Obaid, M., Naz, S.A., … Aslam, S. (2023). Conversion of waste animal bones to biofertilizer and adsorbent for wastewater treatment: An innovative approach to develop zero-waste technology. Retrieved from https://doi.org/10.21203/rs.3.rs-3134479/v1</w:t>
      </w:r>
    </w:p>
    <w:p w14:paraId="42E924B1" w14:textId="4D5A231B" w:rsidR="001F0E7F" w:rsidRPr="00536D16" w:rsidRDefault="001F0E7F" w:rsidP="00D9548C">
      <w:pPr>
        <w:pStyle w:val="Rlit"/>
        <w:jc w:val="left"/>
        <w:rPr>
          <w:noProof/>
          <w:lang w:val="en-GB"/>
        </w:rPr>
      </w:pPr>
      <w:r w:rsidRPr="00536D16">
        <w:rPr>
          <w:noProof/>
          <w:lang w:val="en-GB"/>
        </w:rPr>
        <w:t xml:space="preserve">Khan, M.I., Sufian, S., Hassan, F., Shamsuddin, R., &amp; Farooq, M. (2025). Phosphoric acid based geopolymer foam-activated carbon composite for methylene blue adsorption: isotherm, kinetics, thermodynamics, and machine learning studies. </w:t>
      </w:r>
      <w:r w:rsidRPr="00536D16">
        <w:rPr>
          <w:i/>
          <w:iCs/>
          <w:noProof/>
          <w:lang w:val="en-GB"/>
        </w:rPr>
        <w:t>RSC Advances</w:t>
      </w:r>
      <w:r w:rsidRPr="00536D16">
        <w:rPr>
          <w:noProof/>
          <w:lang w:val="en-GB"/>
        </w:rPr>
        <w:t xml:space="preserve">, </w:t>
      </w:r>
      <w:r w:rsidRPr="00D9548C">
        <w:rPr>
          <w:i/>
          <w:iCs/>
          <w:noProof/>
          <w:lang w:val="en-GB"/>
        </w:rPr>
        <w:t>15</w:t>
      </w:r>
      <w:r w:rsidRPr="00536D16">
        <w:rPr>
          <w:noProof/>
          <w:lang w:val="en-GB"/>
        </w:rPr>
        <w:t>(3), 1989–2010. https://doi.org/https://doi.org/10.1039/d4ra05782a</w:t>
      </w:r>
    </w:p>
    <w:p w14:paraId="05317126" w14:textId="77777777" w:rsidR="001F0E7F" w:rsidRPr="00536D16" w:rsidRDefault="001F0E7F" w:rsidP="00EB7368">
      <w:pPr>
        <w:pStyle w:val="Rlit"/>
        <w:rPr>
          <w:noProof/>
          <w:lang w:val="en-GB"/>
        </w:rPr>
      </w:pPr>
      <w:r w:rsidRPr="00536D16">
        <w:rPr>
          <w:noProof/>
          <w:lang w:val="en-GB"/>
        </w:rPr>
        <w:t xml:space="preserve">Kizilkaya, B. (2012). Usage of biogenic apatite (fish bones) on removal of basic fuchsin dye from aqueous solution. </w:t>
      </w:r>
      <w:r w:rsidRPr="00536D16">
        <w:rPr>
          <w:i/>
          <w:iCs/>
          <w:noProof/>
          <w:lang w:val="en-GB"/>
        </w:rPr>
        <w:t>Journal of Dispersion Science and Technology</w:t>
      </w:r>
      <w:r w:rsidRPr="00536D16">
        <w:rPr>
          <w:noProof/>
          <w:lang w:val="en-GB"/>
        </w:rPr>
        <w:t xml:space="preserve">, </w:t>
      </w:r>
      <w:r w:rsidRPr="00D9548C">
        <w:rPr>
          <w:i/>
          <w:iCs/>
          <w:noProof/>
          <w:lang w:val="en-GB"/>
        </w:rPr>
        <w:t>33</w:t>
      </w:r>
      <w:r w:rsidRPr="00536D16">
        <w:rPr>
          <w:noProof/>
          <w:lang w:val="en-GB"/>
        </w:rPr>
        <w:t>(11), 1596–1602.</w:t>
      </w:r>
    </w:p>
    <w:p w14:paraId="54CE5FEC" w14:textId="08BBC796" w:rsidR="001F0E7F" w:rsidRPr="00536D16" w:rsidRDefault="001F0E7F" w:rsidP="00EB7368">
      <w:pPr>
        <w:pStyle w:val="Rlit"/>
        <w:rPr>
          <w:noProof/>
          <w:lang w:val="en-GB"/>
        </w:rPr>
      </w:pPr>
      <w:r w:rsidRPr="00536D16">
        <w:rPr>
          <w:noProof/>
          <w:lang w:val="en-GB"/>
        </w:rPr>
        <w:t>Kumar, A., Devnani, G.L., &amp; Pal, D.B. (2025). Sustainable Degradation of Organic Pollutants Using Various Treatment Processes: A Review. https://doi.org/10.69709/susproc.2025.111130</w:t>
      </w:r>
    </w:p>
    <w:p w14:paraId="0C42C584" w14:textId="5A25F9F1" w:rsidR="001F0E7F" w:rsidRPr="00536D16" w:rsidRDefault="001F0E7F" w:rsidP="00245FED">
      <w:pPr>
        <w:pStyle w:val="Rlit"/>
        <w:jc w:val="left"/>
        <w:rPr>
          <w:noProof/>
          <w:lang w:val="en-GB"/>
        </w:rPr>
      </w:pPr>
      <w:r w:rsidRPr="00536D16">
        <w:rPr>
          <w:noProof/>
          <w:lang w:val="en-GB"/>
        </w:rPr>
        <w:t xml:space="preserve">Ledakowicz, S., &amp; Paździor, K. (2021). Recent Achievements in Dyes Removal Focused on Advanced Oxidation Processes Integrated with Biological Methods. </w:t>
      </w:r>
      <w:r w:rsidRPr="00536D16">
        <w:rPr>
          <w:i/>
          <w:iCs/>
          <w:noProof/>
          <w:lang w:val="en-GB"/>
        </w:rPr>
        <w:t>Molecules</w:t>
      </w:r>
      <w:r w:rsidRPr="00536D16">
        <w:rPr>
          <w:noProof/>
          <w:lang w:val="en-GB"/>
        </w:rPr>
        <w:t xml:space="preserve">, </w:t>
      </w:r>
      <w:r w:rsidRPr="00245FED">
        <w:rPr>
          <w:i/>
          <w:iCs/>
          <w:noProof/>
          <w:lang w:val="en-GB"/>
        </w:rPr>
        <w:t>26</w:t>
      </w:r>
      <w:r w:rsidRPr="00536D16">
        <w:rPr>
          <w:noProof/>
          <w:lang w:val="en-GB"/>
        </w:rPr>
        <w:t>(4), 870. https://doi.org/10.3390/MOLECULES26040870</w:t>
      </w:r>
    </w:p>
    <w:p w14:paraId="78A01831" w14:textId="77777777" w:rsidR="001F0E7F" w:rsidRPr="00536D16" w:rsidRDefault="001F0E7F" w:rsidP="00EB7368">
      <w:pPr>
        <w:pStyle w:val="Rlit"/>
        <w:rPr>
          <w:noProof/>
          <w:lang w:val="en-GB"/>
        </w:rPr>
      </w:pPr>
      <w:r w:rsidRPr="00536D16">
        <w:rPr>
          <w:noProof/>
          <w:lang w:val="en-GB"/>
        </w:rPr>
        <w:t xml:space="preserve">Li, Y., Wang, M., Shan, Y., Liu, J., Han, L., &amp; Liu, X. (2024). Adsorption characteristics and molecular mechanisms of ionic organic pollutants on bone char. </w:t>
      </w:r>
      <w:r w:rsidRPr="00536D16">
        <w:rPr>
          <w:i/>
          <w:iCs/>
          <w:noProof/>
          <w:lang w:val="en-GB"/>
        </w:rPr>
        <w:t>Journal of Molecular Liquids</w:t>
      </w:r>
      <w:r w:rsidRPr="00536D16">
        <w:rPr>
          <w:noProof/>
          <w:lang w:val="en-GB"/>
        </w:rPr>
        <w:t>, 400, 124624.</w:t>
      </w:r>
    </w:p>
    <w:p w14:paraId="30CCF554" w14:textId="3526746C" w:rsidR="001F0E7F" w:rsidRPr="00536D16" w:rsidRDefault="001F0E7F" w:rsidP="00245FED">
      <w:pPr>
        <w:pStyle w:val="Rlit"/>
        <w:jc w:val="left"/>
        <w:rPr>
          <w:noProof/>
          <w:lang w:val="en-GB"/>
        </w:rPr>
      </w:pPr>
      <w:r w:rsidRPr="00536D16">
        <w:rPr>
          <w:noProof/>
          <w:lang w:val="en-GB"/>
        </w:rPr>
        <w:t xml:space="preserve">Limeneh, D.Y., Tesfaye, T., Ayele, M., Husien, N.M., Ferede, E., Haile, A., … Kong, F. (2022). A Comprehensive Review on Utilization of Slaughterhouse By-Product: Current Status and Prospect. </w:t>
      </w:r>
      <w:r w:rsidRPr="00536D16">
        <w:rPr>
          <w:i/>
          <w:iCs/>
          <w:noProof/>
          <w:lang w:val="en-GB"/>
        </w:rPr>
        <w:t>Sustainability</w:t>
      </w:r>
      <w:r w:rsidRPr="00536D16">
        <w:rPr>
          <w:noProof/>
          <w:lang w:val="en-GB"/>
        </w:rPr>
        <w:t xml:space="preserve">, </w:t>
      </w:r>
      <w:r w:rsidRPr="00245FED">
        <w:rPr>
          <w:i/>
          <w:iCs/>
          <w:noProof/>
          <w:lang w:val="en-GB"/>
        </w:rPr>
        <w:t>14</w:t>
      </w:r>
      <w:r w:rsidRPr="00536D16">
        <w:rPr>
          <w:noProof/>
          <w:lang w:val="en-GB"/>
        </w:rPr>
        <w:t>(11), 6469. https://doi.org/10.3390/su14116469</w:t>
      </w:r>
    </w:p>
    <w:p w14:paraId="41EC7626" w14:textId="3774DB26" w:rsidR="001F0E7F" w:rsidRPr="00536D16" w:rsidRDefault="001F0E7F" w:rsidP="00245FED">
      <w:pPr>
        <w:pStyle w:val="Rlit"/>
        <w:jc w:val="left"/>
        <w:rPr>
          <w:noProof/>
          <w:lang w:val="en-GB"/>
        </w:rPr>
      </w:pPr>
      <w:r w:rsidRPr="00536D16">
        <w:rPr>
          <w:noProof/>
          <w:lang w:val="en-GB"/>
        </w:rPr>
        <w:lastRenderedPageBreak/>
        <w:t>Morris, A.R., Patil, A.J., Sadekar, S., Choudhury, A., Munde, M., Chougale, A.D., … Dawkar, V.V. (2024). Biodegradation of Malachite Green Dye by Novel Isolated Bacillus Species AAV from Garden Soil, 88–95. https://doi.org/10.69626/csa.2024.0088</w:t>
      </w:r>
    </w:p>
    <w:p w14:paraId="277D7975" w14:textId="1908049E" w:rsidR="001F0E7F" w:rsidRPr="00536D16" w:rsidRDefault="001F0E7F" w:rsidP="00EB7368">
      <w:pPr>
        <w:pStyle w:val="Rlit"/>
        <w:rPr>
          <w:noProof/>
          <w:lang w:val="en-GB"/>
        </w:rPr>
      </w:pPr>
      <w:r w:rsidRPr="00536D16">
        <w:rPr>
          <w:noProof/>
          <w:lang w:val="en-GB"/>
        </w:rPr>
        <w:t xml:space="preserve">Muteeb, G., Alshoaibi, A., &amp; Ansari, K. (2025). Experimental optimization and machine learning modeling for sustainable Congo red dye removal from wastewater using activated goat bone biochar. </w:t>
      </w:r>
      <w:r w:rsidRPr="00536D16">
        <w:rPr>
          <w:i/>
          <w:iCs/>
          <w:noProof/>
          <w:lang w:val="en-GB"/>
        </w:rPr>
        <w:t>Journal of Science: Advanced Materials and Devices</w:t>
      </w:r>
      <w:r w:rsidRPr="00536D16">
        <w:rPr>
          <w:noProof/>
          <w:lang w:val="en-GB"/>
        </w:rPr>
        <w:t xml:space="preserve">, </w:t>
      </w:r>
      <w:r w:rsidRPr="00245FED">
        <w:rPr>
          <w:i/>
          <w:iCs/>
          <w:noProof/>
          <w:lang w:val="en-GB"/>
        </w:rPr>
        <w:t>10</w:t>
      </w:r>
      <w:r w:rsidRPr="00536D16">
        <w:rPr>
          <w:noProof/>
          <w:lang w:val="en-GB"/>
        </w:rPr>
        <w:t>(3), 100947. https://doi.org/https://doi.org/10.1016/j.jsamd.2025.100947</w:t>
      </w:r>
    </w:p>
    <w:p w14:paraId="13A93554" w14:textId="6E1AAD91" w:rsidR="001F0E7F" w:rsidRPr="00536D16" w:rsidRDefault="001F0E7F" w:rsidP="00EB7368">
      <w:pPr>
        <w:pStyle w:val="Rlit"/>
        <w:rPr>
          <w:noProof/>
          <w:lang w:val="en-GB"/>
        </w:rPr>
      </w:pPr>
      <w:r w:rsidRPr="00536D16">
        <w:rPr>
          <w:noProof/>
          <w:lang w:val="en-GB"/>
        </w:rPr>
        <w:t xml:space="preserve">Muteeb, G., Ansari, K., Eyvaz, M., Farhan, M., Aatif, M., Agrawal, D., … Dehghani, M.H. (2025). Removal of methylene blue (MB) dye from water and wastewater using acid-activated chicken bone in a batch adsorption process. </w:t>
      </w:r>
      <w:r w:rsidRPr="00536D16">
        <w:rPr>
          <w:i/>
          <w:iCs/>
          <w:noProof/>
          <w:lang w:val="en-GB"/>
        </w:rPr>
        <w:t>Scientific Reports</w:t>
      </w:r>
      <w:r w:rsidRPr="00536D16">
        <w:rPr>
          <w:noProof/>
          <w:lang w:val="en-GB"/>
        </w:rPr>
        <w:t xml:space="preserve">, </w:t>
      </w:r>
      <w:r w:rsidRPr="00245FED">
        <w:rPr>
          <w:i/>
          <w:iCs/>
          <w:noProof/>
          <w:lang w:val="en-GB"/>
        </w:rPr>
        <w:t>15</w:t>
      </w:r>
      <w:r w:rsidRPr="00536D16">
        <w:rPr>
          <w:noProof/>
          <w:lang w:val="en-GB"/>
        </w:rPr>
        <w:t>(1), 23098. https://doi.org/10.1038/s41598-025-08341-3</w:t>
      </w:r>
    </w:p>
    <w:p w14:paraId="5D6F975A" w14:textId="10818D36" w:rsidR="001F0E7F" w:rsidRPr="00536D16" w:rsidRDefault="001F0E7F" w:rsidP="00EB7368">
      <w:pPr>
        <w:pStyle w:val="Rlit"/>
        <w:rPr>
          <w:noProof/>
          <w:lang w:val="en-GB"/>
        </w:rPr>
      </w:pPr>
      <w:r w:rsidRPr="00536D16">
        <w:rPr>
          <w:noProof/>
          <w:lang w:val="en-GB"/>
        </w:rPr>
        <w:t xml:space="preserve">Pasipanodya, D., Seedat, N., Patel, B., &amp; Roopchund, R. (2024). Production of hydrochar from the hydrothermal carbonisation of food waste feedstock for use as an adsorbent in removal of heavy metals from water. </w:t>
      </w:r>
      <w:r w:rsidRPr="00536D16">
        <w:rPr>
          <w:i/>
          <w:iCs/>
          <w:noProof/>
          <w:lang w:val="en-GB"/>
        </w:rPr>
        <w:t>Biomass Conversion and Biorefinery</w:t>
      </w:r>
      <w:r w:rsidRPr="00536D16">
        <w:rPr>
          <w:noProof/>
          <w:lang w:val="en-GB"/>
        </w:rPr>
        <w:t>. https://doi.org/10.1007/s13399-024-06097-w</w:t>
      </w:r>
    </w:p>
    <w:p w14:paraId="1D0E4E9C" w14:textId="538D845F" w:rsidR="001F0E7F" w:rsidRPr="00536D16" w:rsidRDefault="001F0E7F" w:rsidP="00EB7368">
      <w:pPr>
        <w:pStyle w:val="Rlit"/>
        <w:rPr>
          <w:noProof/>
          <w:lang w:val="en-GB"/>
        </w:rPr>
      </w:pPr>
      <w:r w:rsidRPr="00536D16">
        <w:rPr>
          <w:noProof/>
          <w:lang w:val="en-GB"/>
        </w:rPr>
        <w:t xml:space="preserve">Razia, S., Basavaraju, H.C., Taqui, S.N., Deepakumari, H.N., Mir, R.A., Syed, A.A., … Islam, S. (2025). Utilizing Industrial Fennel Seed Waste and Brilliant Green from Nutraceuticals for a Sustainable Wastewater Dye Adsorption System. </w:t>
      </w:r>
      <w:r w:rsidRPr="00536D16">
        <w:rPr>
          <w:i/>
          <w:iCs/>
          <w:noProof/>
          <w:lang w:val="en-GB"/>
        </w:rPr>
        <w:t>Rocznik Ochrona Środowiska</w:t>
      </w:r>
      <w:r w:rsidRPr="00536D16">
        <w:rPr>
          <w:noProof/>
          <w:lang w:val="en-GB"/>
        </w:rPr>
        <w:t>, 27.</w:t>
      </w:r>
    </w:p>
    <w:p w14:paraId="48EA7443" w14:textId="086CFFE4" w:rsidR="001F0E7F" w:rsidRPr="00536D16" w:rsidRDefault="001F0E7F" w:rsidP="00EB7368">
      <w:pPr>
        <w:pStyle w:val="Rlit"/>
        <w:rPr>
          <w:noProof/>
          <w:lang w:val="en-GB"/>
        </w:rPr>
      </w:pPr>
      <w:r w:rsidRPr="00536D16">
        <w:rPr>
          <w:noProof/>
          <w:lang w:val="en-GB"/>
        </w:rPr>
        <w:t xml:space="preserve">Shukla, A.K., Alam, J., Mallik, S., Ruokolainen, J., Kesari, K.K., &amp; Alhoshan, M. (2024). Optimization and prediction of dye adsorption utilising cross-linked chitosan-activated charcoal: response surface methodology and machine learning. </w:t>
      </w:r>
      <w:r w:rsidRPr="00536D16">
        <w:rPr>
          <w:i/>
          <w:iCs/>
          <w:noProof/>
          <w:lang w:val="en-GB"/>
        </w:rPr>
        <w:t>Journal of Molecular Liquids</w:t>
      </w:r>
      <w:r w:rsidRPr="00536D16">
        <w:rPr>
          <w:noProof/>
          <w:lang w:val="en-GB"/>
        </w:rPr>
        <w:t xml:space="preserve">, </w:t>
      </w:r>
      <w:r w:rsidRPr="00245FED">
        <w:rPr>
          <w:i/>
          <w:iCs/>
          <w:noProof/>
          <w:lang w:val="en-GB"/>
        </w:rPr>
        <w:t>411</w:t>
      </w:r>
      <w:r w:rsidRPr="00536D16">
        <w:rPr>
          <w:noProof/>
          <w:lang w:val="en-GB"/>
        </w:rPr>
        <w:t>, 125745.</w:t>
      </w:r>
    </w:p>
    <w:p w14:paraId="657B1404" w14:textId="58A17CCF" w:rsidR="001F0E7F" w:rsidRPr="00536D16" w:rsidRDefault="001F0E7F" w:rsidP="00EB7368">
      <w:pPr>
        <w:pStyle w:val="Rlit"/>
        <w:rPr>
          <w:noProof/>
          <w:lang w:val="en-GB"/>
        </w:rPr>
      </w:pPr>
      <w:r w:rsidRPr="00536D16">
        <w:rPr>
          <w:noProof/>
          <w:lang w:val="en-GB"/>
        </w:rPr>
        <w:t xml:space="preserve">Singh, R., Gaur, A., Soni, P., Jain, R., Pant, G., Kumar, D., … Ansari, K. (2025). A review of biofuels and bioenergy production as a sustainable alternative: opportunities, challenges and future perspectives. </w:t>
      </w:r>
      <w:r w:rsidRPr="00536D16">
        <w:rPr>
          <w:i/>
          <w:iCs/>
          <w:noProof/>
          <w:lang w:val="en-GB"/>
        </w:rPr>
        <w:t>Journal of Environmental Health Science and Engineering</w:t>
      </w:r>
      <w:r w:rsidRPr="00536D16">
        <w:rPr>
          <w:noProof/>
          <w:lang w:val="en-GB"/>
        </w:rPr>
        <w:t xml:space="preserve">, </w:t>
      </w:r>
      <w:r w:rsidRPr="00245FED">
        <w:rPr>
          <w:i/>
          <w:iCs/>
          <w:noProof/>
          <w:lang w:val="en-GB"/>
        </w:rPr>
        <w:t>23</w:t>
      </w:r>
      <w:r w:rsidRPr="00536D16">
        <w:rPr>
          <w:noProof/>
          <w:lang w:val="en-GB"/>
        </w:rPr>
        <w:t>(2), 23. https://doi.org/10.1007/s40201-025-00946-0</w:t>
      </w:r>
    </w:p>
    <w:p w14:paraId="3DBBC9F3" w14:textId="33C0E5F5" w:rsidR="001F0E7F" w:rsidRPr="00536D16" w:rsidRDefault="001F0E7F" w:rsidP="00245FED">
      <w:pPr>
        <w:pStyle w:val="Rlit"/>
        <w:jc w:val="left"/>
        <w:rPr>
          <w:noProof/>
          <w:lang w:val="en-GB"/>
        </w:rPr>
      </w:pPr>
      <w:r w:rsidRPr="00536D16">
        <w:rPr>
          <w:noProof/>
          <w:lang w:val="en-GB"/>
        </w:rPr>
        <w:t xml:space="preserve">Waghmare, C., Ghodmare, S., Ansari, K., Alfaisal, F.M., Alam, S., Khan, M.A., &amp; Ezaier, Y. (2024). Adsorption of methylene blue dye onto phosphoric acid-treated pomegranate peel adsorbent: Kinetic and thermodynamic studies. </w:t>
      </w:r>
      <w:r w:rsidRPr="00536D16">
        <w:rPr>
          <w:i/>
          <w:iCs/>
          <w:noProof/>
          <w:lang w:val="en-GB"/>
        </w:rPr>
        <w:t>Desalination and Water Treatment</w:t>
      </w:r>
      <w:r w:rsidRPr="00536D16">
        <w:rPr>
          <w:noProof/>
          <w:lang w:val="en-GB"/>
        </w:rPr>
        <w:t xml:space="preserve">, </w:t>
      </w:r>
      <w:r w:rsidRPr="00245FED">
        <w:rPr>
          <w:i/>
          <w:iCs/>
          <w:noProof/>
          <w:lang w:val="en-GB"/>
        </w:rPr>
        <w:t>318</w:t>
      </w:r>
      <w:r w:rsidRPr="00536D16">
        <w:rPr>
          <w:noProof/>
          <w:lang w:val="en-GB"/>
        </w:rPr>
        <w:t>, 100406. https://doi.org/https://doi.org/10.1016/j.dwt.2024.100406</w:t>
      </w:r>
    </w:p>
    <w:p w14:paraId="683F49B7" w14:textId="0950FF99" w:rsidR="001F0E7F" w:rsidRPr="00536D16" w:rsidRDefault="001F0E7F" w:rsidP="00EB7368">
      <w:pPr>
        <w:pStyle w:val="Rlit"/>
        <w:rPr>
          <w:noProof/>
          <w:lang w:val="en-GB"/>
        </w:rPr>
      </w:pPr>
      <w:r w:rsidRPr="00536D16">
        <w:rPr>
          <w:noProof/>
          <w:lang w:val="en-GB"/>
        </w:rPr>
        <w:t>Waghmare, C., Ghodmare, S., Ansari, K., Dehghani, M.H., Amir Khan, M., Hasan, M.A., … Zahmatkesh, S. (2023). Experimental investigation of H</w:t>
      </w:r>
      <w:r w:rsidRPr="00D05689">
        <w:rPr>
          <w:noProof/>
          <w:vertAlign w:val="subscript"/>
          <w:lang w:val="en-GB"/>
        </w:rPr>
        <w:t>3</w:t>
      </w:r>
      <w:r w:rsidRPr="00536D16">
        <w:rPr>
          <w:noProof/>
          <w:lang w:val="en-GB"/>
        </w:rPr>
        <w:t>PO</w:t>
      </w:r>
      <w:r w:rsidRPr="00D05689">
        <w:rPr>
          <w:noProof/>
          <w:vertAlign w:val="subscript"/>
          <w:lang w:val="en-GB"/>
        </w:rPr>
        <w:t>4</w:t>
      </w:r>
      <w:r w:rsidRPr="00536D16">
        <w:rPr>
          <w:noProof/>
          <w:lang w:val="en-GB"/>
        </w:rPr>
        <w:t xml:space="preserve"> activated papaya peels for methylene blue dye removal from aqueous solution: Evaluation on optimization, kinetics, isotherm, thermodynamics, and reusability studies. </w:t>
      </w:r>
      <w:r w:rsidRPr="00536D16">
        <w:rPr>
          <w:i/>
          <w:iCs/>
          <w:noProof/>
          <w:lang w:val="en-GB"/>
        </w:rPr>
        <w:t>Journal of Environmental Management</w:t>
      </w:r>
      <w:r w:rsidRPr="00536D16">
        <w:rPr>
          <w:noProof/>
          <w:lang w:val="en-GB"/>
        </w:rPr>
        <w:t xml:space="preserve">, </w:t>
      </w:r>
      <w:r w:rsidRPr="00245FED">
        <w:rPr>
          <w:i/>
          <w:iCs/>
          <w:noProof/>
          <w:lang w:val="en-GB"/>
        </w:rPr>
        <w:t>345</w:t>
      </w:r>
      <w:r w:rsidRPr="00536D16">
        <w:rPr>
          <w:noProof/>
          <w:lang w:val="en-GB"/>
        </w:rPr>
        <w:t>, 118815. https://doi.org/10.1016/j.jenvman.2023.118815</w:t>
      </w:r>
    </w:p>
    <w:p w14:paraId="3FC54AEF" w14:textId="69F8D7CC" w:rsidR="004C0B2F" w:rsidRPr="00805C75" w:rsidRDefault="00761F2A" w:rsidP="00EB7368">
      <w:pPr>
        <w:pStyle w:val="Rlit"/>
        <w:rPr>
          <w:sz w:val="22"/>
          <w:lang w:val="en-GB"/>
        </w:rPr>
      </w:pPr>
      <w:r w:rsidRPr="00536D16">
        <w:rPr>
          <w:b/>
          <w:bCs/>
          <w:lang w:val="en-GB"/>
        </w:rPr>
        <w:fldChar w:fldCharType="end"/>
      </w:r>
    </w:p>
    <w:sectPr w:rsidR="004C0B2F" w:rsidRPr="00805C75" w:rsidSect="0013530A">
      <w:headerReference w:type="even" r:id="rId26"/>
      <w:headerReference w:type="default" r:id="rId27"/>
      <w:footerReference w:type="first" r:id="rId28"/>
      <w:pgSz w:w="11906" w:h="16838" w:code="9"/>
      <w:pgMar w:top="1134" w:right="1134" w:bottom="1134" w:left="1134" w:header="567" w:footer="567" w:gutter="0"/>
      <w:pgNumType w:start="67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F555F" w14:textId="77777777" w:rsidR="008D2655" w:rsidRDefault="008D2655" w:rsidP="00CA4C57">
      <w:pPr>
        <w:spacing w:after="0" w:line="240" w:lineRule="auto"/>
      </w:pPr>
      <w:r>
        <w:separator/>
      </w:r>
    </w:p>
  </w:endnote>
  <w:endnote w:type="continuationSeparator" w:id="0">
    <w:p w14:paraId="0DC4E529" w14:textId="77777777" w:rsidR="008D2655" w:rsidRDefault="008D2655" w:rsidP="00CA4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1384"/>
      <w:gridCol w:w="5387"/>
    </w:tblGrid>
    <w:tr w:rsidR="002508B8" w:rsidRPr="002508B8" w14:paraId="4BB2B750" w14:textId="77777777" w:rsidTr="007B4477">
      <w:trPr>
        <w:trHeight w:val="198"/>
      </w:trPr>
      <w:tc>
        <w:tcPr>
          <w:tcW w:w="1384" w:type="dxa"/>
          <w:vAlign w:val="center"/>
        </w:tcPr>
        <w:p w14:paraId="340F696A" w14:textId="77777777" w:rsidR="002508B8" w:rsidRPr="002508B8" w:rsidRDefault="002508B8" w:rsidP="002508B8">
          <w:pPr>
            <w:spacing w:after="0" w:line="240" w:lineRule="auto"/>
            <w:ind w:left="-112"/>
            <w:rPr>
              <w:rFonts w:ascii="Times New Roman" w:hAnsi="Times New Roman"/>
            </w:rPr>
          </w:pPr>
          <w:bookmarkStart w:id="5" w:name="_Hlk104286226"/>
          <w:bookmarkStart w:id="6" w:name="_Hlk104286227"/>
          <w:bookmarkStart w:id="7" w:name="_Hlk154270864"/>
          <w:bookmarkStart w:id="8" w:name="_Hlk154270865"/>
          <w:bookmarkStart w:id="9" w:name="_Hlk238212370"/>
          <w:bookmarkStart w:id="10" w:name="_Hlk238212371"/>
          <w:r w:rsidRPr="002508B8">
            <w:rPr>
              <w:rFonts w:ascii="Times New Roman" w:hAnsi="Times New Roman"/>
              <w:noProof/>
            </w:rPr>
            <w:drawing>
              <wp:inline distT="0" distB="0" distL="0" distR="0" wp14:anchorId="0B1B4B77" wp14:editId="312AD4D2">
                <wp:extent cx="688975" cy="237490"/>
                <wp:effectExtent l="0" t="0" r="0" b="0"/>
                <wp:docPr id="98485305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975" cy="237490"/>
                        </a:xfrm>
                        <a:prstGeom prst="rect">
                          <a:avLst/>
                        </a:prstGeom>
                        <a:noFill/>
                        <a:ln>
                          <a:noFill/>
                        </a:ln>
                      </pic:spPr>
                    </pic:pic>
                  </a:graphicData>
                </a:graphic>
              </wp:inline>
            </w:drawing>
          </w:r>
        </w:p>
      </w:tc>
      <w:tc>
        <w:tcPr>
          <w:tcW w:w="5387" w:type="dxa"/>
          <w:vAlign w:val="center"/>
        </w:tcPr>
        <w:p w14:paraId="4E4BC433" w14:textId="77777777" w:rsidR="002508B8" w:rsidRPr="002508B8" w:rsidRDefault="002508B8" w:rsidP="002508B8">
          <w:pPr>
            <w:suppressAutoHyphens/>
            <w:spacing w:after="0" w:line="240" w:lineRule="auto"/>
            <w:ind w:left="-78"/>
            <w:rPr>
              <w:rFonts w:ascii="Times New Roman" w:hAnsi="Times New Roman"/>
              <w:sz w:val="18"/>
              <w:szCs w:val="18"/>
            </w:rPr>
          </w:pPr>
          <w:r w:rsidRPr="002508B8">
            <w:rPr>
              <w:rFonts w:ascii="Times New Roman" w:hAnsi="Times New Roman"/>
              <w:sz w:val="18"/>
              <w:szCs w:val="18"/>
            </w:rPr>
            <w:t>© 2026. Author(s). This work is licensed under a Creative Commons Attribution 4.0 International License (CC BY-SA)</w:t>
          </w:r>
        </w:p>
      </w:tc>
    </w:tr>
    <w:bookmarkEnd w:id="5"/>
    <w:bookmarkEnd w:id="6"/>
    <w:bookmarkEnd w:id="7"/>
    <w:bookmarkEnd w:id="8"/>
    <w:bookmarkEnd w:id="9"/>
    <w:bookmarkEnd w:id="10"/>
  </w:tbl>
  <w:p w14:paraId="222F4949" w14:textId="77777777" w:rsidR="002508B8" w:rsidRPr="002508B8" w:rsidRDefault="002508B8" w:rsidP="002508B8">
    <w:pPr>
      <w:pStyle w:val="Stopka"/>
      <w:rPr>
        <w:rFonts w:ascii="Times New Roman" w:hAnsi="Times New Roman"/>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7EC4E" w14:textId="77777777" w:rsidR="008D2655" w:rsidRDefault="008D2655" w:rsidP="00CA4C57">
      <w:pPr>
        <w:spacing w:after="0" w:line="240" w:lineRule="auto"/>
      </w:pPr>
      <w:r>
        <w:separator/>
      </w:r>
    </w:p>
  </w:footnote>
  <w:footnote w:type="continuationSeparator" w:id="0">
    <w:p w14:paraId="74AEBAB6" w14:textId="77777777" w:rsidR="008D2655" w:rsidRDefault="008D2655" w:rsidP="00CA4C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Borders>
        <w:bottom w:val="single" w:sz="8" w:space="0" w:color="auto"/>
      </w:tblBorders>
      <w:tblCellMar>
        <w:left w:w="0" w:type="dxa"/>
        <w:right w:w="0" w:type="dxa"/>
      </w:tblCellMar>
      <w:tblLook w:val="04A0" w:firstRow="1" w:lastRow="0" w:firstColumn="1" w:lastColumn="0" w:noHBand="0" w:noVBand="1"/>
    </w:tblPr>
    <w:tblGrid>
      <w:gridCol w:w="397"/>
      <w:gridCol w:w="9242"/>
    </w:tblGrid>
    <w:tr w:rsidR="00714E4F" w:rsidRPr="00946217" w14:paraId="12A35455" w14:textId="77777777" w:rsidTr="007B4477">
      <w:trPr>
        <w:trHeight w:hRule="exact" w:val="284"/>
      </w:trPr>
      <w:tc>
        <w:tcPr>
          <w:tcW w:w="397" w:type="dxa"/>
          <w:vAlign w:val="center"/>
        </w:tcPr>
        <w:p w14:paraId="600CFC62" w14:textId="77777777" w:rsidR="00714E4F" w:rsidRPr="00076630" w:rsidRDefault="00714E4F" w:rsidP="00714E4F">
          <w:pPr>
            <w:pStyle w:val="Nagwek"/>
            <w:rPr>
              <w:rFonts w:ascii="Arial" w:hAnsi="Arial" w:cs="Arial"/>
              <w:i/>
              <w:sz w:val="20"/>
              <w:szCs w:val="20"/>
            </w:rPr>
          </w:pPr>
          <w:r w:rsidRPr="00076630">
            <w:rPr>
              <w:rFonts w:ascii="Arial" w:hAnsi="Arial" w:cs="Arial"/>
              <w:sz w:val="20"/>
              <w:szCs w:val="20"/>
            </w:rPr>
            <w:fldChar w:fldCharType="begin"/>
          </w:r>
          <w:r w:rsidRPr="00076630">
            <w:rPr>
              <w:rFonts w:ascii="Arial" w:hAnsi="Arial" w:cs="Arial"/>
              <w:sz w:val="20"/>
              <w:szCs w:val="20"/>
            </w:rPr>
            <w:instrText xml:space="preserve"> PAGE   \* MERGEFORMAT </w:instrText>
          </w:r>
          <w:r w:rsidRPr="00076630">
            <w:rPr>
              <w:rFonts w:ascii="Arial" w:hAnsi="Arial" w:cs="Arial"/>
              <w:sz w:val="20"/>
              <w:szCs w:val="20"/>
            </w:rPr>
            <w:fldChar w:fldCharType="separate"/>
          </w:r>
          <w:r>
            <w:rPr>
              <w:rFonts w:ascii="Arial" w:hAnsi="Arial" w:cs="Arial"/>
              <w:sz w:val="20"/>
              <w:szCs w:val="20"/>
            </w:rPr>
            <w:t>2</w:t>
          </w:r>
          <w:r w:rsidRPr="00076630">
            <w:rPr>
              <w:rFonts w:ascii="Arial" w:hAnsi="Arial" w:cs="Arial"/>
              <w:sz w:val="20"/>
              <w:szCs w:val="20"/>
            </w:rPr>
            <w:fldChar w:fldCharType="end"/>
          </w:r>
        </w:p>
      </w:tc>
      <w:tc>
        <w:tcPr>
          <w:tcW w:w="9242" w:type="dxa"/>
          <w:vAlign w:val="center"/>
        </w:tcPr>
        <w:p w14:paraId="6D3B2FBD" w14:textId="1A745EB2" w:rsidR="00714E4F" w:rsidRPr="0020598E" w:rsidRDefault="002508B8" w:rsidP="00714E4F">
          <w:pPr>
            <w:pStyle w:val="Nagwek"/>
            <w:jc w:val="center"/>
            <w:rPr>
              <w:rFonts w:ascii="Arial" w:hAnsi="Arial" w:cs="Arial"/>
              <w:i/>
              <w:sz w:val="20"/>
              <w:szCs w:val="20"/>
            </w:rPr>
          </w:pPr>
          <w:r w:rsidRPr="002508B8">
            <w:rPr>
              <w:rFonts w:ascii="Arial" w:hAnsi="Arial" w:cs="Arial"/>
              <w:i/>
              <w:sz w:val="20"/>
              <w:szCs w:val="20"/>
            </w:rPr>
            <w:t>Bharati Patil</w:t>
          </w:r>
          <w:r>
            <w:rPr>
              <w:rFonts w:ascii="Arial" w:hAnsi="Arial" w:cs="Arial"/>
              <w:i/>
              <w:sz w:val="20"/>
              <w:szCs w:val="20"/>
            </w:rPr>
            <w:t xml:space="preserve"> et al.</w:t>
          </w:r>
        </w:p>
      </w:tc>
    </w:tr>
  </w:tbl>
  <w:p w14:paraId="1EE6FF4C" w14:textId="77777777" w:rsidR="00714E4F" w:rsidRPr="0020598E" w:rsidRDefault="00714E4F" w:rsidP="00714E4F">
    <w:pPr>
      <w:pStyle w:val="Nagwek"/>
      <w:jc w:val="both"/>
      <w:rPr>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0" w:type="dxa"/>
      <w:jc w:val="right"/>
      <w:tblBorders>
        <w:bottom w:val="single" w:sz="8" w:space="0" w:color="auto"/>
      </w:tblBorders>
      <w:tblCellMar>
        <w:left w:w="0" w:type="dxa"/>
        <w:right w:w="0" w:type="dxa"/>
      </w:tblCellMar>
      <w:tblLook w:val="04A0" w:firstRow="1" w:lastRow="0" w:firstColumn="1" w:lastColumn="0" w:noHBand="0" w:noVBand="1"/>
    </w:tblPr>
    <w:tblGrid>
      <w:gridCol w:w="9243"/>
      <w:gridCol w:w="397"/>
    </w:tblGrid>
    <w:tr w:rsidR="002508B8" w:rsidRPr="00C54BFB" w14:paraId="523181E0" w14:textId="77777777" w:rsidTr="007B4477">
      <w:trPr>
        <w:trHeight w:hRule="exact" w:val="284"/>
        <w:jc w:val="right"/>
      </w:trPr>
      <w:tc>
        <w:tcPr>
          <w:tcW w:w="9243" w:type="dxa"/>
          <w:vAlign w:val="center"/>
        </w:tcPr>
        <w:p w14:paraId="3391FF41" w14:textId="637C4B9D" w:rsidR="002508B8" w:rsidRPr="00C54BFB" w:rsidRDefault="00805C75" w:rsidP="002508B8">
          <w:pPr>
            <w:pStyle w:val="Nagwek"/>
            <w:jc w:val="center"/>
            <w:rPr>
              <w:rFonts w:ascii="Arial" w:hAnsi="Arial" w:cs="Arial"/>
              <w:i/>
              <w:sz w:val="20"/>
              <w:szCs w:val="12"/>
            </w:rPr>
          </w:pPr>
          <w:r w:rsidRPr="00805C75">
            <w:rPr>
              <w:rFonts w:ascii="Arial" w:hAnsi="Arial" w:cs="Arial"/>
              <w:i/>
              <w:sz w:val="20"/>
              <w:szCs w:val="12"/>
            </w:rPr>
            <w:t xml:space="preserve">Sustainable Goat Bone-Derived </w:t>
          </w:r>
          <w:proofErr w:type="spellStart"/>
          <w:r w:rsidRPr="00805C75">
            <w:rPr>
              <w:rFonts w:ascii="Arial" w:hAnsi="Arial" w:cs="Arial"/>
              <w:i/>
              <w:sz w:val="20"/>
              <w:szCs w:val="12"/>
            </w:rPr>
            <w:t>Hydrochar</w:t>
          </w:r>
          <w:proofErr w:type="spellEnd"/>
          <w:r w:rsidRPr="00805C75">
            <w:rPr>
              <w:rFonts w:ascii="Arial" w:hAnsi="Arial" w:cs="Arial"/>
              <w:i/>
              <w:sz w:val="20"/>
              <w:szCs w:val="12"/>
            </w:rPr>
            <w:t xml:space="preserve"> as an Efficient Adsorbent</w:t>
          </w:r>
          <w:r>
            <w:rPr>
              <w:rFonts w:ascii="Arial" w:hAnsi="Arial" w:cs="Arial"/>
              <w:i/>
              <w:sz w:val="20"/>
              <w:szCs w:val="12"/>
            </w:rPr>
            <w:t>…</w:t>
          </w:r>
        </w:p>
      </w:tc>
      <w:tc>
        <w:tcPr>
          <w:tcW w:w="397" w:type="dxa"/>
          <w:vAlign w:val="center"/>
        </w:tcPr>
        <w:p w14:paraId="02FA2A32" w14:textId="77777777" w:rsidR="002508B8" w:rsidRPr="00C54BFB" w:rsidRDefault="002508B8" w:rsidP="002508B8">
          <w:pPr>
            <w:pStyle w:val="Nagwek"/>
            <w:jc w:val="right"/>
            <w:rPr>
              <w:rFonts w:ascii="Arial" w:hAnsi="Arial" w:cs="Arial"/>
              <w:i/>
              <w:sz w:val="20"/>
              <w:szCs w:val="12"/>
            </w:rPr>
          </w:pPr>
          <w:r w:rsidRPr="00C54BFB">
            <w:rPr>
              <w:rFonts w:ascii="Arial" w:hAnsi="Arial" w:cs="Arial"/>
              <w:sz w:val="20"/>
              <w:szCs w:val="12"/>
            </w:rPr>
            <w:fldChar w:fldCharType="begin"/>
          </w:r>
          <w:r w:rsidRPr="00C54BFB">
            <w:rPr>
              <w:rFonts w:ascii="Arial" w:hAnsi="Arial" w:cs="Arial"/>
              <w:sz w:val="20"/>
              <w:szCs w:val="12"/>
            </w:rPr>
            <w:instrText xml:space="preserve"> PAGE   \* MERGEFORMAT </w:instrText>
          </w:r>
          <w:r w:rsidRPr="00C54BFB">
            <w:rPr>
              <w:rFonts w:ascii="Arial" w:hAnsi="Arial" w:cs="Arial"/>
              <w:sz w:val="20"/>
              <w:szCs w:val="12"/>
            </w:rPr>
            <w:fldChar w:fldCharType="separate"/>
          </w:r>
          <w:r>
            <w:rPr>
              <w:rFonts w:ascii="Arial" w:hAnsi="Arial" w:cs="Arial"/>
              <w:sz w:val="20"/>
              <w:szCs w:val="12"/>
            </w:rPr>
            <w:t>3</w:t>
          </w:r>
          <w:r w:rsidRPr="00C54BFB">
            <w:rPr>
              <w:rFonts w:ascii="Arial" w:hAnsi="Arial" w:cs="Arial"/>
              <w:sz w:val="20"/>
              <w:szCs w:val="12"/>
            </w:rPr>
            <w:fldChar w:fldCharType="end"/>
          </w:r>
        </w:p>
      </w:tc>
    </w:tr>
  </w:tbl>
  <w:p w14:paraId="505053AE" w14:textId="77777777" w:rsidR="002508B8" w:rsidRPr="00584564" w:rsidRDefault="002508B8" w:rsidP="002508B8">
    <w:pPr>
      <w:pStyle w:val="Nagwek"/>
      <w:rPr>
        <w:rFonts w:ascii="Arial" w:hAnsi="Arial" w:cs="Arial"/>
        <w:sz w:val="6"/>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914FA"/>
    <w:multiLevelType w:val="multilevel"/>
    <w:tmpl w:val="6B12E95A"/>
    <w:lvl w:ilvl="0">
      <w:start w:val="1"/>
      <w:numFmt w:val="decimal"/>
      <w:lvlText w:val="%1."/>
      <w:lvlJc w:val="left"/>
      <w:pPr>
        <w:ind w:left="360" w:hanging="360"/>
      </w:pPr>
    </w:lvl>
    <w:lvl w:ilvl="1">
      <w:start w:val="1"/>
      <w:numFmt w:val="decimal"/>
      <w:lvlText w:val="%1.%2."/>
      <w:lvlJc w:val="left"/>
      <w:pPr>
        <w:ind w:left="43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3B7D24"/>
    <w:multiLevelType w:val="hybridMultilevel"/>
    <w:tmpl w:val="BCBC1DB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DD26C5A"/>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E821FF"/>
    <w:multiLevelType w:val="multilevel"/>
    <w:tmpl w:val="72F0F362"/>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9A632F8"/>
    <w:multiLevelType w:val="hybridMultilevel"/>
    <w:tmpl w:val="3828C02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ADB6C02"/>
    <w:multiLevelType w:val="hybridMultilevel"/>
    <w:tmpl w:val="9EC2FA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F5B2E95"/>
    <w:multiLevelType w:val="multilevel"/>
    <w:tmpl w:val="FADEABC6"/>
    <w:lvl w:ilvl="0">
      <w:start w:val="1"/>
      <w:numFmt w:val="decimal"/>
      <w:lvlText w:val="%1."/>
      <w:lvlJc w:val="left"/>
      <w:pPr>
        <w:ind w:left="360" w:hanging="360"/>
      </w:pPr>
      <w:rPr>
        <w:b/>
        <w:bCs/>
      </w:rPr>
    </w:lvl>
    <w:lvl w:ilvl="1">
      <w:start w:val="1"/>
      <w:numFmt w:val="decimal"/>
      <w:lvlText w:val="%1.%2."/>
      <w:lvlJc w:val="left"/>
      <w:pPr>
        <w:ind w:left="43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222BE7"/>
    <w:multiLevelType w:val="hybridMultilevel"/>
    <w:tmpl w:val="0AA8106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3C03CFA"/>
    <w:multiLevelType w:val="hybridMultilevel"/>
    <w:tmpl w:val="0F14E25E"/>
    <w:lvl w:ilvl="0" w:tplc="DD581A0C">
      <w:start w:val="1"/>
      <w:numFmt w:val="lowerLetter"/>
      <w:lvlText w:val="(%1)"/>
      <w:lvlJc w:val="left"/>
      <w:pPr>
        <w:ind w:left="2486" w:hanging="360"/>
      </w:pPr>
      <w:rPr>
        <w:rFonts w:ascii="Times New Roman" w:hAnsi="Times New Roman" w:cs="Times New Roman" w:hint="default"/>
        <w:b/>
        <w:bCs/>
        <w:sz w:val="24"/>
        <w:szCs w:val="24"/>
      </w:rPr>
    </w:lvl>
    <w:lvl w:ilvl="1" w:tplc="40090019" w:tentative="1">
      <w:start w:val="1"/>
      <w:numFmt w:val="lowerLetter"/>
      <w:lvlText w:val="%2."/>
      <w:lvlJc w:val="left"/>
      <w:pPr>
        <w:ind w:left="3206" w:hanging="360"/>
      </w:pPr>
    </w:lvl>
    <w:lvl w:ilvl="2" w:tplc="4009001B" w:tentative="1">
      <w:start w:val="1"/>
      <w:numFmt w:val="lowerRoman"/>
      <w:lvlText w:val="%3."/>
      <w:lvlJc w:val="right"/>
      <w:pPr>
        <w:ind w:left="3926" w:hanging="180"/>
      </w:pPr>
    </w:lvl>
    <w:lvl w:ilvl="3" w:tplc="4009000F" w:tentative="1">
      <w:start w:val="1"/>
      <w:numFmt w:val="decimal"/>
      <w:lvlText w:val="%4."/>
      <w:lvlJc w:val="left"/>
      <w:pPr>
        <w:ind w:left="4646" w:hanging="360"/>
      </w:pPr>
    </w:lvl>
    <w:lvl w:ilvl="4" w:tplc="40090019" w:tentative="1">
      <w:start w:val="1"/>
      <w:numFmt w:val="lowerLetter"/>
      <w:lvlText w:val="%5."/>
      <w:lvlJc w:val="left"/>
      <w:pPr>
        <w:ind w:left="5366" w:hanging="360"/>
      </w:pPr>
    </w:lvl>
    <w:lvl w:ilvl="5" w:tplc="4009001B" w:tentative="1">
      <w:start w:val="1"/>
      <w:numFmt w:val="lowerRoman"/>
      <w:lvlText w:val="%6."/>
      <w:lvlJc w:val="right"/>
      <w:pPr>
        <w:ind w:left="6086" w:hanging="180"/>
      </w:pPr>
    </w:lvl>
    <w:lvl w:ilvl="6" w:tplc="4009000F" w:tentative="1">
      <w:start w:val="1"/>
      <w:numFmt w:val="decimal"/>
      <w:lvlText w:val="%7."/>
      <w:lvlJc w:val="left"/>
      <w:pPr>
        <w:ind w:left="6806" w:hanging="360"/>
      </w:pPr>
    </w:lvl>
    <w:lvl w:ilvl="7" w:tplc="40090019" w:tentative="1">
      <w:start w:val="1"/>
      <w:numFmt w:val="lowerLetter"/>
      <w:lvlText w:val="%8."/>
      <w:lvlJc w:val="left"/>
      <w:pPr>
        <w:ind w:left="7526" w:hanging="360"/>
      </w:pPr>
    </w:lvl>
    <w:lvl w:ilvl="8" w:tplc="4009001B" w:tentative="1">
      <w:start w:val="1"/>
      <w:numFmt w:val="lowerRoman"/>
      <w:lvlText w:val="%9."/>
      <w:lvlJc w:val="right"/>
      <w:pPr>
        <w:ind w:left="8246" w:hanging="180"/>
      </w:pPr>
    </w:lvl>
  </w:abstractNum>
  <w:abstractNum w:abstractNumId="9" w15:restartNumberingAfterBreak="0">
    <w:nsid w:val="2629227A"/>
    <w:multiLevelType w:val="multilevel"/>
    <w:tmpl w:val="5844AEE0"/>
    <w:lvl w:ilvl="0">
      <w:start w:val="1"/>
      <w:numFmt w:val="decimal"/>
      <w:lvlText w:val="%1."/>
      <w:lvlJc w:val="left"/>
      <w:pPr>
        <w:ind w:left="360" w:hanging="360"/>
      </w:pPr>
      <w:rPr>
        <w:b/>
        <w:bCs/>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55335F"/>
    <w:multiLevelType w:val="hybridMultilevel"/>
    <w:tmpl w:val="23C47B2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337C5848"/>
    <w:multiLevelType w:val="hybridMultilevel"/>
    <w:tmpl w:val="624203F8"/>
    <w:lvl w:ilvl="0" w:tplc="B3ECEEBA">
      <w:start w:val="3"/>
      <w:numFmt w:val="decimal"/>
      <w:lvlText w:val="%1."/>
      <w:lvlJc w:val="left"/>
      <w:pPr>
        <w:ind w:left="360" w:hanging="360"/>
      </w:pPr>
      <w:rPr>
        <w:rFonts w:hint="default"/>
        <w:b/>
        <w:bCs/>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2" w15:restartNumberingAfterBreak="0">
    <w:nsid w:val="33C247DA"/>
    <w:multiLevelType w:val="multilevel"/>
    <w:tmpl w:val="E4F64A68"/>
    <w:lvl w:ilvl="0">
      <w:start w:val="1"/>
      <w:numFmt w:val="decimal"/>
      <w:lvlText w:val="%1."/>
      <w:lvlJc w:val="left"/>
      <w:pPr>
        <w:ind w:left="360" w:hanging="360"/>
      </w:pPr>
    </w:lvl>
    <w:lvl w:ilvl="1">
      <w:start w:val="1"/>
      <w:numFmt w:val="decimal"/>
      <w:lvlText w:val="%1.%2."/>
      <w:lvlJc w:val="left"/>
      <w:pPr>
        <w:ind w:left="43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52C660C"/>
    <w:multiLevelType w:val="hybridMultilevel"/>
    <w:tmpl w:val="C36808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2C340D"/>
    <w:multiLevelType w:val="hybridMultilevel"/>
    <w:tmpl w:val="725C90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033B86"/>
    <w:multiLevelType w:val="multilevel"/>
    <w:tmpl w:val="361407BC"/>
    <w:lvl w:ilvl="0">
      <w:start w:val="1"/>
      <w:numFmt w:val="decimal"/>
      <w:lvlText w:val="%1."/>
      <w:lvlJc w:val="left"/>
      <w:pPr>
        <w:ind w:left="360" w:hanging="360"/>
      </w:pPr>
      <w:rPr>
        <w:b/>
        <w:bCs/>
      </w:rPr>
    </w:lvl>
    <w:lvl w:ilvl="1">
      <w:start w:val="1"/>
      <w:numFmt w:val="decimal"/>
      <w:lvlText w:val="%1.%2."/>
      <w:lvlJc w:val="left"/>
      <w:pPr>
        <w:ind w:left="43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45A467B"/>
    <w:multiLevelType w:val="hybridMultilevel"/>
    <w:tmpl w:val="B0A41EB6"/>
    <w:lvl w:ilvl="0" w:tplc="3692E7CA">
      <w:start w:val="1"/>
      <w:numFmt w:val="decimal"/>
      <w:lvlText w:val="%1"/>
      <w:lvlJc w:val="left"/>
      <w:pPr>
        <w:ind w:left="2968" w:hanging="360"/>
      </w:pPr>
      <w:rPr>
        <w:rFonts w:hint="default"/>
        <w:color w:val="000000"/>
      </w:rPr>
    </w:lvl>
    <w:lvl w:ilvl="1" w:tplc="40090019" w:tentative="1">
      <w:start w:val="1"/>
      <w:numFmt w:val="lowerLetter"/>
      <w:lvlText w:val="%2."/>
      <w:lvlJc w:val="left"/>
      <w:pPr>
        <w:ind w:left="3688" w:hanging="360"/>
      </w:pPr>
    </w:lvl>
    <w:lvl w:ilvl="2" w:tplc="4009001B" w:tentative="1">
      <w:start w:val="1"/>
      <w:numFmt w:val="lowerRoman"/>
      <w:lvlText w:val="%3."/>
      <w:lvlJc w:val="right"/>
      <w:pPr>
        <w:ind w:left="4408" w:hanging="180"/>
      </w:pPr>
    </w:lvl>
    <w:lvl w:ilvl="3" w:tplc="4009000F" w:tentative="1">
      <w:start w:val="1"/>
      <w:numFmt w:val="decimal"/>
      <w:lvlText w:val="%4."/>
      <w:lvlJc w:val="left"/>
      <w:pPr>
        <w:ind w:left="5128" w:hanging="360"/>
      </w:pPr>
    </w:lvl>
    <w:lvl w:ilvl="4" w:tplc="40090019" w:tentative="1">
      <w:start w:val="1"/>
      <w:numFmt w:val="lowerLetter"/>
      <w:lvlText w:val="%5."/>
      <w:lvlJc w:val="left"/>
      <w:pPr>
        <w:ind w:left="5848" w:hanging="360"/>
      </w:pPr>
    </w:lvl>
    <w:lvl w:ilvl="5" w:tplc="4009001B" w:tentative="1">
      <w:start w:val="1"/>
      <w:numFmt w:val="lowerRoman"/>
      <w:lvlText w:val="%6."/>
      <w:lvlJc w:val="right"/>
      <w:pPr>
        <w:ind w:left="6568" w:hanging="180"/>
      </w:pPr>
    </w:lvl>
    <w:lvl w:ilvl="6" w:tplc="4009000F" w:tentative="1">
      <w:start w:val="1"/>
      <w:numFmt w:val="decimal"/>
      <w:lvlText w:val="%7."/>
      <w:lvlJc w:val="left"/>
      <w:pPr>
        <w:ind w:left="7288" w:hanging="360"/>
      </w:pPr>
    </w:lvl>
    <w:lvl w:ilvl="7" w:tplc="40090019" w:tentative="1">
      <w:start w:val="1"/>
      <w:numFmt w:val="lowerLetter"/>
      <w:lvlText w:val="%8."/>
      <w:lvlJc w:val="left"/>
      <w:pPr>
        <w:ind w:left="8008" w:hanging="360"/>
      </w:pPr>
    </w:lvl>
    <w:lvl w:ilvl="8" w:tplc="4009001B" w:tentative="1">
      <w:start w:val="1"/>
      <w:numFmt w:val="lowerRoman"/>
      <w:lvlText w:val="%9."/>
      <w:lvlJc w:val="right"/>
      <w:pPr>
        <w:ind w:left="8728" w:hanging="180"/>
      </w:pPr>
    </w:lvl>
  </w:abstractNum>
  <w:abstractNum w:abstractNumId="17" w15:restartNumberingAfterBreak="0">
    <w:nsid w:val="54601D50"/>
    <w:multiLevelType w:val="hybridMultilevel"/>
    <w:tmpl w:val="B4B895D6"/>
    <w:lvl w:ilvl="0" w:tplc="97204E8A">
      <w:start w:val="1"/>
      <w:numFmt w:val="lowerLetter"/>
      <w:lvlText w:val="(%1)"/>
      <w:lvlJc w:val="left"/>
      <w:pPr>
        <w:ind w:left="2520" w:hanging="360"/>
      </w:pPr>
      <w:rPr>
        <w:rFonts w:hint="default"/>
        <w:b/>
        <w:bCs/>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18" w15:restartNumberingAfterBreak="0">
    <w:nsid w:val="568B6588"/>
    <w:multiLevelType w:val="hybridMultilevel"/>
    <w:tmpl w:val="E89058F4"/>
    <w:lvl w:ilvl="0" w:tplc="E2D24814">
      <w:start w:val="1"/>
      <w:numFmt w:val="lowerLetter"/>
      <w:lvlText w:val="(%1)"/>
      <w:lvlJc w:val="left"/>
      <w:pPr>
        <w:ind w:left="1919" w:hanging="360"/>
      </w:pPr>
      <w:rPr>
        <w:rFonts w:hint="default"/>
        <w:b/>
        <w:bCs/>
      </w:rPr>
    </w:lvl>
    <w:lvl w:ilvl="1" w:tplc="40090019" w:tentative="1">
      <w:start w:val="1"/>
      <w:numFmt w:val="lowerLetter"/>
      <w:lvlText w:val="%2."/>
      <w:lvlJc w:val="left"/>
      <w:pPr>
        <w:ind w:left="2639" w:hanging="360"/>
      </w:pPr>
    </w:lvl>
    <w:lvl w:ilvl="2" w:tplc="4009001B" w:tentative="1">
      <w:start w:val="1"/>
      <w:numFmt w:val="lowerRoman"/>
      <w:lvlText w:val="%3."/>
      <w:lvlJc w:val="right"/>
      <w:pPr>
        <w:ind w:left="3359" w:hanging="180"/>
      </w:pPr>
    </w:lvl>
    <w:lvl w:ilvl="3" w:tplc="4009000F" w:tentative="1">
      <w:start w:val="1"/>
      <w:numFmt w:val="decimal"/>
      <w:lvlText w:val="%4."/>
      <w:lvlJc w:val="left"/>
      <w:pPr>
        <w:ind w:left="4079" w:hanging="360"/>
      </w:pPr>
    </w:lvl>
    <w:lvl w:ilvl="4" w:tplc="40090019" w:tentative="1">
      <w:start w:val="1"/>
      <w:numFmt w:val="lowerLetter"/>
      <w:lvlText w:val="%5."/>
      <w:lvlJc w:val="left"/>
      <w:pPr>
        <w:ind w:left="4799" w:hanging="360"/>
      </w:pPr>
    </w:lvl>
    <w:lvl w:ilvl="5" w:tplc="4009001B" w:tentative="1">
      <w:start w:val="1"/>
      <w:numFmt w:val="lowerRoman"/>
      <w:lvlText w:val="%6."/>
      <w:lvlJc w:val="right"/>
      <w:pPr>
        <w:ind w:left="5519" w:hanging="180"/>
      </w:pPr>
    </w:lvl>
    <w:lvl w:ilvl="6" w:tplc="4009000F" w:tentative="1">
      <w:start w:val="1"/>
      <w:numFmt w:val="decimal"/>
      <w:lvlText w:val="%7."/>
      <w:lvlJc w:val="left"/>
      <w:pPr>
        <w:ind w:left="6239" w:hanging="360"/>
      </w:pPr>
    </w:lvl>
    <w:lvl w:ilvl="7" w:tplc="40090019" w:tentative="1">
      <w:start w:val="1"/>
      <w:numFmt w:val="lowerLetter"/>
      <w:lvlText w:val="%8."/>
      <w:lvlJc w:val="left"/>
      <w:pPr>
        <w:ind w:left="6959" w:hanging="360"/>
      </w:pPr>
    </w:lvl>
    <w:lvl w:ilvl="8" w:tplc="4009001B" w:tentative="1">
      <w:start w:val="1"/>
      <w:numFmt w:val="lowerRoman"/>
      <w:lvlText w:val="%9."/>
      <w:lvlJc w:val="right"/>
      <w:pPr>
        <w:ind w:left="7679" w:hanging="180"/>
      </w:pPr>
    </w:lvl>
  </w:abstractNum>
  <w:abstractNum w:abstractNumId="19" w15:restartNumberingAfterBreak="0">
    <w:nsid w:val="66180477"/>
    <w:multiLevelType w:val="hybridMultilevel"/>
    <w:tmpl w:val="15862D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669F33EE"/>
    <w:multiLevelType w:val="multilevel"/>
    <w:tmpl w:val="86980ACC"/>
    <w:lvl w:ilvl="0">
      <w:start w:val="1"/>
      <w:numFmt w:val="decimal"/>
      <w:lvlText w:val="%1."/>
      <w:lvlJc w:val="left"/>
      <w:pPr>
        <w:ind w:left="360" w:hanging="360"/>
      </w:pPr>
    </w:lvl>
    <w:lvl w:ilvl="1">
      <w:start w:val="1"/>
      <w:numFmt w:val="decimal"/>
      <w:lvlText w:val="%1.%2."/>
      <w:lvlJc w:val="left"/>
      <w:pPr>
        <w:ind w:left="432" w:hanging="432"/>
      </w:pPr>
      <w:rPr>
        <w:b/>
        <w:bCs/>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98D148B"/>
    <w:multiLevelType w:val="multilevel"/>
    <w:tmpl w:val="465A5218"/>
    <w:lvl w:ilvl="0">
      <w:start w:val="1"/>
      <w:numFmt w:val="decimal"/>
      <w:lvlText w:val="%1."/>
      <w:lvlJc w:val="left"/>
      <w:pPr>
        <w:ind w:left="360" w:hanging="360"/>
      </w:pPr>
    </w:lvl>
    <w:lvl w:ilvl="1">
      <w:start w:val="1"/>
      <w:numFmt w:val="decimal"/>
      <w:lvlText w:val="%1.%2."/>
      <w:lvlJc w:val="left"/>
      <w:pPr>
        <w:ind w:left="43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A790434"/>
    <w:multiLevelType w:val="multilevel"/>
    <w:tmpl w:val="CC9056DC"/>
    <w:lvl w:ilvl="0">
      <w:start w:val="1"/>
      <w:numFmt w:val="decimal"/>
      <w:lvlText w:val="%1."/>
      <w:lvlJc w:val="left"/>
      <w:pPr>
        <w:ind w:left="360" w:hanging="360"/>
      </w:pPr>
      <w:rPr>
        <w:b/>
        <w:bCs/>
      </w:rPr>
    </w:lvl>
    <w:lvl w:ilvl="1">
      <w:start w:val="1"/>
      <w:numFmt w:val="decimal"/>
      <w:lvlText w:val="%1.%2."/>
      <w:lvlJc w:val="left"/>
      <w:pPr>
        <w:ind w:left="432" w:hanging="432"/>
      </w:pPr>
      <w:rPr>
        <w:b/>
        <w:bCs/>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0067688"/>
    <w:multiLevelType w:val="multilevel"/>
    <w:tmpl w:val="3D1001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8CE3BC7"/>
    <w:multiLevelType w:val="multilevel"/>
    <w:tmpl w:val="FB908B0E"/>
    <w:lvl w:ilvl="0">
      <w:start w:val="1"/>
      <w:numFmt w:val="decimal"/>
      <w:lvlText w:val="%1."/>
      <w:lvlJc w:val="left"/>
      <w:pPr>
        <w:ind w:left="360" w:hanging="360"/>
      </w:pPr>
      <w:rPr>
        <w:b/>
        <w:bCs/>
      </w:rPr>
    </w:lvl>
    <w:lvl w:ilvl="1">
      <w:start w:val="1"/>
      <w:numFmt w:val="decimal"/>
      <w:lvlText w:val="%1.%2."/>
      <w:lvlJc w:val="left"/>
      <w:pPr>
        <w:ind w:left="43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A107F8C"/>
    <w:multiLevelType w:val="hybridMultilevel"/>
    <w:tmpl w:val="C1486D7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7B966E60"/>
    <w:multiLevelType w:val="hybridMultilevel"/>
    <w:tmpl w:val="E7BE103E"/>
    <w:lvl w:ilvl="0" w:tplc="A93ABA92">
      <w:start w:val="1"/>
      <w:numFmt w:val="lowerLetter"/>
      <w:lvlText w:val="(%1)"/>
      <w:lvlJc w:val="left"/>
      <w:pPr>
        <w:ind w:left="2160" w:hanging="360"/>
      </w:pPr>
      <w:rPr>
        <w:rFonts w:hint="default"/>
      </w:rPr>
    </w:lvl>
    <w:lvl w:ilvl="1" w:tplc="40090019" w:tentative="1">
      <w:start w:val="1"/>
      <w:numFmt w:val="lowerLetter"/>
      <w:lvlText w:val="%2."/>
      <w:lvlJc w:val="left"/>
      <w:pPr>
        <w:ind w:left="2880" w:hanging="360"/>
      </w:pPr>
    </w:lvl>
    <w:lvl w:ilvl="2" w:tplc="4009001B" w:tentative="1">
      <w:start w:val="1"/>
      <w:numFmt w:val="lowerRoman"/>
      <w:lvlText w:val="%3."/>
      <w:lvlJc w:val="right"/>
      <w:pPr>
        <w:ind w:left="3600" w:hanging="180"/>
      </w:pPr>
    </w:lvl>
    <w:lvl w:ilvl="3" w:tplc="4009000F" w:tentative="1">
      <w:start w:val="1"/>
      <w:numFmt w:val="decimal"/>
      <w:lvlText w:val="%4."/>
      <w:lvlJc w:val="left"/>
      <w:pPr>
        <w:ind w:left="4320" w:hanging="360"/>
      </w:pPr>
    </w:lvl>
    <w:lvl w:ilvl="4" w:tplc="40090019" w:tentative="1">
      <w:start w:val="1"/>
      <w:numFmt w:val="lowerLetter"/>
      <w:lvlText w:val="%5."/>
      <w:lvlJc w:val="left"/>
      <w:pPr>
        <w:ind w:left="5040" w:hanging="360"/>
      </w:pPr>
    </w:lvl>
    <w:lvl w:ilvl="5" w:tplc="4009001B" w:tentative="1">
      <w:start w:val="1"/>
      <w:numFmt w:val="lowerRoman"/>
      <w:lvlText w:val="%6."/>
      <w:lvlJc w:val="right"/>
      <w:pPr>
        <w:ind w:left="5760" w:hanging="180"/>
      </w:pPr>
    </w:lvl>
    <w:lvl w:ilvl="6" w:tplc="4009000F" w:tentative="1">
      <w:start w:val="1"/>
      <w:numFmt w:val="decimal"/>
      <w:lvlText w:val="%7."/>
      <w:lvlJc w:val="left"/>
      <w:pPr>
        <w:ind w:left="6480" w:hanging="360"/>
      </w:pPr>
    </w:lvl>
    <w:lvl w:ilvl="7" w:tplc="40090019" w:tentative="1">
      <w:start w:val="1"/>
      <w:numFmt w:val="lowerLetter"/>
      <w:lvlText w:val="%8."/>
      <w:lvlJc w:val="left"/>
      <w:pPr>
        <w:ind w:left="7200" w:hanging="360"/>
      </w:pPr>
    </w:lvl>
    <w:lvl w:ilvl="8" w:tplc="4009001B" w:tentative="1">
      <w:start w:val="1"/>
      <w:numFmt w:val="lowerRoman"/>
      <w:lvlText w:val="%9."/>
      <w:lvlJc w:val="right"/>
      <w:pPr>
        <w:ind w:left="7920" w:hanging="180"/>
      </w:pPr>
    </w:lvl>
  </w:abstractNum>
  <w:abstractNum w:abstractNumId="27" w15:restartNumberingAfterBreak="0">
    <w:nsid w:val="7DC3029F"/>
    <w:multiLevelType w:val="hybridMultilevel"/>
    <w:tmpl w:val="50764284"/>
    <w:lvl w:ilvl="0" w:tplc="479238E0">
      <w:start w:val="1"/>
      <w:numFmt w:val="lowerLetter"/>
      <w:lvlText w:val="(%1)"/>
      <w:lvlJc w:val="left"/>
      <w:pPr>
        <w:ind w:left="1230" w:hanging="360"/>
      </w:pPr>
      <w:rPr>
        <w:rFonts w:hint="default"/>
      </w:rPr>
    </w:lvl>
    <w:lvl w:ilvl="1" w:tplc="40090019" w:tentative="1">
      <w:start w:val="1"/>
      <w:numFmt w:val="lowerLetter"/>
      <w:lvlText w:val="%2."/>
      <w:lvlJc w:val="left"/>
      <w:pPr>
        <w:ind w:left="1950" w:hanging="360"/>
      </w:pPr>
    </w:lvl>
    <w:lvl w:ilvl="2" w:tplc="4009001B" w:tentative="1">
      <w:start w:val="1"/>
      <w:numFmt w:val="lowerRoman"/>
      <w:lvlText w:val="%3."/>
      <w:lvlJc w:val="right"/>
      <w:pPr>
        <w:ind w:left="2670" w:hanging="180"/>
      </w:pPr>
    </w:lvl>
    <w:lvl w:ilvl="3" w:tplc="4009000F" w:tentative="1">
      <w:start w:val="1"/>
      <w:numFmt w:val="decimal"/>
      <w:lvlText w:val="%4."/>
      <w:lvlJc w:val="left"/>
      <w:pPr>
        <w:ind w:left="3390" w:hanging="360"/>
      </w:pPr>
    </w:lvl>
    <w:lvl w:ilvl="4" w:tplc="40090019" w:tentative="1">
      <w:start w:val="1"/>
      <w:numFmt w:val="lowerLetter"/>
      <w:lvlText w:val="%5."/>
      <w:lvlJc w:val="left"/>
      <w:pPr>
        <w:ind w:left="4110" w:hanging="360"/>
      </w:pPr>
    </w:lvl>
    <w:lvl w:ilvl="5" w:tplc="4009001B" w:tentative="1">
      <w:start w:val="1"/>
      <w:numFmt w:val="lowerRoman"/>
      <w:lvlText w:val="%6."/>
      <w:lvlJc w:val="right"/>
      <w:pPr>
        <w:ind w:left="4830" w:hanging="180"/>
      </w:pPr>
    </w:lvl>
    <w:lvl w:ilvl="6" w:tplc="4009000F" w:tentative="1">
      <w:start w:val="1"/>
      <w:numFmt w:val="decimal"/>
      <w:lvlText w:val="%7."/>
      <w:lvlJc w:val="left"/>
      <w:pPr>
        <w:ind w:left="5550" w:hanging="360"/>
      </w:pPr>
    </w:lvl>
    <w:lvl w:ilvl="7" w:tplc="40090019" w:tentative="1">
      <w:start w:val="1"/>
      <w:numFmt w:val="lowerLetter"/>
      <w:lvlText w:val="%8."/>
      <w:lvlJc w:val="left"/>
      <w:pPr>
        <w:ind w:left="6270" w:hanging="360"/>
      </w:pPr>
    </w:lvl>
    <w:lvl w:ilvl="8" w:tplc="4009001B" w:tentative="1">
      <w:start w:val="1"/>
      <w:numFmt w:val="lowerRoman"/>
      <w:lvlText w:val="%9."/>
      <w:lvlJc w:val="right"/>
      <w:pPr>
        <w:ind w:left="6990" w:hanging="180"/>
      </w:pPr>
    </w:lvl>
  </w:abstractNum>
  <w:num w:numId="1" w16cid:durableId="926840806">
    <w:abstractNumId w:val="25"/>
  </w:num>
  <w:num w:numId="2" w16cid:durableId="617371249">
    <w:abstractNumId w:val="7"/>
  </w:num>
  <w:num w:numId="3" w16cid:durableId="463619276">
    <w:abstractNumId w:val="10"/>
  </w:num>
  <w:num w:numId="4" w16cid:durableId="26610620">
    <w:abstractNumId w:val="18"/>
  </w:num>
  <w:num w:numId="5" w16cid:durableId="2131439668">
    <w:abstractNumId w:val="19"/>
  </w:num>
  <w:num w:numId="6" w16cid:durableId="11347326">
    <w:abstractNumId w:val="8"/>
  </w:num>
  <w:num w:numId="7" w16cid:durableId="882985767">
    <w:abstractNumId w:val="26"/>
  </w:num>
  <w:num w:numId="8" w16cid:durableId="1639144449">
    <w:abstractNumId w:val="17"/>
  </w:num>
  <w:num w:numId="9" w16cid:durableId="1722442939">
    <w:abstractNumId w:val="27"/>
  </w:num>
  <w:num w:numId="10" w16cid:durableId="222251944">
    <w:abstractNumId w:val="4"/>
  </w:num>
  <w:num w:numId="11" w16cid:durableId="1864124310">
    <w:abstractNumId w:val="5"/>
  </w:num>
  <w:num w:numId="12" w16cid:durableId="844980047">
    <w:abstractNumId w:val="14"/>
  </w:num>
  <w:num w:numId="13" w16cid:durableId="2127040357">
    <w:abstractNumId w:val="13"/>
  </w:num>
  <w:num w:numId="14" w16cid:durableId="1005405082">
    <w:abstractNumId w:val="1"/>
  </w:num>
  <w:num w:numId="15" w16cid:durableId="1876038271">
    <w:abstractNumId w:val="23"/>
  </w:num>
  <w:num w:numId="16" w16cid:durableId="66223370">
    <w:abstractNumId w:val="16"/>
  </w:num>
  <w:num w:numId="17" w16cid:durableId="1281568401">
    <w:abstractNumId w:val="11"/>
  </w:num>
  <w:num w:numId="18" w16cid:durableId="1128743586">
    <w:abstractNumId w:val="24"/>
  </w:num>
  <w:num w:numId="19" w16cid:durableId="566957812">
    <w:abstractNumId w:val="20"/>
  </w:num>
  <w:num w:numId="20" w16cid:durableId="12848671">
    <w:abstractNumId w:val="22"/>
  </w:num>
  <w:num w:numId="21" w16cid:durableId="1237131430">
    <w:abstractNumId w:val="0"/>
  </w:num>
  <w:num w:numId="22" w16cid:durableId="321466293">
    <w:abstractNumId w:val="6"/>
  </w:num>
  <w:num w:numId="23" w16cid:durableId="1310750497">
    <w:abstractNumId w:val="3"/>
  </w:num>
  <w:num w:numId="24" w16cid:durableId="934358589">
    <w:abstractNumId w:val="2"/>
  </w:num>
  <w:num w:numId="25" w16cid:durableId="112093044">
    <w:abstractNumId w:val="9"/>
  </w:num>
  <w:num w:numId="26" w16cid:durableId="78917296">
    <w:abstractNumId w:val="15"/>
  </w:num>
  <w:num w:numId="27" w16cid:durableId="551384589">
    <w:abstractNumId w:val="21"/>
  </w:num>
  <w:num w:numId="28" w16cid:durableId="16325954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mirrorMargins/>
  <w:hideSpellingErrors/>
  <w:hideGrammaticalErrors/>
  <w:proofState w:spelling="clean"/>
  <w:defaultTabStop w:val="720"/>
  <w:autoHyphenation/>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S2MLcwtbAwNjM1MDNV0lEKTi0uzszPAykwqgUAa3OnuCwAAAA="/>
  </w:docVars>
  <w:rsids>
    <w:rsidRoot w:val="00510D6B"/>
    <w:rsid w:val="000056FC"/>
    <w:rsid w:val="00013083"/>
    <w:rsid w:val="0002126A"/>
    <w:rsid w:val="00021F26"/>
    <w:rsid w:val="000230ED"/>
    <w:rsid w:val="00023D18"/>
    <w:rsid w:val="000277B3"/>
    <w:rsid w:val="000301D7"/>
    <w:rsid w:val="00030D1B"/>
    <w:rsid w:val="000312B1"/>
    <w:rsid w:val="00035837"/>
    <w:rsid w:val="0003609F"/>
    <w:rsid w:val="00037513"/>
    <w:rsid w:val="00041CE4"/>
    <w:rsid w:val="00041F92"/>
    <w:rsid w:val="0004214B"/>
    <w:rsid w:val="000425A5"/>
    <w:rsid w:val="00044071"/>
    <w:rsid w:val="00044E60"/>
    <w:rsid w:val="000473F5"/>
    <w:rsid w:val="00047736"/>
    <w:rsid w:val="00047F98"/>
    <w:rsid w:val="00052E45"/>
    <w:rsid w:val="00056F50"/>
    <w:rsid w:val="00060BC5"/>
    <w:rsid w:val="00064A4C"/>
    <w:rsid w:val="000741AC"/>
    <w:rsid w:val="00075BE5"/>
    <w:rsid w:val="0007687D"/>
    <w:rsid w:val="00076CDD"/>
    <w:rsid w:val="00077051"/>
    <w:rsid w:val="0008078A"/>
    <w:rsid w:val="00082160"/>
    <w:rsid w:val="00085E29"/>
    <w:rsid w:val="00090294"/>
    <w:rsid w:val="00090B38"/>
    <w:rsid w:val="0009179F"/>
    <w:rsid w:val="000924FC"/>
    <w:rsid w:val="00094AB1"/>
    <w:rsid w:val="00094EC2"/>
    <w:rsid w:val="0009664B"/>
    <w:rsid w:val="000A10CA"/>
    <w:rsid w:val="000A115C"/>
    <w:rsid w:val="000A2697"/>
    <w:rsid w:val="000A27B3"/>
    <w:rsid w:val="000A291B"/>
    <w:rsid w:val="000A586C"/>
    <w:rsid w:val="000B013F"/>
    <w:rsid w:val="000B100A"/>
    <w:rsid w:val="000B24B4"/>
    <w:rsid w:val="000B582F"/>
    <w:rsid w:val="000B6FFE"/>
    <w:rsid w:val="000C1356"/>
    <w:rsid w:val="000C3C2A"/>
    <w:rsid w:val="000C4F03"/>
    <w:rsid w:val="000C7204"/>
    <w:rsid w:val="000C79F7"/>
    <w:rsid w:val="000D2258"/>
    <w:rsid w:val="000D27DD"/>
    <w:rsid w:val="000D3449"/>
    <w:rsid w:val="000D3625"/>
    <w:rsid w:val="000D490F"/>
    <w:rsid w:val="000D4BCD"/>
    <w:rsid w:val="000D7EA6"/>
    <w:rsid w:val="000E0D6C"/>
    <w:rsid w:val="000E2E8B"/>
    <w:rsid w:val="000E4932"/>
    <w:rsid w:val="000E5D95"/>
    <w:rsid w:val="000E746E"/>
    <w:rsid w:val="000E7EE0"/>
    <w:rsid w:val="000F0256"/>
    <w:rsid w:val="000F178C"/>
    <w:rsid w:val="000F4E80"/>
    <w:rsid w:val="000F4F75"/>
    <w:rsid w:val="000F66B0"/>
    <w:rsid w:val="000F6F76"/>
    <w:rsid w:val="0010222A"/>
    <w:rsid w:val="001040DC"/>
    <w:rsid w:val="00106D7C"/>
    <w:rsid w:val="0011181D"/>
    <w:rsid w:val="00113E98"/>
    <w:rsid w:val="00115C79"/>
    <w:rsid w:val="001170D9"/>
    <w:rsid w:val="00117211"/>
    <w:rsid w:val="00123E8D"/>
    <w:rsid w:val="00124383"/>
    <w:rsid w:val="00126535"/>
    <w:rsid w:val="00132D12"/>
    <w:rsid w:val="0013407F"/>
    <w:rsid w:val="00134660"/>
    <w:rsid w:val="00134779"/>
    <w:rsid w:val="0013530A"/>
    <w:rsid w:val="00136995"/>
    <w:rsid w:val="00137247"/>
    <w:rsid w:val="00143482"/>
    <w:rsid w:val="001458AD"/>
    <w:rsid w:val="001505FD"/>
    <w:rsid w:val="00151236"/>
    <w:rsid w:val="0015509E"/>
    <w:rsid w:val="00156201"/>
    <w:rsid w:val="00156224"/>
    <w:rsid w:val="00156C72"/>
    <w:rsid w:val="001617D5"/>
    <w:rsid w:val="00162429"/>
    <w:rsid w:val="00165F1C"/>
    <w:rsid w:val="001670E8"/>
    <w:rsid w:val="00170581"/>
    <w:rsid w:val="001708FD"/>
    <w:rsid w:val="00174DD4"/>
    <w:rsid w:val="001755B6"/>
    <w:rsid w:val="0018044B"/>
    <w:rsid w:val="00180C08"/>
    <w:rsid w:val="00182B1F"/>
    <w:rsid w:val="00184F80"/>
    <w:rsid w:val="0018538F"/>
    <w:rsid w:val="00186C26"/>
    <w:rsid w:val="0019088B"/>
    <w:rsid w:val="00191DD6"/>
    <w:rsid w:val="0019319C"/>
    <w:rsid w:val="00193F1B"/>
    <w:rsid w:val="00194ED5"/>
    <w:rsid w:val="00194F09"/>
    <w:rsid w:val="001979B1"/>
    <w:rsid w:val="001A025F"/>
    <w:rsid w:val="001A4A58"/>
    <w:rsid w:val="001A5EA9"/>
    <w:rsid w:val="001A7D39"/>
    <w:rsid w:val="001B18BD"/>
    <w:rsid w:val="001B4129"/>
    <w:rsid w:val="001B4A3A"/>
    <w:rsid w:val="001B4D74"/>
    <w:rsid w:val="001B6862"/>
    <w:rsid w:val="001B7DC7"/>
    <w:rsid w:val="001C0FF1"/>
    <w:rsid w:val="001C3167"/>
    <w:rsid w:val="001C3A57"/>
    <w:rsid w:val="001C66F3"/>
    <w:rsid w:val="001D19A3"/>
    <w:rsid w:val="001D5FE9"/>
    <w:rsid w:val="001D635F"/>
    <w:rsid w:val="001D6791"/>
    <w:rsid w:val="001E0736"/>
    <w:rsid w:val="001E0F24"/>
    <w:rsid w:val="001E51BB"/>
    <w:rsid w:val="001E5A27"/>
    <w:rsid w:val="001E637A"/>
    <w:rsid w:val="001E6A3B"/>
    <w:rsid w:val="001F0E7F"/>
    <w:rsid w:val="001F127B"/>
    <w:rsid w:val="001F1E08"/>
    <w:rsid w:val="001F20F1"/>
    <w:rsid w:val="001F5BE9"/>
    <w:rsid w:val="001F5CCF"/>
    <w:rsid w:val="001F7F95"/>
    <w:rsid w:val="00201A9E"/>
    <w:rsid w:val="00206048"/>
    <w:rsid w:val="00206739"/>
    <w:rsid w:val="0021019F"/>
    <w:rsid w:val="0021027A"/>
    <w:rsid w:val="00211160"/>
    <w:rsid w:val="00211653"/>
    <w:rsid w:val="00211AE1"/>
    <w:rsid w:val="00211E0F"/>
    <w:rsid w:val="002155BB"/>
    <w:rsid w:val="002156B4"/>
    <w:rsid w:val="00217125"/>
    <w:rsid w:val="00217AC5"/>
    <w:rsid w:val="00217CF9"/>
    <w:rsid w:val="00221FAA"/>
    <w:rsid w:val="002255A1"/>
    <w:rsid w:val="002271AB"/>
    <w:rsid w:val="00237BD9"/>
    <w:rsid w:val="00237E6B"/>
    <w:rsid w:val="00240345"/>
    <w:rsid w:val="00240A3C"/>
    <w:rsid w:val="00241A98"/>
    <w:rsid w:val="00241CFF"/>
    <w:rsid w:val="00241E2E"/>
    <w:rsid w:val="00241E5E"/>
    <w:rsid w:val="00245847"/>
    <w:rsid w:val="00245FED"/>
    <w:rsid w:val="00246558"/>
    <w:rsid w:val="002508B8"/>
    <w:rsid w:val="00252140"/>
    <w:rsid w:val="00252985"/>
    <w:rsid w:val="00253956"/>
    <w:rsid w:val="0025437D"/>
    <w:rsid w:val="0025695F"/>
    <w:rsid w:val="00257035"/>
    <w:rsid w:val="00257558"/>
    <w:rsid w:val="00257891"/>
    <w:rsid w:val="002609D5"/>
    <w:rsid w:val="00261BC6"/>
    <w:rsid w:val="00266F49"/>
    <w:rsid w:val="00267B92"/>
    <w:rsid w:val="002704C7"/>
    <w:rsid w:val="00273E90"/>
    <w:rsid w:val="00276C3C"/>
    <w:rsid w:val="00281EFB"/>
    <w:rsid w:val="002844D6"/>
    <w:rsid w:val="00286134"/>
    <w:rsid w:val="002868A4"/>
    <w:rsid w:val="00287754"/>
    <w:rsid w:val="00292D03"/>
    <w:rsid w:val="002939C1"/>
    <w:rsid w:val="00294CB5"/>
    <w:rsid w:val="00295830"/>
    <w:rsid w:val="002A1DD5"/>
    <w:rsid w:val="002A356A"/>
    <w:rsid w:val="002A53FB"/>
    <w:rsid w:val="002A6776"/>
    <w:rsid w:val="002A71EC"/>
    <w:rsid w:val="002A7AE1"/>
    <w:rsid w:val="002B0DAB"/>
    <w:rsid w:val="002B1262"/>
    <w:rsid w:val="002B302A"/>
    <w:rsid w:val="002B668A"/>
    <w:rsid w:val="002C2456"/>
    <w:rsid w:val="002C508D"/>
    <w:rsid w:val="002C7FDA"/>
    <w:rsid w:val="002D03AE"/>
    <w:rsid w:val="002D132A"/>
    <w:rsid w:val="002D1DA0"/>
    <w:rsid w:val="002D2964"/>
    <w:rsid w:val="002D557F"/>
    <w:rsid w:val="002E0D6E"/>
    <w:rsid w:val="002E1C65"/>
    <w:rsid w:val="002E2BAF"/>
    <w:rsid w:val="002E6D1B"/>
    <w:rsid w:val="002F2785"/>
    <w:rsid w:val="002F28B3"/>
    <w:rsid w:val="002F28D4"/>
    <w:rsid w:val="002F77F8"/>
    <w:rsid w:val="00304FA0"/>
    <w:rsid w:val="003074C7"/>
    <w:rsid w:val="00307E00"/>
    <w:rsid w:val="00307EC0"/>
    <w:rsid w:val="00311173"/>
    <w:rsid w:val="00311904"/>
    <w:rsid w:val="00311CE9"/>
    <w:rsid w:val="00313EFB"/>
    <w:rsid w:val="003153BE"/>
    <w:rsid w:val="00315DA3"/>
    <w:rsid w:val="0031658B"/>
    <w:rsid w:val="00317633"/>
    <w:rsid w:val="00321884"/>
    <w:rsid w:val="00322D5D"/>
    <w:rsid w:val="00322DF9"/>
    <w:rsid w:val="00322EBD"/>
    <w:rsid w:val="0032353E"/>
    <w:rsid w:val="0032420A"/>
    <w:rsid w:val="00324721"/>
    <w:rsid w:val="00324C4F"/>
    <w:rsid w:val="003257F9"/>
    <w:rsid w:val="00330A1C"/>
    <w:rsid w:val="00334489"/>
    <w:rsid w:val="00334B7F"/>
    <w:rsid w:val="00336417"/>
    <w:rsid w:val="00337535"/>
    <w:rsid w:val="003379CF"/>
    <w:rsid w:val="00342210"/>
    <w:rsid w:val="00342263"/>
    <w:rsid w:val="00342536"/>
    <w:rsid w:val="00343FE7"/>
    <w:rsid w:val="0034781A"/>
    <w:rsid w:val="003512C0"/>
    <w:rsid w:val="00351ACE"/>
    <w:rsid w:val="00353A1E"/>
    <w:rsid w:val="00355732"/>
    <w:rsid w:val="003557D4"/>
    <w:rsid w:val="00361507"/>
    <w:rsid w:val="00361FF4"/>
    <w:rsid w:val="0036261A"/>
    <w:rsid w:val="003638C2"/>
    <w:rsid w:val="003705CC"/>
    <w:rsid w:val="003720A0"/>
    <w:rsid w:val="00373806"/>
    <w:rsid w:val="0037424D"/>
    <w:rsid w:val="00374543"/>
    <w:rsid w:val="0037462A"/>
    <w:rsid w:val="00374E03"/>
    <w:rsid w:val="0037614B"/>
    <w:rsid w:val="003801D1"/>
    <w:rsid w:val="00380250"/>
    <w:rsid w:val="00382C2C"/>
    <w:rsid w:val="00383C4A"/>
    <w:rsid w:val="0038514B"/>
    <w:rsid w:val="00385932"/>
    <w:rsid w:val="00387026"/>
    <w:rsid w:val="00390C6D"/>
    <w:rsid w:val="00391DBE"/>
    <w:rsid w:val="00391E65"/>
    <w:rsid w:val="00396E27"/>
    <w:rsid w:val="003A4A5D"/>
    <w:rsid w:val="003A4CCC"/>
    <w:rsid w:val="003A7269"/>
    <w:rsid w:val="003A745E"/>
    <w:rsid w:val="003A77F3"/>
    <w:rsid w:val="003A7CD4"/>
    <w:rsid w:val="003B08B9"/>
    <w:rsid w:val="003B0F0D"/>
    <w:rsid w:val="003B137C"/>
    <w:rsid w:val="003B298E"/>
    <w:rsid w:val="003B48D0"/>
    <w:rsid w:val="003B5F5F"/>
    <w:rsid w:val="003C6618"/>
    <w:rsid w:val="003C6A20"/>
    <w:rsid w:val="003C6B7C"/>
    <w:rsid w:val="003C7113"/>
    <w:rsid w:val="003D0830"/>
    <w:rsid w:val="003D15F7"/>
    <w:rsid w:val="003D2250"/>
    <w:rsid w:val="003D22BD"/>
    <w:rsid w:val="003D2614"/>
    <w:rsid w:val="003D3151"/>
    <w:rsid w:val="003D563C"/>
    <w:rsid w:val="003E0E6E"/>
    <w:rsid w:val="003E5D52"/>
    <w:rsid w:val="003E6B9F"/>
    <w:rsid w:val="003F18D8"/>
    <w:rsid w:val="003F1F46"/>
    <w:rsid w:val="003F2AD8"/>
    <w:rsid w:val="003F6DB8"/>
    <w:rsid w:val="00400450"/>
    <w:rsid w:val="00403839"/>
    <w:rsid w:val="00406979"/>
    <w:rsid w:val="00406CD8"/>
    <w:rsid w:val="00407FAA"/>
    <w:rsid w:val="00414FFB"/>
    <w:rsid w:val="00420288"/>
    <w:rsid w:val="00420940"/>
    <w:rsid w:val="00421BF8"/>
    <w:rsid w:val="00423BAF"/>
    <w:rsid w:val="00424621"/>
    <w:rsid w:val="00424817"/>
    <w:rsid w:val="00426019"/>
    <w:rsid w:val="0043042B"/>
    <w:rsid w:val="00432065"/>
    <w:rsid w:val="00432901"/>
    <w:rsid w:val="00434F16"/>
    <w:rsid w:val="004360B3"/>
    <w:rsid w:val="00437908"/>
    <w:rsid w:val="00442D50"/>
    <w:rsid w:val="00444B9F"/>
    <w:rsid w:val="00445582"/>
    <w:rsid w:val="00451672"/>
    <w:rsid w:val="00452828"/>
    <w:rsid w:val="00452AC8"/>
    <w:rsid w:val="00453418"/>
    <w:rsid w:val="0045343C"/>
    <w:rsid w:val="00453D90"/>
    <w:rsid w:val="0045488E"/>
    <w:rsid w:val="0045540A"/>
    <w:rsid w:val="00461338"/>
    <w:rsid w:val="00461F9C"/>
    <w:rsid w:val="0046313B"/>
    <w:rsid w:val="004634AA"/>
    <w:rsid w:val="00464A08"/>
    <w:rsid w:val="00465B7C"/>
    <w:rsid w:val="0046669E"/>
    <w:rsid w:val="004668A0"/>
    <w:rsid w:val="00467ED7"/>
    <w:rsid w:val="004711CA"/>
    <w:rsid w:val="0047206C"/>
    <w:rsid w:val="00472CD3"/>
    <w:rsid w:val="00474953"/>
    <w:rsid w:val="00476B6D"/>
    <w:rsid w:val="00480AE8"/>
    <w:rsid w:val="004876EC"/>
    <w:rsid w:val="00492396"/>
    <w:rsid w:val="004938A3"/>
    <w:rsid w:val="0049410D"/>
    <w:rsid w:val="004976C1"/>
    <w:rsid w:val="004A0AF6"/>
    <w:rsid w:val="004A2844"/>
    <w:rsid w:val="004A3568"/>
    <w:rsid w:val="004A3BAC"/>
    <w:rsid w:val="004A47BF"/>
    <w:rsid w:val="004A57A2"/>
    <w:rsid w:val="004A5D10"/>
    <w:rsid w:val="004A66BB"/>
    <w:rsid w:val="004B0DA9"/>
    <w:rsid w:val="004B6D1E"/>
    <w:rsid w:val="004C0B2F"/>
    <w:rsid w:val="004C38AA"/>
    <w:rsid w:val="004C4624"/>
    <w:rsid w:val="004C575B"/>
    <w:rsid w:val="004D0FDB"/>
    <w:rsid w:val="004D3986"/>
    <w:rsid w:val="004D5547"/>
    <w:rsid w:val="004D5A13"/>
    <w:rsid w:val="004D5DE5"/>
    <w:rsid w:val="004D660A"/>
    <w:rsid w:val="004E0548"/>
    <w:rsid w:val="004E4E09"/>
    <w:rsid w:val="004E53A0"/>
    <w:rsid w:val="004E5D0C"/>
    <w:rsid w:val="004F170B"/>
    <w:rsid w:val="004F1BC6"/>
    <w:rsid w:val="004F25D7"/>
    <w:rsid w:val="004F48A2"/>
    <w:rsid w:val="004F70BB"/>
    <w:rsid w:val="00500CF7"/>
    <w:rsid w:val="005016C0"/>
    <w:rsid w:val="00502980"/>
    <w:rsid w:val="005031CB"/>
    <w:rsid w:val="0050435E"/>
    <w:rsid w:val="0050544A"/>
    <w:rsid w:val="00505502"/>
    <w:rsid w:val="0050642A"/>
    <w:rsid w:val="00507417"/>
    <w:rsid w:val="00510D6B"/>
    <w:rsid w:val="00513C07"/>
    <w:rsid w:val="00514389"/>
    <w:rsid w:val="00514E2C"/>
    <w:rsid w:val="0051633D"/>
    <w:rsid w:val="00516AE3"/>
    <w:rsid w:val="005178BD"/>
    <w:rsid w:val="00521525"/>
    <w:rsid w:val="00521A0B"/>
    <w:rsid w:val="0052351F"/>
    <w:rsid w:val="0052565E"/>
    <w:rsid w:val="00526C48"/>
    <w:rsid w:val="00530868"/>
    <w:rsid w:val="00531F40"/>
    <w:rsid w:val="00533E83"/>
    <w:rsid w:val="0053463A"/>
    <w:rsid w:val="0053534E"/>
    <w:rsid w:val="00536D16"/>
    <w:rsid w:val="00543DF2"/>
    <w:rsid w:val="0054514D"/>
    <w:rsid w:val="00545CFB"/>
    <w:rsid w:val="00545FA0"/>
    <w:rsid w:val="00550D63"/>
    <w:rsid w:val="00551CAA"/>
    <w:rsid w:val="00552A2F"/>
    <w:rsid w:val="00552CBE"/>
    <w:rsid w:val="005530A1"/>
    <w:rsid w:val="00553DEE"/>
    <w:rsid w:val="00556402"/>
    <w:rsid w:val="005572C1"/>
    <w:rsid w:val="005625D6"/>
    <w:rsid w:val="00570274"/>
    <w:rsid w:val="00570C33"/>
    <w:rsid w:val="005715D2"/>
    <w:rsid w:val="00572A45"/>
    <w:rsid w:val="005806DA"/>
    <w:rsid w:val="00581CD4"/>
    <w:rsid w:val="0058311F"/>
    <w:rsid w:val="00585311"/>
    <w:rsid w:val="0058579C"/>
    <w:rsid w:val="0058710B"/>
    <w:rsid w:val="00591C47"/>
    <w:rsid w:val="0059210B"/>
    <w:rsid w:val="00592D3E"/>
    <w:rsid w:val="005A0FEE"/>
    <w:rsid w:val="005A4064"/>
    <w:rsid w:val="005A671D"/>
    <w:rsid w:val="005A7A6E"/>
    <w:rsid w:val="005A7B5E"/>
    <w:rsid w:val="005B1B9A"/>
    <w:rsid w:val="005B33BE"/>
    <w:rsid w:val="005B33C4"/>
    <w:rsid w:val="005B365F"/>
    <w:rsid w:val="005B3EDD"/>
    <w:rsid w:val="005B5C78"/>
    <w:rsid w:val="005B6266"/>
    <w:rsid w:val="005C3BF5"/>
    <w:rsid w:val="005C6507"/>
    <w:rsid w:val="005D0009"/>
    <w:rsid w:val="005D031E"/>
    <w:rsid w:val="005D12F3"/>
    <w:rsid w:val="005D26E5"/>
    <w:rsid w:val="005D3019"/>
    <w:rsid w:val="005D4826"/>
    <w:rsid w:val="005D566A"/>
    <w:rsid w:val="005E2040"/>
    <w:rsid w:val="005E213E"/>
    <w:rsid w:val="005E440C"/>
    <w:rsid w:val="005E5349"/>
    <w:rsid w:val="005E6DB5"/>
    <w:rsid w:val="005E7BC6"/>
    <w:rsid w:val="005F1989"/>
    <w:rsid w:val="005F2A60"/>
    <w:rsid w:val="005F64CD"/>
    <w:rsid w:val="005F7E1C"/>
    <w:rsid w:val="006008EE"/>
    <w:rsid w:val="00605462"/>
    <w:rsid w:val="00606C23"/>
    <w:rsid w:val="00612905"/>
    <w:rsid w:val="006134A0"/>
    <w:rsid w:val="00613AFF"/>
    <w:rsid w:val="00613C8C"/>
    <w:rsid w:val="006153D0"/>
    <w:rsid w:val="006156E4"/>
    <w:rsid w:val="00615E49"/>
    <w:rsid w:val="00617589"/>
    <w:rsid w:val="0061791A"/>
    <w:rsid w:val="00620CB9"/>
    <w:rsid w:val="00620D79"/>
    <w:rsid w:val="0062381C"/>
    <w:rsid w:val="00623C6F"/>
    <w:rsid w:val="006264F2"/>
    <w:rsid w:val="00626716"/>
    <w:rsid w:val="00630CD9"/>
    <w:rsid w:val="006310B2"/>
    <w:rsid w:val="00631306"/>
    <w:rsid w:val="006324D1"/>
    <w:rsid w:val="006329AC"/>
    <w:rsid w:val="00633194"/>
    <w:rsid w:val="006335B4"/>
    <w:rsid w:val="00633D7C"/>
    <w:rsid w:val="00636C65"/>
    <w:rsid w:val="00636F81"/>
    <w:rsid w:val="00637F3A"/>
    <w:rsid w:val="00641931"/>
    <w:rsid w:val="00641FFF"/>
    <w:rsid w:val="00642E87"/>
    <w:rsid w:val="0064341E"/>
    <w:rsid w:val="00644491"/>
    <w:rsid w:val="006506C2"/>
    <w:rsid w:val="00651632"/>
    <w:rsid w:val="0065209B"/>
    <w:rsid w:val="00657D26"/>
    <w:rsid w:val="00662E18"/>
    <w:rsid w:val="006647FE"/>
    <w:rsid w:val="00664ED6"/>
    <w:rsid w:val="006668E8"/>
    <w:rsid w:val="006670E7"/>
    <w:rsid w:val="006754D1"/>
    <w:rsid w:val="00675E76"/>
    <w:rsid w:val="006778EB"/>
    <w:rsid w:val="0068022A"/>
    <w:rsid w:val="0068079C"/>
    <w:rsid w:val="00681BB3"/>
    <w:rsid w:val="0068239C"/>
    <w:rsid w:val="00682C4F"/>
    <w:rsid w:val="00683644"/>
    <w:rsid w:val="00683DBD"/>
    <w:rsid w:val="006841FF"/>
    <w:rsid w:val="0068523E"/>
    <w:rsid w:val="00687022"/>
    <w:rsid w:val="0068736F"/>
    <w:rsid w:val="006873B2"/>
    <w:rsid w:val="0069090A"/>
    <w:rsid w:val="00691D71"/>
    <w:rsid w:val="00694F6B"/>
    <w:rsid w:val="00694F82"/>
    <w:rsid w:val="00696CAE"/>
    <w:rsid w:val="00696E0F"/>
    <w:rsid w:val="006A0650"/>
    <w:rsid w:val="006A1A9D"/>
    <w:rsid w:val="006A1CE2"/>
    <w:rsid w:val="006A4A5A"/>
    <w:rsid w:val="006A5078"/>
    <w:rsid w:val="006A54BA"/>
    <w:rsid w:val="006B2358"/>
    <w:rsid w:val="006B2680"/>
    <w:rsid w:val="006B2C41"/>
    <w:rsid w:val="006B62E6"/>
    <w:rsid w:val="006C341B"/>
    <w:rsid w:val="006C664F"/>
    <w:rsid w:val="006C7202"/>
    <w:rsid w:val="006D11F6"/>
    <w:rsid w:val="006D15BB"/>
    <w:rsid w:val="006D3772"/>
    <w:rsid w:val="006D508D"/>
    <w:rsid w:val="006D5140"/>
    <w:rsid w:val="006D64BA"/>
    <w:rsid w:val="006D7C03"/>
    <w:rsid w:val="006E2158"/>
    <w:rsid w:val="006F0D97"/>
    <w:rsid w:val="006F1034"/>
    <w:rsid w:val="006F3062"/>
    <w:rsid w:val="006F307E"/>
    <w:rsid w:val="006F39D2"/>
    <w:rsid w:val="006F4075"/>
    <w:rsid w:val="006F6F98"/>
    <w:rsid w:val="006F6F9A"/>
    <w:rsid w:val="00704323"/>
    <w:rsid w:val="00706BE3"/>
    <w:rsid w:val="00712885"/>
    <w:rsid w:val="00713072"/>
    <w:rsid w:val="007136C1"/>
    <w:rsid w:val="00713FA2"/>
    <w:rsid w:val="00714E4F"/>
    <w:rsid w:val="007212DB"/>
    <w:rsid w:val="007213D7"/>
    <w:rsid w:val="00722077"/>
    <w:rsid w:val="00723FD3"/>
    <w:rsid w:val="00724254"/>
    <w:rsid w:val="007244F1"/>
    <w:rsid w:val="00724801"/>
    <w:rsid w:val="007255D0"/>
    <w:rsid w:val="00725F04"/>
    <w:rsid w:val="00725F90"/>
    <w:rsid w:val="00726637"/>
    <w:rsid w:val="00733F36"/>
    <w:rsid w:val="00736314"/>
    <w:rsid w:val="007367DA"/>
    <w:rsid w:val="007368E1"/>
    <w:rsid w:val="00736A8B"/>
    <w:rsid w:val="007404B8"/>
    <w:rsid w:val="00742704"/>
    <w:rsid w:val="00742811"/>
    <w:rsid w:val="007446AC"/>
    <w:rsid w:val="007477C8"/>
    <w:rsid w:val="00750672"/>
    <w:rsid w:val="00750ED1"/>
    <w:rsid w:val="00754CDA"/>
    <w:rsid w:val="007562D3"/>
    <w:rsid w:val="0075744A"/>
    <w:rsid w:val="00760502"/>
    <w:rsid w:val="00760839"/>
    <w:rsid w:val="0076112B"/>
    <w:rsid w:val="0076112C"/>
    <w:rsid w:val="00761F2A"/>
    <w:rsid w:val="007636BC"/>
    <w:rsid w:val="0076596D"/>
    <w:rsid w:val="007668B0"/>
    <w:rsid w:val="00767E6B"/>
    <w:rsid w:val="007751BB"/>
    <w:rsid w:val="007757B6"/>
    <w:rsid w:val="00775C19"/>
    <w:rsid w:val="00776B21"/>
    <w:rsid w:val="00777319"/>
    <w:rsid w:val="00780512"/>
    <w:rsid w:val="00780EFD"/>
    <w:rsid w:val="00781A2C"/>
    <w:rsid w:val="00786575"/>
    <w:rsid w:val="00787AC7"/>
    <w:rsid w:val="00790555"/>
    <w:rsid w:val="00790A32"/>
    <w:rsid w:val="007A0CEE"/>
    <w:rsid w:val="007A1B82"/>
    <w:rsid w:val="007A1E01"/>
    <w:rsid w:val="007A3105"/>
    <w:rsid w:val="007A42BA"/>
    <w:rsid w:val="007A758E"/>
    <w:rsid w:val="007B3189"/>
    <w:rsid w:val="007B6261"/>
    <w:rsid w:val="007B7A8D"/>
    <w:rsid w:val="007C0071"/>
    <w:rsid w:val="007C03A0"/>
    <w:rsid w:val="007C0512"/>
    <w:rsid w:val="007C0BC6"/>
    <w:rsid w:val="007C10B0"/>
    <w:rsid w:val="007C226E"/>
    <w:rsid w:val="007C7399"/>
    <w:rsid w:val="007D40C3"/>
    <w:rsid w:val="007D60D4"/>
    <w:rsid w:val="007D6544"/>
    <w:rsid w:val="007D6E89"/>
    <w:rsid w:val="007D716A"/>
    <w:rsid w:val="007E08A7"/>
    <w:rsid w:val="007E64D2"/>
    <w:rsid w:val="007E7E5B"/>
    <w:rsid w:val="007F183A"/>
    <w:rsid w:val="007F31F0"/>
    <w:rsid w:val="007F6759"/>
    <w:rsid w:val="007F74B0"/>
    <w:rsid w:val="007F7950"/>
    <w:rsid w:val="008022F8"/>
    <w:rsid w:val="008023B5"/>
    <w:rsid w:val="00802F62"/>
    <w:rsid w:val="008030C6"/>
    <w:rsid w:val="0080341B"/>
    <w:rsid w:val="00805C75"/>
    <w:rsid w:val="00806E1F"/>
    <w:rsid w:val="00810DD5"/>
    <w:rsid w:val="008129FA"/>
    <w:rsid w:val="00813069"/>
    <w:rsid w:val="00813C9F"/>
    <w:rsid w:val="00815B28"/>
    <w:rsid w:val="00815CA9"/>
    <w:rsid w:val="00820F5F"/>
    <w:rsid w:val="008214DA"/>
    <w:rsid w:val="00821907"/>
    <w:rsid w:val="00822FC2"/>
    <w:rsid w:val="008249CB"/>
    <w:rsid w:val="00830700"/>
    <w:rsid w:val="00834162"/>
    <w:rsid w:val="0083452E"/>
    <w:rsid w:val="00834FEF"/>
    <w:rsid w:val="008350BC"/>
    <w:rsid w:val="008356D4"/>
    <w:rsid w:val="0083613F"/>
    <w:rsid w:val="00840D16"/>
    <w:rsid w:val="00841B7A"/>
    <w:rsid w:val="00842193"/>
    <w:rsid w:val="0084347C"/>
    <w:rsid w:val="00843C9E"/>
    <w:rsid w:val="00843F49"/>
    <w:rsid w:val="00846327"/>
    <w:rsid w:val="00846F8E"/>
    <w:rsid w:val="0085205B"/>
    <w:rsid w:val="00855506"/>
    <w:rsid w:val="008561BE"/>
    <w:rsid w:val="00856938"/>
    <w:rsid w:val="00857AA0"/>
    <w:rsid w:val="008604FD"/>
    <w:rsid w:val="00863F15"/>
    <w:rsid w:val="008678D5"/>
    <w:rsid w:val="00867FD2"/>
    <w:rsid w:val="008702EC"/>
    <w:rsid w:val="00870B47"/>
    <w:rsid w:val="008733FC"/>
    <w:rsid w:val="008805EA"/>
    <w:rsid w:val="00886DFC"/>
    <w:rsid w:val="00887033"/>
    <w:rsid w:val="00887A03"/>
    <w:rsid w:val="00887CD8"/>
    <w:rsid w:val="00890C4F"/>
    <w:rsid w:val="0089374A"/>
    <w:rsid w:val="00893A93"/>
    <w:rsid w:val="00893B21"/>
    <w:rsid w:val="00893E4E"/>
    <w:rsid w:val="00895ECA"/>
    <w:rsid w:val="0089656A"/>
    <w:rsid w:val="008968C3"/>
    <w:rsid w:val="008A13AB"/>
    <w:rsid w:val="008A29CB"/>
    <w:rsid w:val="008A3539"/>
    <w:rsid w:val="008A367A"/>
    <w:rsid w:val="008A7DD2"/>
    <w:rsid w:val="008B05F3"/>
    <w:rsid w:val="008B1B2B"/>
    <w:rsid w:val="008B378B"/>
    <w:rsid w:val="008B5C02"/>
    <w:rsid w:val="008B6887"/>
    <w:rsid w:val="008C1FBE"/>
    <w:rsid w:val="008C2235"/>
    <w:rsid w:val="008C47D7"/>
    <w:rsid w:val="008C750B"/>
    <w:rsid w:val="008D2655"/>
    <w:rsid w:val="008D2985"/>
    <w:rsid w:val="008D301B"/>
    <w:rsid w:val="008D31C1"/>
    <w:rsid w:val="008D43E3"/>
    <w:rsid w:val="008D4EB0"/>
    <w:rsid w:val="008D6161"/>
    <w:rsid w:val="008D6382"/>
    <w:rsid w:val="008E2560"/>
    <w:rsid w:val="008E369D"/>
    <w:rsid w:val="008E4184"/>
    <w:rsid w:val="008E5360"/>
    <w:rsid w:val="008E5F66"/>
    <w:rsid w:val="008E68A4"/>
    <w:rsid w:val="008E6B37"/>
    <w:rsid w:val="008E7144"/>
    <w:rsid w:val="008E76EE"/>
    <w:rsid w:val="008F0C41"/>
    <w:rsid w:val="008F0DF3"/>
    <w:rsid w:val="008F1A4B"/>
    <w:rsid w:val="008F2662"/>
    <w:rsid w:val="008F60B4"/>
    <w:rsid w:val="008F747C"/>
    <w:rsid w:val="00905638"/>
    <w:rsid w:val="00905823"/>
    <w:rsid w:val="00905D45"/>
    <w:rsid w:val="0090721A"/>
    <w:rsid w:val="00910025"/>
    <w:rsid w:val="009109F2"/>
    <w:rsid w:val="0091333A"/>
    <w:rsid w:val="009155D4"/>
    <w:rsid w:val="0092168F"/>
    <w:rsid w:val="0092241B"/>
    <w:rsid w:val="00927B10"/>
    <w:rsid w:val="00927FBD"/>
    <w:rsid w:val="00931C60"/>
    <w:rsid w:val="009327DA"/>
    <w:rsid w:val="009328EB"/>
    <w:rsid w:val="0093364E"/>
    <w:rsid w:val="00933887"/>
    <w:rsid w:val="009367F6"/>
    <w:rsid w:val="009458AB"/>
    <w:rsid w:val="0094642E"/>
    <w:rsid w:val="00950B17"/>
    <w:rsid w:val="00950B49"/>
    <w:rsid w:val="00951C45"/>
    <w:rsid w:val="00952857"/>
    <w:rsid w:val="0095292E"/>
    <w:rsid w:val="00952B44"/>
    <w:rsid w:val="00953D2D"/>
    <w:rsid w:val="00953DE6"/>
    <w:rsid w:val="009548AA"/>
    <w:rsid w:val="009606AF"/>
    <w:rsid w:val="009646E3"/>
    <w:rsid w:val="00965A8F"/>
    <w:rsid w:val="00974914"/>
    <w:rsid w:val="0097539A"/>
    <w:rsid w:val="009771B1"/>
    <w:rsid w:val="00977EB6"/>
    <w:rsid w:val="00984B05"/>
    <w:rsid w:val="009853CC"/>
    <w:rsid w:val="009857CB"/>
    <w:rsid w:val="00987385"/>
    <w:rsid w:val="00987F02"/>
    <w:rsid w:val="00990683"/>
    <w:rsid w:val="009909D7"/>
    <w:rsid w:val="0099128E"/>
    <w:rsid w:val="0099301F"/>
    <w:rsid w:val="00997777"/>
    <w:rsid w:val="009A0289"/>
    <w:rsid w:val="009A1334"/>
    <w:rsid w:val="009A2DA0"/>
    <w:rsid w:val="009A5B36"/>
    <w:rsid w:val="009B10E1"/>
    <w:rsid w:val="009B2CB6"/>
    <w:rsid w:val="009B3E17"/>
    <w:rsid w:val="009B548C"/>
    <w:rsid w:val="009B5B57"/>
    <w:rsid w:val="009B746C"/>
    <w:rsid w:val="009C2C64"/>
    <w:rsid w:val="009C3754"/>
    <w:rsid w:val="009C5551"/>
    <w:rsid w:val="009C74F0"/>
    <w:rsid w:val="009C7848"/>
    <w:rsid w:val="009D1F26"/>
    <w:rsid w:val="009D4A9A"/>
    <w:rsid w:val="009D67B6"/>
    <w:rsid w:val="009E3D77"/>
    <w:rsid w:val="009E41FD"/>
    <w:rsid w:val="009E5C64"/>
    <w:rsid w:val="009E664A"/>
    <w:rsid w:val="009E6B6B"/>
    <w:rsid w:val="009F103B"/>
    <w:rsid w:val="009F13AB"/>
    <w:rsid w:val="009F1A7E"/>
    <w:rsid w:val="009F6C4B"/>
    <w:rsid w:val="009F7CDB"/>
    <w:rsid w:val="00A002AD"/>
    <w:rsid w:val="00A017B6"/>
    <w:rsid w:val="00A05AE8"/>
    <w:rsid w:val="00A11B01"/>
    <w:rsid w:val="00A11B48"/>
    <w:rsid w:val="00A12463"/>
    <w:rsid w:val="00A1336B"/>
    <w:rsid w:val="00A143DF"/>
    <w:rsid w:val="00A144CA"/>
    <w:rsid w:val="00A178CB"/>
    <w:rsid w:val="00A244A7"/>
    <w:rsid w:val="00A24740"/>
    <w:rsid w:val="00A25E70"/>
    <w:rsid w:val="00A30291"/>
    <w:rsid w:val="00A31823"/>
    <w:rsid w:val="00A32074"/>
    <w:rsid w:val="00A334D8"/>
    <w:rsid w:val="00A345B1"/>
    <w:rsid w:val="00A37D15"/>
    <w:rsid w:val="00A4145C"/>
    <w:rsid w:val="00A41DEB"/>
    <w:rsid w:val="00A42509"/>
    <w:rsid w:val="00A431E8"/>
    <w:rsid w:val="00A43E98"/>
    <w:rsid w:val="00A44205"/>
    <w:rsid w:val="00A458B0"/>
    <w:rsid w:val="00A47FEE"/>
    <w:rsid w:val="00A51C4F"/>
    <w:rsid w:val="00A51C61"/>
    <w:rsid w:val="00A533C6"/>
    <w:rsid w:val="00A552A2"/>
    <w:rsid w:val="00A56081"/>
    <w:rsid w:val="00A566D8"/>
    <w:rsid w:val="00A57A6A"/>
    <w:rsid w:val="00A600E0"/>
    <w:rsid w:val="00A619E6"/>
    <w:rsid w:val="00A66494"/>
    <w:rsid w:val="00A7150C"/>
    <w:rsid w:val="00A72DAC"/>
    <w:rsid w:val="00A7300E"/>
    <w:rsid w:val="00A73BD4"/>
    <w:rsid w:val="00A74B75"/>
    <w:rsid w:val="00A761CA"/>
    <w:rsid w:val="00A7748E"/>
    <w:rsid w:val="00A84F38"/>
    <w:rsid w:val="00A8705F"/>
    <w:rsid w:val="00A90D4C"/>
    <w:rsid w:val="00A918C9"/>
    <w:rsid w:val="00A91EE4"/>
    <w:rsid w:val="00A91FA4"/>
    <w:rsid w:val="00A9231E"/>
    <w:rsid w:val="00A92D94"/>
    <w:rsid w:val="00A94276"/>
    <w:rsid w:val="00A94EE1"/>
    <w:rsid w:val="00A959B6"/>
    <w:rsid w:val="00A95D34"/>
    <w:rsid w:val="00A9647E"/>
    <w:rsid w:val="00AA0266"/>
    <w:rsid w:val="00AA2958"/>
    <w:rsid w:val="00AA43C4"/>
    <w:rsid w:val="00AB180B"/>
    <w:rsid w:val="00AB2FB5"/>
    <w:rsid w:val="00AB39BA"/>
    <w:rsid w:val="00AB58E1"/>
    <w:rsid w:val="00AB7088"/>
    <w:rsid w:val="00AB72D5"/>
    <w:rsid w:val="00AB7ACF"/>
    <w:rsid w:val="00AC0865"/>
    <w:rsid w:val="00AC2972"/>
    <w:rsid w:val="00AC2AB1"/>
    <w:rsid w:val="00AC3441"/>
    <w:rsid w:val="00AC3737"/>
    <w:rsid w:val="00AC3874"/>
    <w:rsid w:val="00AC3F06"/>
    <w:rsid w:val="00AC4024"/>
    <w:rsid w:val="00AC4743"/>
    <w:rsid w:val="00AC5E12"/>
    <w:rsid w:val="00AC718F"/>
    <w:rsid w:val="00AD1841"/>
    <w:rsid w:val="00AD1DD2"/>
    <w:rsid w:val="00AD5627"/>
    <w:rsid w:val="00AD7935"/>
    <w:rsid w:val="00AE1CC5"/>
    <w:rsid w:val="00AE253B"/>
    <w:rsid w:val="00AE4595"/>
    <w:rsid w:val="00AE4DAC"/>
    <w:rsid w:val="00AF3B81"/>
    <w:rsid w:val="00AF664F"/>
    <w:rsid w:val="00AF7BA6"/>
    <w:rsid w:val="00B00CB3"/>
    <w:rsid w:val="00B01C22"/>
    <w:rsid w:val="00B04BB2"/>
    <w:rsid w:val="00B050E2"/>
    <w:rsid w:val="00B146C3"/>
    <w:rsid w:val="00B15141"/>
    <w:rsid w:val="00B17972"/>
    <w:rsid w:val="00B20679"/>
    <w:rsid w:val="00B2118D"/>
    <w:rsid w:val="00B214FC"/>
    <w:rsid w:val="00B2406E"/>
    <w:rsid w:val="00B25B2C"/>
    <w:rsid w:val="00B304C6"/>
    <w:rsid w:val="00B346F9"/>
    <w:rsid w:val="00B35E1A"/>
    <w:rsid w:val="00B365B6"/>
    <w:rsid w:val="00B366B2"/>
    <w:rsid w:val="00B366EF"/>
    <w:rsid w:val="00B37170"/>
    <w:rsid w:val="00B41547"/>
    <w:rsid w:val="00B442BB"/>
    <w:rsid w:val="00B44A29"/>
    <w:rsid w:val="00B44A7E"/>
    <w:rsid w:val="00B44EB5"/>
    <w:rsid w:val="00B4534F"/>
    <w:rsid w:val="00B51550"/>
    <w:rsid w:val="00B51977"/>
    <w:rsid w:val="00B51D09"/>
    <w:rsid w:val="00B52384"/>
    <w:rsid w:val="00B52710"/>
    <w:rsid w:val="00B5404F"/>
    <w:rsid w:val="00B549AE"/>
    <w:rsid w:val="00B568BB"/>
    <w:rsid w:val="00B5728D"/>
    <w:rsid w:val="00B5787B"/>
    <w:rsid w:val="00B6671E"/>
    <w:rsid w:val="00B7043E"/>
    <w:rsid w:val="00B73975"/>
    <w:rsid w:val="00B73A42"/>
    <w:rsid w:val="00B73C20"/>
    <w:rsid w:val="00B73E92"/>
    <w:rsid w:val="00B746EB"/>
    <w:rsid w:val="00B7521B"/>
    <w:rsid w:val="00B77095"/>
    <w:rsid w:val="00B808C8"/>
    <w:rsid w:val="00B8250B"/>
    <w:rsid w:val="00B825B1"/>
    <w:rsid w:val="00B82A4B"/>
    <w:rsid w:val="00B83572"/>
    <w:rsid w:val="00B84ED5"/>
    <w:rsid w:val="00B85A07"/>
    <w:rsid w:val="00B863A8"/>
    <w:rsid w:val="00B86D19"/>
    <w:rsid w:val="00B93849"/>
    <w:rsid w:val="00BA0CE9"/>
    <w:rsid w:val="00BA3315"/>
    <w:rsid w:val="00BA397E"/>
    <w:rsid w:val="00BA5049"/>
    <w:rsid w:val="00BA557B"/>
    <w:rsid w:val="00BA568F"/>
    <w:rsid w:val="00BA724C"/>
    <w:rsid w:val="00BB0543"/>
    <w:rsid w:val="00BB24D3"/>
    <w:rsid w:val="00BB78BD"/>
    <w:rsid w:val="00BC2F61"/>
    <w:rsid w:val="00BC36DA"/>
    <w:rsid w:val="00BC3EF1"/>
    <w:rsid w:val="00BC408B"/>
    <w:rsid w:val="00BC488C"/>
    <w:rsid w:val="00BC4E92"/>
    <w:rsid w:val="00BC766E"/>
    <w:rsid w:val="00BD6993"/>
    <w:rsid w:val="00BD6AAB"/>
    <w:rsid w:val="00BD7E0E"/>
    <w:rsid w:val="00BE136C"/>
    <w:rsid w:val="00BE3EF4"/>
    <w:rsid w:val="00BE4076"/>
    <w:rsid w:val="00BE582E"/>
    <w:rsid w:val="00BE627E"/>
    <w:rsid w:val="00BF1571"/>
    <w:rsid w:val="00BF2400"/>
    <w:rsid w:val="00BF2DCB"/>
    <w:rsid w:val="00BF44C1"/>
    <w:rsid w:val="00BF468A"/>
    <w:rsid w:val="00BF471A"/>
    <w:rsid w:val="00BF6561"/>
    <w:rsid w:val="00BF6A96"/>
    <w:rsid w:val="00BF736B"/>
    <w:rsid w:val="00C00380"/>
    <w:rsid w:val="00C01E5E"/>
    <w:rsid w:val="00C01EFA"/>
    <w:rsid w:val="00C0384E"/>
    <w:rsid w:val="00C05415"/>
    <w:rsid w:val="00C061D7"/>
    <w:rsid w:val="00C11518"/>
    <w:rsid w:val="00C15279"/>
    <w:rsid w:val="00C15A45"/>
    <w:rsid w:val="00C1654D"/>
    <w:rsid w:val="00C17962"/>
    <w:rsid w:val="00C22E0D"/>
    <w:rsid w:val="00C23C57"/>
    <w:rsid w:val="00C24A8A"/>
    <w:rsid w:val="00C30BC4"/>
    <w:rsid w:val="00C30D78"/>
    <w:rsid w:val="00C312A7"/>
    <w:rsid w:val="00C33305"/>
    <w:rsid w:val="00C34C8F"/>
    <w:rsid w:val="00C3502A"/>
    <w:rsid w:val="00C40408"/>
    <w:rsid w:val="00C40533"/>
    <w:rsid w:val="00C40D09"/>
    <w:rsid w:val="00C41C24"/>
    <w:rsid w:val="00C41E3D"/>
    <w:rsid w:val="00C4436F"/>
    <w:rsid w:val="00C53DB1"/>
    <w:rsid w:val="00C5409B"/>
    <w:rsid w:val="00C57E60"/>
    <w:rsid w:val="00C60A65"/>
    <w:rsid w:val="00C60BAC"/>
    <w:rsid w:val="00C61AAF"/>
    <w:rsid w:val="00C61FE3"/>
    <w:rsid w:val="00C635DF"/>
    <w:rsid w:val="00C63F59"/>
    <w:rsid w:val="00C65605"/>
    <w:rsid w:val="00C6576D"/>
    <w:rsid w:val="00C65C63"/>
    <w:rsid w:val="00C679F3"/>
    <w:rsid w:val="00C71E6C"/>
    <w:rsid w:val="00C726D7"/>
    <w:rsid w:val="00C73302"/>
    <w:rsid w:val="00C75734"/>
    <w:rsid w:val="00C82AAA"/>
    <w:rsid w:val="00C82E90"/>
    <w:rsid w:val="00C84086"/>
    <w:rsid w:val="00C84CC2"/>
    <w:rsid w:val="00C84F97"/>
    <w:rsid w:val="00C87B86"/>
    <w:rsid w:val="00C9174E"/>
    <w:rsid w:val="00C9493B"/>
    <w:rsid w:val="00C94E72"/>
    <w:rsid w:val="00C961A2"/>
    <w:rsid w:val="00CA1734"/>
    <w:rsid w:val="00CA189B"/>
    <w:rsid w:val="00CA3FA3"/>
    <w:rsid w:val="00CA4C57"/>
    <w:rsid w:val="00CA5C78"/>
    <w:rsid w:val="00CA66D5"/>
    <w:rsid w:val="00CA67EE"/>
    <w:rsid w:val="00CA69ED"/>
    <w:rsid w:val="00CA78B6"/>
    <w:rsid w:val="00CB2C61"/>
    <w:rsid w:val="00CB3329"/>
    <w:rsid w:val="00CB402B"/>
    <w:rsid w:val="00CC0E50"/>
    <w:rsid w:val="00CC13A4"/>
    <w:rsid w:val="00CC191A"/>
    <w:rsid w:val="00CC31DE"/>
    <w:rsid w:val="00CC36E9"/>
    <w:rsid w:val="00CC3D0F"/>
    <w:rsid w:val="00CC517B"/>
    <w:rsid w:val="00CC5554"/>
    <w:rsid w:val="00CD24E9"/>
    <w:rsid w:val="00CD36DC"/>
    <w:rsid w:val="00CD4F82"/>
    <w:rsid w:val="00CD5276"/>
    <w:rsid w:val="00CD7912"/>
    <w:rsid w:val="00CD7941"/>
    <w:rsid w:val="00CE2168"/>
    <w:rsid w:val="00CE297E"/>
    <w:rsid w:val="00CE4C48"/>
    <w:rsid w:val="00CF06D1"/>
    <w:rsid w:val="00CF0C09"/>
    <w:rsid w:val="00CF2244"/>
    <w:rsid w:val="00CF26FB"/>
    <w:rsid w:val="00CF3D85"/>
    <w:rsid w:val="00CF56C6"/>
    <w:rsid w:val="00CF5A9D"/>
    <w:rsid w:val="00CF63B3"/>
    <w:rsid w:val="00D0062B"/>
    <w:rsid w:val="00D036CE"/>
    <w:rsid w:val="00D03869"/>
    <w:rsid w:val="00D0546A"/>
    <w:rsid w:val="00D05689"/>
    <w:rsid w:val="00D05A8A"/>
    <w:rsid w:val="00D06944"/>
    <w:rsid w:val="00D06A8B"/>
    <w:rsid w:val="00D06C7F"/>
    <w:rsid w:val="00D121B1"/>
    <w:rsid w:val="00D15927"/>
    <w:rsid w:val="00D15EF2"/>
    <w:rsid w:val="00D17966"/>
    <w:rsid w:val="00D20080"/>
    <w:rsid w:val="00D212E9"/>
    <w:rsid w:val="00D253D5"/>
    <w:rsid w:val="00D263CC"/>
    <w:rsid w:val="00D27817"/>
    <w:rsid w:val="00D30933"/>
    <w:rsid w:val="00D30AAC"/>
    <w:rsid w:val="00D31103"/>
    <w:rsid w:val="00D313CA"/>
    <w:rsid w:val="00D34614"/>
    <w:rsid w:val="00D36985"/>
    <w:rsid w:val="00D40951"/>
    <w:rsid w:val="00D420F7"/>
    <w:rsid w:val="00D43212"/>
    <w:rsid w:val="00D447F9"/>
    <w:rsid w:val="00D456B2"/>
    <w:rsid w:val="00D461D2"/>
    <w:rsid w:val="00D472E3"/>
    <w:rsid w:val="00D475E9"/>
    <w:rsid w:val="00D4762C"/>
    <w:rsid w:val="00D47B6C"/>
    <w:rsid w:val="00D50BBD"/>
    <w:rsid w:val="00D52DEA"/>
    <w:rsid w:val="00D53AE3"/>
    <w:rsid w:val="00D54806"/>
    <w:rsid w:val="00D54CEF"/>
    <w:rsid w:val="00D55BA8"/>
    <w:rsid w:val="00D56489"/>
    <w:rsid w:val="00D574E5"/>
    <w:rsid w:val="00D57C51"/>
    <w:rsid w:val="00D60124"/>
    <w:rsid w:val="00D60336"/>
    <w:rsid w:val="00D62D79"/>
    <w:rsid w:val="00D659F5"/>
    <w:rsid w:val="00D66983"/>
    <w:rsid w:val="00D674B9"/>
    <w:rsid w:val="00D70A06"/>
    <w:rsid w:val="00D753A2"/>
    <w:rsid w:val="00D76631"/>
    <w:rsid w:val="00D778A8"/>
    <w:rsid w:val="00D82A78"/>
    <w:rsid w:val="00D83918"/>
    <w:rsid w:val="00D870E3"/>
    <w:rsid w:val="00D872E5"/>
    <w:rsid w:val="00D91F82"/>
    <w:rsid w:val="00D93887"/>
    <w:rsid w:val="00D9548C"/>
    <w:rsid w:val="00D958A7"/>
    <w:rsid w:val="00D96226"/>
    <w:rsid w:val="00DA225F"/>
    <w:rsid w:val="00DA4A94"/>
    <w:rsid w:val="00DB4B48"/>
    <w:rsid w:val="00DB57E3"/>
    <w:rsid w:val="00DB5EB5"/>
    <w:rsid w:val="00DB5FB7"/>
    <w:rsid w:val="00DC114C"/>
    <w:rsid w:val="00DC343F"/>
    <w:rsid w:val="00DC4B82"/>
    <w:rsid w:val="00DC4CA1"/>
    <w:rsid w:val="00DC529F"/>
    <w:rsid w:val="00DC6F63"/>
    <w:rsid w:val="00DD0B67"/>
    <w:rsid w:val="00DD1015"/>
    <w:rsid w:val="00DD2A41"/>
    <w:rsid w:val="00DD31CB"/>
    <w:rsid w:val="00DD3FB9"/>
    <w:rsid w:val="00DD5DBB"/>
    <w:rsid w:val="00DD6071"/>
    <w:rsid w:val="00DE306F"/>
    <w:rsid w:val="00DE3A95"/>
    <w:rsid w:val="00DE4A57"/>
    <w:rsid w:val="00DF3BDC"/>
    <w:rsid w:val="00DF523B"/>
    <w:rsid w:val="00DF6578"/>
    <w:rsid w:val="00DF66EE"/>
    <w:rsid w:val="00DF6969"/>
    <w:rsid w:val="00DF7564"/>
    <w:rsid w:val="00DF763A"/>
    <w:rsid w:val="00E01AE2"/>
    <w:rsid w:val="00E01D66"/>
    <w:rsid w:val="00E02AC5"/>
    <w:rsid w:val="00E04225"/>
    <w:rsid w:val="00E04954"/>
    <w:rsid w:val="00E07E78"/>
    <w:rsid w:val="00E10AC0"/>
    <w:rsid w:val="00E10AC7"/>
    <w:rsid w:val="00E14265"/>
    <w:rsid w:val="00E16995"/>
    <w:rsid w:val="00E20DF9"/>
    <w:rsid w:val="00E22ECE"/>
    <w:rsid w:val="00E23673"/>
    <w:rsid w:val="00E238E0"/>
    <w:rsid w:val="00E25D68"/>
    <w:rsid w:val="00E26745"/>
    <w:rsid w:val="00E27229"/>
    <w:rsid w:val="00E30C1B"/>
    <w:rsid w:val="00E32EDE"/>
    <w:rsid w:val="00E32EFD"/>
    <w:rsid w:val="00E37911"/>
    <w:rsid w:val="00E40504"/>
    <w:rsid w:val="00E414E6"/>
    <w:rsid w:val="00E4231D"/>
    <w:rsid w:val="00E42965"/>
    <w:rsid w:val="00E44620"/>
    <w:rsid w:val="00E44838"/>
    <w:rsid w:val="00E471DA"/>
    <w:rsid w:val="00E4759B"/>
    <w:rsid w:val="00E5366B"/>
    <w:rsid w:val="00E5636B"/>
    <w:rsid w:val="00E6404D"/>
    <w:rsid w:val="00E64497"/>
    <w:rsid w:val="00E64D72"/>
    <w:rsid w:val="00E666FE"/>
    <w:rsid w:val="00E66F6C"/>
    <w:rsid w:val="00E705DC"/>
    <w:rsid w:val="00E709C9"/>
    <w:rsid w:val="00E7158C"/>
    <w:rsid w:val="00E71C33"/>
    <w:rsid w:val="00E71CC5"/>
    <w:rsid w:val="00E72C31"/>
    <w:rsid w:val="00E72E27"/>
    <w:rsid w:val="00E7329C"/>
    <w:rsid w:val="00E76762"/>
    <w:rsid w:val="00E76D95"/>
    <w:rsid w:val="00E77DC4"/>
    <w:rsid w:val="00E8006C"/>
    <w:rsid w:val="00E8240B"/>
    <w:rsid w:val="00E82CA7"/>
    <w:rsid w:val="00E8516A"/>
    <w:rsid w:val="00E877AF"/>
    <w:rsid w:val="00E90381"/>
    <w:rsid w:val="00E90EF4"/>
    <w:rsid w:val="00E93B88"/>
    <w:rsid w:val="00E97BF1"/>
    <w:rsid w:val="00E97E40"/>
    <w:rsid w:val="00EA0636"/>
    <w:rsid w:val="00EA4819"/>
    <w:rsid w:val="00EA5491"/>
    <w:rsid w:val="00EA6A18"/>
    <w:rsid w:val="00EA72F8"/>
    <w:rsid w:val="00EA7827"/>
    <w:rsid w:val="00EB4D93"/>
    <w:rsid w:val="00EB5174"/>
    <w:rsid w:val="00EB6DCF"/>
    <w:rsid w:val="00EB7337"/>
    <w:rsid w:val="00EB7368"/>
    <w:rsid w:val="00EC05BE"/>
    <w:rsid w:val="00EC3ABC"/>
    <w:rsid w:val="00EC5A3C"/>
    <w:rsid w:val="00EC6F0E"/>
    <w:rsid w:val="00ED18EF"/>
    <w:rsid w:val="00ED5D7D"/>
    <w:rsid w:val="00ED61A6"/>
    <w:rsid w:val="00ED674E"/>
    <w:rsid w:val="00ED6D52"/>
    <w:rsid w:val="00EE00C2"/>
    <w:rsid w:val="00EE0DD4"/>
    <w:rsid w:val="00EE1F59"/>
    <w:rsid w:val="00EE2853"/>
    <w:rsid w:val="00EE2A85"/>
    <w:rsid w:val="00EE4BBE"/>
    <w:rsid w:val="00EE6BFB"/>
    <w:rsid w:val="00EF1EEF"/>
    <w:rsid w:val="00EF3802"/>
    <w:rsid w:val="00EF4F3E"/>
    <w:rsid w:val="00EF64D9"/>
    <w:rsid w:val="00F00B16"/>
    <w:rsid w:val="00F01119"/>
    <w:rsid w:val="00F019E1"/>
    <w:rsid w:val="00F03BC8"/>
    <w:rsid w:val="00F0439D"/>
    <w:rsid w:val="00F04BC2"/>
    <w:rsid w:val="00F04C47"/>
    <w:rsid w:val="00F051C0"/>
    <w:rsid w:val="00F0588A"/>
    <w:rsid w:val="00F05E96"/>
    <w:rsid w:val="00F05F21"/>
    <w:rsid w:val="00F06368"/>
    <w:rsid w:val="00F068AF"/>
    <w:rsid w:val="00F06D61"/>
    <w:rsid w:val="00F07DE6"/>
    <w:rsid w:val="00F11785"/>
    <w:rsid w:val="00F118EA"/>
    <w:rsid w:val="00F12CA7"/>
    <w:rsid w:val="00F13172"/>
    <w:rsid w:val="00F170E8"/>
    <w:rsid w:val="00F17694"/>
    <w:rsid w:val="00F176E5"/>
    <w:rsid w:val="00F178DF"/>
    <w:rsid w:val="00F17D93"/>
    <w:rsid w:val="00F26734"/>
    <w:rsid w:val="00F2726C"/>
    <w:rsid w:val="00F3040C"/>
    <w:rsid w:val="00F30C03"/>
    <w:rsid w:val="00F40961"/>
    <w:rsid w:val="00F416DF"/>
    <w:rsid w:val="00F41A13"/>
    <w:rsid w:val="00F4235B"/>
    <w:rsid w:val="00F42F0B"/>
    <w:rsid w:val="00F443FD"/>
    <w:rsid w:val="00F46A94"/>
    <w:rsid w:val="00F47A0E"/>
    <w:rsid w:val="00F47FAF"/>
    <w:rsid w:val="00F5182F"/>
    <w:rsid w:val="00F525ED"/>
    <w:rsid w:val="00F52943"/>
    <w:rsid w:val="00F537DE"/>
    <w:rsid w:val="00F55056"/>
    <w:rsid w:val="00F5771D"/>
    <w:rsid w:val="00F61CE1"/>
    <w:rsid w:val="00F643F0"/>
    <w:rsid w:val="00F66E82"/>
    <w:rsid w:val="00F67673"/>
    <w:rsid w:val="00F70931"/>
    <w:rsid w:val="00F713D5"/>
    <w:rsid w:val="00F733D0"/>
    <w:rsid w:val="00F73A1F"/>
    <w:rsid w:val="00F73CA9"/>
    <w:rsid w:val="00F743F6"/>
    <w:rsid w:val="00F752E2"/>
    <w:rsid w:val="00F759AD"/>
    <w:rsid w:val="00F81190"/>
    <w:rsid w:val="00F820D3"/>
    <w:rsid w:val="00F86782"/>
    <w:rsid w:val="00F86C2E"/>
    <w:rsid w:val="00F86C7F"/>
    <w:rsid w:val="00F903B5"/>
    <w:rsid w:val="00F90637"/>
    <w:rsid w:val="00F912B6"/>
    <w:rsid w:val="00F91DE6"/>
    <w:rsid w:val="00F932AE"/>
    <w:rsid w:val="00F93BE6"/>
    <w:rsid w:val="00F958B4"/>
    <w:rsid w:val="00FA19DD"/>
    <w:rsid w:val="00FA264B"/>
    <w:rsid w:val="00FA43B5"/>
    <w:rsid w:val="00FA4DB5"/>
    <w:rsid w:val="00FA5928"/>
    <w:rsid w:val="00FA631A"/>
    <w:rsid w:val="00FB130E"/>
    <w:rsid w:val="00FB278E"/>
    <w:rsid w:val="00FB3F0C"/>
    <w:rsid w:val="00FB4D45"/>
    <w:rsid w:val="00FB77C5"/>
    <w:rsid w:val="00FC19C2"/>
    <w:rsid w:val="00FC19F2"/>
    <w:rsid w:val="00FC2ACE"/>
    <w:rsid w:val="00FC30B4"/>
    <w:rsid w:val="00FC31AE"/>
    <w:rsid w:val="00FC4946"/>
    <w:rsid w:val="00FC5350"/>
    <w:rsid w:val="00FC62BE"/>
    <w:rsid w:val="00FD2948"/>
    <w:rsid w:val="00FD3613"/>
    <w:rsid w:val="00FD49E6"/>
    <w:rsid w:val="00FD5915"/>
    <w:rsid w:val="00FD6C0F"/>
    <w:rsid w:val="00FE2284"/>
    <w:rsid w:val="00FE2C14"/>
    <w:rsid w:val="00FE4B4E"/>
    <w:rsid w:val="00FE697D"/>
    <w:rsid w:val="00FF0D60"/>
    <w:rsid w:val="00FF28F6"/>
    <w:rsid w:val="00FF4EC9"/>
    <w:rsid w:val="00FF56A0"/>
    <w:rsid w:val="00FF77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1AABC7"/>
  <w15:chartTrackingRefBased/>
  <w15:docId w15:val="{F363053A-B918-4FB2-8E9B-AB4AEB3FF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34F16"/>
    <w:pPr>
      <w:spacing w:after="160" w:line="259" w:lineRule="auto"/>
    </w:pPr>
    <w:rPr>
      <w:sz w:val="22"/>
      <w:szCs w:val="22"/>
      <w:lang w:eastAsia="en-US"/>
    </w:rPr>
  </w:style>
  <w:style w:type="paragraph" w:styleId="Nagwek1">
    <w:name w:val="heading 1"/>
    <w:basedOn w:val="Normalny"/>
    <w:link w:val="Nagwek1Znak"/>
    <w:uiPriority w:val="9"/>
    <w:qFormat/>
    <w:rsid w:val="000C3C2A"/>
    <w:pPr>
      <w:spacing w:before="100" w:beforeAutospacing="1" w:after="100" w:afterAutospacing="1" w:line="240" w:lineRule="auto"/>
      <w:outlineLvl w:val="0"/>
    </w:pPr>
    <w:rPr>
      <w:rFonts w:ascii="Times New Roman" w:eastAsia="Times New Roman" w:hAnsi="Times New Roman"/>
      <w:b/>
      <w:bCs/>
      <w:kern w:val="36"/>
      <w:sz w:val="48"/>
      <w:szCs w:val="48"/>
      <w:lang w:eastAsia="en-IN"/>
    </w:rPr>
  </w:style>
  <w:style w:type="paragraph" w:styleId="Nagwek2">
    <w:name w:val="heading 2"/>
    <w:basedOn w:val="Normalny"/>
    <w:next w:val="Normalny"/>
    <w:link w:val="Nagwek2Znak"/>
    <w:uiPriority w:val="9"/>
    <w:semiHidden/>
    <w:unhideWhenUsed/>
    <w:qFormat/>
    <w:rsid w:val="00461F9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7F183A"/>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Rab1">
    <w:name w:val="R_ab1"/>
    <w:next w:val="Normalny"/>
    <w:autoRedefine/>
    <w:qFormat/>
    <w:rsid w:val="004F48A2"/>
    <w:pPr>
      <w:suppressAutoHyphens/>
      <w:spacing w:before="120"/>
      <w:ind w:left="567" w:right="567"/>
      <w:jc w:val="both"/>
    </w:pPr>
    <w:rPr>
      <w:rFonts w:ascii="Times New Roman" w:eastAsia="SimSun" w:hAnsi="Times New Roman"/>
      <w:kern w:val="2"/>
      <w:sz w:val="18"/>
      <w:lang w:val="en-GB" w:eastAsia="pl-PL"/>
      <w14:ligatures w14:val="standardContextual"/>
    </w:rPr>
  </w:style>
  <w:style w:type="paragraph" w:customStyle="1" w:styleId="Rab2">
    <w:name w:val="R_ab2"/>
    <w:basedOn w:val="Rab1"/>
    <w:next w:val="Normalny"/>
    <w:autoRedefine/>
    <w:qFormat/>
    <w:rsid w:val="004F48A2"/>
    <w:pPr>
      <w:spacing w:before="60"/>
    </w:pPr>
  </w:style>
  <w:style w:type="paragraph" w:customStyle="1" w:styleId="Rafiliacja">
    <w:name w:val="R_afiliacja"/>
    <w:basedOn w:val="Normalny"/>
    <w:link w:val="RafiliacjaZnak"/>
    <w:qFormat/>
    <w:rsid w:val="004F48A2"/>
    <w:pPr>
      <w:suppressAutoHyphens/>
      <w:spacing w:after="0" w:line="240" w:lineRule="auto"/>
      <w:jc w:val="center"/>
    </w:pPr>
    <w:rPr>
      <w:rFonts w:ascii="Times New Roman" w:eastAsiaTheme="minorHAnsi" w:hAnsi="Times New Roman"/>
      <w:i/>
      <w:kern w:val="2"/>
      <w:sz w:val="20"/>
      <w:szCs w:val="28"/>
      <w:lang w:val="pl-PL"/>
      <w14:ligatures w14:val="standardContextual"/>
    </w:rPr>
  </w:style>
  <w:style w:type="character" w:customStyle="1" w:styleId="RafiliacjaZnak">
    <w:name w:val="R_afiliacja Znak"/>
    <w:basedOn w:val="Domylnaczcionkaakapitu"/>
    <w:link w:val="Rafiliacja"/>
    <w:rsid w:val="004F48A2"/>
    <w:rPr>
      <w:rFonts w:ascii="Times New Roman" w:eastAsiaTheme="minorHAnsi" w:hAnsi="Times New Roman"/>
      <w:i/>
      <w:kern w:val="2"/>
      <w:szCs w:val="28"/>
      <w:lang w:val="pl-PL" w:eastAsia="en-US"/>
      <w14:ligatures w14:val="standardContextual"/>
    </w:rPr>
  </w:style>
  <w:style w:type="character" w:customStyle="1" w:styleId="Nagwek1Znak">
    <w:name w:val="Nagłówek 1 Znak"/>
    <w:link w:val="Nagwek1"/>
    <w:uiPriority w:val="9"/>
    <w:rsid w:val="000C3C2A"/>
    <w:rPr>
      <w:rFonts w:ascii="Times New Roman" w:eastAsia="Times New Roman" w:hAnsi="Times New Roman"/>
      <w:b/>
      <w:bCs/>
      <w:kern w:val="36"/>
      <w:sz w:val="48"/>
      <w:szCs w:val="48"/>
    </w:rPr>
  </w:style>
  <w:style w:type="paragraph" w:customStyle="1" w:styleId="Rauco">
    <w:name w:val="R_au_co"/>
    <w:basedOn w:val="Rafiliacja"/>
    <w:autoRedefine/>
    <w:qFormat/>
    <w:rsid w:val="00EB7368"/>
    <w:pPr>
      <w:spacing w:before="120"/>
    </w:pPr>
    <w:rPr>
      <w:iCs/>
      <w:szCs w:val="20"/>
      <w:lang w:val="en-US" w:eastAsia="de-DE" w:bidi="en-US"/>
    </w:rPr>
  </w:style>
  <w:style w:type="paragraph" w:customStyle="1" w:styleId="Rn1">
    <w:name w:val="R_n1"/>
    <w:basedOn w:val="Normalny"/>
    <w:link w:val="Rn1Znak"/>
    <w:qFormat/>
    <w:rsid w:val="004F48A2"/>
    <w:pPr>
      <w:suppressAutoHyphens/>
      <w:spacing w:before="240" w:after="120" w:line="240" w:lineRule="auto"/>
      <w:jc w:val="both"/>
    </w:pPr>
    <w:rPr>
      <w:rFonts w:ascii="Times New Roman" w:eastAsiaTheme="minorHAnsi" w:hAnsi="Times New Roman" w:cstheme="minorBidi"/>
      <w:b/>
      <w:kern w:val="2"/>
      <w:sz w:val="24"/>
      <w:lang w:val="pl-PL"/>
      <w14:ligatures w14:val="standardContextual"/>
    </w:rPr>
  </w:style>
  <w:style w:type="character" w:customStyle="1" w:styleId="Rn1Znak">
    <w:name w:val="R_n1 Znak"/>
    <w:basedOn w:val="Domylnaczcionkaakapitu"/>
    <w:link w:val="Rn1"/>
    <w:rsid w:val="004F48A2"/>
    <w:rPr>
      <w:rFonts w:ascii="Times New Roman" w:eastAsiaTheme="minorHAnsi" w:hAnsi="Times New Roman" w:cstheme="minorBidi"/>
      <w:b/>
      <w:kern w:val="2"/>
      <w:sz w:val="24"/>
      <w:szCs w:val="22"/>
      <w:lang w:val="pl-PL" w:eastAsia="en-US"/>
      <w14:ligatures w14:val="standardContextual"/>
    </w:rPr>
  </w:style>
  <w:style w:type="paragraph" w:customStyle="1" w:styleId="Rn2">
    <w:name w:val="R_n2"/>
    <w:basedOn w:val="Rn1"/>
    <w:link w:val="Rn2Znak"/>
    <w:qFormat/>
    <w:rsid w:val="004F48A2"/>
    <w:pPr>
      <w:spacing w:before="120"/>
      <w:jc w:val="left"/>
    </w:pPr>
    <w:rPr>
      <w:sz w:val="22"/>
    </w:rPr>
  </w:style>
  <w:style w:type="character" w:customStyle="1" w:styleId="Rn2Znak">
    <w:name w:val="R_n2 Znak"/>
    <w:link w:val="Rn2"/>
    <w:rsid w:val="004F48A2"/>
    <w:rPr>
      <w:rFonts w:ascii="Times New Roman" w:eastAsiaTheme="minorHAnsi" w:hAnsi="Times New Roman" w:cstheme="minorBidi"/>
      <w:b/>
      <w:kern w:val="2"/>
      <w:sz w:val="22"/>
      <w:szCs w:val="22"/>
      <w:lang w:val="pl-PL" w:eastAsia="en-US"/>
      <w14:ligatures w14:val="standardContextual"/>
    </w:rPr>
  </w:style>
  <w:style w:type="paragraph" w:customStyle="1" w:styleId="Rtytu">
    <w:name w:val="R_tytuł"/>
    <w:basedOn w:val="Rn2"/>
    <w:link w:val="RtytuZnak"/>
    <w:autoRedefine/>
    <w:qFormat/>
    <w:rsid w:val="004F48A2"/>
    <w:pPr>
      <w:spacing w:before="240" w:after="0"/>
      <w:jc w:val="center"/>
    </w:pPr>
    <w:rPr>
      <w:sz w:val="24"/>
      <w:szCs w:val="28"/>
    </w:rPr>
  </w:style>
  <w:style w:type="character" w:customStyle="1" w:styleId="RtytuZnak">
    <w:name w:val="R_tytuł Znak"/>
    <w:basedOn w:val="Rn2Znak"/>
    <w:link w:val="Rtytu"/>
    <w:rsid w:val="004F48A2"/>
    <w:rPr>
      <w:rFonts w:ascii="Times New Roman" w:eastAsiaTheme="minorHAnsi" w:hAnsi="Times New Roman" w:cstheme="minorBidi"/>
      <w:b/>
      <w:kern w:val="2"/>
      <w:sz w:val="24"/>
      <w:szCs w:val="28"/>
      <w:lang w:val="pl-PL" w:eastAsia="en-US"/>
      <w14:ligatures w14:val="standardContextual"/>
    </w:rPr>
  </w:style>
  <w:style w:type="paragraph" w:customStyle="1" w:styleId="Rautor">
    <w:name w:val="R_autor"/>
    <w:basedOn w:val="Rtytu"/>
    <w:link w:val="RautorZnak"/>
    <w:autoRedefine/>
    <w:qFormat/>
    <w:rsid w:val="004F48A2"/>
    <w:pPr>
      <w:spacing w:before="120"/>
    </w:pPr>
    <w:rPr>
      <w:rFonts w:eastAsia="Calibri" w:cs="Times New Roman"/>
      <w:b w:val="0"/>
      <w:i/>
    </w:rPr>
  </w:style>
  <w:style w:type="character" w:customStyle="1" w:styleId="RautorZnak">
    <w:name w:val="R_autor Znak"/>
    <w:link w:val="Rautor"/>
    <w:rsid w:val="004F48A2"/>
    <w:rPr>
      <w:rFonts w:ascii="Times New Roman" w:hAnsi="Times New Roman"/>
      <w:i/>
      <w:kern w:val="2"/>
      <w:sz w:val="24"/>
      <w:szCs w:val="28"/>
      <w:lang w:val="pl-PL" w:eastAsia="en-US"/>
      <w14:ligatures w14:val="standardContextual"/>
    </w:rPr>
  </w:style>
  <w:style w:type="paragraph" w:customStyle="1" w:styleId="Rlit">
    <w:name w:val="R_lit"/>
    <w:basedOn w:val="Normalny"/>
    <w:link w:val="RlitZnak"/>
    <w:qFormat/>
    <w:rsid w:val="004F48A2"/>
    <w:pPr>
      <w:spacing w:after="0" w:line="240" w:lineRule="auto"/>
      <w:ind w:left="425" w:hanging="425"/>
      <w:jc w:val="both"/>
    </w:pPr>
    <w:rPr>
      <w:rFonts w:ascii="Times New Roman" w:eastAsia="Times New Roman" w:hAnsi="Times New Roman"/>
      <w:kern w:val="2"/>
      <w:sz w:val="20"/>
      <w:szCs w:val="20"/>
      <w:lang w:val="en-US" w:eastAsia="pl-PL"/>
      <w14:ligatures w14:val="standardContextual"/>
    </w:rPr>
  </w:style>
  <w:style w:type="character" w:customStyle="1" w:styleId="RlitZnak">
    <w:name w:val="R_lit Znak"/>
    <w:basedOn w:val="Domylnaczcionkaakapitu"/>
    <w:link w:val="Rlit"/>
    <w:rsid w:val="004F48A2"/>
    <w:rPr>
      <w:rFonts w:ascii="Times New Roman" w:eastAsia="Times New Roman" w:hAnsi="Times New Roman"/>
      <w:kern w:val="2"/>
      <w:lang w:val="en-US" w:eastAsia="pl-PL"/>
      <w14:ligatures w14:val="standardContextual"/>
    </w:rPr>
  </w:style>
  <w:style w:type="character" w:customStyle="1" w:styleId="Nagwek3Znak">
    <w:name w:val="Nagłówek 3 Znak"/>
    <w:link w:val="Nagwek3"/>
    <w:uiPriority w:val="9"/>
    <w:rsid w:val="007F183A"/>
    <w:rPr>
      <w:rFonts w:ascii="Calibri Light" w:eastAsia="Times New Roman" w:hAnsi="Calibri Light" w:cs="Times New Roman"/>
      <w:b/>
      <w:bCs/>
      <w:sz w:val="26"/>
      <w:szCs w:val="26"/>
      <w:lang w:eastAsia="en-US"/>
    </w:rPr>
  </w:style>
  <w:style w:type="paragraph" w:customStyle="1" w:styleId="Rtab">
    <w:name w:val="R_tab"/>
    <w:basedOn w:val="Normalny"/>
    <w:link w:val="RtabZnak"/>
    <w:qFormat/>
    <w:rsid w:val="004F48A2"/>
    <w:pPr>
      <w:suppressAutoHyphens/>
      <w:spacing w:after="120" w:line="240" w:lineRule="auto"/>
    </w:pPr>
    <w:rPr>
      <w:rFonts w:ascii="Times New Roman" w:eastAsiaTheme="minorHAnsi" w:hAnsi="Times New Roman" w:cstheme="minorBidi"/>
      <w:kern w:val="2"/>
      <w:sz w:val="20"/>
      <w:lang w:val="pl-PL"/>
      <w14:ligatures w14:val="standardContextual"/>
    </w:rPr>
  </w:style>
  <w:style w:type="character" w:customStyle="1" w:styleId="RtabZnak">
    <w:name w:val="R_tab Znak"/>
    <w:basedOn w:val="Domylnaczcionkaakapitu"/>
    <w:link w:val="Rtab"/>
    <w:rsid w:val="004F48A2"/>
    <w:rPr>
      <w:rFonts w:ascii="Times New Roman" w:eastAsiaTheme="minorHAnsi" w:hAnsi="Times New Roman" w:cstheme="minorBidi"/>
      <w:kern w:val="2"/>
      <w:szCs w:val="22"/>
      <w:lang w:val="pl-PL" w:eastAsia="en-US"/>
      <w14:ligatures w14:val="standardContextual"/>
    </w:rPr>
  </w:style>
  <w:style w:type="paragraph" w:customStyle="1" w:styleId="Rn3">
    <w:name w:val="R_n3"/>
    <w:basedOn w:val="Rtab"/>
    <w:link w:val="Rn3Znak"/>
    <w:autoRedefine/>
    <w:qFormat/>
    <w:rsid w:val="00426019"/>
    <w:pPr>
      <w:spacing w:before="120"/>
      <w:jc w:val="both"/>
    </w:pPr>
    <w:rPr>
      <w:i/>
      <w:sz w:val="22"/>
      <w:szCs w:val="24"/>
    </w:rPr>
  </w:style>
  <w:style w:type="character" w:customStyle="1" w:styleId="Rn3Znak">
    <w:name w:val="R_n3 Znak"/>
    <w:basedOn w:val="RtabZnak"/>
    <w:link w:val="Rn3"/>
    <w:rsid w:val="00426019"/>
    <w:rPr>
      <w:rFonts w:ascii="Times New Roman" w:eastAsiaTheme="minorHAnsi" w:hAnsi="Times New Roman" w:cstheme="minorBidi"/>
      <w:i/>
      <w:kern w:val="2"/>
      <w:sz w:val="22"/>
      <w:szCs w:val="24"/>
      <w:lang w:val="pl-PL" w:eastAsia="en-US"/>
      <w14:ligatures w14:val="standardContextual"/>
    </w:rPr>
  </w:style>
  <w:style w:type="paragraph" w:customStyle="1" w:styleId="Rrys">
    <w:name w:val="R_rys"/>
    <w:basedOn w:val="Rafiliacja"/>
    <w:link w:val="RrysZnak"/>
    <w:qFormat/>
    <w:rsid w:val="004F48A2"/>
    <w:pPr>
      <w:spacing w:before="120"/>
      <w:jc w:val="left"/>
    </w:pPr>
    <w:rPr>
      <w:i w:val="0"/>
    </w:rPr>
  </w:style>
  <w:style w:type="character" w:customStyle="1" w:styleId="RrysZnak">
    <w:name w:val="R_rys Znak"/>
    <w:basedOn w:val="RafiliacjaZnak"/>
    <w:link w:val="Rrys"/>
    <w:rsid w:val="004F48A2"/>
    <w:rPr>
      <w:rFonts w:ascii="Times New Roman" w:eastAsiaTheme="minorHAnsi" w:hAnsi="Times New Roman"/>
      <w:i w:val="0"/>
      <w:kern w:val="2"/>
      <w:szCs w:val="28"/>
      <w:lang w:val="pl-PL" w:eastAsia="en-US"/>
      <w14:ligatures w14:val="standardContextual"/>
    </w:rPr>
  </w:style>
  <w:style w:type="character" w:styleId="Hipercze">
    <w:name w:val="Hyperlink"/>
    <w:basedOn w:val="Domylnaczcionkaakapitu"/>
    <w:uiPriority w:val="99"/>
    <w:unhideWhenUsed/>
    <w:rsid w:val="00426019"/>
    <w:rPr>
      <w:color w:val="0563C1" w:themeColor="hyperlink"/>
      <w:u w:val="single"/>
    </w:rPr>
  </w:style>
  <w:style w:type="paragraph" w:styleId="Poprawka">
    <w:name w:val="Revision"/>
    <w:hidden/>
    <w:uiPriority w:val="99"/>
    <w:semiHidden/>
    <w:rsid w:val="009C74F0"/>
    <w:rPr>
      <w:sz w:val="22"/>
      <w:szCs w:val="22"/>
      <w:lang w:eastAsia="en-US"/>
    </w:rPr>
  </w:style>
  <w:style w:type="character" w:styleId="Nierozpoznanawzmianka">
    <w:name w:val="Unresolved Mention"/>
    <w:basedOn w:val="Domylnaczcionkaakapitu"/>
    <w:uiPriority w:val="99"/>
    <w:semiHidden/>
    <w:unhideWhenUsed/>
    <w:rsid w:val="00426019"/>
    <w:rPr>
      <w:color w:val="605E5C"/>
      <w:shd w:val="clear" w:color="auto" w:fill="E1DFDD"/>
    </w:rPr>
  </w:style>
  <w:style w:type="paragraph" w:styleId="Nagwek">
    <w:name w:val="header"/>
    <w:basedOn w:val="Normalny"/>
    <w:link w:val="NagwekZnak"/>
    <w:uiPriority w:val="99"/>
    <w:unhideWhenUsed/>
    <w:qFormat/>
    <w:rsid w:val="00714E4F"/>
    <w:pPr>
      <w:tabs>
        <w:tab w:val="center" w:pos="4536"/>
        <w:tab w:val="right" w:pos="9072"/>
      </w:tabs>
      <w:spacing w:after="0" w:line="240" w:lineRule="auto"/>
    </w:pPr>
  </w:style>
  <w:style w:type="character" w:customStyle="1" w:styleId="NagwekZnak">
    <w:name w:val="Nagłówek Znak"/>
    <w:basedOn w:val="Domylnaczcionkaakapitu"/>
    <w:link w:val="Nagwek"/>
    <w:uiPriority w:val="99"/>
    <w:qFormat/>
    <w:rsid w:val="00714E4F"/>
    <w:rPr>
      <w:sz w:val="22"/>
      <w:szCs w:val="22"/>
      <w:lang w:eastAsia="en-US"/>
    </w:rPr>
  </w:style>
  <w:style w:type="paragraph" w:styleId="Stopka">
    <w:name w:val="footer"/>
    <w:basedOn w:val="Normalny"/>
    <w:link w:val="StopkaZnak"/>
    <w:uiPriority w:val="99"/>
    <w:unhideWhenUsed/>
    <w:qFormat/>
    <w:rsid w:val="00714E4F"/>
    <w:pPr>
      <w:tabs>
        <w:tab w:val="center" w:pos="4536"/>
        <w:tab w:val="right" w:pos="9072"/>
      </w:tabs>
      <w:spacing w:after="0" w:line="240" w:lineRule="auto"/>
    </w:pPr>
  </w:style>
  <w:style w:type="character" w:customStyle="1" w:styleId="StopkaZnak">
    <w:name w:val="Stopka Znak"/>
    <w:basedOn w:val="Domylnaczcionkaakapitu"/>
    <w:link w:val="Stopka"/>
    <w:uiPriority w:val="99"/>
    <w:qFormat/>
    <w:rsid w:val="00714E4F"/>
    <w:rPr>
      <w:sz w:val="22"/>
      <w:szCs w:val="22"/>
      <w:lang w:eastAsia="en-US"/>
    </w:rPr>
  </w:style>
  <w:style w:type="character" w:customStyle="1" w:styleId="Nagwek2Znak">
    <w:name w:val="Nagłówek 2 Znak"/>
    <w:basedOn w:val="Domylnaczcionkaakapitu"/>
    <w:link w:val="Nagwek2"/>
    <w:uiPriority w:val="9"/>
    <w:semiHidden/>
    <w:rsid w:val="00461F9C"/>
    <w:rPr>
      <w:rFonts w:asciiTheme="majorHAnsi" w:eastAsiaTheme="majorEastAsia" w:hAnsiTheme="majorHAnsi" w:cstheme="majorBidi"/>
      <w:color w:val="2F5496" w:themeColor="accent1" w:themeShade="BF"/>
      <w:sz w:val="26"/>
      <w:szCs w:val="26"/>
      <w:lang w:eastAsia="en-US"/>
    </w:rPr>
  </w:style>
  <w:style w:type="table" w:styleId="Tabela-Siatka">
    <w:name w:val="Table Grid"/>
    <w:basedOn w:val="Standardowy"/>
    <w:uiPriority w:val="59"/>
    <w:rsid w:val="000D36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27324">
      <w:bodyDiv w:val="1"/>
      <w:marLeft w:val="0"/>
      <w:marRight w:val="0"/>
      <w:marTop w:val="0"/>
      <w:marBottom w:val="0"/>
      <w:divBdr>
        <w:top w:val="none" w:sz="0" w:space="0" w:color="auto"/>
        <w:left w:val="none" w:sz="0" w:space="0" w:color="auto"/>
        <w:bottom w:val="none" w:sz="0" w:space="0" w:color="auto"/>
        <w:right w:val="none" w:sz="0" w:space="0" w:color="auto"/>
      </w:divBdr>
    </w:div>
    <w:div w:id="82532582">
      <w:bodyDiv w:val="1"/>
      <w:marLeft w:val="0"/>
      <w:marRight w:val="0"/>
      <w:marTop w:val="0"/>
      <w:marBottom w:val="0"/>
      <w:divBdr>
        <w:top w:val="none" w:sz="0" w:space="0" w:color="auto"/>
        <w:left w:val="none" w:sz="0" w:space="0" w:color="auto"/>
        <w:bottom w:val="none" w:sz="0" w:space="0" w:color="auto"/>
        <w:right w:val="none" w:sz="0" w:space="0" w:color="auto"/>
      </w:divBdr>
    </w:div>
    <w:div w:id="140931047">
      <w:bodyDiv w:val="1"/>
      <w:marLeft w:val="0"/>
      <w:marRight w:val="0"/>
      <w:marTop w:val="0"/>
      <w:marBottom w:val="0"/>
      <w:divBdr>
        <w:top w:val="none" w:sz="0" w:space="0" w:color="auto"/>
        <w:left w:val="none" w:sz="0" w:space="0" w:color="auto"/>
        <w:bottom w:val="none" w:sz="0" w:space="0" w:color="auto"/>
        <w:right w:val="none" w:sz="0" w:space="0" w:color="auto"/>
      </w:divBdr>
      <w:divsChild>
        <w:div w:id="299384303">
          <w:marLeft w:val="0"/>
          <w:marRight w:val="0"/>
          <w:marTop w:val="0"/>
          <w:marBottom w:val="0"/>
          <w:divBdr>
            <w:top w:val="none" w:sz="0" w:space="0" w:color="auto"/>
            <w:left w:val="none" w:sz="0" w:space="0" w:color="auto"/>
            <w:bottom w:val="none" w:sz="0" w:space="0" w:color="auto"/>
            <w:right w:val="none" w:sz="0" w:space="0" w:color="auto"/>
          </w:divBdr>
        </w:div>
      </w:divsChild>
    </w:div>
    <w:div w:id="216669216">
      <w:bodyDiv w:val="1"/>
      <w:marLeft w:val="0"/>
      <w:marRight w:val="0"/>
      <w:marTop w:val="0"/>
      <w:marBottom w:val="0"/>
      <w:divBdr>
        <w:top w:val="none" w:sz="0" w:space="0" w:color="auto"/>
        <w:left w:val="none" w:sz="0" w:space="0" w:color="auto"/>
        <w:bottom w:val="none" w:sz="0" w:space="0" w:color="auto"/>
        <w:right w:val="none" w:sz="0" w:space="0" w:color="auto"/>
      </w:divBdr>
    </w:div>
    <w:div w:id="242034181">
      <w:bodyDiv w:val="1"/>
      <w:marLeft w:val="0"/>
      <w:marRight w:val="0"/>
      <w:marTop w:val="0"/>
      <w:marBottom w:val="0"/>
      <w:divBdr>
        <w:top w:val="none" w:sz="0" w:space="0" w:color="auto"/>
        <w:left w:val="none" w:sz="0" w:space="0" w:color="auto"/>
        <w:bottom w:val="none" w:sz="0" w:space="0" w:color="auto"/>
        <w:right w:val="none" w:sz="0" w:space="0" w:color="auto"/>
      </w:divBdr>
    </w:div>
    <w:div w:id="290063368">
      <w:bodyDiv w:val="1"/>
      <w:marLeft w:val="0"/>
      <w:marRight w:val="0"/>
      <w:marTop w:val="0"/>
      <w:marBottom w:val="0"/>
      <w:divBdr>
        <w:top w:val="none" w:sz="0" w:space="0" w:color="auto"/>
        <w:left w:val="none" w:sz="0" w:space="0" w:color="auto"/>
        <w:bottom w:val="none" w:sz="0" w:space="0" w:color="auto"/>
        <w:right w:val="none" w:sz="0" w:space="0" w:color="auto"/>
      </w:divBdr>
    </w:div>
    <w:div w:id="294484229">
      <w:bodyDiv w:val="1"/>
      <w:marLeft w:val="0"/>
      <w:marRight w:val="0"/>
      <w:marTop w:val="0"/>
      <w:marBottom w:val="0"/>
      <w:divBdr>
        <w:top w:val="none" w:sz="0" w:space="0" w:color="auto"/>
        <w:left w:val="none" w:sz="0" w:space="0" w:color="auto"/>
        <w:bottom w:val="none" w:sz="0" w:space="0" w:color="auto"/>
        <w:right w:val="none" w:sz="0" w:space="0" w:color="auto"/>
      </w:divBdr>
    </w:div>
    <w:div w:id="300964498">
      <w:bodyDiv w:val="1"/>
      <w:marLeft w:val="0"/>
      <w:marRight w:val="0"/>
      <w:marTop w:val="0"/>
      <w:marBottom w:val="0"/>
      <w:divBdr>
        <w:top w:val="none" w:sz="0" w:space="0" w:color="auto"/>
        <w:left w:val="none" w:sz="0" w:space="0" w:color="auto"/>
        <w:bottom w:val="none" w:sz="0" w:space="0" w:color="auto"/>
        <w:right w:val="none" w:sz="0" w:space="0" w:color="auto"/>
      </w:divBdr>
      <w:divsChild>
        <w:div w:id="1823505574">
          <w:marLeft w:val="0"/>
          <w:marRight w:val="0"/>
          <w:marTop w:val="0"/>
          <w:marBottom w:val="0"/>
          <w:divBdr>
            <w:top w:val="none" w:sz="0" w:space="0" w:color="auto"/>
            <w:left w:val="none" w:sz="0" w:space="0" w:color="auto"/>
            <w:bottom w:val="none" w:sz="0" w:space="0" w:color="auto"/>
            <w:right w:val="none" w:sz="0" w:space="0" w:color="auto"/>
          </w:divBdr>
          <w:divsChild>
            <w:div w:id="1549338130">
              <w:marLeft w:val="0"/>
              <w:marRight w:val="0"/>
              <w:marTop w:val="0"/>
              <w:marBottom w:val="0"/>
              <w:divBdr>
                <w:top w:val="none" w:sz="0" w:space="0" w:color="auto"/>
                <w:left w:val="none" w:sz="0" w:space="0" w:color="auto"/>
                <w:bottom w:val="none" w:sz="0" w:space="0" w:color="auto"/>
                <w:right w:val="none" w:sz="0" w:space="0" w:color="auto"/>
              </w:divBdr>
              <w:divsChild>
                <w:div w:id="1179807023">
                  <w:marLeft w:val="0"/>
                  <w:marRight w:val="0"/>
                  <w:marTop w:val="0"/>
                  <w:marBottom w:val="0"/>
                  <w:divBdr>
                    <w:top w:val="none" w:sz="0" w:space="0" w:color="auto"/>
                    <w:left w:val="none" w:sz="0" w:space="0" w:color="auto"/>
                    <w:bottom w:val="none" w:sz="0" w:space="0" w:color="auto"/>
                    <w:right w:val="none" w:sz="0" w:space="0" w:color="auto"/>
                  </w:divBdr>
                  <w:divsChild>
                    <w:div w:id="163520379">
                      <w:marLeft w:val="0"/>
                      <w:marRight w:val="0"/>
                      <w:marTop w:val="0"/>
                      <w:marBottom w:val="0"/>
                      <w:divBdr>
                        <w:top w:val="none" w:sz="0" w:space="0" w:color="auto"/>
                        <w:left w:val="none" w:sz="0" w:space="0" w:color="auto"/>
                        <w:bottom w:val="none" w:sz="0" w:space="0" w:color="auto"/>
                        <w:right w:val="none" w:sz="0" w:space="0" w:color="auto"/>
                      </w:divBdr>
                      <w:divsChild>
                        <w:div w:id="1913931221">
                          <w:marLeft w:val="0"/>
                          <w:marRight w:val="0"/>
                          <w:marTop w:val="0"/>
                          <w:marBottom w:val="0"/>
                          <w:divBdr>
                            <w:top w:val="none" w:sz="0" w:space="0" w:color="auto"/>
                            <w:left w:val="none" w:sz="0" w:space="0" w:color="auto"/>
                            <w:bottom w:val="none" w:sz="0" w:space="0" w:color="auto"/>
                            <w:right w:val="none" w:sz="0" w:space="0" w:color="auto"/>
                          </w:divBdr>
                          <w:divsChild>
                            <w:div w:id="72194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8848160">
      <w:bodyDiv w:val="1"/>
      <w:marLeft w:val="0"/>
      <w:marRight w:val="0"/>
      <w:marTop w:val="0"/>
      <w:marBottom w:val="0"/>
      <w:divBdr>
        <w:top w:val="none" w:sz="0" w:space="0" w:color="auto"/>
        <w:left w:val="none" w:sz="0" w:space="0" w:color="auto"/>
        <w:bottom w:val="none" w:sz="0" w:space="0" w:color="auto"/>
        <w:right w:val="none" w:sz="0" w:space="0" w:color="auto"/>
      </w:divBdr>
      <w:divsChild>
        <w:div w:id="686097966">
          <w:marLeft w:val="0"/>
          <w:marRight w:val="0"/>
          <w:marTop w:val="0"/>
          <w:marBottom w:val="0"/>
          <w:divBdr>
            <w:top w:val="none" w:sz="0" w:space="0" w:color="auto"/>
            <w:left w:val="none" w:sz="0" w:space="0" w:color="auto"/>
            <w:bottom w:val="none" w:sz="0" w:space="0" w:color="auto"/>
            <w:right w:val="none" w:sz="0" w:space="0" w:color="auto"/>
          </w:divBdr>
        </w:div>
      </w:divsChild>
    </w:div>
    <w:div w:id="406655145">
      <w:bodyDiv w:val="1"/>
      <w:marLeft w:val="0"/>
      <w:marRight w:val="0"/>
      <w:marTop w:val="0"/>
      <w:marBottom w:val="0"/>
      <w:divBdr>
        <w:top w:val="none" w:sz="0" w:space="0" w:color="auto"/>
        <w:left w:val="none" w:sz="0" w:space="0" w:color="auto"/>
        <w:bottom w:val="none" w:sz="0" w:space="0" w:color="auto"/>
        <w:right w:val="none" w:sz="0" w:space="0" w:color="auto"/>
      </w:divBdr>
    </w:div>
    <w:div w:id="426776659">
      <w:bodyDiv w:val="1"/>
      <w:marLeft w:val="0"/>
      <w:marRight w:val="0"/>
      <w:marTop w:val="0"/>
      <w:marBottom w:val="0"/>
      <w:divBdr>
        <w:top w:val="none" w:sz="0" w:space="0" w:color="auto"/>
        <w:left w:val="none" w:sz="0" w:space="0" w:color="auto"/>
        <w:bottom w:val="none" w:sz="0" w:space="0" w:color="auto"/>
        <w:right w:val="none" w:sz="0" w:space="0" w:color="auto"/>
      </w:divBdr>
    </w:div>
    <w:div w:id="466944220">
      <w:bodyDiv w:val="1"/>
      <w:marLeft w:val="0"/>
      <w:marRight w:val="0"/>
      <w:marTop w:val="0"/>
      <w:marBottom w:val="0"/>
      <w:divBdr>
        <w:top w:val="none" w:sz="0" w:space="0" w:color="auto"/>
        <w:left w:val="none" w:sz="0" w:space="0" w:color="auto"/>
        <w:bottom w:val="none" w:sz="0" w:space="0" w:color="auto"/>
        <w:right w:val="none" w:sz="0" w:space="0" w:color="auto"/>
      </w:divBdr>
    </w:div>
    <w:div w:id="483280835">
      <w:bodyDiv w:val="1"/>
      <w:marLeft w:val="0"/>
      <w:marRight w:val="0"/>
      <w:marTop w:val="0"/>
      <w:marBottom w:val="0"/>
      <w:divBdr>
        <w:top w:val="none" w:sz="0" w:space="0" w:color="auto"/>
        <w:left w:val="none" w:sz="0" w:space="0" w:color="auto"/>
        <w:bottom w:val="none" w:sz="0" w:space="0" w:color="auto"/>
        <w:right w:val="none" w:sz="0" w:space="0" w:color="auto"/>
      </w:divBdr>
    </w:div>
    <w:div w:id="519859033">
      <w:bodyDiv w:val="1"/>
      <w:marLeft w:val="0"/>
      <w:marRight w:val="0"/>
      <w:marTop w:val="0"/>
      <w:marBottom w:val="0"/>
      <w:divBdr>
        <w:top w:val="none" w:sz="0" w:space="0" w:color="auto"/>
        <w:left w:val="none" w:sz="0" w:space="0" w:color="auto"/>
        <w:bottom w:val="none" w:sz="0" w:space="0" w:color="auto"/>
        <w:right w:val="none" w:sz="0" w:space="0" w:color="auto"/>
      </w:divBdr>
    </w:div>
    <w:div w:id="560285339">
      <w:bodyDiv w:val="1"/>
      <w:marLeft w:val="0"/>
      <w:marRight w:val="0"/>
      <w:marTop w:val="0"/>
      <w:marBottom w:val="0"/>
      <w:divBdr>
        <w:top w:val="none" w:sz="0" w:space="0" w:color="auto"/>
        <w:left w:val="none" w:sz="0" w:space="0" w:color="auto"/>
        <w:bottom w:val="none" w:sz="0" w:space="0" w:color="auto"/>
        <w:right w:val="none" w:sz="0" w:space="0" w:color="auto"/>
      </w:divBdr>
    </w:div>
    <w:div w:id="573053397">
      <w:bodyDiv w:val="1"/>
      <w:marLeft w:val="0"/>
      <w:marRight w:val="0"/>
      <w:marTop w:val="0"/>
      <w:marBottom w:val="0"/>
      <w:divBdr>
        <w:top w:val="none" w:sz="0" w:space="0" w:color="auto"/>
        <w:left w:val="none" w:sz="0" w:space="0" w:color="auto"/>
        <w:bottom w:val="none" w:sz="0" w:space="0" w:color="auto"/>
        <w:right w:val="none" w:sz="0" w:space="0" w:color="auto"/>
      </w:divBdr>
    </w:div>
    <w:div w:id="595820217">
      <w:bodyDiv w:val="1"/>
      <w:marLeft w:val="0"/>
      <w:marRight w:val="0"/>
      <w:marTop w:val="0"/>
      <w:marBottom w:val="0"/>
      <w:divBdr>
        <w:top w:val="none" w:sz="0" w:space="0" w:color="auto"/>
        <w:left w:val="none" w:sz="0" w:space="0" w:color="auto"/>
        <w:bottom w:val="none" w:sz="0" w:space="0" w:color="auto"/>
        <w:right w:val="none" w:sz="0" w:space="0" w:color="auto"/>
      </w:divBdr>
    </w:div>
    <w:div w:id="645209041">
      <w:bodyDiv w:val="1"/>
      <w:marLeft w:val="0"/>
      <w:marRight w:val="0"/>
      <w:marTop w:val="0"/>
      <w:marBottom w:val="0"/>
      <w:divBdr>
        <w:top w:val="none" w:sz="0" w:space="0" w:color="auto"/>
        <w:left w:val="none" w:sz="0" w:space="0" w:color="auto"/>
        <w:bottom w:val="none" w:sz="0" w:space="0" w:color="auto"/>
        <w:right w:val="none" w:sz="0" w:space="0" w:color="auto"/>
      </w:divBdr>
    </w:div>
    <w:div w:id="672882202">
      <w:bodyDiv w:val="1"/>
      <w:marLeft w:val="0"/>
      <w:marRight w:val="0"/>
      <w:marTop w:val="0"/>
      <w:marBottom w:val="0"/>
      <w:divBdr>
        <w:top w:val="none" w:sz="0" w:space="0" w:color="auto"/>
        <w:left w:val="none" w:sz="0" w:space="0" w:color="auto"/>
        <w:bottom w:val="none" w:sz="0" w:space="0" w:color="auto"/>
        <w:right w:val="none" w:sz="0" w:space="0" w:color="auto"/>
      </w:divBdr>
    </w:div>
    <w:div w:id="685639789">
      <w:bodyDiv w:val="1"/>
      <w:marLeft w:val="0"/>
      <w:marRight w:val="0"/>
      <w:marTop w:val="0"/>
      <w:marBottom w:val="0"/>
      <w:divBdr>
        <w:top w:val="none" w:sz="0" w:space="0" w:color="auto"/>
        <w:left w:val="none" w:sz="0" w:space="0" w:color="auto"/>
        <w:bottom w:val="none" w:sz="0" w:space="0" w:color="auto"/>
        <w:right w:val="none" w:sz="0" w:space="0" w:color="auto"/>
      </w:divBdr>
    </w:div>
    <w:div w:id="687367991">
      <w:bodyDiv w:val="1"/>
      <w:marLeft w:val="0"/>
      <w:marRight w:val="0"/>
      <w:marTop w:val="0"/>
      <w:marBottom w:val="0"/>
      <w:divBdr>
        <w:top w:val="none" w:sz="0" w:space="0" w:color="auto"/>
        <w:left w:val="none" w:sz="0" w:space="0" w:color="auto"/>
        <w:bottom w:val="none" w:sz="0" w:space="0" w:color="auto"/>
        <w:right w:val="none" w:sz="0" w:space="0" w:color="auto"/>
      </w:divBdr>
      <w:divsChild>
        <w:div w:id="705302056">
          <w:marLeft w:val="0"/>
          <w:marRight w:val="0"/>
          <w:marTop w:val="0"/>
          <w:marBottom w:val="0"/>
          <w:divBdr>
            <w:top w:val="none" w:sz="0" w:space="0" w:color="auto"/>
            <w:left w:val="none" w:sz="0" w:space="0" w:color="auto"/>
            <w:bottom w:val="none" w:sz="0" w:space="0" w:color="auto"/>
            <w:right w:val="none" w:sz="0" w:space="0" w:color="auto"/>
          </w:divBdr>
        </w:div>
      </w:divsChild>
    </w:div>
    <w:div w:id="790587047">
      <w:bodyDiv w:val="1"/>
      <w:marLeft w:val="0"/>
      <w:marRight w:val="0"/>
      <w:marTop w:val="0"/>
      <w:marBottom w:val="0"/>
      <w:divBdr>
        <w:top w:val="none" w:sz="0" w:space="0" w:color="auto"/>
        <w:left w:val="none" w:sz="0" w:space="0" w:color="auto"/>
        <w:bottom w:val="none" w:sz="0" w:space="0" w:color="auto"/>
        <w:right w:val="none" w:sz="0" w:space="0" w:color="auto"/>
      </w:divBdr>
    </w:div>
    <w:div w:id="791941468">
      <w:bodyDiv w:val="1"/>
      <w:marLeft w:val="0"/>
      <w:marRight w:val="0"/>
      <w:marTop w:val="0"/>
      <w:marBottom w:val="0"/>
      <w:divBdr>
        <w:top w:val="none" w:sz="0" w:space="0" w:color="auto"/>
        <w:left w:val="none" w:sz="0" w:space="0" w:color="auto"/>
        <w:bottom w:val="none" w:sz="0" w:space="0" w:color="auto"/>
        <w:right w:val="none" w:sz="0" w:space="0" w:color="auto"/>
      </w:divBdr>
    </w:div>
    <w:div w:id="832180425">
      <w:bodyDiv w:val="1"/>
      <w:marLeft w:val="0"/>
      <w:marRight w:val="0"/>
      <w:marTop w:val="0"/>
      <w:marBottom w:val="0"/>
      <w:divBdr>
        <w:top w:val="none" w:sz="0" w:space="0" w:color="auto"/>
        <w:left w:val="none" w:sz="0" w:space="0" w:color="auto"/>
        <w:bottom w:val="none" w:sz="0" w:space="0" w:color="auto"/>
        <w:right w:val="none" w:sz="0" w:space="0" w:color="auto"/>
      </w:divBdr>
    </w:div>
    <w:div w:id="884946005">
      <w:bodyDiv w:val="1"/>
      <w:marLeft w:val="0"/>
      <w:marRight w:val="0"/>
      <w:marTop w:val="0"/>
      <w:marBottom w:val="0"/>
      <w:divBdr>
        <w:top w:val="none" w:sz="0" w:space="0" w:color="auto"/>
        <w:left w:val="none" w:sz="0" w:space="0" w:color="auto"/>
        <w:bottom w:val="none" w:sz="0" w:space="0" w:color="auto"/>
        <w:right w:val="none" w:sz="0" w:space="0" w:color="auto"/>
      </w:divBdr>
      <w:divsChild>
        <w:div w:id="1242448258">
          <w:marLeft w:val="0"/>
          <w:marRight w:val="0"/>
          <w:marTop w:val="0"/>
          <w:marBottom w:val="0"/>
          <w:divBdr>
            <w:top w:val="none" w:sz="0" w:space="0" w:color="auto"/>
            <w:left w:val="none" w:sz="0" w:space="0" w:color="auto"/>
            <w:bottom w:val="none" w:sz="0" w:space="0" w:color="auto"/>
            <w:right w:val="none" w:sz="0" w:space="0" w:color="auto"/>
          </w:divBdr>
        </w:div>
      </w:divsChild>
    </w:div>
    <w:div w:id="903563725">
      <w:bodyDiv w:val="1"/>
      <w:marLeft w:val="0"/>
      <w:marRight w:val="0"/>
      <w:marTop w:val="0"/>
      <w:marBottom w:val="0"/>
      <w:divBdr>
        <w:top w:val="none" w:sz="0" w:space="0" w:color="auto"/>
        <w:left w:val="none" w:sz="0" w:space="0" w:color="auto"/>
        <w:bottom w:val="none" w:sz="0" w:space="0" w:color="auto"/>
        <w:right w:val="none" w:sz="0" w:space="0" w:color="auto"/>
      </w:divBdr>
    </w:div>
    <w:div w:id="924068633">
      <w:bodyDiv w:val="1"/>
      <w:marLeft w:val="0"/>
      <w:marRight w:val="0"/>
      <w:marTop w:val="0"/>
      <w:marBottom w:val="0"/>
      <w:divBdr>
        <w:top w:val="none" w:sz="0" w:space="0" w:color="auto"/>
        <w:left w:val="none" w:sz="0" w:space="0" w:color="auto"/>
        <w:bottom w:val="none" w:sz="0" w:space="0" w:color="auto"/>
        <w:right w:val="none" w:sz="0" w:space="0" w:color="auto"/>
      </w:divBdr>
    </w:div>
    <w:div w:id="926034003">
      <w:bodyDiv w:val="1"/>
      <w:marLeft w:val="0"/>
      <w:marRight w:val="0"/>
      <w:marTop w:val="0"/>
      <w:marBottom w:val="0"/>
      <w:divBdr>
        <w:top w:val="none" w:sz="0" w:space="0" w:color="auto"/>
        <w:left w:val="none" w:sz="0" w:space="0" w:color="auto"/>
        <w:bottom w:val="none" w:sz="0" w:space="0" w:color="auto"/>
        <w:right w:val="none" w:sz="0" w:space="0" w:color="auto"/>
      </w:divBdr>
      <w:divsChild>
        <w:div w:id="554581888">
          <w:marLeft w:val="0"/>
          <w:marRight w:val="0"/>
          <w:marTop w:val="0"/>
          <w:marBottom w:val="0"/>
          <w:divBdr>
            <w:top w:val="none" w:sz="0" w:space="0" w:color="auto"/>
            <w:left w:val="none" w:sz="0" w:space="0" w:color="auto"/>
            <w:bottom w:val="none" w:sz="0" w:space="0" w:color="auto"/>
            <w:right w:val="none" w:sz="0" w:space="0" w:color="auto"/>
          </w:divBdr>
          <w:divsChild>
            <w:div w:id="59330413">
              <w:marLeft w:val="0"/>
              <w:marRight w:val="0"/>
              <w:marTop w:val="0"/>
              <w:marBottom w:val="0"/>
              <w:divBdr>
                <w:top w:val="none" w:sz="0" w:space="0" w:color="auto"/>
                <w:left w:val="none" w:sz="0" w:space="0" w:color="auto"/>
                <w:bottom w:val="none" w:sz="0" w:space="0" w:color="auto"/>
                <w:right w:val="none" w:sz="0" w:space="0" w:color="auto"/>
              </w:divBdr>
              <w:divsChild>
                <w:div w:id="1915893877">
                  <w:marLeft w:val="0"/>
                  <w:marRight w:val="0"/>
                  <w:marTop w:val="0"/>
                  <w:marBottom w:val="0"/>
                  <w:divBdr>
                    <w:top w:val="none" w:sz="0" w:space="0" w:color="auto"/>
                    <w:left w:val="none" w:sz="0" w:space="0" w:color="auto"/>
                    <w:bottom w:val="none" w:sz="0" w:space="0" w:color="auto"/>
                    <w:right w:val="none" w:sz="0" w:space="0" w:color="auto"/>
                  </w:divBdr>
                  <w:divsChild>
                    <w:div w:id="1644390153">
                      <w:marLeft w:val="0"/>
                      <w:marRight w:val="0"/>
                      <w:marTop w:val="0"/>
                      <w:marBottom w:val="0"/>
                      <w:divBdr>
                        <w:top w:val="none" w:sz="0" w:space="0" w:color="auto"/>
                        <w:left w:val="none" w:sz="0" w:space="0" w:color="auto"/>
                        <w:bottom w:val="none" w:sz="0" w:space="0" w:color="auto"/>
                        <w:right w:val="none" w:sz="0" w:space="0" w:color="auto"/>
                      </w:divBdr>
                      <w:divsChild>
                        <w:div w:id="711268256">
                          <w:marLeft w:val="0"/>
                          <w:marRight w:val="0"/>
                          <w:marTop w:val="0"/>
                          <w:marBottom w:val="0"/>
                          <w:divBdr>
                            <w:top w:val="none" w:sz="0" w:space="0" w:color="auto"/>
                            <w:left w:val="none" w:sz="0" w:space="0" w:color="auto"/>
                            <w:bottom w:val="none" w:sz="0" w:space="0" w:color="auto"/>
                            <w:right w:val="none" w:sz="0" w:space="0" w:color="auto"/>
                          </w:divBdr>
                          <w:divsChild>
                            <w:div w:id="43752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8341772">
      <w:bodyDiv w:val="1"/>
      <w:marLeft w:val="0"/>
      <w:marRight w:val="0"/>
      <w:marTop w:val="0"/>
      <w:marBottom w:val="0"/>
      <w:divBdr>
        <w:top w:val="none" w:sz="0" w:space="0" w:color="auto"/>
        <w:left w:val="none" w:sz="0" w:space="0" w:color="auto"/>
        <w:bottom w:val="none" w:sz="0" w:space="0" w:color="auto"/>
        <w:right w:val="none" w:sz="0" w:space="0" w:color="auto"/>
      </w:divBdr>
    </w:div>
    <w:div w:id="1042246959">
      <w:bodyDiv w:val="1"/>
      <w:marLeft w:val="0"/>
      <w:marRight w:val="0"/>
      <w:marTop w:val="0"/>
      <w:marBottom w:val="0"/>
      <w:divBdr>
        <w:top w:val="none" w:sz="0" w:space="0" w:color="auto"/>
        <w:left w:val="none" w:sz="0" w:space="0" w:color="auto"/>
        <w:bottom w:val="none" w:sz="0" w:space="0" w:color="auto"/>
        <w:right w:val="none" w:sz="0" w:space="0" w:color="auto"/>
      </w:divBdr>
    </w:div>
    <w:div w:id="1086078105">
      <w:bodyDiv w:val="1"/>
      <w:marLeft w:val="0"/>
      <w:marRight w:val="0"/>
      <w:marTop w:val="0"/>
      <w:marBottom w:val="0"/>
      <w:divBdr>
        <w:top w:val="none" w:sz="0" w:space="0" w:color="auto"/>
        <w:left w:val="none" w:sz="0" w:space="0" w:color="auto"/>
        <w:bottom w:val="none" w:sz="0" w:space="0" w:color="auto"/>
        <w:right w:val="none" w:sz="0" w:space="0" w:color="auto"/>
      </w:divBdr>
    </w:div>
    <w:div w:id="1101341141">
      <w:bodyDiv w:val="1"/>
      <w:marLeft w:val="0"/>
      <w:marRight w:val="0"/>
      <w:marTop w:val="0"/>
      <w:marBottom w:val="0"/>
      <w:divBdr>
        <w:top w:val="none" w:sz="0" w:space="0" w:color="auto"/>
        <w:left w:val="none" w:sz="0" w:space="0" w:color="auto"/>
        <w:bottom w:val="none" w:sz="0" w:space="0" w:color="auto"/>
        <w:right w:val="none" w:sz="0" w:space="0" w:color="auto"/>
      </w:divBdr>
    </w:div>
    <w:div w:id="1208182020">
      <w:bodyDiv w:val="1"/>
      <w:marLeft w:val="0"/>
      <w:marRight w:val="0"/>
      <w:marTop w:val="0"/>
      <w:marBottom w:val="0"/>
      <w:divBdr>
        <w:top w:val="none" w:sz="0" w:space="0" w:color="auto"/>
        <w:left w:val="none" w:sz="0" w:space="0" w:color="auto"/>
        <w:bottom w:val="none" w:sz="0" w:space="0" w:color="auto"/>
        <w:right w:val="none" w:sz="0" w:space="0" w:color="auto"/>
      </w:divBdr>
      <w:divsChild>
        <w:div w:id="492574617">
          <w:marLeft w:val="0"/>
          <w:marRight w:val="0"/>
          <w:marTop w:val="0"/>
          <w:marBottom w:val="0"/>
          <w:divBdr>
            <w:top w:val="none" w:sz="0" w:space="0" w:color="auto"/>
            <w:left w:val="none" w:sz="0" w:space="0" w:color="auto"/>
            <w:bottom w:val="none" w:sz="0" w:space="0" w:color="auto"/>
            <w:right w:val="none" w:sz="0" w:space="0" w:color="auto"/>
          </w:divBdr>
          <w:divsChild>
            <w:div w:id="259070415">
              <w:marLeft w:val="0"/>
              <w:marRight w:val="0"/>
              <w:marTop w:val="0"/>
              <w:marBottom w:val="0"/>
              <w:divBdr>
                <w:top w:val="none" w:sz="0" w:space="0" w:color="auto"/>
                <w:left w:val="none" w:sz="0" w:space="0" w:color="auto"/>
                <w:bottom w:val="none" w:sz="0" w:space="0" w:color="auto"/>
                <w:right w:val="none" w:sz="0" w:space="0" w:color="auto"/>
              </w:divBdr>
              <w:divsChild>
                <w:div w:id="1209338434">
                  <w:marLeft w:val="0"/>
                  <w:marRight w:val="0"/>
                  <w:marTop w:val="0"/>
                  <w:marBottom w:val="0"/>
                  <w:divBdr>
                    <w:top w:val="none" w:sz="0" w:space="0" w:color="auto"/>
                    <w:left w:val="none" w:sz="0" w:space="0" w:color="auto"/>
                    <w:bottom w:val="none" w:sz="0" w:space="0" w:color="auto"/>
                    <w:right w:val="none" w:sz="0" w:space="0" w:color="auto"/>
                  </w:divBdr>
                  <w:divsChild>
                    <w:div w:id="332683799">
                      <w:marLeft w:val="0"/>
                      <w:marRight w:val="0"/>
                      <w:marTop w:val="0"/>
                      <w:marBottom w:val="0"/>
                      <w:divBdr>
                        <w:top w:val="none" w:sz="0" w:space="0" w:color="auto"/>
                        <w:left w:val="none" w:sz="0" w:space="0" w:color="auto"/>
                        <w:bottom w:val="none" w:sz="0" w:space="0" w:color="auto"/>
                        <w:right w:val="none" w:sz="0" w:space="0" w:color="auto"/>
                      </w:divBdr>
                      <w:divsChild>
                        <w:div w:id="678509976">
                          <w:marLeft w:val="0"/>
                          <w:marRight w:val="0"/>
                          <w:marTop w:val="0"/>
                          <w:marBottom w:val="0"/>
                          <w:divBdr>
                            <w:top w:val="none" w:sz="0" w:space="0" w:color="auto"/>
                            <w:left w:val="none" w:sz="0" w:space="0" w:color="auto"/>
                            <w:bottom w:val="none" w:sz="0" w:space="0" w:color="auto"/>
                            <w:right w:val="none" w:sz="0" w:space="0" w:color="auto"/>
                          </w:divBdr>
                          <w:divsChild>
                            <w:div w:id="128642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0190285">
      <w:bodyDiv w:val="1"/>
      <w:marLeft w:val="0"/>
      <w:marRight w:val="0"/>
      <w:marTop w:val="0"/>
      <w:marBottom w:val="0"/>
      <w:divBdr>
        <w:top w:val="none" w:sz="0" w:space="0" w:color="auto"/>
        <w:left w:val="none" w:sz="0" w:space="0" w:color="auto"/>
        <w:bottom w:val="none" w:sz="0" w:space="0" w:color="auto"/>
        <w:right w:val="none" w:sz="0" w:space="0" w:color="auto"/>
      </w:divBdr>
    </w:div>
    <w:div w:id="1301425553">
      <w:bodyDiv w:val="1"/>
      <w:marLeft w:val="0"/>
      <w:marRight w:val="0"/>
      <w:marTop w:val="0"/>
      <w:marBottom w:val="0"/>
      <w:divBdr>
        <w:top w:val="none" w:sz="0" w:space="0" w:color="auto"/>
        <w:left w:val="none" w:sz="0" w:space="0" w:color="auto"/>
        <w:bottom w:val="none" w:sz="0" w:space="0" w:color="auto"/>
        <w:right w:val="none" w:sz="0" w:space="0" w:color="auto"/>
      </w:divBdr>
      <w:divsChild>
        <w:div w:id="1125388675">
          <w:marLeft w:val="0"/>
          <w:marRight w:val="0"/>
          <w:marTop w:val="0"/>
          <w:marBottom w:val="0"/>
          <w:divBdr>
            <w:top w:val="none" w:sz="0" w:space="0" w:color="auto"/>
            <w:left w:val="none" w:sz="0" w:space="0" w:color="auto"/>
            <w:bottom w:val="none" w:sz="0" w:space="0" w:color="auto"/>
            <w:right w:val="none" w:sz="0" w:space="0" w:color="auto"/>
          </w:divBdr>
        </w:div>
      </w:divsChild>
    </w:div>
    <w:div w:id="1331062014">
      <w:bodyDiv w:val="1"/>
      <w:marLeft w:val="0"/>
      <w:marRight w:val="0"/>
      <w:marTop w:val="0"/>
      <w:marBottom w:val="0"/>
      <w:divBdr>
        <w:top w:val="none" w:sz="0" w:space="0" w:color="auto"/>
        <w:left w:val="none" w:sz="0" w:space="0" w:color="auto"/>
        <w:bottom w:val="none" w:sz="0" w:space="0" w:color="auto"/>
        <w:right w:val="none" w:sz="0" w:space="0" w:color="auto"/>
      </w:divBdr>
    </w:div>
    <w:div w:id="1337227503">
      <w:bodyDiv w:val="1"/>
      <w:marLeft w:val="0"/>
      <w:marRight w:val="0"/>
      <w:marTop w:val="0"/>
      <w:marBottom w:val="0"/>
      <w:divBdr>
        <w:top w:val="none" w:sz="0" w:space="0" w:color="auto"/>
        <w:left w:val="none" w:sz="0" w:space="0" w:color="auto"/>
        <w:bottom w:val="none" w:sz="0" w:space="0" w:color="auto"/>
        <w:right w:val="none" w:sz="0" w:space="0" w:color="auto"/>
      </w:divBdr>
    </w:div>
    <w:div w:id="1447388312">
      <w:bodyDiv w:val="1"/>
      <w:marLeft w:val="0"/>
      <w:marRight w:val="0"/>
      <w:marTop w:val="0"/>
      <w:marBottom w:val="0"/>
      <w:divBdr>
        <w:top w:val="none" w:sz="0" w:space="0" w:color="auto"/>
        <w:left w:val="none" w:sz="0" w:space="0" w:color="auto"/>
        <w:bottom w:val="none" w:sz="0" w:space="0" w:color="auto"/>
        <w:right w:val="none" w:sz="0" w:space="0" w:color="auto"/>
      </w:divBdr>
    </w:div>
    <w:div w:id="1488325393">
      <w:bodyDiv w:val="1"/>
      <w:marLeft w:val="0"/>
      <w:marRight w:val="0"/>
      <w:marTop w:val="0"/>
      <w:marBottom w:val="0"/>
      <w:divBdr>
        <w:top w:val="none" w:sz="0" w:space="0" w:color="auto"/>
        <w:left w:val="none" w:sz="0" w:space="0" w:color="auto"/>
        <w:bottom w:val="none" w:sz="0" w:space="0" w:color="auto"/>
        <w:right w:val="none" w:sz="0" w:space="0" w:color="auto"/>
      </w:divBdr>
    </w:div>
    <w:div w:id="1490053191">
      <w:bodyDiv w:val="1"/>
      <w:marLeft w:val="0"/>
      <w:marRight w:val="0"/>
      <w:marTop w:val="0"/>
      <w:marBottom w:val="0"/>
      <w:divBdr>
        <w:top w:val="none" w:sz="0" w:space="0" w:color="auto"/>
        <w:left w:val="none" w:sz="0" w:space="0" w:color="auto"/>
        <w:bottom w:val="none" w:sz="0" w:space="0" w:color="auto"/>
        <w:right w:val="none" w:sz="0" w:space="0" w:color="auto"/>
      </w:divBdr>
    </w:div>
    <w:div w:id="1564827652">
      <w:bodyDiv w:val="1"/>
      <w:marLeft w:val="0"/>
      <w:marRight w:val="0"/>
      <w:marTop w:val="0"/>
      <w:marBottom w:val="0"/>
      <w:divBdr>
        <w:top w:val="none" w:sz="0" w:space="0" w:color="auto"/>
        <w:left w:val="none" w:sz="0" w:space="0" w:color="auto"/>
        <w:bottom w:val="none" w:sz="0" w:space="0" w:color="auto"/>
        <w:right w:val="none" w:sz="0" w:space="0" w:color="auto"/>
      </w:divBdr>
      <w:divsChild>
        <w:div w:id="888304734">
          <w:marLeft w:val="0"/>
          <w:marRight w:val="0"/>
          <w:marTop w:val="0"/>
          <w:marBottom w:val="0"/>
          <w:divBdr>
            <w:top w:val="none" w:sz="0" w:space="0" w:color="auto"/>
            <w:left w:val="none" w:sz="0" w:space="0" w:color="auto"/>
            <w:bottom w:val="none" w:sz="0" w:space="0" w:color="auto"/>
            <w:right w:val="none" w:sz="0" w:space="0" w:color="auto"/>
          </w:divBdr>
          <w:divsChild>
            <w:div w:id="1585603929">
              <w:marLeft w:val="0"/>
              <w:marRight w:val="0"/>
              <w:marTop w:val="0"/>
              <w:marBottom w:val="0"/>
              <w:divBdr>
                <w:top w:val="none" w:sz="0" w:space="0" w:color="auto"/>
                <w:left w:val="none" w:sz="0" w:space="0" w:color="auto"/>
                <w:bottom w:val="none" w:sz="0" w:space="0" w:color="auto"/>
                <w:right w:val="none" w:sz="0" w:space="0" w:color="auto"/>
              </w:divBdr>
              <w:divsChild>
                <w:div w:id="2000307044">
                  <w:marLeft w:val="0"/>
                  <w:marRight w:val="0"/>
                  <w:marTop w:val="0"/>
                  <w:marBottom w:val="0"/>
                  <w:divBdr>
                    <w:top w:val="none" w:sz="0" w:space="0" w:color="auto"/>
                    <w:left w:val="none" w:sz="0" w:space="0" w:color="auto"/>
                    <w:bottom w:val="none" w:sz="0" w:space="0" w:color="auto"/>
                    <w:right w:val="none" w:sz="0" w:space="0" w:color="auto"/>
                  </w:divBdr>
                  <w:divsChild>
                    <w:div w:id="353455850">
                      <w:marLeft w:val="0"/>
                      <w:marRight w:val="0"/>
                      <w:marTop w:val="0"/>
                      <w:marBottom w:val="0"/>
                      <w:divBdr>
                        <w:top w:val="none" w:sz="0" w:space="0" w:color="auto"/>
                        <w:left w:val="none" w:sz="0" w:space="0" w:color="auto"/>
                        <w:bottom w:val="none" w:sz="0" w:space="0" w:color="auto"/>
                        <w:right w:val="none" w:sz="0" w:space="0" w:color="auto"/>
                      </w:divBdr>
                      <w:divsChild>
                        <w:div w:id="1058474549">
                          <w:marLeft w:val="0"/>
                          <w:marRight w:val="0"/>
                          <w:marTop w:val="0"/>
                          <w:marBottom w:val="0"/>
                          <w:divBdr>
                            <w:top w:val="none" w:sz="0" w:space="0" w:color="auto"/>
                            <w:left w:val="none" w:sz="0" w:space="0" w:color="auto"/>
                            <w:bottom w:val="none" w:sz="0" w:space="0" w:color="auto"/>
                            <w:right w:val="none" w:sz="0" w:space="0" w:color="auto"/>
                          </w:divBdr>
                          <w:divsChild>
                            <w:div w:id="60183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3609792">
      <w:bodyDiv w:val="1"/>
      <w:marLeft w:val="0"/>
      <w:marRight w:val="0"/>
      <w:marTop w:val="0"/>
      <w:marBottom w:val="0"/>
      <w:divBdr>
        <w:top w:val="none" w:sz="0" w:space="0" w:color="auto"/>
        <w:left w:val="none" w:sz="0" w:space="0" w:color="auto"/>
        <w:bottom w:val="none" w:sz="0" w:space="0" w:color="auto"/>
        <w:right w:val="none" w:sz="0" w:space="0" w:color="auto"/>
      </w:divBdr>
    </w:div>
    <w:div w:id="1654799070">
      <w:bodyDiv w:val="1"/>
      <w:marLeft w:val="0"/>
      <w:marRight w:val="0"/>
      <w:marTop w:val="0"/>
      <w:marBottom w:val="0"/>
      <w:divBdr>
        <w:top w:val="none" w:sz="0" w:space="0" w:color="auto"/>
        <w:left w:val="none" w:sz="0" w:space="0" w:color="auto"/>
        <w:bottom w:val="none" w:sz="0" w:space="0" w:color="auto"/>
        <w:right w:val="none" w:sz="0" w:space="0" w:color="auto"/>
      </w:divBdr>
    </w:div>
    <w:div w:id="1716274070">
      <w:bodyDiv w:val="1"/>
      <w:marLeft w:val="0"/>
      <w:marRight w:val="0"/>
      <w:marTop w:val="0"/>
      <w:marBottom w:val="0"/>
      <w:divBdr>
        <w:top w:val="none" w:sz="0" w:space="0" w:color="auto"/>
        <w:left w:val="none" w:sz="0" w:space="0" w:color="auto"/>
        <w:bottom w:val="none" w:sz="0" w:space="0" w:color="auto"/>
        <w:right w:val="none" w:sz="0" w:space="0" w:color="auto"/>
      </w:divBdr>
    </w:div>
    <w:div w:id="1719818844">
      <w:bodyDiv w:val="1"/>
      <w:marLeft w:val="0"/>
      <w:marRight w:val="0"/>
      <w:marTop w:val="0"/>
      <w:marBottom w:val="0"/>
      <w:divBdr>
        <w:top w:val="none" w:sz="0" w:space="0" w:color="auto"/>
        <w:left w:val="none" w:sz="0" w:space="0" w:color="auto"/>
        <w:bottom w:val="none" w:sz="0" w:space="0" w:color="auto"/>
        <w:right w:val="none" w:sz="0" w:space="0" w:color="auto"/>
      </w:divBdr>
      <w:divsChild>
        <w:div w:id="873007194">
          <w:marLeft w:val="0"/>
          <w:marRight w:val="0"/>
          <w:marTop w:val="0"/>
          <w:marBottom w:val="0"/>
          <w:divBdr>
            <w:top w:val="none" w:sz="0" w:space="0" w:color="auto"/>
            <w:left w:val="none" w:sz="0" w:space="0" w:color="auto"/>
            <w:bottom w:val="none" w:sz="0" w:space="0" w:color="auto"/>
            <w:right w:val="none" w:sz="0" w:space="0" w:color="auto"/>
          </w:divBdr>
        </w:div>
      </w:divsChild>
    </w:div>
    <w:div w:id="1739942496">
      <w:bodyDiv w:val="1"/>
      <w:marLeft w:val="0"/>
      <w:marRight w:val="0"/>
      <w:marTop w:val="0"/>
      <w:marBottom w:val="0"/>
      <w:divBdr>
        <w:top w:val="none" w:sz="0" w:space="0" w:color="auto"/>
        <w:left w:val="none" w:sz="0" w:space="0" w:color="auto"/>
        <w:bottom w:val="none" w:sz="0" w:space="0" w:color="auto"/>
        <w:right w:val="none" w:sz="0" w:space="0" w:color="auto"/>
      </w:divBdr>
    </w:div>
    <w:div w:id="1767772746">
      <w:bodyDiv w:val="1"/>
      <w:marLeft w:val="0"/>
      <w:marRight w:val="0"/>
      <w:marTop w:val="0"/>
      <w:marBottom w:val="0"/>
      <w:divBdr>
        <w:top w:val="none" w:sz="0" w:space="0" w:color="auto"/>
        <w:left w:val="none" w:sz="0" w:space="0" w:color="auto"/>
        <w:bottom w:val="none" w:sz="0" w:space="0" w:color="auto"/>
        <w:right w:val="none" w:sz="0" w:space="0" w:color="auto"/>
      </w:divBdr>
    </w:div>
    <w:div w:id="1798377979">
      <w:bodyDiv w:val="1"/>
      <w:marLeft w:val="0"/>
      <w:marRight w:val="0"/>
      <w:marTop w:val="0"/>
      <w:marBottom w:val="0"/>
      <w:divBdr>
        <w:top w:val="none" w:sz="0" w:space="0" w:color="auto"/>
        <w:left w:val="none" w:sz="0" w:space="0" w:color="auto"/>
        <w:bottom w:val="none" w:sz="0" w:space="0" w:color="auto"/>
        <w:right w:val="none" w:sz="0" w:space="0" w:color="auto"/>
      </w:divBdr>
    </w:div>
    <w:div w:id="1972512357">
      <w:bodyDiv w:val="1"/>
      <w:marLeft w:val="0"/>
      <w:marRight w:val="0"/>
      <w:marTop w:val="0"/>
      <w:marBottom w:val="0"/>
      <w:divBdr>
        <w:top w:val="none" w:sz="0" w:space="0" w:color="auto"/>
        <w:left w:val="none" w:sz="0" w:space="0" w:color="auto"/>
        <w:bottom w:val="none" w:sz="0" w:space="0" w:color="auto"/>
        <w:right w:val="none" w:sz="0" w:space="0" w:color="auto"/>
      </w:divBdr>
    </w:div>
    <w:div w:id="1999570323">
      <w:bodyDiv w:val="1"/>
      <w:marLeft w:val="0"/>
      <w:marRight w:val="0"/>
      <w:marTop w:val="0"/>
      <w:marBottom w:val="0"/>
      <w:divBdr>
        <w:top w:val="none" w:sz="0" w:space="0" w:color="auto"/>
        <w:left w:val="none" w:sz="0" w:space="0" w:color="auto"/>
        <w:bottom w:val="none" w:sz="0" w:space="0" w:color="auto"/>
        <w:right w:val="none" w:sz="0" w:space="0" w:color="auto"/>
      </w:divBdr>
    </w:div>
    <w:div w:id="20731205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mailto:sagar.kolekar@sitpune.edu.in"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2.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18E27-6B59-45BD-AE9A-3C4F46738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15</Pages>
  <Words>21190</Words>
  <Characters>127146</Characters>
  <Application>Microsoft Office Word</Application>
  <DocSecurity>0</DocSecurity>
  <Lines>1059</Lines>
  <Paragraphs>296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148040</CharactersWithSpaces>
  <SharedDoc>false</SharedDoc>
  <HLinks>
    <vt:vector size="6" baseType="variant">
      <vt:variant>
        <vt:i4>4128783</vt:i4>
      </vt:variant>
      <vt:variant>
        <vt:i4>0</vt:i4>
      </vt:variant>
      <vt:variant>
        <vt:i4>0</vt:i4>
      </vt:variant>
      <vt:variant>
        <vt:i4>5</vt:i4>
      </vt:variant>
      <vt:variant>
        <vt:lpwstr>mailto:ksansari@ycce.edu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cswaghmare@ycce.edu</dc:creator>
  <cp:keywords/>
  <dc:description/>
  <cp:lastModifiedBy>Janusz Dabrowski NA</cp:lastModifiedBy>
  <cp:revision>31</cp:revision>
  <cp:lastPrinted>2026-09-10T05:59:00Z</cp:lastPrinted>
  <dcterms:created xsi:type="dcterms:W3CDTF">2026-08-31T09:18:00Z</dcterms:created>
  <dcterms:modified xsi:type="dcterms:W3CDTF">2026-09-10T06:28:00Z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6f5f48c9abb483e90c8439eaa7c5011a56d0ed19bb1cbdfdf488de9ffa3ff01c</vt:lpwstr>
  </property>
  <property fmtid="{D5CDD505-2E9C-101B-9397-08002B2CF9AE}" pid="3" name="Mendeley Document_1">
    <vt:lpwstr>True</vt:lpwstr>
  </property>
  <property fmtid="{D5CDD505-2E9C-101B-9397-08002B2CF9AE}" pid="4" name="Mendeley Unique User Id_1">
    <vt:lpwstr>2e2a271f-0cdb-3aa8-869f-aadd892cd33e</vt:lpwstr>
  </property>
  <property fmtid="{D5CDD505-2E9C-101B-9397-08002B2CF9AE}" pid="5" name="Mendeley Citation Style_1">
    <vt:lpwstr>http://www.zotero.org/styles/university-of-york-apa</vt:lpwstr>
  </property>
  <property fmtid="{D5CDD505-2E9C-101B-9397-08002B2CF9AE}" pid="6" name="Mendeley Recent Style Id 0_1">
    <vt:lpwstr>http://www.zotero.org/styles/aims-environmental-science</vt:lpwstr>
  </property>
  <property fmtid="{D5CDD505-2E9C-101B-9397-08002B2CF9AE}" pid="7" name="Mendeley Recent Style Name 0_1">
    <vt:lpwstr>AIMS Environmental Science</vt:lpwstr>
  </property>
  <property fmtid="{D5CDD505-2E9C-101B-9397-08002B2CF9AE}" pid="8" name="Mendeley Recent Style Id 1_1">
    <vt:lpwstr>http://www.zotero.org/styles/adsorption</vt:lpwstr>
  </property>
  <property fmtid="{D5CDD505-2E9C-101B-9397-08002B2CF9AE}" pid="9" name="Mendeley Recent Style Name 1_1">
    <vt:lpwstr>Adsorption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http://www.zotero.org/styles/ieee</vt:lpwstr>
  </property>
  <property fmtid="{D5CDD505-2E9C-101B-9397-08002B2CF9AE}" pid="15" name="Mendeley Recent Style Name 4_1">
    <vt:lpwstr>IEEE</vt:lpwstr>
  </property>
  <property fmtid="{D5CDD505-2E9C-101B-9397-08002B2CF9AE}" pid="16" name="Mendeley Recent Style Id 5_1">
    <vt:lpwstr>http://www.zotero.org/styles/journal-of-science-advanced-materials-and-devices</vt:lpwstr>
  </property>
  <property fmtid="{D5CDD505-2E9C-101B-9397-08002B2CF9AE}" pid="17" name="Mendeley Recent Style Name 5_1">
    <vt:lpwstr>Journal of Science: Advanced Materials and Devices</vt:lpwstr>
  </property>
  <property fmtid="{D5CDD505-2E9C-101B-9397-08002B2CF9AE}" pid="18" name="Mendeley Recent Style Id 6_1">
    <vt:lpwstr>http://www.zotero.org/styles/separation-and-purification-technology</vt:lpwstr>
  </property>
  <property fmtid="{D5CDD505-2E9C-101B-9397-08002B2CF9AE}" pid="19" name="Mendeley Recent Style Name 6_1">
    <vt:lpwstr>Separation and Purification Technology</vt:lpwstr>
  </property>
  <property fmtid="{D5CDD505-2E9C-101B-9397-08002B2CF9AE}" pid="20" name="Mendeley Recent Style Id 7_1">
    <vt:lpwstr>http://www.zotero.org/styles/sustainability</vt:lpwstr>
  </property>
  <property fmtid="{D5CDD505-2E9C-101B-9397-08002B2CF9AE}" pid="21" name="Mendeley Recent Style Name 7_1">
    <vt:lpwstr>Sustainability</vt:lpwstr>
  </property>
  <property fmtid="{D5CDD505-2E9C-101B-9397-08002B2CF9AE}" pid="22" name="Mendeley Recent Style Id 8_1">
    <vt:lpwstr>http://www.zotero.org/styles/university-of-york-apa</vt:lpwstr>
  </property>
  <property fmtid="{D5CDD505-2E9C-101B-9397-08002B2CF9AE}" pid="23" name="Mendeley Recent Style Name 8_1">
    <vt:lpwstr>University of York - APA 6th edition</vt:lpwstr>
  </property>
  <property fmtid="{D5CDD505-2E9C-101B-9397-08002B2CF9AE}" pid="24" name="Mendeley Recent Style Id 9_1">
    <vt:lpwstr>http://www.zotero.org/styles/vancouver</vt:lpwstr>
  </property>
  <property fmtid="{D5CDD505-2E9C-101B-9397-08002B2CF9AE}" pid="25" name="Mendeley Recent Style Name 9_1">
    <vt:lpwstr>Vancouver</vt:lpwstr>
  </property>
</Properties>
</file>