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373A5F" w:rsidRPr="00373A5F" w14:paraId="582603E6" w14:textId="77777777" w:rsidTr="003C1263">
        <w:trPr>
          <w:trHeight w:hRule="exact" w:val="142"/>
        </w:trPr>
        <w:tc>
          <w:tcPr>
            <w:tcW w:w="709" w:type="dxa"/>
            <w:vMerge w:val="restart"/>
            <w:vAlign w:val="center"/>
          </w:tcPr>
          <w:p w14:paraId="159C4A2B" w14:textId="77777777" w:rsidR="00373A5F" w:rsidRPr="00373A5F" w:rsidRDefault="00373A5F" w:rsidP="00373A5F">
            <w:pPr>
              <w:spacing w:after="0" w:line="240" w:lineRule="auto"/>
              <w:jc w:val="center"/>
              <w:rPr>
                <w:rFonts w:ascii="Times New Roman" w:hAnsi="Times New Roman"/>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373A5F">
              <w:rPr>
                <w:rFonts w:ascii="Times New Roman" w:hAnsi="Times New Roman"/>
                <w:noProof/>
              </w:rPr>
              <w:drawing>
                <wp:anchor distT="0" distB="0" distL="114300" distR="114300" simplePos="0" relativeHeight="251704832" behindDoc="0" locked="0" layoutInCell="1" allowOverlap="1" wp14:anchorId="5D9200D6" wp14:editId="453703EF">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27D60261" w14:textId="77777777" w:rsidR="00373A5F" w:rsidRPr="00373A5F" w:rsidRDefault="00373A5F" w:rsidP="00373A5F">
            <w:pPr>
              <w:spacing w:after="0" w:line="240" w:lineRule="auto"/>
              <w:jc w:val="center"/>
              <w:rPr>
                <w:rFonts w:ascii="Times New Roman" w:hAnsi="Times New Roman"/>
                <w:sz w:val="20"/>
                <w:szCs w:val="20"/>
              </w:rPr>
            </w:pPr>
          </w:p>
        </w:tc>
      </w:tr>
      <w:tr w:rsidR="00373A5F" w:rsidRPr="00373A5F" w14:paraId="68F628DC" w14:textId="77777777" w:rsidTr="003C1263">
        <w:trPr>
          <w:trHeight w:hRule="exact" w:val="283"/>
        </w:trPr>
        <w:tc>
          <w:tcPr>
            <w:tcW w:w="709" w:type="dxa"/>
            <w:vMerge/>
          </w:tcPr>
          <w:p w14:paraId="45708564" w14:textId="77777777" w:rsidR="00373A5F" w:rsidRPr="00373A5F" w:rsidRDefault="00373A5F" w:rsidP="00373A5F">
            <w:pPr>
              <w:spacing w:after="0" w:line="240" w:lineRule="auto"/>
              <w:jc w:val="center"/>
              <w:rPr>
                <w:rFonts w:ascii="Times New Roman" w:hAnsi="Times New Roman"/>
              </w:rPr>
            </w:pPr>
          </w:p>
        </w:tc>
        <w:tc>
          <w:tcPr>
            <w:tcW w:w="8930" w:type="dxa"/>
            <w:gridSpan w:val="3"/>
            <w:tcBorders>
              <w:bottom w:val="single" w:sz="2" w:space="0" w:color="auto"/>
            </w:tcBorders>
            <w:vAlign w:val="center"/>
          </w:tcPr>
          <w:p w14:paraId="08BA2A51" w14:textId="77777777" w:rsidR="00373A5F" w:rsidRPr="00373A5F" w:rsidRDefault="00373A5F" w:rsidP="00373A5F">
            <w:pPr>
              <w:spacing w:after="0" w:line="240" w:lineRule="auto"/>
              <w:jc w:val="center"/>
              <w:rPr>
                <w:rFonts w:ascii="Times New Roman" w:hAnsi="Times New Roman"/>
                <w:sz w:val="20"/>
                <w:szCs w:val="20"/>
              </w:rPr>
            </w:pPr>
            <w:proofErr w:type="spellStart"/>
            <w:r w:rsidRPr="00373A5F">
              <w:rPr>
                <w:rFonts w:ascii="Times New Roman" w:hAnsi="Times New Roman"/>
                <w:b/>
                <w:sz w:val="20"/>
                <w:szCs w:val="20"/>
              </w:rPr>
              <w:t>Rocznik</w:t>
            </w:r>
            <w:proofErr w:type="spellEnd"/>
            <w:r w:rsidRPr="00373A5F">
              <w:rPr>
                <w:rFonts w:ascii="Times New Roman" w:hAnsi="Times New Roman"/>
                <w:b/>
                <w:sz w:val="20"/>
                <w:szCs w:val="20"/>
              </w:rPr>
              <w:t xml:space="preserve"> </w:t>
            </w:r>
            <w:proofErr w:type="spellStart"/>
            <w:r w:rsidRPr="00373A5F">
              <w:rPr>
                <w:rFonts w:ascii="Times New Roman" w:hAnsi="Times New Roman"/>
                <w:b/>
                <w:sz w:val="20"/>
                <w:szCs w:val="20"/>
              </w:rPr>
              <w:t>Ochrona</w:t>
            </w:r>
            <w:proofErr w:type="spellEnd"/>
            <w:r w:rsidRPr="00373A5F">
              <w:rPr>
                <w:rFonts w:ascii="Times New Roman" w:hAnsi="Times New Roman"/>
                <w:b/>
                <w:sz w:val="20"/>
                <w:szCs w:val="20"/>
              </w:rPr>
              <w:t xml:space="preserve"> </w:t>
            </w:r>
            <w:proofErr w:type="spellStart"/>
            <w:r w:rsidRPr="00373A5F">
              <w:rPr>
                <w:rFonts w:ascii="Times New Roman" w:hAnsi="Times New Roman"/>
                <w:b/>
                <w:sz w:val="20"/>
                <w:szCs w:val="20"/>
              </w:rPr>
              <w:t>Środowiska</w:t>
            </w:r>
            <w:proofErr w:type="spellEnd"/>
          </w:p>
        </w:tc>
      </w:tr>
      <w:tr w:rsidR="00373A5F" w:rsidRPr="00373A5F" w14:paraId="149251EF" w14:textId="77777777" w:rsidTr="003C1263">
        <w:trPr>
          <w:trHeight w:hRule="exact" w:val="283"/>
        </w:trPr>
        <w:tc>
          <w:tcPr>
            <w:tcW w:w="709" w:type="dxa"/>
            <w:vMerge/>
          </w:tcPr>
          <w:p w14:paraId="468A6C0B" w14:textId="77777777" w:rsidR="00373A5F" w:rsidRPr="00373A5F" w:rsidRDefault="00373A5F" w:rsidP="00373A5F">
            <w:pPr>
              <w:spacing w:after="0" w:line="240" w:lineRule="auto"/>
              <w:jc w:val="center"/>
              <w:rPr>
                <w:rFonts w:ascii="Times New Roman" w:hAnsi="Times New Roman"/>
              </w:rPr>
            </w:pPr>
          </w:p>
        </w:tc>
        <w:tc>
          <w:tcPr>
            <w:tcW w:w="992" w:type="dxa"/>
            <w:tcBorders>
              <w:top w:val="single" w:sz="2" w:space="0" w:color="auto"/>
              <w:bottom w:val="single" w:sz="2" w:space="0" w:color="auto"/>
            </w:tcBorders>
            <w:vAlign w:val="center"/>
          </w:tcPr>
          <w:p w14:paraId="475FBFF5" w14:textId="77777777" w:rsidR="00373A5F" w:rsidRPr="00373A5F" w:rsidRDefault="00373A5F" w:rsidP="00373A5F">
            <w:pPr>
              <w:spacing w:after="0" w:line="240" w:lineRule="auto"/>
              <w:rPr>
                <w:rFonts w:ascii="Times New Roman" w:hAnsi="Times New Roman"/>
                <w:kern w:val="18"/>
                <w:sz w:val="18"/>
              </w:rPr>
            </w:pPr>
            <w:r w:rsidRPr="00373A5F">
              <w:rPr>
                <w:rFonts w:ascii="Times New Roman" w:hAnsi="Times New Roman"/>
                <w:kern w:val="18"/>
                <w:sz w:val="18"/>
              </w:rPr>
              <w:t>Volume 28</w:t>
            </w:r>
          </w:p>
        </w:tc>
        <w:tc>
          <w:tcPr>
            <w:tcW w:w="6304" w:type="dxa"/>
            <w:tcBorders>
              <w:top w:val="single" w:sz="2" w:space="0" w:color="auto"/>
              <w:bottom w:val="single" w:sz="2" w:space="0" w:color="auto"/>
            </w:tcBorders>
            <w:vAlign w:val="center"/>
          </w:tcPr>
          <w:p w14:paraId="3F53EB4D" w14:textId="77777777" w:rsidR="00373A5F" w:rsidRPr="00373A5F" w:rsidRDefault="00373A5F" w:rsidP="00373A5F">
            <w:pPr>
              <w:tabs>
                <w:tab w:val="left" w:pos="2894"/>
              </w:tabs>
              <w:spacing w:after="0" w:line="240" w:lineRule="auto"/>
              <w:rPr>
                <w:rFonts w:ascii="Times New Roman" w:hAnsi="Times New Roman"/>
                <w:kern w:val="18"/>
                <w:sz w:val="18"/>
              </w:rPr>
            </w:pPr>
            <w:r w:rsidRPr="00373A5F">
              <w:rPr>
                <w:rFonts w:ascii="Times New Roman" w:hAnsi="Times New Roman"/>
                <w:kern w:val="18"/>
                <w:sz w:val="18"/>
              </w:rPr>
              <w:t>Year 2026</w:t>
            </w:r>
            <w:r w:rsidRPr="00373A5F">
              <w:rPr>
                <w:rFonts w:ascii="Times New Roman" w:hAnsi="Times New Roman"/>
                <w:kern w:val="18"/>
                <w:sz w:val="18"/>
              </w:rPr>
              <w:tab/>
              <w:t>ISSN 2720-7501</w:t>
            </w:r>
          </w:p>
        </w:tc>
        <w:tc>
          <w:tcPr>
            <w:tcW w:w="1634" w:type="dxa"/>
            <w:tcBorders>
              <w:top w:val="single" w:sz="2" w:space="0" w:color="auto"/>
              <w:bottom w:val="single" w:sz="2" w:space="0" w:color="auto"/>
            </w:tcBorders>
            <w:vAlign w:val="center"/>
          </w:tcPr>
          <w:p w14:paraId="1176C5E3" w14:textId="3D4EF17D" w:rsidR="00373A5F" w:rsidRPr="00373A5F" w:rsidRDefault="00373A5F" w:rsidP="00373A5F">
            <w:pPr>
              <w:spacing w:after="0" w:line="240" w:lineRule="auto"/>
              <w:jc w:val="right"/>
              <w:rPr>
                <w:rFonts w:ascii="Times New Roman" w:hAnsi="Times New Roman"/>
                <w:sz w:val="18"/>
              </w:rPr>
            </w:pPr>
            <w:r w:rsidRPr="00373A5F">
              <w:rPr>
                <w:rFonts w:ascii="Times New Roman" w:hAnsi="Times New Roman"/>
                <w:sz w:val="18"/>
              </w:rPr>
              <w:t xml:space="preserve">pp. </w:t>
            </w:r>
            <w:r w:rsidR="00896AEB">
              <w:rPr>
                <w:rFonts w:ascii="Times New Roman" w:hAnsi="Times New Roman"/>
                <w:sz w:val="18"/>
              </w:rPr>
              <w:t>601</w:t>
            </w:r>
            <w:r w:rsidRPr="00373A5F">
              <w:rPr>
                <w:rFonts w:ascii="Times New Roman" w:hAnsi="Times New Roman"/>
                <w:sz w:val="18"/>
              </w:rPr>
              <w:t>-</w:t>
            </w:r>
            <w:r w:rsidR="00896AEB">
              <w:rPr>
                <w:rFonts w:ascii="Times New Roman" w:hAnsi="Times New Roman"/>
                <w:sz w:val="18"/>
              </w:rPr>
              <w:t>618</w:t>
            </w:r>
            <w:r w:rsidRPr="00373A5F">
              <w:rPr>
                <w:rFonts w:ascii="Times New Roman" w:hAnsi="Times New Roman"/>
                <w:sz w:val="18"/>
              </w:rPr>
              <w:t xml:space="preserve"> </w:t>
            </w:r>
          </w:p>
        </w:tc>
      </w:tr>
      <w:tr w:rsidR="00373A5F" w:rsidRPr="00373A5F" w14:paraId="7C6D88A3" w14:textId="77777777" w:rsidTr="003C1263">
        <w:trPr>
          <w:trHeight w:hRule="exact" w:val="283"/>
        </w:trPr>
        <w:tc>
          <w:tcPr>
            <w:tcW w:w="709" w:type="dxa"/>
          </w:tcPr>
          <w:p w14:paraId="4C5E07B4" w14:textId="77777777" w:rsidR="00373A5F" w:rsidRPr="00373A5F" w:rsidRDefault="00373A5F" w:rsidP="00373A5F">
            <w:pPr>
              <w:spacing w:after="0" w:line="240" w:lineRule="auto"/>
              <w:jc w:val="center"/>
              <w:rPr>
                <w:rFonts w:ascii="Times New Roman" w:hAnsi="Times New Roman"/>
              </w:rPr>
            </w:pPr>
          </w:p>
        </w:tc>
        <w:tc>
          <w:tcPr>
            <w:tcW w:w="8930" w:type="dxa"/>
            <w:gridSpan w:val="3"/>
            <w:tcBorders>
              <w:top w:val="single" w:sz="2" w:space="0" w:color="auto"/>
              <w:bottom w:val="single" w:sz="2" w:space="0" w:color="auto"/>
            </w:tcBorders>
            <w:vAlign w:val="center"/>
          </w:tcPr>
          <w:p w14:paraId="4E5A61FA" w14:textId="7995760C" w:rsidR="00373A5F" w:rsidRPr="00373A5F" w:rsidRDefault="00373A5F" w:rsidP="00373A5F">
            <w:pPr>
              <w:tabs>
                <w:tab w:val="right" w:pos="8928"/>
              </w:tabs>
              <w:spacing w:after="0" w:line="240" w:lineRule="auto"/>
              <w:rPr>
                <w:rFonts w:ascii="Times New Roman" w:hAnsi="Times New Roman"/>
                <w:sz w:val="18"/>
              </w:rPr>
            </w:pPr>
            <w:r w:rsidRPr="00373A5F">
              <w:rPr>
                <w:rFonts w:ascii="Times New Roman" w:hAnsi="Times New Roman"/>
                <w:sz w:val="18"/>
              </w:rPr>
              <w:t>https://doi.org/10.54740/ros.2026.0</w:t>
            </w:r>
            <w:r w:rsidR="00E42691">
              <w:rPr>
                <w:rFonts w:ascii="Times New Roman" w:hAnsi="Times New Roman"/>
                <w:sz w:val="18"/>
              </w:rPr>
              <w:t>41</w:t>
            </w:r>
            <w:r w:rsidRPr="00373A5F">
              <w:rPr>
                <w:rFonts w:ascii="Times New Roman" w:hAnsi="Times New Roman"/>
                <w:sz w:val="18"/>
              </w:rPr>
              <w:tab/>
              <w:t>open access</w:t>
            </w:r>
          </w:p>
        </w:tc>
      </w:tr>
      <w:tr w:rsidR="00373A5F" w:rsidRPr="00373A5F" w14:paraId="2C51EA30" w14:textId="77777777" w:rsidTr="003C1263">
        <w:trPr>
          <w:trHeight w:hRule="exact" w:val="283"/>
        </w:trPr>
        <w:tc>
          <w:tcPr>
            <w:tcW w:w="709" w:type="dxa"/>
          </w:tcPr>
          <w:p w14:paraId="111FC6BC" w14:textId="77777777" w:rsidR="00373A5F" w:rsidRPr="00373A5F" w:rsidRDefault="00373A5F" w:rsidP="00373A5F">
            <w:pPr>
              <w:spacing w:after="0" w:line="240" w:lineRule="auto"/>
              <w:jc w:val="center"/>
              <w:rPr>
                <w:rFonts w:ascii="Times New Roman" w:hAnsi="Times New Roman"/>
              </w:rPr>
            </w:pPr>
          </w:p>
        </w:tc>
        <w:tc>
          <w:tcPr>
            <w:tcW w:w="8930" w:type="dxa"/>
            <w:gridSpan w:val="3"/>
            <w:tcBorders>
              <w:top w:val="single" w:sz="2" w:space="0" w:color="auto"/>
            </w:tcBorders>
            <w:vAlign w:val="center"/>
          </w:tcPr>
          <w:p w14:paraId="0B17D4F8" w14:textId="47C57BE1" w:rsidR="00373A5F" w:rsidRPr="00373A5F" w:rsidRDefault="00373A5F" w:rsidP="00373A5F">
            <w:pPr>
              <w:tabs>
                <w:tab w:val="left" w:pos="3744"/>
                <w:tab w:val="right" w:pos="8928"/>
              </w:tabs>
              <w:spacing w:after="0" w:line="240" w:lineRule="auto"/>
              <w:rPr>
                <w:rFonts w:ascii="Times New Roman" w:hAnsi="Times New Roman"/>
                <w:sz w:val="18"/>
              </w:rPr>
            </w:pPr>
            <w:r w:rsidRPr="00373A5F">
              <w:rPr>
                <w:rFonts w:ascii="Times New Roman" w:hAnsi="Times New Roman"/>
                <w:sz w:val="18"/>
              </w:rPr>
              <w:t xml:space="preserve">Received: </w:t>
            </w:r>
            <w:r w:rsidR="00C35CBE">
              <w:rPr>
                <w:rFonts w:ascii="Times New Roman" w:hAnsi="Times New Roman"/>
                <w:sz w:val="18"/>
              </w:rPr>
              <w:t>May</w:t>
            </w:r>
            <w:r w:rsidRPr="00373A5F">
              <w:rPr>
                <w:rFonts w:ascii="Times New Roman" w:hAnsi="Times New Roman"/>
                <w:sz w:val="18"/>
              </w:rPr>
              <w:t xml:space="preserve"> 2026</w:t>
            </w:r>
            <w:r w:rsidRPr="00373A5F">
              <w:rPr>
                <w:rFonts w:ascii="Times New Roman" w:hAnsi="Times New Roman"/>
                <w:sz w:val="18"/>
              </w:rPr>
              <w:tab/>
              <w:t>Accepted: Ju</w:t>
            </w:r>
            <w:r w:rsidR="00C35CBE">
              <w:rPr>
                <w:rFonts w:ascii="Times New Roman" w:hAnsi="Times New Roman"/>
                <w:sz w:val="18"/>
              </w:rPr>
              <w:t>ly</w:t>
            </w:r>
            <w:r w:rsidRPr="00373A5F">
              <w:rPr>
                <w:rFonts w:ascii="Times New Roman" w:hAnsi="Times New Roman"/>
                <w:sz w:val="18"/>
              </w:rPr>
              <w:t xml:space="preserve"> 2026</w:t>
            </w:r>
            <w:r w:rsidRPr="00373A5F">
              <w:rPr>
                <w:rFonts w:ascii="Times New Roman" w:hAnsi="Times New Roman"/>
                <w:sz w:val="18"/>
              </w:rPr>
              <w:tab/>
              <w:t xml:space="preserve">Published: </w:t>
            </w:r>
            <w:r w:rsidR="00E42691">
              <w:rPr>
                <w:rFonts w:ascii="Times New Roman" w:hAnsi="Times New Roman"/>
                <w:sz w:val="18"/>
              </w:rPr>
              <w:t>July</w:t>
            </w:r>
            <w:r w:rsidRPr="00373A5F">
              <w:rPr>
                <w:rFonts w:ascii="Times New Roman" w:hAnsi="Times New Roman"/>
                <w:sz w:val="18"/>
              </w:rPr>
              <w:t xml:space="preserve"> 2026</w:t>
            </w:r>
          </w:p>
        </w:tc>
      </w:tr>
    </w:tbl>
    <w:bookmarkEnd w:id="4"/>
    <w:p w14:paraId="3FE25B54" w14:textId="7A851559" w:rsidR="00106D7C" w:rsidRPr="00373A5F" w:rsidRDefault="00106D7C" w:rsidP="002D38EF">
      <w:pPr>
        <w:pStyle w:val="Rtytu"/>
        <w:rPr>
          <w:lang w:val="en-US"/>
        </w:rPr>
      </w:pPr>
      <w:r w:rsidRPr="00373A5F">
        <w:rPr>
          <w:lang w:val="en-US"/>
        </w:rPr>
        <w:t xml:space="preserve">Renewable Penetration </w:t>
      </w:r>
      <w:r w:rsidR="00BF6A96" w:rsidRPr="00373A5F">
        <w:rPr>
          <w:lang w:val="en-US"/>
        </w:rPr>
        <w:t xml:space="preserve">Energy </w:t>
      </w:r>
      <w:r w:rsidRPr="00373A5F">
        <w:rPr>
          <w:lang w:val="en-US"/>
        </w:rPr>
        <w:t>on Cost</w:t>
      </w:r>
      <w:r w:rsidR="00BB0A79">
        <w:rPr>
          <w:lang w:val="en-US"/>
        </w:rPr>
        <w:t>-</w:t>
      </w:r>
      <w:r w:rsidRPr="00373A5F">
        <w:rPr>
          <w:lang w:val="en-US"/>
        </w:rPr>
        <w:t>Optimal Dispatch of PV–Wind–BESS Microgrids: A</w:t>
      </w:r>
      <w:r w:rsidR="00C35CBE">
        <w:rPr>
          <w:lang w:val="en-US"/>
        </w:rPr>
        <w:t> </w:t>
      </w:r>
      <w:r w:rsidRPr="00373A5F">
        <w:rPr>
          <w:lang w:val="en-US"/>
        </w:rPr>
        <w:t>Comparative Study for Urban India</w:t>
      </w:r>
    </w:p>
    <w:p w14:paraId="76323BB6" w14:textId="44B0A8EF" w:rsidR="00106D7C" w:rsidRPr="00373A5F" w:rsidRDefault="00106D7C" w:rsidP="002D38EF">
      <w:pPr>
        <w:pStyle w:val="Rautor"/>
        <w:rPr>
          <w:vertAlign w:val="superscript"/>
          <w:lang w:val="en-US" w:eastAsia="de-DE" w:bidi="en-US"/>
        </w:rPr>
      </w:pPr>
      <w:r w:rsidRPr="00373A5F">
        <w:rPr>
          <w:lang w:val="en-US" w:eastAsia="de-DE" w:bidi="en-US"/>
        </w:rPr>
        <w:t xml:space="preserve">Najma Nasreen </w:t>
      </w:r>
      <w:r w:rsidR="00040EA0" w:rsidRPr="00373A5F">
        <w:rPr>
          <w:lang w:val="en-US" w:eastAsia="de-DE" w:bidi="en-US"/>
        </w:rPr>
        <w:t>Ansari</w:t>
      </w:r>
      <w:r w:rsidRPr="00373A5F">
        <w:rPr>
          <w:vertAlign w:val="superscript"/>
          <w:lang w:val="en-US" w:eastAsia="de-DE" w:bidi="en-US"/>
        </w:rPr>
        <w:t>1</w:t>
      </w:r>
      <w:r w:rsidRPr="00373A5F">
        <w:rPr>
          <w:lang w:val="en-US" w:eastAsia="de-DE" w:bidi="en-US"/>
        </w:rPr>
        <w:t>,</w:t>
      </w:r>
      <w:r w:rsidR="00040EA0" w:rsidRPr="00373A5F">
        <w:rPr>
          <w:lang w:val="en-US" w:eastAsia="de-DE" w:bidi="en-US"/>
        </w:rPr>
        <w:t xml:space="preserve"> </w:t>
      </w:r>
      <w:r w:rsidRPr="00373A5F">
        <w:rPr>
          <w:lang w:val="en-US" w:eastAsia="de-DE" w:bidi="en-US"/>
        </w:rPr>
        <w:t>Sanjay Jain</w:t>
      </w:r>
      <w:r w:rsidRPr="00373A5F">
        <w:rPr>
          <w:vertAlign w:val="superscript"/>
          <w:lang w:val="en-US" w:eastAsia="de-DE" w:bidi="en-US"/>
        </w:rPr>
        <w:t>2</w:t>
      </w:r>
    </w:p>
    <w:p w14:paraId="1AAA506E" w14:textId="303247C6" w:rsidR="00217AC5" w:rsidRPr="00FF6D90" w:rsidRDefault="00106D7C" w:rsidP="002D38EF">
      <w:pPr>
        <w:pStyle w:val="Rafiliacja"/>
        <w:rPr>
          <w:lang w:val="en-US" w:eastAsia="de-DE" w:bidi="en-US"/>
        </w:rPr>
      </w:pPr>
      <w:r w:rsidRPr="00373A5F">
        <w:rPr>
          <w:vertAlign w:val="superscript"/>
          <w:lang w:val="en-US" w:eastAsia="de-DE" w:bidi="en-US"/>
        </w:rPr>
        <w:t>1</w:t>
      </w:r>
      <w:r w:rsidRPr="00373A5F">
        <w:rPr>
          <w:lang w:val="en-US" w:eastAsia="de-DE" w:bidi="en-US"/>
        </w:rPr>
        <w:t>Research Scholar, Electrical Engineering, RKDF University, Bhopal, India</w:t>
      </w:r>
      <w:r w:rsidR="00217AC5" w:rsidRPr="00373A5F">
        <w:rPr>
          <w:lang w:val="en-US" w:eastAsia="de-DE" w:bidi="en-US"/>
        </w:rPr>
        <w:t xml:space="preserve"> </w:t>
      </w:r>
      <w:r w:rsidR="00FF6D90" w:rsidRPr="00373A5F">
        <w:rPr>
          <w:lang w:val="en-US" w:eastAsia="de-DE" w:bidi="en-US"/>
        </w:rPr>
        <w:br/>
      </w:r>
      <w:r w:rsidRPr="00373A5F">
        <w:rPr>
          <w:lang w:val="en-US" w:eastAsia="de-DE" w:bidi="en-US"/>
        </w:rPr>
        <w:t>Department of Electrical Engineering, Anjuman College of Engineering, Nagpur, India</w:t>
      </w:r>
      <w:r w:rsidR="00FF6D90" w:rsidRPr="00373A5F">
        <w:rPr>
          <w:lang w:val="en-US" w:eastAsia="de-DE" w:bidi="en-US"/>
        </w:rPr>
        <w:br/>
      </w:r>
      <w:r w:rsidR="00091FF0" w:rsidRPr="004C0D4A">
        <w:rPr>
          <w:bCs/>
          <w:lang w:val="en-GB"/>
        </w:rPr>
        <w:t>https://orcid.org/</w:t>
      </w:r>
      <w:hyperlink r:id="rId9" w:history="1">
        <w:r w:rsidR="0048037A" w:rsidRPr="00373A5F">
          <w:rPr>
            <w:rStyle w:val="Hipercze"/>
            <w:color w:val="auto"/>
            <w:sz w:val="18"/>
            <w:szCs w:val="18"/>
            <w:u w:val="none"/>
            <w:lang w:val="en-US"/>
          </w:rPr>
          <w:t>0009-0006-9740-5259</w:t>
        </w:r>
      </w:hyperlink>
    </w:p>
    <w:p w14:paraId="102C5D6C" w14:textId="099E4FD9" w:rsidR="00217AC5" w:rsidRPr="00373A5F" w:rsidRDefault="00106D7C" w:rsidP="002D38EF">
      <w:pPr>
        <w:pStyle w:val="Rafiliacja"/>
        <w:rPr>
          <w:b/>
          <w:bCs/>
          <w:lang w:val="en-US" w:eastAsia="de-DE" w:bidi="en-US"/>
        </w:rPr>
      </w:pPr>
      <w:r w:rsidRPr="00FF6D90">
        <w:rPr>
          <w:vertAlign w:val="superscript"/>
          <w:lang w:val="en-US" w:eastAsia="de-DE" w:bidi="en-US"/>
        </w:rPr>
        <w:t>2</w:t>
      </w:r>
      <w:r w:rsidRPr="00373A5F">
        <w:rPr>
          <w:lang w:val="en-US" w:eastAsia="de-DE" w:bidi="en-US"/>
        </w:rPr>
        <w:t>Department of Electrical Engineering, RKDF University, Bhopal, India</w:t>
      </w:r>
    </w:p>
    <w:p w14:paraId="11183355" w14:textId="20F74427" w:rsidR="008E369D" w:rsidRPr="00FF6D90" w:rsidRDefault="00091FF0" w:rsidP="002D38EF">
      <w:pPr>
        <w:pStyle w:val="Rauco"/>
        <w:rPr>
          <w:iCs/>
          <w:sz w:val="28"/>
          <w:vertAlign w:val="superscript"/>
          <w:lang w:val="en-US" w:eastAsia="de-DE" w:bidi="en-US"/>
        </w:rPr>
      </w:pPr>
      <w:r>
        <w:rPr>
          <w:iCs/>
          <w:sz w:val="28"/>
          <w:vertAlign w:val="superscript"/>
          <w:lang w:val="en-US" w:eastAsia="de-DE" w:bidi="en-US"/>
        </w:rPr>
        <w:t>*</w:t>
      </w:r>
      <w:r w:rsidRPr="00091FF0">
        <w:rPr>
          <w:iCs/>
          <w:sz w:val="28"/>
          <w:vertAlign w:val="superscript"/>
          <w:lang w:val="en-US" w:eastAsia="de-DE" w:bidi="en-US"/>
        </w:rPr>
        <w:t>corresponding author's e-mail</w:t>
      </w:r>
      <w:r w:rsidR="00106D7C" w:rsidRPr="00FF6D90">
        <w:rPr>
          <w:iCs/>
          <w:sz w:val="28"/>
          <w:vertAlign w:val="superscript"/>
          <w:lang w:val="en-US" w:eastAsia="de-DE" w:bidi="en-US"/>
        </w:rPr>
        <w:t xml:space="preserve">: </w:t>
      </w:r>
      <w:hyperlink r:id="rId10" w:history="1">
        <w:r w:rsidR="00106D7C" w:rsidRPr="00FF6D90">
          <w:rPr>
            <w:rStyle w:val="Hipercze"/>
            <w:iCs/>
            <w:color w:val="auto"/>
            <w:sz w:val="28"/>
            <w:u w:val="none"/>
            <w:vertAlign w:val="superscript"/>
            <w:lang w:val="en-US" w:eastAsia="de-DE" w:bidi="en-US"/>
          </w:rPr>
          <w:t>nazmas@anjumanengg.edu.in</w:t>
        </w:r>
      </w:hyperlink>
    </w:p>
    <w:p w14:paraId="194716C4" w14:textId="116DA5AE" w:rsidR="00F90637" w:rsidRPr="00FF6D90" w:rsidRDefault="00B00CB3" w:rsidP="002D38EF">
      <w:pPr>
        <w:pStyle w:val="Rab1"/>
        <w:rPr>
          <w:b/>
          <w:bCs/>
        </w:rPr>
      </w:pPr>
      <w:r w:rsidRPr="00FF6D90">
        <w:rPr>
          <w:b/>
          <w:bCs/>
          <w:sz w:val="20"/>
        </w:rPr>
        <w:t>Abstract</w:t>
      </w:r>
      <w:r w:rsidR="00217AC5" w:rsidRPr="00FF6D90">
        <w:rPr>
          <w:b/>
          <w:bCs/>
          <w:sz w:val="20"/>
        </w:rPr>
        <w:t>:</w:t>
      </w:r>
      <w:r w:rsidR="00FF6D90">
        <w:rPr>
          <w:b/>
          <w:bCs/>
          <w:sz w:val="20"/>
        </w:rPr>
        <w:t xml:space="preserve"> </w:t>
      </w:r>
      <w:r w:rsidR="004A3568" w:rsidRPr="00FF6D90">
        <w:t xml:space="preserve">This study presents an optimized operational framework for a grid-connected microgrid serving the Bhopal region, India, incorporating photovoltaic (PV) systems, wind generation, and a battery energy storage system (BESS). The primary objective was to minimize daily operational costs while ensuring reliable dispatch amidst fluctuating renewable availability. A comparative optimization approach utilizing Particle Swarm Optimization (PSO), Genetic Algorithm (GA), and Simulated Annealing (SA) is employed to ascertain the optimal power scheduling strategy. The methodology integrates real load and renewable generation profiles with operational constraints, facilitating a realistic assessment of microgrid flexibility. The results indicate that PSO achieved the lowest operational cost of ₹0.298 lakh/day, surpassing GA (₹0.2985 lakh/day) and SA (₹0.320 lakh/day). Additionally, PSO demonstrated the highest renewable penetration at 42%, followed by GA (40%) and SA (38%), highlighting its superior capability to leverage intermittent resources and coordinate BESS operations. </w:t>
      </w:r>
      <w:r w:rsidR="00306790" w:rsidRPr="00091FF0">
        <w:rPr>
          <w:spacing w:val="-4"/>
        </w:rPr>
        <w:t>The studied microgrid comprises a 1.5 MW PV system, a 1.0 MW wind turbine, and a 2 MWh battery energy storage system (BESS) designed to supply a representative urban load in Bhopal.</w:t>
      </w:r>
      <w:r w:rsidR="00306790" w:rsidRPr="00FF6D90">
        <w:t xml:space="preserve"> </w:t>
      </w:r>
      <w:r w:rsidR="004A3568" w:rsidRPr="00FF6D90">
        <w:t>These findings underscore the practical relevance of swarm intelligence methods in reducing reliance on grid imports and enhancing economic efficiency. The study contributes a validated optimization framework tailored to Indian microgrid conditions, where renewable variability and cost sensitivity are predominant factors. Future research may extend the model to include probabilistic forecasting, multi-day optimization horizons, and demand-response programs to further bolster system resilience.</w:t>
      </w:r>
    </w:p>
    <w:p w14:paraId="11AEA915" w14:textId="5D479B8A" w:rsidR="008356D4" w:rsidRPr="00FF6D90" w:rsidRDefault="00B00CB3" w:rsidP="00091FF0">
      <w:pPr>
        <w:pStyle w:val="Rab2"/>
      </w:pPr>
      <w:r w:rsidRPr="00FF6D90">
        <w:rPr>
          <w:b/>
          <w:bCs/>
        </w:rPr>
        <w:t>Keywords:</w:t>
      </w:r>
      <w:r w:rsidR="008E369D" w:rsidRPr="00FF6D90">
        <w:t xml:space="preserve"> </w:t>
      </w:r>
      <w:r w:rsidR="00091FF0">
        <w:t>m</w:t>
      </w:r>
      <w:r w:rsidR="00987F02" w:rsidRPr="00FF6D90">
        <w:t xml:space="preserve">icrogrid </w:t>
      </w:r>
      <w:r w:rsidR="00091FF0">
        <w:t>o</w:t>
      </w:r>
      <w:r w:rsidR="00987F02" w:rsidRPr="00FF6D90">
        <w:t xml:space="preserve">ptimization, Particle Swarm Optimization (PSO), </w:t>
      </w:r>
      <w:r w:rsidR="00091FF0">
        <w:t>r</w:t>
      </w:r>
      <w:r w:rsidR="00987F02" w:rsidRPr="00FF6D90">
        <w:t xml:space="preserve">enewable </w:t>
      </w:r>
      <w:r w:rsidR="00091FF0">
        <w:t>e</w:t>
      </w:r>
      <w:r w:rsidR="00987F02" w:rsidRPr="00FF6D90">
        <w:t xml:space="preserve">nergy </w:t>
      </w:r>
      <w:r w:rsidR="00091FF0">
        <w:t>i</w:t>
      </w:r>
      <w:r w:rsidR="00987F02" w:rsidRPr="00FF6D90">
        <w:t xml:space="preserve">ntegration, </w:t>
      </w:r>
      <w:r w:rsidR="00091FF0">
        <w:br/>
      </w:r>
      <w:r w:rsidR="00987F02" w:rsidRPr="00FF6D90">
        <w:t xml:space="preserve">Battery Energy Storage System (BESS), </w:t>
      </w:r>
      <w:r w:rsidR="00091FF0">
        <w:t>g</w:t>
      </w:r>
      <w:r w:rsidR="00987F02" w:rsidRPr="00FF6D90">
        <w:t>rid-</w:t>
      </w:r>
      <w:r w:rsidR="00091FF0">
        <w:t>c</w:t>
      </w:r>
      <w:r w:rsidR="00987F02" w:rsidRPr="00FF6D90">
        <w:t xml:space="preserve">onnected </w:t>
      </w:r>
      <w:r w:rsidR="00091FF0">
        <w:t>m</w:t>
      </w:r>
      <w:r w:rsidR="00987F02" w:rsidRPr="00FF6D90">
        <w:t>icrogrid</w:t>
      </w:r>
      <w:r w:rsidR="00432901" w:rsidRPr="00FF6D90">
        <w:t xml:space="preserve"> </w:t>
      </w:r>
    </w:p>
    <w:p w14:paraId="5213C4CF" w14:textId="7874367E" w:rsidR="000C3C2A" w:rsidRPr="00373A5F" w:rsidRDefault="00990683" w:rsidP="002D38EF">
      <w:pPr>
        <w:pStyle w:val="Rn1"/>
        <w:rPr>
          <w:lang w:val="en-US"/>
        </w:rPr>
      </w:pPr>
      <w:r w:rsidRPr="00373A5F">
        <w:rPr>
          <w:lang w:val="en-US"/>
        </w:rPr>
        <w:t xml:space="preserve">1. </w:t>
      </w:r>
      <w:r w:rsidR="000C3C2A" w:rsidRPr="00373A5F">
        <w:rPr>
          <w:lang w:val="en-US"/>
        </w:rPr>
        <w:t>Introduction</w:t>
      </w:r>
    </w:p>
    <w:p w14:paraId="19251544" w14:textId="796EA416" w:rsidR="000301D7" w:rsidRPr="00FF6D90" w:rsidRDefault="00BB0A79" w:rsidP="004D29E9">
      <w:pPr>
        <w:spacing w:after="0" w:line="240" w:lineRule="auto"/>
        <w:ind w:firstLine="284"/>
        <w:jc w:val="both"/>
        <w:rPr>
          <w:rFonts w:ascii="Times New Roman" w:hAnsi="Times New Roman"/>
        </w:rPr>
      </w:pPr>
      <w:r>
        <w:rPr>
          <w:rFonts w:ascii="Times New Roman" w:hAnsi="Times New Roman"/>
        </w:rPr>
        <w:t>A m</w:t>
      </w:r>
      <w:r w:rsidR="000301D7" w:rsidRPr="00FF6D90">
        <w:rPr>
          <w:rFonts w:ascii="Times New Roman" w:hAnsi="Times New Roman"/>
        </w:rPr>
        <w:t>icrogrid is a coordinated</w:t>
      </w:r>
      <w:r w:rsidR="00A93615">
        <w:rPr>
          <w:rFonts w:ascii="Times New Roman" w:hAnsi="Times New Roman"/>
        </w:rPr>
        <w:t>, integrated energy system that brings together numerous distributed energy sources and local loads to act as a single,</w:t>
      </w:r>
      <w:r w:rsidR="000301D7" w:rsidRPr="00FF6D90">
        <w:rPr>
          <w:rFonts w:ascii="Times New Roman" w:hAnsi="Times New Roman"/>
        </w:rPr>
        <w:t xml:space="preserve"> manageable energy source. It can be connected to the main utility network and operate in grid</w:t>
      </w:r>
      <w:r>
        <w:rPr>
          <w:rFonts w:ascii="Times New Roman" w:hAnsi="Times New Roman"/>
        </w:rPr>
        <w:t>-</w:t>
      </w:r>
      <w:r w:rsidR="000301D7" w:rsidRPr="00FF6D90">
        <w:rPr>
          <w:rFonts w:ascii="Times New Roman" w:hAnsi="Times New Roman"/>
        </w:rPr>
        <w:t xml:space="preserve">connected mode, or </w:t>
      </w:r>
      <w:r>
        <w:rPr>
          <w:rFonts w:ascii="Times New Roman" w:hAnsi="Times New Roman"/>
        </w:rPr>
        <w:t>operate</w:t>
      </w:r>
      <w:r w:rsidR="000301D7" w:rsidRPr="00FF6D90">
        <w:rPr>
          <w:rFonts w:ascii="Times New Roman" w:hAnsi="Times New Roman"/>
        </w:rPr>
        <w:t xml:space="preserve"> in islanded mode, </w:t>
      </w:r>
      <w:r w:rsidR="00A93615">
        <w:rPr>
          <w:rFonts w:ascii="Times New Roman" w:hAnsi="Times New Roman"/>
        </w:rPr>
        <w:t>independently supplying power during disturbances or outages,</w:t>
      </w:r>
      <w:r w:rsidR="000301D7" w:rsidRPr="00FF6D90">
        <w:rPr>
          <w:rFonts w:ascii="Times New Roman" w:hAnsi="Times New Roman"/>
        </w:rPr>
        <w:t xml:space="preserve"> depending on operating conditions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{"citationItems":[{"id":"ITEM-1","itemData":{"DOI":"10.53430/ijsru.2023.6.1.0062","author":[{"dropping-particle":"","family":"Belrzaeg","given":"Mohamed","non-dropping-particle":"","parse-names":false,"suffix":""},{"dropping-particle":"","family":"Sif","given":"Mohamed Abou","non-dropping-particle":"","parse-names":false,"suffix":""},{"dropping-particle":"","family":"Almabsout","given":"Emad","non-dropping-particle":"","parse-names":false,"suffix":""},{"dropping-particle":"","family":"Benisheikh","given":"Umar Ali","non-dropping-particle":"","parse-names":false,"suffix":""}],"container-title":"International Journal of Scientific Research Updates","id":"ITEM-1","issued":{"date-parts":[["2023"]]},"title":"Distributed generation for Microgrid technology","type":"article-journal"},"uris":["http://www.mendeley.com/documents/?uuid=710cffee-9b4e-4f86-acc6-0e4d5127ce24"]}],"mendeley":{"formattedCitation":"(Belrzaeg, Sif, Almabsout, &amp; Benisheikh, 2023)","plainTextFormattedCitation":"(Belrzaeg, Sif, Almabsout, &amp; Benisheikh, 2023)","previouslyFormattedCitation":"[1]"},"properties":{"noteIndex":0},"schema":"https://github.com/citation-style-language/schema/raw/master/csl-citation.json"}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(Belrzaeg</w:t>
      </w:r>
      <w:r w:rsidR="00230430">
        <w:rPr>
          <w:rFonts w:ascii="Times New Roman" w:hAnsi="Times New Roman"/>
          <w:noProof/>
        </w:rPr>
        <w:t xml:space="preserve"> et al.</w:t>
      </w:r>
      <w:r w:rsidR="000301D7" w:rsidRPr="00FF6D90">
        <w:rPr>
          <w:rFonts w:ascii="Times New Roman" w:hAnsi="Times New Roman"/>
          <w:noProof/>
        </w:rPr>
        <w:t>, 2023)</w:t>
      </w:r>
      <w:r w:rsidR="000301D7" w:rsidRPr="00FF6D90">
        <w:rPr>
          <w:rFonts w:ascii="Times New Roman" w:hAnsi="Times New Roman"/>
        </w:rPr>
        <w:fldChar w:fldCharType="end"/>
      </w:r>
      <w:r w:rsidR="000301D7" w:rsidRPr="00FF6D90">
        <w:rPr>
          <w:rFonts w:ascii="Times New Roman" w:hAnsi="Times New Roman"/>
        </w:rPr>
        <w:t xml:space="preserve">. Microgrids increase reliability and resilience </w:t>
      </w:r>
      <w:r w:rsidR="00A93615">
        <w:rPr>
          <w:rFonts w:ascii="Times New Roman" w:hAnsi="Times New Roman"/>
        </w:rPr>
        <w:t>by ensuring uninterrupted electricity supply in the event of utility grid failure</w:t>
      </w:r>
      <w:r w:rsidR="000301D7" w:rsidRPr="00FF6D90">
        <w:rPr>
          <w:rFonts w:ascii="Times New Roman" w:hAnsi="Times New Roman"/>
        </w:rPr>
        <w:t xml:space="preserve">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{"citationItems":[{"id":"ITEM-1","itemData":{"DOI":"10.53430/ijsru.2023.6.1.0062","author":[{"dropping-particle":"","family":"Belrzaeg","given":"Mohamed","non-dropping-particle":"","parse-names":false,"suffix":""},{"dropping-particle":"","family":"Sif","given":"Mohamed Abou","non-dropping-particle":"","parse-names":false,"suffix":""},{"dropping-particle":"","family":"Almabsout","given":"Emad","non-dropping-particle":"","parse-names":false,"suffix":""},{"dropping-particle":"","family":"Benisheikh","given":"Umar Ali","non-dropping-particle":"","parse-names":false,"suffix":""}],"container-title":"International Journal of Scientific Research Updates","id":"ITEM-1","issued":{"date-parts":[["2023"]]},"title":"Distributed generation for Microgrid technology","type":"article-journal"},"uris":["http://www.mendeley.com/documents/?uuid=710cffee-9b4e-4f86-acc6-0e4d5127ce24"]},{"id":"ITEM-2","itemData":{"DOI":"10.1002/9781119890881.ch10","author":[{"dropping-particle":"","family":"Bie","given":"Zhaohong","non-dropping-particle":"","parse-names":false,"suffix":""},{"dropping-particle":"","family":"Bian","given":"Yiheng","non-dropping-particle":"","parse-names":false,"suffix":""}],"id":"ITEM-2","issued":{"date-parts":[["2024"]]},"page":"197-218","title":"Microgrids Resilience: Definition, Measures, and Algorithms","type":"article-journal"},"uris":["http://www.mendeley.com/documents/?uuid=02071344-f50a-4baf-a063-40a63c3e2500"]},{"id":"ITEM-3","itemData":{"DOI":"10.12783/DTETR/MCEE2016/6412","author":[{"dropping-particle":"","family":"Zhou","given":"XueSong","non-dropping-particle":"","parse-names":false,"suffix":""},{"dropping-particle":"","family":"Guo","given":"Tie","non-dropping-particle":"","parse-names":false,"suffix":""},{"dropping-particle":"","family":"Youjie","given":"Ma","non-dropping-particle":"","parse-names":false,"suffix":""}],"container-title":"DEStech Transactions on Engineering and Technology Research","id":"ITEM-3","issued":{"date-parts":[["2017"]]},"title":"An Overview on Operation and Control of Microgrid","type":"article-journal"},"uris":["http://www.mendeley.com/documents/?uuid=9f8e5d98-1925-48db-979d-07ed37dd44d2"]}],"mendeley":{"formattedCitation":"(Belrzaeg et al., 2023; Bie &amp; Bian, 2024; Zhou, Guo, &amp; Youjie, 2017)","plainTextFormattedCitation":"(Belrzaeg et al., 2023; Bie &amp; Bian, 2024; Zhou, Guo, &amp; Youjie, 2017)","previouslyFormattedCitation":"[1]–[3]"},"properties":{"noteIndex":0},"schema":"https://github.com/citation-style-language/schema/raw/master/csl-citation.json"}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(Belrzaeg et al., 2023; Bie &amp; Bian, 2024; Zhou, Guo, &amp; Youjie, 2017)</w:t>
      </w:r>
      <w:r w:rsidR="000301D7" w:rsidRPr="00FF6D90">
        <w:rPr>
          <w:rFonts w:ascii="Times New Roman" w:hAnsi="Times New Roman"/>
        </w:rPr>
        <w:fldChar w:fldCharType="end"/>
      </w:r>
      <w:r w:rsidR="000301D7" w:rsidRPr="00FF6D90">
        <w:rPr>
          <w:rFonts w:ascii="Times New Roman" w:hAnsi="Times New Roman"/>
        </w:rPr>
        <w:t xml:space="preserve">. The reserve margin is a term used in power system planning to </w:t>
      </w:r>
      <w:r w:rsidR="00A93615">
        <w:rPr>
          <w:rFonts w:ascii="Times New Roman" w:hAnsi="Times New Roman"/>
        </w:rPr>
        <w:t>denote the percentage of unutilized generation capacity that should be available to maintain system balance and serve critical loads during period</w:t>
      </w:r>
      <w:r w:rsidR="000301D7" w:rsidRPr="00FF6D90">
        <w:rPr>
          <w:rFonts w:ascii="Times New Roman" w:hAnsi="Times New Roman"/>
        </w:rPr>
        <w:t xml:space="preserve">s of high demand or supply limitations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{"citationItems":[{"id":"ITEM-1","itemData":{"DOI":"10.51594/estj.v5i7.1360","author":[{"dropping-particle":"","family":"Agupugo","given":"Chijioke Paul","non-dropping-particle":"","parse-names":false,"suffix":""},{"dropping-particle":"","family":"Kehinde","given":"Husseini Musa","non-dropping-particle":"","parse-names":false,"suffix":""},{"dropping-particle":"","family":"Manuel","given":"Helena Nbéu Nkula","non-dropping-particle":"","parse-names":false,"suffix":""}],"container-title":"Engineering science &amp; tecnology journal","id":"ITEM-1","issue":"7","issued":{"date-parts":[["2024"]]},"page":"2379-2401","publisher":"Fair East Publishers","title":"Optimization of microgrid operations using renewable energy sources","type":"article-journal","volume":"5"},"uris":["http://www.mendeley.com/documents/?uuid=9d4fc03a-8b62-453f-acbf-f6f3ccded696"]},{"id":"ITEM-2","itemData":{"DOI":"10.21608/astj.2025.387829.1061","author":[{"dropping-particle":"","family":"Samir","given":"Ahmed","non-dropping-particle":"","parse-names":false,"suffix":""},{"dropping-particle":"","family":"Mostafa","given":"MohamedS","non-dropping-particle":"","parse-names":false,"suffix":""},{"dropping-particle":"","family":"Ashraf","given":"Abdelrahman","non-dropping-particle":"","parse-names":false,"suffix":""},{"dropping-particle":"","family":"Hafez","given":"Ahmed","non-dropping-particle":"","parse-names":false,"suffix":""}],"container-title":"Advanced Sciences and Technology Journal","id":"ITEM-2","issue":"0","issued":{"date-parts":[["2025"]]},"page":"0","publisher":"Egyptian Chinese University","title":"Techno-Economic Assessment of Renewable Energy-Based Microgrids: A Case Study for Building in El Gouna, Egypt","type":"article-journal","volume":"0"},"uris":["http://www.mendeley.com/documents/?uuid=0e6c75c1-ddab-4643-bced-529f0e29b7d2"]}],"mendeley":{"formattedCitation":"(Agupugo, Kehinde, &amp; Manuel, 2024; Samir, Mostafa, Ashraf, &amp; Hafez, 2025)","plainTextFormattedCitation":"(Agupugo, Kehinde, &amp; Manuel, 2024; Samir, Mostafa, Ashraf, &amp; Hafez, 2025)","previouslyFormattedCitation":"[4], [5]"},"properties":{"noteIndex":0},"schema":"https://github.com/citation-style-language/schema/raw/master/csl-citation.json"}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(Agupugo</w:t>
      </w:r>
      <w:r w:rsidR="00230430">
        <w:rPr>
          <w:rFonts w:ascii="Times New Roman" w:hAnsi="Times New Roman"/>
          <w:noProof/>
        </w:rPr>
        <w:t xml:space="preserve"> et al.</w:t>
      </w:r>
      <w:r w:rsidR="000301D7" w:rsidRPr="00FF6D90">
        <w:rPr>
          <w:rFonts w:ascii="Times New Roman" w:hAnsi="Times New Roman"/>
          <w:noProof/>
        </w:rPr>
        <w:t xml:space="preserve">, 2024; Samir </w:t>
      </w:r>
      <w:r w:rsidR="00230430">
        <w:rPr>
          <w:rFonts w:ascii="Times New Roman" w:hAnsi="Times New Roman"/>
          <w:noProof/>
        </w:rPr>
        <w:t>et al.</w:t>
      </w:r>
      <w:r>
        <w:rPr>
          <w:rFonts w:ascii="Times New Roman" w:hAnsi="Times New Roman"/>
          <w:noProof/>
        </w:rPr>
        <w:t>,</w:t>
      </w:r>
      <w:r w:rsidR="000301D7" w:rsidRPr="00FF6D90">
        <w:rPr>
          <w:rFonts w:ascii="Times New Roman" w:hAnsi="Times New Roman"/>
          <w:noProof/>
        </w:rPr>
        <w:t xml:space="preserve"> 2025)</w:t>
      </w:r>
      <w:r w:rsidR="000301D7" w:rsidRPr="00FF6D90">
        <w:rPr>
          <w:rFonts w:ascii="Times New Roman" w:hAnsi="Times New Roman"/>
        </w:rPr>
        <w:fldChar w:fldCharType="end"/>
      </w:r>
      <w:r w:rsidR="000301D7" w:rsidRPr="00FF6D90">
        <w:rPr>
          <w:rFonts w:ascii="Times New Roman" w:hAnsi="Times New Roman"/>
        </w:rPr>
        <w:t xml:space="preserve">. Microgrids can play an important role in overall grid stability through their localized </w:t>
      </w:r>
      <w:r w:rsidR="00A93615">
        <w:rPr>
          <w:rFonts w:ascii="Times New Roman" w:hAnsi="Times New Roman"/>
        </w:rPr>
        <w:t>support to the grid, enhanced power quality, and reduced</w:t>
      </w:r>
      <w:r w:rsidR="000301D7" w:rsidRPr="00FF6D90">
        <w:rPr>
          <w:rFonts w:ascii="Times New Roman" w:hAnsi="Times New Roman"/>
        </w:rPr>
        <w:t xml:space="preserve"> reliance on centralized infrastructure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{"citationItems":[{"id":"ITEM-1","itemData":{"DOI":"10.55041/ijsrem35375","author":[{"dropping-particle":"V","family":"Rajesh","given":"L","non-dropping-particle":"","parse-names":false,"suffix":""}],"container-title":"Indian Scientific Journal Of Research In Engineering And Management","id":"ITEM-1","issue":"05","issued":{"date-parts":[["2024"]]},"page":"1-5","publisher":"Indospace Publications","title":"Energy management system of microgrid with renewable energy sources","type":"article-journal","volume":"08"},"uris":["http://www.mendeley.com/documents/?uuid=670e1ba4-4c96-4f74-b28c-1aad5b9e6f54"]}],"mendeley":{"formattedCitation":"(Rajesh, 2024)","plainTextFormattedCitation":"(Rajesh, 2024)","previouslyFormattedCitation":"[6]"},"properties":{"noteIndex":0},"schema":"https://github.com/citation-style-language/schema/raw/master/csl-citation.json"}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(Rajesh, 2024)</w:t>
      </w:r>
      <w:r w:rsidR="000301D7" w:rsidRPr="00FF6D90">
        <w:rPr>
          <w:rFonts w:ascii="Times New Roman" w:hAnsi="Times New Roman"/>
        </w:rPr>
        <w:fldChar w:fldCharType="end"/>
      </w:r>
      <w:r w:rsidR="000301D7" w:rsidRPr="00FF6D90">
        <w:rPr>
          <w:rFonts w:ascii="Times New Roman" w:hAnsi="Times New Roman"/>
        </w:rPr>
        <w:t xml:space="preserve">. Hybrid microgrids based on renewable energy are </w:t>
      </w:r>
      <w:r w:rsidR="00A93615">
        <w:rPr>
          <w:rFonts w:ascii="Times New Roman" w:hAnsi="Times New Roman"/>
        </w:rPr>
        <w:t>particularly useful because they</w:t>
      </w:r>
      <w:r w:rsidR="000301D7" w:rsidRPr="00FF6D90">
        <w:rPr>
          <w:rFonts w:ascii="Times New Roman" w:hAnsi="Times New Roman"/>
        </w:rPr>
        <w:t xml:space="preserve"> integrate various clean energy technologies to improve efficiency and minimize carbon emissions. This type of system plays a direct role in decarbonization initiatives </w:t>
      </w:r>
      <w:r w:rsidR="00A93615">
        <w:rPr>
          <w:rFonts w:ascii="Times New Roman" w:hAnsi="Times New Roman"/>
        </w:rPr>
        <w:t>worldwide, such as the United Nations' vision of achieving</w:t>
      </w:r>
      <w:r w:rsidR="000301D7" w:rsidRPr="00FF6D90">
        <w:rPr>
          <w:rFonts w:ascii="Times New Roman" w:hAnsi="Times New Roman"/>
        </w:rPr>
        <w:t xml:space="preserve"> net-zero emission</w:t>
      </w:r>
      <w:r>
        <w:rPr>
          <w:rFonts w:ascii="Times New Roman" w:hAnsi="Times New Roman"/>
        </w:rPr>
        <w:t>s</w:t>
      </w:r>
      <w:r w:rsidR="000301D7" w:rsidRPr="00FF6D90">
        <w:rPr>
          <w:rFonts w:ascii="Times New Roman" w:hAnsi="Times New Roman"/>
        </w:rPr>
        <w:t xml:space="preserve"> by 2050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{"citationItems":[{"id":"ITEM-1","itemData":{"DOI":"10.31695/ijasre.2024.4.2","author":[{"dropping-particle":"","family":"Ahmad","given":"Furkan","non-dropping-particle":"","parse-names":false,"suffix":""},{"dropping-particle":"","family":"Alshatti","given":"Adel H","non-dropping-particle":"","parse-names":false,"suffix":""}],"container-title":"International journal of advances in scientific research and engineering","id":"ITEM-1","issue":"04","issued":{"date-parts":[["2024"]]},"page":"13-22","publisher":"Sretechjournal Publication","title":"Design and Development of Hybrid Microgrid Control System for Renewable Energy Generation","type":"article-journal","volume":"10"},"uris":["http://www.mendeley.com/documents/?uuid=59945764-8168-4656-8d36-9408d752bf33"]},{"id":"ITEM-2","itemData":{"DOI":"10.32479/ijeep.13175","author":[{"dropping-particle":"","family":"Cerqueira Lima e Penalva Santos","given":"Daniel","non-dropping-particle":"de","parse-names":false,"suffix":""},{"dropping-particle":"","family":"Ihler","given":"Juliana Berendt","non-dropping-particle":"","parse-names":false,"suffix":""},{"dropping-particle":"","family":"Soares","given":"Laene Oliveira","non-dropping-particle":"","parse-names":false,"suffix":""},{"dropping-particle":"","family":"Alves","given":"Yana Amaral","non-dropping-particle":"","parse-names":false,"suffix":""},{"dropping-particle":"","family":"Souza","given":"Cristina Gomez","non-dropping-particle":"","parse-names":false,"suffix":""},{"dropping-particle":"","family":"Boloy","given":"Ronney Arismel Mancebo","non-dropping-particle":"","parse-names":false,"suffix":""}],"container-title":"International Journal of Energy Economics and Policy","id":"ITEM-2","issue":"4","issued":{"date-parts":[["2022"]]},"page":"263-273","title":"Global Trends and Opportunities in Hybrid Microgrid Systems Using Renewable Energies","type":"article-journal","volume":"12"},"uris":["http://www.mendeley.com/documents/?uuid=8cdff809-f1d6-4898-b72e-c63d78c217a0"]}],"mendeley":{"formattedCitation":"(Ahmad &amp; Alshatti, 2024; de Cerqueira Lima e Penalva Santos et al., 2022)","plainTextFormattedCitation":"(Ahmad &amp; Alshatti, 2024; de Cerqueira Lima e Penalva Santos et al., 2022)","previouslyFormattedCitation":"[7], [8]"},"properties":{"noteIndex":0},"schema":"https://github.com/citation-style-language/schema/raw/master/csl-citation.json"}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(Ahmad &amp; Alshatti, 2024; de Cerqueira Lima e Penalva Santos et al., 2022)</w:t>
      </w:r>
      <w:r w:rsidR="000301D7" w:rsidRPr="00FF6D90">
        <w:rPr>
          <w:rFonts w:ascii="Times New Roman" w:hAnsi="Times New Roman"/>
        </w:rPr>
        <w:fldChar w:fldCharType="end"/>
      </w:r>
      <w:r w:rsidR="000301D7" w:rsidRPr="00FF6D90">
        <w:rPr>
          <w:rFonts w:ascii="Times New Roman" w:hAnsi="Times New Roman"/>
        </w:rPr>
        <w:t xml:space="preserve">. Besides, microgrids can be a useful approach to </w:t>
      </w:r>
      <w:r w:rsidR="00A93615">
        <w:rPr>
          <w:rFonts w:ascii="Times New Roman" w:hAnsi="Times New Roman"/>
        </w:rPr>
        <w:t>addressing energy poverty, particularly in remote or isolated regions where extending the central grid is not only technically difficult but also economically infea</w:t>
      </w:r>
      <w:r w:rsidR="000301D7" w:rsidRPr="00FF6D90">
        <w:rPr>
          <w:rFonts w:ascii="Times New Roman" w:hAnsi="Times New Roman"/>
        </w:rPr>
        <w:t xml:space="preserve">sible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{"citationItems":[{"id":"ITEM-1","itemData":{"DOI":"10.1007/s40866-024-00200-w","author":[{"dropping-particle":"","family":"Rashwan","given":"Ahmed","non-dropping-particle":"","parse-names":false,"suffix":""},{"dropping-particle":"","family":"Faragalla","given":"Asmaa M","non-dropping-particle":"","parse-names":false,"suffix":""},{"dropping-particle":"","family":"Abo-Zahhad","given":"Essam M","non-dropping-particle":"","parse-names":false,"suffix":""},{"dropping-particle":"","family":"El-Dein","given":"Adel Z","non-dropping-particle":"","parse-names":false,"suffix":""},{"dropping-particle":"","family":"Liu","given":"Yuezhi","non-dropping-particle":"","parse-names":false,"suffix":""},{"dropping-particle":"","family":"Chen","given":"Yong","non-dropping-particle":"","parse-names":false,"suffix":""},{"dropping-particle":"","family":"Abdelhameed","given":"Esam H","non-dropping-particle":"","parse-names":false,"suffix":""}],"id":"ITEM-1","issued":{"date-parts":[["2024"]]},"title":"Techno-economic Optimization of Isolated Hybrid Microgrids for Remote Areas Electrification: Aswan city as a Case Study","type":"article-journal"},"uris":["http://www.mendeley.com/documents/?uuid=8a9132ba-8c20-428b-8ce1-3e439feab521"]}],"mendeley":{"formattedCitation":"(Rashwan et al., 2024)","plainTextFormattedCitation":"(Rashwan et al., 2024)","previouslyFormattedCitation":"[9]"},"properties":{"noteIndex":0},"schema":"https://github.com/citation-style-language/schema/raw/master/csl-citation.json"}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(Rashwan et al., 2024)</w:t>
      </w:r>
      <w:r w:rsidR="000301D7" w:rsidRPr="00FF6D90">
        <w:rPr>
          <w:rFonts w:ascii="Times New Roman" w:hAnsi="Times New Roman"/>
        </w:rPr>
        <w:fldChar w:fldCharType="end"/>
      </w:r>
      <w:r w:rsidR="000301D7" w:rsidRPr="00FF6D90">
        <w:rPr>
          <w:rFonts w:ascii="Times New Roman" w:hAnsi="Times New Roman"/>
        </w:rPr>
        <w:t>.</w:t>
      </w:r>
    </w:p>
    <w:p w14:paraId="3EAD8C39" w14:textId="0ABEF284" w:rsidR="000301D7" w:rsidRPr="00FF6D90" w:rsidRDefault="000301D7" w:rsidP="004D29E9">
      <w:pPr>
        <w:spacing w:after="0" w:line="240" w:lineRule="auto"/>
        <w:ind w:firstLine="284"/>
        <w:jc w:val="both"/>
        <w:rPr>
          <w:rFonts w:ascii="Times New Roman" w:hAnsi="Times New Roman"/>
        </w:rPr>
      </w:pPr>
      <w:r w:rsidRPr="00FF6D90">
        <w:rPr>
          <w:rFonts w:ascii="Times New Roman" w:hAnsi="Times New Roman"/>
        </w:rPr>
        <w:t>The variability and intermittency of renewable energy sources are inherent characteristics that p</w:t>
      </w:r>
      <w:r w:rsidR="00A93615">
        <w:rPr>
          <w:rFonts w:ascii="Times New Roman" w:hAnsi="Times New Roman"/>
        </w:rPr>
        <w:t>ose significant challenges for</w:t>
      </w:r>
      <w:r w:rsidRPr="00FF6D90">
        <w:rPr>
          <w:rFonts w:ascii="Times New Roman" w:hAnsi="Times New Roman"/>
        </w:rPr>
        <w:t xml:space="preserve"> the management and operation of microgrids </w:t>
      </w:r>
      <w:r w:rsidRPr="00FF6D90">
        <w:rPr>
          <w:rFonts w:ascii="Times New Roman" w:hAnsi="Times New Roman"/>
        </w:rPr>
        <w:fldChar w:fldCharType="begin" w:fldLock="1"/>
      </w:r>
      <w:r w:rsidRPr="00FF6D90">
        <w:rPr>
          <w:rFonts w:ascii="Times New Roman" w:hAnsi="Times New Roman"/>
        </w:rPr>
        <w:instrText>ADDIN CSL_CITATION {"citationItems":[{"id":"ITEM-1","itemData":{"DOI":"10.55041/ijsrem35375","author":[{"dropping-particle":"V","family":"Rajesh","given":"L","non-dropping-particle":"","parse-names":false,"suffix":""}],"container-title":"Indian Scientific Journal Of Research In Engineering And Management","id":"ITEM-1","issue":"05","issued":{"date-parts":[["2024"]]},"page":"1-5","publisher":"Indospace Publications","title":"Energy management system of microgrid with renewable energy sources","type":"article-journal","volume":"08"},"uris":["http://www.mendeley.com/documents/?uuid=670e1ba4-4c96-4f74-b28c-1aad5b9e6f54"]}],"mendeley":{"formattedCitation":"(Rajesh, 2024)","plainTextFormattedCitation":"(Rajesh, 2024)","previouslyFormattedCitation":"[6]"},"properties":{"noteIndex":0},"schema":"https://github.com/citation-style-language/schema/raw/master/csl-citation.json"}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(Rajesh, 2024)</w:t>
      </w:r>
      <w:r w:rsidRPr="00FF6D90">
        <w:rPr>
          <w:rFonts w:ascii="Times New Roman" w:hAnsi="Times New Roman"/>
        </w:rPr>
        <w:fldChar w:fldCharType="end"/>
      </w:r>
      <w:r w:rsidRPr="00FF6D90">
        <w:rPr>
          <w:rFonts w:ascii="Times New Roman" w:hAnsi="Times New Roman"/>
        </w:rPr>
        <w:t xml:space="preserve">. To balance renewable generation, energy storage </w:t>
      </w:r>
      <w:proofErr w:type="spellStart"/>
      <w:r w:rsidRPr="00FF6D90">
        <w:rPr>
          <w:rFonts w:ascii="Times New Roman" w:hAnsi="Times New Roman"/>
        </w:rPr>
        <w:t>behavior</w:t>
      </w:r>
      <w:proofErr w:type="spellEnd"/>
      <w:r w:rsidRPr="00FF6D90">
        <w:rPr>
          <w:rFonts w:ascii="Times New Roman" w:hAnsi="Times New Roman"/>
        </w:rPr>
        <w:t xml:space="preserve">, grid interaction, and load satisfaction, a careful balance </w:t>
      </w:r>
      <w:r w:rsidR="00A93615">
        <w:rPr>
          <w:rFonts w:ascii="Times New Roman" w:hAnsi="Times New Roman"/>
        </w:rPr>
        <w:t>among renewable generation, renewable energy storage, and renewable energy performance is essential to achieve stable, cost-effective</w:t>
      </w:r>
      <w:r w:rsidRPr="00FF6D90">
        <w:rPr>
          <w:rFonts w:ascii="Times New Roman" w:hAnsi="Times New Roman"/>
        </w:rPr>
        <w:t xml:space="preserve"> performance </w:t>
      </w:r>
      <w:r w:rsidRPr="00FF6D90">
        <w:rPr>
          <w:rFonts w:ascii="Times New Roman" w:hAnsi="Times New Roman"/>
        </w:rPr>
        <w:fldChar w:fldCharType="begin" w:fldLock="1"/>
      </w:r>
      <w:r w:rsidRPr="00FF6D90">
        <w:rPr>
          <w:rFonts w:ascii="Times New Roman" w:hAnsi="Times New Roman"/>
        </w:rPr>
        <w:instrText>ADDIN CSL_CITATION {"citationItems":[{"id":"ITEM-1","itemData":{"DOI":"10.31695/ijasre.2024.4.2","author":[{"dropping-particle":"","family":"Ahmad","given":"Furkan","non-dropping-particle":"","parse-names":false,"suffix":""},{"dropping-particle":"","family":"Alshatti","given":"Adel H","non-dropping-particle":"","parse-names":false,"suffix":""}],"container-title":"International journal of advances in scientific research and engineering","id":"ITEM-1","issue":"04","issued":{"date-parts":[["2024"]]},"page":"13-22","publisher":"Sretechjournal Publication","title":"Design and Development of Hybrid Microgrid Control System for Renewable Energy Generation","type":"article-journal","volume":"10"},"uris":["http://www.mendeley.com/documents/?uuid=59945764-8168-4656-8d36-9408d752bf33"]}],"mendeley":{"formattedCitation":"(Ahmad &amp; Alshatti, 2024)","plainTextFormattedCitation":"(Ahmad &amp; Alshatti, 2024)","previouslyFormattedCitation":"[7]"},"properties":{"noteIndex":0},"schema":"https://github.com/citation-style-language/schema/raw/master/csl-citation.json"}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(Ahmad &amp; Alshatti, 2024)</w:t>
      </w:r>
      <w:r w:rsidRPr="00FF6D90">
        <w:rPr>
          <w:rFonts w:ascii="Times New Roman" w:hAnsi="Times New Roman"/>
        </w:rPr>
        <w:fldChar w:fldCharType="end"/>
      </w:r>
      <w:r w:rsidRPr="00FF6D90">
        <w:rPr>
          <w:rFonts w:ascii="Times New Roman" w:hAnsi="Times New Roman"/>
        </w:rPr>
        <w:t xml:space="preserve">. Therefore, </w:t>
      </w:r>
      <w:r w:rsidR="00A93615">
        <w:rPr>
          <w:rFonts w:ascii="Times New Roman" w:hAnsi="Times New Roman"/>
        </w:rPr>
        <w:t>identifying the optimal operating cost of a microgrid that accounts for grid import/export charges, battery charging and discharging cycles, and the use of renewable resources has become a crucial research topic</w:t>
      </w:r>
      <w:r w:rsidRPr="00FF6D90">
        <w:rPr>
          <w:rFonts w:ascii="Times New Roman" w:hAnsi="Times New Roman"/>
        </w:rPr>
        <w:t xml:space="preserve"> </w:t>
      </w:r>
      <w:r w:rsidRPr="00FF6D90">
        <w:rPr>
          <w:rFonts w:ascii="Times New Roman" w:hAnsi="Times New Roman"/>
        </w:rPr>
        <w:fldChar w:fldCharType="begin" w:fldLock="1"/>
      </w:r>
      <w:r w:rsidRPr="00FF6D90">
        <w:rPr>
          <w:rFonts w:ascii="Times New Roman" w:hAnsi="Times New Roman"/>
        </w:rPr>
        <w:instrText>ADDIN CSL_CITATION {"citationItems":[{"id":"ITEM-1","itemData":{"DOI":"10.1007/978-981-16-4943-1_27","author":[{"dropping-particle":"","family":"Queen","given":"Hephzibah Jose","non-dropping-particle":"","parse-names":false,"suffix":""},{"dropping-particle":"","family":"Jayakumar","given":"J","non-dropping-particle":"","parse-names":false,"suffix":""},{"dropping-particle":"","family":"Deepika","given":"T J","non-dropping-particle":"","parse-names":false,"suffix":""}],"id":"ITEM-1","issued":{"date-parts":[["2022"]]},"page":"291-302","publisher":"Springer, Singapore","title":"Operating Cost Analysis of Microgrid Including Renewable Energy Sources and a Battery Under Dynamic Pricing","type":"article-journal"},"uris":["http://www.mendeley.com/documents/?uuid=b79c39c4-4c5c-4771-9e35-12eadd72f83c"]}],"mendeley":{"formattedCitation":"(Queen, Jayakumar, &amp; Deepika, 2022)","plainTextFormattedCitation":"(Queen, Jayakumar, &amp; Deepika, 2022)","previouslyFormattedCitation":"[10]"},"properties":{"noteIndex":0},"schema":"https://github.com/citation-style-language/schema/raw/master/csl-citation.json"}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 xml:space="preserve">(Queen </w:t>
      </w:r>
      <w:r w:rsidR="00230430">
        <w:rPr>
          <w:rFonts w:ascii="Times New Roman" w:hAnsi="Times New Roman"/>
          <w:noProof/>
        </w:rPr>
        <w:t>et al.</w:t>
      </w:r>
      <w:r w:rsidRPr="00FF6D90">
        <w:rPr>
          <w:rFonts w:ascii="Times New Roman" w:hAnsi="Times New Roman"/>
          <w:noProof/>
        </w:rPr>
        <w:t>, 2022)</w:t>
      </w:r>
      <w:r w:rsidRPr="00FF6D90">
        <w:rPr>
          <w:rFonts w:ascii="Times New Roman" w:hAnsi="Times New Roman"/>
        </w:rPr>
        <w:fldChar w:fldCharType="end"/>
      </w:r>
      <w:r w:rsidRPr="00FF6D90">
        <w:rPr>
          <w:rFonts w:ascii="Times New Roman" w:hAnsi="Times New Roman"/>
        </w:rPr>
        <w:t xml:space="preserve">. Optimization of power system </w:t>
      </w:r>
      <w:r w:rsidRPr="00FF6D90">
        <w:rPr>
          <w:rFonts w:ascii="Times New Roman" w:hAnsi="Times New Roman"/>
        </w:rPr>
        <w:lastRenderedPageBreak/>
        <w:t>operations is not a new pursuit; this has been developing over the decades</w:t>
      </w:r>
      <w:r w:rsidR="00BB0A79">
        <w:rPr>
          <w:rFonts w:ascii="Times New Roman" w:hAnsi="Times New Roman"/>
        </w:rPr>
        <w:t>,</w:t>
      </w:r>
      <w:r w:rsidRPr="00FF6D90">
        <w:rPr>
          <w:rFonts w:ascii="Times New Roman" w:hAnsi="Times New Roman"/>
        </w:rPr>
        <w:t xml:space="preserve"> where classical mathematical programming has helped in its initial development</w:t>
      </w:r>
      <w:r w:rsidR="00BB0A79">
        <w:rPr>
          <w:rFonts w:ascii="Times New Roman" w:hAnsi="Times New Roman"/>
        </w:rPr>
        <w:t>,</w:t>
      </w:r>
      <w:r w:rsidRPr="00FF6D90">
        <w:rPr>
          <w:rFonts w:ascii="Times New Roman" w:hAnsi="Times New Roman"/>
        </w:rPr>
        <w:t xml:space="preserve"> and its pace was also increased by the development of digital computation that has changed the face of numerical optimization </w:t>
      </w:r>
      <w:r w:rsidRPr="00FF6D90">
        <w:rPr>
          <w:rFonts w:ascii="Times New Roman" w:hAnsi="Times New Roman"/>
        </w:rPr>
        <w:fldChar w:fldCharType="begin" w:fldLock="1"/>
      </w:r>
      <w:r w:rsidRPr="00FF6D90">
        <w:rPr>
          <w:rFonts w:ascii="Times New Roman" w:hAnsi="Times New Roman"/>
        </w:rPr>
        <w:instrText>ADDIN CSL_CITATION {"citationItems":[{"id":"ITEM-1","itemData":{"DOI":"10.1109/sces61914.2024.10652565","author":[{"dropping-particle":"","family":"Khanna","given":"P","non-dropping-particle":"","parse-names":false,"suffix":""},{"dropping-particle":"","family":"Chanana","given":"Saurabh","non-dropping-particle":"","parse-names":false,"suffix":""}],"id":"ITEM-1","issued":{"date-parts":[["2024"]]},"page":"1-6","title":"Optimizing the Energy and Operational Management of Microgrids","type":"article-journal"},"uris":["http://www.mendeley.com/documents/?uuid=4927deb8-4d6d-43cf-94d5-b29370db56a2"]},{"id":"ITEM-2","itemData":{"DOI":"10.51594/estj.v5i7.1360","author":[{"dropping-particle":"","family":"Agupugo","given":"Chijioke Paul","non-dropping-particle":"","parse-names":false,"suffix":""},{"dropping-particle":"","family":"Kehinde","given":"Husseini Musa","non-dropping-particle":"","parse-names":false,"suffix":""},{"dropping-particle":"","family":"Manuel","given":"Helena Nbéu Nkula","non-dropping-particle":"","parse-names":false,"suffix":""}],"container-title":"Engineering science &amp; tecnology journal","id":"ITEM-2","issue":"7","issued":{"date-parts":[["2024"]]},"page":"2379-2401","publisher":"Fair East Publishers","title":"Optimization of microgrid operations using renewable energy sources","type":"article-journal","volume":"5"},"uris":["http://www.mendeley.com/documents/?uuid=9d4fc03a-8b62-453f-acbf-f6f3ccded696"]},{"id":"ITEM-3","itemData":{"DOI":"10.53430/ijsru.2023.6.1.0062","author":[{"dropping-particle":"","family":"Belrzaeg","given":"Mohamed","non-dropping-particle":"","parse-names":false,"suffix":""},{"dropping-particle":"","family":"Sif","given":"Mohamed Abou","non-dropping-particle":"","parse-names":false,"suffix":""},{"dropping-particle":"","family":"Almabsout","given":"Emad","non-dropping-particle":"","parse-names":false,"suffix":""},{"dropping-particle":"","family":"Benisheikh","given":"Umar Ali","non-dropping-particle":"","parse-names":false,"suffix":""}],"container-title":"International Journal of Scientific Research Updates","id":"ITEM-3","issued":{"date-parts":[["2023"]]},"title":"Distributed generation for Microgrid technology","type":"article-journal"},"uris":["http://www.mendeley.com/documents/?uuid=710cffee-9b4e-4f86-acc6-0e4d5127ce24"]}],"mendeley":{"formattedCitation":"(Agupugo et al., 2024; Belrzaeg et al., 2023; Khanna &amp; Chanana, 2024)","plainTextFormattedCitation":"(Agupugo et al., 2024; Belrzaeg et al., 2023; Khanna &amp; Chanana, 2024)","previouslyFormattedCitation":"[1], [4], [11]"},"properties":{"noteIndex":0},"schema":"https://github.com/citation-style-language/schema/raw/master/csl-citation.json"}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(Agupugo et al., 2024; Belrzaeg et al., 2023; Khanna &amp; Chanana, 2024)</w:t>
      </w:r>
      <w:r w:rsidRPr="00FF6D90">
        <w:rPr>
          <w:rFonts w:ascii="Times New Roman" w:hAnsi="Times New Roman"/>
        </w:rPr>
        <w:fldChar w:fldCharType="end"/>
      </w:r>
      <w:r w:rsidRPr="00FF6D90">
        <w:rPr>
          <w:rFonts w:ascii="Times New Roman" w:hAnsi="Times New Roman"/>
        </w:rPr>
        <w:t xml:space="preserve">. The use of advanced metaheuristic algorithms in contemporary microgrid studies has been </w:t>
      </w:r>
      <w:r w:rsidR="00A93615">
        <w:rPr>
          <w:rFonts w:ascii="Times New Roman" w:hAnsi="Times New Roman"/>
        </w:rPr>
        <w:t>employed to address the nonlinear interactions and high-complexity uncertainties</w:t>
      </w:r>
      <w:r w:rsidRPr="00FF6D90">
        <w:rPr>
          <w:rFonts w:ascii="Times New Roman" w:hAnsi="Times New Roman"/>
        </w:rPr>
        <w:t xml:space="preserve">. Among the proposed approaches </w:t>
      </w:r>
      <w:r w:rsidR="00A93615">
        <w:rPr>
          <w:rFonts w:ascii="Times New Roman" w:hAnsi="Times New Roman"/>
        </w:rPr>
        <w:t xml:space="preserve">are hybrid methods, such as the Series </w:t>
      </w:r>
      <w:proofErr w:type="spellStart"/>
      <w:r w:rsidR="00A93615">
        <w:rPr>
          <w:rFonts w:ascii="Times New Roman" w:hAnsi="Times New Roman"/>
        </w:rPr>
        <w:t>Salp</w:t>
      </w:r>
      <w:proofErr w:type="spellEnd"/>
      <w:r w:rsidR="00A93615">
        <w:rPr>
          <w:rFonts w:ascii="Times New Roman" w:hAnsi="Times New Roman"/>
        </w:rPr>
        <w:t xml:space="preserve"> Particle Swarm Optimization (SSPSO) method, to determine the Global Maximum Power Point (GMPP) in an independent photovoltaic (PV)-battery system, especially when experiencing partial </w:t>
      </w:r>
      <w:r w:rsidRPr="00FF6D90">
        <w:rPr>
          <w:rFonts w:ascii="Times New Roman" w:hAnsi="Times New Roman"/>
        </w:rPr>
        <w:t xml:space="preserve">shading </w:t>
      </w:r>
      <w:r w:rsidRPr="00FF6D90">
        <w:rPr>
          <w:rFonts w:ascii="Times New Roman" w:hAnsi="Times New Roman"/>
        </w:rPr>
        <w:fldChar w:fldCharType="begin" w:fldLock="1"/>
      </w:r>
      <w:r w:rsidRPr="00FF6D90">
        <w:rPr>
          <w:rFonts w:ascii="Times New Roman" w:hAnsi="Times New Roman"/>
        </w:rPr>
        <w:instrText>ADDIN CSL_CITATION {"citationItems":[{"id":"ITEM-1","itemData":{"DOI":"10.26682/csjuod.2023.26.2.36","author":[{"dropping-particle":"","family":"Hassan","given":"Hamad","non-dropping-particle":"","parse-names":false,"suffix":""},{"dropping-particle":"","family":"Habbi","given":"Hanan Mikhael D","non-dropping-particle":"","parse-names":false,"suffix":""},{"dropping-particle":"","family":"Abbood","given":"Afaneen","non-dropping-particle":"","parse-names":false,"suffix":""}],"container-title":"مجلة جامعة دهوك","id":"ITEM-1","issue":"2","issued":{"date-parts":[["2023"]]},"page":"390-399","publisher":"University of Duhok","title":"Hybrid Metaheuristic Algorithms Mppt under Partial Shading Condition","type":"article-journal","volume":"26"},"uris":["http://www.mendeley.com/documents/?uuid=55c8c4d6-7a54-4da5-b44b-1e29dc54a8b2"]}],"mendeley":{"formattedCitation":"(Hassan, Habbi, &amp; Abbood, 2023)","plainTextFormattedCitation":"(Hassan, Habbi, &amp; Abbood, 2023)","previouslyFormattedCitation":"[12]"},"properties":{"noteIndex":0},"schema":"https://github.com/citation-style-language/schema/raw/master/csl-citation.json"}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 xml:space="preserve">(Hassan </w:t>
      </w:r>
      <w:r w:rsidR="00230430">
        <w:rPr>
          <w:rFonts w:ascii="Times New Roman" w:hAnsi="Times New Roman"/>
          <w:noProof/>
        </w:rPr>
        <w:t>et al.</w:t>
      </w:r>
      <w:r w:rsidRPr="00FF6D90">
        <w:rPr>
          <w:rFonts w:ascii="Times New Roman" w:hAnsi="Times New Roman"/>
          <w:noProof/>
        </w:rPr>
        <w:t>, 2023)</w:t>
      </w:r>
      <w:r w:rsidRPr="00FF6D90">
        <w:rPr>
          <w:rFonts w:ascii="Times New Roman" w:hAnsi="Times New Roman"/>
        </w:rPr>
        <w:fldChar w:fldCharType="end"/>
      </w:r>
      <w:r w:rsidRPr="00FF6D90">
        <w:rPr>
          <w:rFonts w:ascii="Times New Roman" w:hAnsi="Times New Roman"/>
        </w:rPr>
        <w:t xml:space="preserve">. </w:t>
      </w:r>
      <w:r w:rsidR="00A93615">
        <w:rPr>
          <w:rFonts w:ascii="Times New Roman" w:hAnsi="Times New Roman"/>
        </w:rPr>
        <w:t>In such situations, the photovoltaic properties exhibit several local optima, requiring strong optimization to achieve</w:t>
      </w:r>
      <w:r w:rsidRPr="00FF6D90">
        <w:rPr>
          <w:rFonts w:ascii="Times New Roman" w:hAnsi="Times New Roman"/>
        </w:rPr>
        <w:t xml:space="preserve"> maximum power </w:t>
      </w:r>
      <w:r w:rsidRPr="00FF6D90">
        <w:rPr>
          <w:rFonts w:ascii="Times New Roman" w:hAnsi="Times New Roman"/>
        </w:rPr>
        <w:fldChar w:fldCharType="begin" w:fldLock="1"/>
      </w:r>
      <w:r w:rsidRPr="00FF6D90">
        <w:rPr>
          <w:rFonts w:ascii="Times New Roman" w:hAnsi="Times New Roman"/>
        </w:rPr>
        <w:instrText>ADDIN CSL_CITATION {"citationItems":[{"id":"ITEM-1","itemData":{"DOI":"10.26682/csjuod.2023.26.2.36","author":[{"dropping-particle":"","family":"Hassan","given":"Hamad","non-dropping-particle":"","parse-names":false,"suffix":""},{"dropping-particle":"","family":"Habbi","given":"Hanan Mikhael D","non-dropping-particle":"","parse-names":false,"suffix":""},{"dropping-particle":"","family":"Abbood","given":"Afaneen","non-dropping-particle":"","parse-names":false,"suffix":""}],"container-title":"مجلة جامعة دهوك","id":"ITEM-1","issue":"2","issued":{"date-parts":[["2023"]]},"page":"390-399","publisher":"University of Duhok","title":"Hybrid Metaheuristic Algorithms Mppt under Partial Shading Condition","type":"article-journal","volume":"26"},"uris":["http://www.mendeley.com/documents/?uuid=55c8c4d6-7a54-4da5-b44b-1e29dc54a8b2"]},{"id":"ITEM-2","itemData":{"DOI":"10.3390/en15114055","author":[{"dropping-particle":"","family":"Akram","given":"Nouman","non-dropping-particle":"","parse-names":false,"suffix":""},{"dropping-particle":"","family":"Khan","given":"Laiq","non-dropping-particle":"","parse-names":false,"suffix":""},{"dropping-particle":"","family":"Agha","given":"Shahrukh","non-dropping-particle":"","parse-names":false,"suffix":""},{"dropping-particle":"","family":"Hafeez","given":"Kamran","non-dropping-particle":"","parse-names":false,"suffix":""}],"container-title":"Energies","id":"ITEM-2","issue":"11","issued":{"date-parts":[["2022"]]},"page":"4055","title":"Global Maximum Power Point Tracking of Partially Shaded PV System Using Advanced Optimization Techniques","type":"article-journal","volume":"15"},"uris":["http://www.mendeley.com/documents/?uuid=e04d3705-a82c-4f46-aff3-8a0b9aff2f42"]}],"mendeley":{"formattedCitation":"(Akram, Khan, Agha, &amp; Hafeez, 2022; Hassan et al., 2023)","plainTextFormattedCitation":"(Akram, Khan, Agha, &amp; Hafeez, 2022; Hassan et al., 2023)","previouslyFormattedCitation":"[12], [13]"},"properties":{"noteIndex":0},"schema":"https://github.com/citation-style-language/schema/raw/master/csl-citation.json"}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(Akram</w:t>
      </w:r>
      <w:r w:rsidR="00230430">
        <w:rPr>
          <w:rFonts w:ascii="Times New Roman" w:hAnsi="Times New Roman"/>
          <w:noProof/>
        </w:rPr>
        <w:t xml:space="preserve"> et al.</w:t>
      </w:r>
      <w:r w:rsidR="00BB0A79">
        <w:rPr>
          <w:rFonts w:ascii="Times New Roman" w:hAnsi="Times New Roman"/>
          <w:noProof/>
        </w:rPr>
        <w:t>,</w:t>
      </w:r>
      <w:r w:rsidRPr="00FF6D90">
        <w:rPr>
          <w:rFonts w:ascii="Times New Roman" w:hAnsi="Times New Roman"/>
          <w:noProof/>
        </w:rPr>
        <w:t xml:space="preserve"> 2022; Hassan et al., 2023)</w:t>
      </w:r>
      <w:r w:rsidRPr="00FF6D90">
        <w:rPr>
          <w:rFonts w:ascii="Times New Roman" w:hAnsi="Times New Roman"/>
        </w:rPr>
        <w:fldChar w:fldCharType="end"/>
      </w:r>
      <w:r w:rsidRPr="00FF6D90">
        <w:rPr>
          <w:rFonts w:ascii="Times New Roman" w:hAnsi="Times New Roman"/>
        </w:rPr>
        <w:t>. The significance of multi-energy microgrids</w:t>
      </w:r>
      <w:r w:rsidR="00A93615">
        <w:rPr>
          <w:rFonts w:ascii="Times New Roman" w:hAnsi="Times New Roman"/>
        </w:rPr>
        <w:t>, which combine electricity with hydrogen generation, thermal loads, and a variety of storage technologies, is also</w:t>
      </w:r>
      <w:r w:rsidRPr="00FF6D90">
        <w:rPr>
          <w:rFonts w:ascii="Times New Roman" w:hAnsi="Times New Roman"/>
        </w:rPr>
        <w:t xml:space="preserve"> emphasized by recent studies </w:t>
      </w:r>
      <w:r w:rsidRPr="00FF6D90">
        <w:rPr>
          <w:rFonts w:ascii="Times New Roman" w:hAnsi="Times New Roman"/>
        </w:rPr>
        <w:fldChar w:fldCharType="begin" w:fldLock="1"/>
      </w:r>
      <w:r w:rsidRPr="00FF6D90">
        <w:rPr>
          <w:rFonts w:ascii="Times New Roman" w:hAnsi="Times New Roman"/>
        </w:rPr>
        <w:instrText>ADDIN CSL_CITATION {"citationItems":[{"id":"ITEM-1","itemData":{"DOI":"10.1007/s40866-024-00200-w","author":[{"dropping-particle":"","family":"Rashwan","given":"Ahmed","non-dropping-particle":"","parse-names":false,"suffix":""},{"dropping-particle":"","family":"Faragalla","given":"Asmaa M","non-dropping-particle":"","parse-names":false,"suffix":""},{"dropping-particle":"","family":"Abo-Zahhad","given":"Essam M","non-dropping-particle":"","parse-names":false,"suffix":""},{"dropping-particle":"","family":"El-Dein","given":"Adel Z","non-dropping-particle":"","parse-names":false,"suffix":""},{"dropping-particle":"","family":"Liu","given":"Yuezhi","non-dropping-particle":"","parse-names":false,"suffix":""},{"dropping-particle":"","family":"Chen","given":"Yong","non-dropping-particle":"","parse-names":false,"suffix":""},{"dropping-particle":"","family":"Abdelhameed","given":"Esam H","non-dropping-particle":"","parse-names":false,"suffix":""}],"id":"ITEM-1","issued":{"date-parts":[["2024"]]},"title":"Techno-economic Optimization of Isolated Hybrid Microgrids for Remote Areas Electrification: Aswan city as a Case Study","type":"article-journal"},"uris":["http://www.mendeley.com/documents/?uuid=8a9132ba-8c20-428b-8ce1-3e439feab521"]}],"mendeley":{"formattedCitation":"(Rashwan et al., 2024)","plainTextFormattedCitation":"(Rashwan et al., 2024)","previouslyFormattedCitation":"[9]"},"properties":{"noteIndex":0},"schema":"https://github.com/citation-style-language/schema/raw/master/csl-citation.json"}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(Rashwan et al., 2024)</w:t>
      </w:r>
      <w:r w:rsidRPr="00FF6D90">
        <w:rPr>
          <w:rFonts w:ascii="Times New Roman" w:hAnsi="Times New Roman"/>
        </w:rPr>
        <w:fldChar w:fldCharType="end"/>
      </w:r>
      <w:r w:rsidRPr="00FF6D90">
        <w:rPr>
          <w:rFonts w:ascii="Times New Roman" w:hAnsi="Times New Roman"/>
        </w:rPr>
        <w:t xml:space="preserve">. Proper </w:t>
      </w:r>
      <w:r w:rsidR="00A93615">
        <w:rPr>
          <w:rFonts w:ascii="Times New Roman" w:hAnsi="Times New Roman"/>
        </w:rPr>
        <w:t>component sizing is necessary for such systems to be economically feasible, as</w:t>
      </w:r>
      <w:r w:rsidR="00C73EBE">
        <w:rPr>
          <w:rFonts w:ascii="Times New Roman" w:hAnsi="Times New Roman"/>
        </w:rPr>
        <w:t> </w:t>
      </w:r>
      <w:r w:rsidR="00A93615">
        <w:rPr>
          <w:rFonts w:ascii="Times New Roman" w:hAnsi="Times New Roman"/>
        </w:rPr>
        <w:t>well as</w:t>
      </w:r>
      <w:r w:rsidRPr="00FF6D90">
        <w:rPr>
          <w:rFonts w:ascii="Times New Roman" w:hAnsi="Times New Roman"/>
        </w:rPr>
        <w:t xml:space="preserve"> reliable and flexible in operation. Some studies have u</w:t>
      </w:r>
      <w:r w:rsidR="00A93615">
        <w:rPr>
          <w:rFonts w:ascii="Times New Roman" w:hAnsi="Times New Roman"/>
        </w:rPr>
        <w:t>sed a two-stage optimization model to simultaneously optimize energy management strategies and optimal sizing</w:t>
      </w:r>
      <w:r w:rsidRPr="00FF6D90">
        <w:rPr>
          <w:rFonts w:ascii="Times New Roman" w:hAnsi="Times New Roman"/>
        </w:rPr>
        <w:t xml:space="preserve"> under economic, operation</w:t>
      </w:r>
      <w:r w:rsidR="00BB0A79">
        <w:rPr>
          <w:rFonts w:ascii="Times New Roman" w:hAnsi="Times New Roman"/>
        </w:rPr>
        <w:t>al,</w:t>
      </w:r>
      <w:r w:rsidRPr="00FF6D90">
        <w:rPr>
          <w:rFonts w:ascii="Times New Roman" w:hAnsi="Times New Roman"/>
        </w:rPr>
        <w:t xml:space="preserve"> and resource availability constraints. These strategies facilitate the overall shift to low-carbon industrial energy and promote the use of multi-energy microgrids as </w:t>
      </w:r>
      <w:r w:rsidR="00A93615">
        <w:rPr>
          <w:rFonts w:ascii="Times New Roman" w:hAnsi="Times New Roman"/>
        </w:rPr>
        <w:t>a mean</w:t>
      </w:r>
      <w:r w:rsidRPr="00FF6D90">
        <w:rPr>
          <w:rFonts w:ascii="Times New Roman" w:hAnsi="Times New Roman"/>
        </w:rPr>
        <w:t xml:space="preserve">s to achieve sustainable development </w:t>
      </w:r>
      <w:r w:rsidRPr="00FF6D90">
        <w:rPr>
          <w:rFonts w:ascii="Times New Roman" w:hAnsi="Times New Roman"/>
        </w:rPr>
        <w:fldChar w:fldCharType="begin" w:fldLock="1"/>
      </w:r>
      <w:r w:rsidRPr="00FF6D90">
        <w:rPr>
          <w:rFonts w:ascii="Times New Roman" w:hAnsi="Times New Roman"/>
        </w:rPr>
        <w:instrText>ADDIN CSL_CITATION {"citationItems":[{"id":"ITEM-1","itemData":{"DOI":"10.1109/iccad64771.2025.11099312","author":[{"dropping-particle":"","family":"Hadi","given":"Mojtaba","non-dropping-particle":"","parse-names":false,"suffix":""},{"dropping-particle":"","family":"Elbouchikhi","given":"Elhoussin","non-dropping-particle":"","parse-names":false,"suffix":""},{"dropping-particle":"","family":"Zhou","given":"Zhibin","non-dropping-particle":"","parse-names":false,"suffix":""},{"dropping-particle":"","family":"Saim","given":"Abdelhakim","non-dropping-particle":"","parse-names":false,"suffix":""}],"id":"ITEM-1","issued":{"date-parts":[["2025"]]},"page":"1-6","title":"Optimal Sizing and Energy Management for Multi-Energy Microgrids Integrated with Combined Heat and Power Unit","type":"article-journal"},"uris":["http://www.mendeley.com/documents/?uuid=ac1c0b27-28de-4262-8884-f3a9b16489ef"]}],"mendeley":{"formattedCitation":"(Hadi, Elbouchikhi, Zhou, &amp; Saim, 2025)","plainTextFormattedCitation":"(Hadi, Elbouchikhi, Zhou, &amp; Saim, 2025)","previouslyFormattedCitation":"[14]"},"properties":{"noteIndex":0},"schema":"https://github.com/citation-style-language/schema/raw/master/csl-citation.json"}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(Hadi</w:t>
      </w:r>
      <w:r w:rsidR="00230430">
        <w:rPr>
          <w:rFonts w:ascii="Times New Roman" w:hAnsi="Times New Roman"/>
          <w:noProof/>
        </w:rPr>
        <w:t xml:space="preserve"> et al.</w:t>
      </w:r>
      <w:r w:rsidRPr="00FF6D90">
        <w:rPr>
          <w:rFonts w:ascii="Times New Roman" w:hAnsi="Times New Roman"/>
          <w:noProof/>
        </w:rPr>
        <w:t>, 2025)</w:t>
      </w:r>
      <w:r w:rsidRPr="00FF6D90">
        <w:rPr>
          <w:rFonts w:ascii="Times New Roman" w:hAnsi="Times New Roman"/>
        </w:rPr>
        <w:fldChar w:fldCharType="end"/>
      </w:r>
      <w:r w:rsidRPr="00FF6D90">
        <w:rPr>
          <w:rFonts w:ascii="Times New Roman" w:hAnsi="Times New Roman"/>
        </w:rPr>
        <w:t>.</w:t>
      </w:r>
    </w:p>
    <w:p w14:paraId="22E93B3A" w14:textId="564179D3" w:rsidR="000301D7" w:rsidRPr="00FF6D90" w:rsidRDefault="00A93615" w:rsidP="004D29E9">
      <w:pPr>
        <w:spacing w:after="0" w:line="240" w:lineRule="auto"/>
        <w:ind w:firstLine="284"/>
        <w:jc w:val="both"/>
        <w:rPr>
          <w:rFonts w:ascii="Times New Roman" w:hAnsi="Times New Roman"/>
        </w:rPr>
      </w:pPr>
      <w:r>
        <w:rPr>
          <w:rFonts w:ascii="Times New Roman" w:hAnsi="Times New Roman"/>
        </w:rPr>
        <w:t>Over the last 20 years, studies of microgrids have grown significantly, driven by the rapid expansion of distributed renewable energy sources and the move towards low-carbon electricity systems worldwide</w:t>
      </w:r>
      <w:r w:rsidR="000301D7" w:rsidRPr="00FF6D90">
        <w:rPr>
          <w:rFonts w:ascii="Times New Roman" w:hAnsi="Times New Roman"/>
        </w:rPr>
        <w:t xml:space="preserve">. Very modern microgrids will be designed with photovoltaic (PV) arrays, wind energy conversion systems (WECS), battery energy storage systems (BESS), and complex control </w:t>
      </w:r>
      <w:r>
        <w:rPr>
          <w:rFonts w:ascii="Times New Roman" w:hAnsi="Times New Roman"/>
        </w:rPr>
        <w:t>systems, which will support both grid-connected and</w:t>
      </w:r>
      <w:r w:rsidR="000301D7" w:rsidRPr="00FF6D90">
        <w:rPr>
          <w:rFonts w:ascii="Times New Roman" w:hAnsi="Times New Roman"/>
        </w:rPr>
        <w:t xml:space="preserve"> islanded operation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10.1109/iccad64771.2025.11099312","author":[{"dropping-particle":"","family":"Hadi","given":"Mojtaba","non-dropping-particle":"","parse-names":false,"suffix":""},{"dropping-particle":"","family":"Elbouchikhi","given":"Elhoussin","non-dropping-particle":"","parse-names":false,"suffix":""},{"dropping-particle":"","family":"Zhou","given":"Zhibin","non-dropping-particle":"","parse-names":false,"suffix":""},{"dropping-particle":"","family":"Saim","given":"Abdelhakim","non-dropping-particle":"","parse-names":false,"suffix":""}],"id":"ITEM-1","issued":{"date-parts":[["2025"]]},"page":"1-6","title":"Optimal Sizing and Energy Management for Multi-Energy Microgrids Integrated with Combined Heat and Power Unit","type":"article-journal"},"uris":["http://www.mendeley.com/documents/?uuid=ac1c0b27-28de-4262-8884-f3a9b16489ef"]},{"id":"ITEM-2","itemData":{"DOI":"10.1155/2014/361519","author":[{"dropping-particle":"","family":"Zheng","given":"Xuemei","non-dropping-particle":"","parse-names":false,"suffix":""},{"dropping-particle":"","family":"Li","given":"Qiuming","non-dropping-particle":"","parse-names":false,"suffix":""},{"dropping-particle":"","family":"Li","given":"Peng","non-dropping-particle":"","parse-names":false,"suffix":""},{"dropping-particle":"","family":"Ding","given":"Danmei","non-dropping-particle":"","parse-names":false,"suffix":""}],"container-title":"International Journal of Photoenergy","id":"ITEM-2","issue":"2014","issued":{"date-parts":[["2014"]]},"page":"1-11","publisher":"Hindawi Publishing Corporation","title":"Cooperative Optimal Control Strategy for Microgrid under Grid-Connected and Islanded Modes","type":"article-journal","volume":"2014"},"uris":["http://www.mendeley.com/documents/?uuid=5b861f45-236f-4bb8-828c-f083e2fec1b6"]}],"mendeley":{"formattedCitation":"(Hadi et al., 2025; Zheng, Li, Li, &amp; Ding, 2014)","plainTextFormattedCitation":"(Hadi et al., 2025; Zheng, Li, Li, &amp; Ding, 2014)","previouslyFormattedCitation":"[14], [15]"},"properties":{"noteIndex":0},"schema":"https://github.com/citation-style-language/schema/raw/master/csl-citation.json"}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(Hadi et al., 2025; Zheng</w:t>
      </w:r>
      <w:r w:rsidR="00230430">
        <w:rPr>
          <w:rFonts w:ascii="Times New Roman" w:hAnsi="Times New Roman"/>
          <w:noProof/>
        </w:rPr>
        <w:t xml:space="preserve"> et al.</w:t>
      </w:r>
      <w:r w:rsidR="000301D7" w:rsidRPr="00FF6D90">
        <w:rPr>
          <w:rFonts w:ascii="Times New Roman" w:hAnsi="Times New Roman"/>
          <w:noProof/>
        </w:rPr>
        <w:t>, 2014)</w:t>
      </w:r>
      <w:r w:rsidR="000301D7" w:rsidRPr="00FF6D90">
        <w:rPr>
          <w:rFonts w:ascii="Times New Roman" w:hAnsi="Times New Roman"/>
        </w:rPr>
        <w:fldChar w:fldCharType="end"/>
      </w:r>
      <w:r w:rsidR="000301D7" w:rsidRPr="00FF6D90">
        <w:rPr>
          <w:rFonts w:ascii="Times New Roman" w:hAnsi="Times New Roman"/>
        </w:rPr>
        <w:t>. Such systems are also critical</w:t>
      </w:r>
      <w:r w:rsidR="00BB0A79">
        <w:rPr>
          <w:rFonts w:ascii="Times New Roman" w:hAnsi="Times New Roman"/>
        </w:rPr>
        <w:t>,</w:t>
      </w:r>
      <w:r w:rsidR="000301D7" w:rsidRPr="00FF6D90">
        <w:rPr>
          <w:rFonts w:ascii="Times New Roman" w:hAnsi="Times New Roman"/>
        </w:rPr>
        <w:t xml:space="preserve"> especially in areas like India</w:t>
      </w:r>
      <w:r>
        <w:rPr>
          <w:rFonts w:ascii="Times New Roman" w:hAnsi="Times New Roman"/>
        </w:rPr>
        <w:t>, where voltage instability, overloaded transformers, and peak demand shortages are constant problems</w:t>
      </w:r>
      <w:r w:rsidR="000301D7" w:rsidRPr="00FF6D90">
        <w:rPr>
          <w:rFonts w:ascii="Times New Roman" w:hAnsi="Times New Roman"/>
        </w:rPr>
        <w:t xml:space="preserve">. The improvement of state-based power infrastructure in Madhya Pradesh, the activation of decentralized energy into the local grid, and therefore, the greater potential of hybrid microgrids in urban centres like Bhopal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{"citationItems":[{"id":"ITEM-1","itemData":{"DOI":"10.1080/01430750.2023.2176922","author":[{"dropping-particle":"","family":"Rathore","given":"Arun Singh","non-dropping-particle":"","parse-names":false,"suffix":""},{"dropping-particle":"","family":"Kumar","given":"Anupam","non-dropping-particle":"","parse-names":false,"suffix":""},{"dropping-particle":"","family":"Patidar","given":"N P","non-dropping-particle":"","parse-names":false,"suffix":""}],"container-title":"International journal of ambient energy","id":"ITEM-1","issue":"1","issued":{"date-parts":[["2023"]]},"page":"1490-1511","title":"Techno-Socio-Economic and sensitivity analysis of Standalone Micro-Grid located in Central India","type":"article-journal","volume":"44"},"uris":["http://www.mendeley.com/documents/?uuid=bd9e693d-f688-4e0a-bdeb-db4ca7373695"]}],"mendeley":{"formattedCitation":"(Rathore, Kumar, &amp; Patidar, 2023)","plainTextFormattedCitation":"(Rathore, Kumar, &amp; Patidar, 2023)","previouslyFormattedCitation":"[16]"},"properties":{"noteIndex":0},"schema":"https://github.com/citation-style-language/schema/raw/master/csl-citation.json"}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(Rathore</w:t>
      </w:r>
      <w:r w:rsidR="00230430">
        <w:rPr>
          <w:rFonts w:ascii="Times New Roman" w:hAnsi="Times New Roman"/>
          <w:noProof/>
        </w:rPr>
        <w:t xml:space="preserve"> et al.</w:t>
      </w:r>
      <w:r w:rsidR="000301D7" w:rsidRPr="00FF6D90">
        <w:rPr>
          <w:rFonts w:ascii="Times New Roman" w:hAnsi="Times New Roman"/>
          <w:noProof/>
        </w:rPr>
        <w:t>, 2023)</w:t>
      </w:r>
      <w:r w:rsidR="000301D7" w:rsidRPr="00FF6D90">
        <w:rPr>
          <w:rFonts w:ascii="Times New Roman" w:hAnsi="Times New Roman"/>
        </w:rPr>
        <w:fldChar w:fldCharType="end"/>
      </w:r>
      <w:r w:rsidR="000301D7" w:rsidRPr="00FF6D90">
        <w:rPr>
          <w:rFonts w:ascii="Times New Roman" w:hAnsi="Times New Roman"/>
        </w:rPr>
        <w:t xml:space="preserve">. Another major problem </w:t>
      </w:r>
      <w:r w:rsidR="00BB0A79">
        <w:rPr>
          <w:rFonts w:ascii="Times New Roman" w:hAnsi="Times New Roman"/>
        </w:rPr>
        <w:t>with</w:t>
      </w:r>
      <w:r w:rsidR="000301D7" w:rsidRPr="00FF6D90">
        <w:rPr>
          <w:rFonts w:ascii="Times New Roman" w:hAnsi="Times New Roman"/>
        </w:rPr>
        <w:t xml:space="preserve"> </w:t>
      </w:r>
      <w:r>
        <w:rPr>
          <w:rFonts w:ascii="Times New Roman" w:hAnsi="Times New Roman"/>
        </w:rPr>
        <w:t>microgrid operation is</w:t>
      </w:r>
      <w:r w:rsidR="000301D7" w:rsidRPr="00FF6D90">
        <w:rPr>
          <w:rFonts w:ascii="Times New Roman" w:hAnsi="Times New Roman"/>
        </w:rPr>
        <w:t xml:space="preserve"> the intermitten</w:t>
      </w:r>
      <w:r w:rsidR="00BB0A79">
        <w:rPr>
          <w:rFonts w:ascii="Times New Roman" w:hAnsi="Times New Roman"/>
        </w:rPr>
        <w:t>t</w:t>
      </w:r>
      <w:r w:rsidR="000301D7" w:rsidRPr="00FF6D90">
        <w:rPr>
          <w:rFonts w:ascii="Times New Roman" w:hAnsi="Times New Roman"/>
        </w:rPr>
        <w:t xml:space="preserve"> nature of renewable energy sources. </w:t>
      </w:r>
      <w:r>
        <w:rPr>
          <w:rFonts w:ascii="Times New Roman" w:hAnsi="Times New Roman"/>
        </w:rPr>
        <w:t>Changes in solar radiation and wind velocity over time make generation difficult to forecast and decision-making</w:t>
      </w:r>
      <w:r w:rsidR="000301D7" w:rsidRPr="00FF6D90">
        <w:rPr>
          <w:rFonts w:ascii="Times New Roman" w:hAnsi="Times New Roman"/>
        </w:rPr>
        <w:t xml:space="preserve"> regarding operation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{"citationItems":[{"id":"ITEM-1","itemData":{"DOI":"10.3390/en15228525","author":[{"dropping-particle":"","family":"Vinothine","given":"Shanmugarajah","non-dropping-particle":"","parse-names":false,"suffix":""},{"dropping-particle":"","family":"Arachchige","given":"Lidula N Widanagama","non-dropping-particle":"","parse-names":false,"suffix":""},{"dropping-particle":"","family":"Rajapakse","given":"Athula","non-dropping-particle":"","parse-names":false,"suffix":""},{"dropping-particle":"","family":"Kaluthanthrige","given":"Roshani","non-dropping-particle":"","parse-names":false,"suffix":""}],"container-title":"Energies","id":"ITEM-1","issue":"22","issued":{"date-parts":[["2022"]]},"page":"8525","title":"Microgrid Energy Management and Methods for Managing Forecast Uncertainties","type":"article-journal","volume":"15"},"uris":["http://www.mendeley.com/documents/?uuid=17fc969a-63ca-4fbc-945b-b7ac5910c99c"]},{"id":"ITEM-2","itemData":{"DOI":"10.1080/01430750.2023.2176922","author":[{"dropping-particle":"","family":"Rathore","given":"Arun Singh","non-dropping-particle":"","parse-names":false,"suffix":""},{"dropping-particle":"","family":"Kumar","given":"Anupam","non-dropping-particle":"","parse-names":false,"suffix":""},{"dropping-particle":"","family":"Patidar","given":"N P","non-dropping-particle":"","parse-names":false,"suffix":""}],"container-title":"International journal of ambient energy","id":"ITEM-2","issue":"1","issued":{"date-parts":[["2023"]]},"page":"1490-1511","title":"Techno-Socio-Economic and sensitivity analysis of Standalone Micro-Grid located in Central India","type":"article-journal","volume":"44"},"uris":["http://www.mendeley.com/documents/?uuid=bd9e693d-f688-4e0a-bdeb-db4ca7373695"]}],"mendeley":{"formattedCitation":"(Rathore et al., 2023; Vinothine, Arachchige, Rajapakse, &amp; Kaluthanthrige, 2022)","plainTextFormattedCitation":"(Rathore et al., 2023; Vinothine, Arachchige, Rajapakse, &amp; Kaluthanthrige, 2022)","previouslyFormattedCitation":"[16], [17]"},"properties":{"noteIndex":0},"schema":"https://github.com/citation-style-language/schema/raw/master/csl-citation.json"}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(Rathore et al., 2023; Vinothine</w:t>
      </w:r>
      <w:r w:rsidR="00230430">
        <w:rPr>
          <w:rFonts w:ascii="Times New Roman" w:hAnsi="Times New Roman"/>
          <w:noProof/>
        </w:rPr>
        <w:t xml:space="preserve"> et al.</w:t>
      </w:r>
      <w:r w:rsidR="000301D7" w:rsidRPr="00FF6D90">
        <w:rPr>
          <w:rFonts w:ascii="Times New Roman" w:hAnsi="Times New Roman"/>
          <w:noProof/>
        </w:rPr>
        <w:t>, 2022)</w:t>
      </w:r>
      <w:r w:rsidR="000301D7" w:rsidRPr="00FF6D90">
        <w:rPr>
          <w:rFonts w:ascii="Times New Roman" w:hAnsi="Times New Roman"/>
        </w:rPr>
        <w:fldChar w:fldCharType="end"/>
      </w:r>
      <w:r w:rsidR="000301D7" w:rsidRPr="00FF6D90">
        <w:rPr>
          <w:rFonts w:ascii="Times New Roman" w:hAnsi="Times New Roman"/>
        </w:rPr>
        <w:t xml:space="preserve">. To overcome these issues, scholars have </w:t>
      </w:r>
      <w:r>
        <w:rPr>
          <w:rFonts w:ascii="Times New Roman" w:hAnsi="Times New Roman"/>
        </w:rPr>
        <w:t>developed various optimization-based methods to control costs</w:t>
      </w:r>
      <w:r w:rsidR="000301D7" w:rsidRPr="00FF6D90">
        <w:rPr>
          <w:rFonts w:ascii="Times New Roman" w:hAnsi="Times New Roman"/>
        </w:rPr>
        <w:t>, reliability, the use of renewable energy, and grid interplay. The initial optimization methods used were based on classical mathematical programming</w:t>
      </w:r>
      <w:r>
        <w:rPr>
          <w:rFonts w:ascii="Times New Roman" w:hAnsi="Times New Roman"/>
        </w:rPr>
        <w:t>, such as deterministic linear and nonlinear programming, dynamic programming, and mixed-integer programming</w:t>
      </w:r>
      <w:r w:rsidR="000301D7" w:rsidRPr="00FF6D90">
        <w:rPr>
          <w:rFonts w:ascii="Times New Roman" w:hAnsi="Times New Roman"/>
        </w:rPr>
        <w:t xml:space="preserve">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10.1109/iccad64771.2025.11099312","author":[{"dropping-particle":"","family":"Hadi","given":"Mojtaba","non-dropping-particle":"","parse-names":false,"suffix":""},{"dropping-particle":"","family":"Elbouchikhi","given":"Elhoussin","non-dropping-particle":"","parse-names":false,"suffix":""},{"dropping-particle":"","family":"Zhou","given":"Zhibin","non-dropping-particle":"","parse-names":false,"suffix":""},{"dropping-particle":"","family":"Saim","given":"Abdelhakim","non-dropping-particle":"","parse-names":false,"suffix":""}],"id":"ITEM-1","issued":{"date-parts":[["2025"]]},"page":"1-6","title":"Optimal Sizing and Energy Management for Multi-Energy Microgrids Integrated with Combined Heat and Power Unit","type":"article-journal"},"uris":["http://www.mendeley.com/documents/?uuid=ac1c0b27-28de-4262-8884-f3a9b16489ef"]},{"id":"ITEM-2","itemData":{"DOI":"10.1155/2014/361519","author":[{"dropping-particle":"","family":"Zheng","given":"Xuemei","non-dropping-particle":"","parse-names":false,"suffix":""},{"dropping-particle":"","family":"Li","given":"Qiuming","non-dropping-particle":"","parse-names":false,"suffix":""},{"dropping-particle":"","family":"Li","given":"Peng","non-dropping-particle":"","parse-names":false,"suffix":""},{"dropping-particle":"","family":"Ding","given":"Danmei","non-dropping-particle":"","parse-names":false,"suffix":""}],"container-title":"International Journal of Photoenergy","id":"ITEM-2","issue":"2014","issued":{"date-parts":[["2014"]]},"page":"1-11","publisher":"Hindawi Publishing Corporation","title":"Cooperative Optimal Control Strategy for Microgrid under Grid-Connected and Islanded Modes","type":"article-journal","volume":"2014"},"uris":["http://www.mendeley.com/documents/?uuid=5b861f45-236f-4bb8-828c-f083e2fec1b6"]}],"mendeley":{"formattedCitation":"(Hadi et al., 2025; Zheng et al., 2014)","plainTextFormattedCitation":"(Hadi et al., 2025; Zheng et al., 2014)","previouslyFormattedCitation":"[14], [15]"},"properties":{"noteIndex":0},"schema":"https://github.com/citation-style-language/schema/raw/master/csl-citation.json"}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(Hadi et al., 2025; Zheng et al., 2014)</w:t>
      </w:r>
      <w:r w:rsidR="000301D7" w:rsidRPr="00FF6D90">
        <w:rPr>
          <w:rFonts w:ascii="Times New Roman" w:hAnsi="Times New Roman"/>
        </w:rPr>
        <w:fldChar w:fldCharType="end"/>
      </w:r>
      <w:r w:rsidR="000301D7" w:rsidRPr="00FF6D90">
        <w:rPr>
          <w:rFonts w:ascii="Times New Roman" w:hAnsi="Times New Roman"/>
        </w:rPr>
        <w:t>. Found</w:t>
      </w:r>
      <w:r>
        <w:rPr>
          <w:rFonts w:ascii="Times New Roman" w:hAnsi="Times New Roman"/>
        </w:rPr>
        <w:t>ational research by Carpentier (1962) developed the optimal power flow (OPF) paradigm, which was later improved by Wood and Wollenberg (1984) and, subsequently, by Frank and Rebennack (2016), focusing on reviewing current OPF approaches applied to distributed generation systems</w:t>
      </w:r>
      <w:r w:rsidR="000301D7" w:rsidRPr="00FF6D90">
        <w:rPr>
          <w:rFonts w:ascii="Times New Roman" w:hAnsi="Times New Roman"/>
        </w:rPr>
        <w:t xml:space="preserve">. As the complexity of the models and the use of nonlinear and nonconvex constraints increases, metaheuristic algorithms have taken a leading role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10.3390/electricity5040035","author":[{"dropping-particle":"","family":"Pulluri","given":"Harish","non-dropping-particle":"","parse-names":false,"suffix":""},{"dropping-particle":"","family":"Basetti","given":"Vedik","non-dropping-particle":"","parse-names":false,"suffix":""},{"dropping-particle":"","family":"Goud","given":"B Srikanth","non-dropping-particle":"","parse-names":false,"suffix":""},{"dropping-particle":"","family":"Kalyan","given":"Ch. Naga Sai","non-dropping-particle":"","parse-names":false,"suffix":""}],"container-title":"Electricity","id":"ITEM-1","issue":"4","issued":{"date-parts":[["2024"]]},"page":"712-733","publisher":"Multidisciplinary Digital Publishing Institute","title":"Exploring Evolutionary Algorithms for Optimal Power Flow: A Comprehensive Review and Analysis","type":"article-journal","volume":"5"},"uris":["http://www.mendeley.com/documents/?uuid=119775bc-76a2-4e64-bae1-697e14f0c05a"]},{"id":"ITEM-2","itemData":{"DOI":"10.3390/PR9081319","author":[{"dropping-particle":"","family":"Naderi","given":"Ehsan","non-dropping-particle":"","parse-names":false,"suffix":""},{"dropping-particle":"","family":"Narimani","given":"Hossein","non-dropping-particle":"","parse-names":false,"suffix":""},{"dropping-particle":"","family":"Pourakbari-Kasmaei","given":"Mahdi","non-dropping-particle":"","parse-names":false,"suffix":""},{"dropping-particle":"V","family":"Cerna","given":"Fernando","non-dropping-particle":"","parse-names":false,"suffix":""},{"dropping-particle":"","family":"Marzband","given":"Mousa","non-dropping-particle":"","parse-names":false,"suffix":""},{"dropping-particle":"","family":"Lehtonen","given":"Matti","non-dropping-particle":"","parse-names":false,"suffix":""}],"id":"ITEM-2","issue":"8","issued":{"date-parts":[["0"]]},"page":"1319","publisher":"MDPI AG","title":"State-of-the-Art of Optimal Active and Reactive Power Flow: A Comprehensive Review from Various Standpoints","type":"article-journal","volume":"9"},"uris":["http://www.mendeley.com/documents/?uuid=523bfc43-45a4-442f-a1aa-e0d833feb10d"]}],"mendeley":{"formattedCitation":"(Naderi et al., n.d.; Pulluri, Basetti, Goud, &amp; Kalyan, 2024)","plainTextFormattedCitation":"(Naderi et al., n.d.; Pulluri, Basetti, Goud, &amp; Kalyan, 2024)","previouslyFormattedCitation":"[18], [19]"},"properties":{"noteIndex":0},"schema":"https://github.com/citation-style-language/schema/raw/master/csl-citation.json"}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(Naderi et al., n.d.; Pulluri, Basetti, Goud, &amp; Kalyan, 2024)</w:t>
      </w:r>
      <w:r w:rsidR="000301D7" w:rsidRPr="00FF6D90">
        <w:rPr>
          <w:rFonts w:ascii="Times New Roman" w:hAnsi="Times New Roman"/>
        </w:rPr>
        <w:fldChar w:fldCharType="end"/>
      </w:r>
      <w:r w:rsidR="000301D7" w:rsidRPr="00FF6D90">
        <w:rPr>
          <w:rFonts w:ascii="Times New Roman" w:hAnsi="Times New Roman"/>
        </w:rPr>
        <w:t xml:space="preserve">. Particle Swarm Optimization (PSO) is one of the most used algorithms in the literature on microgrids, known to converge quickly and be easy to use (Kennedy and Eberhart, 1995). Many studies have used PSO in optimal microgrid sizing, power dispatch, and maximum power point tracking (MPPT) under </w:t>
      </w:r>
      <w:r w:rsidR="00BB0A79">
        <w:rPr>
          <w:rFonts w:ascii="Times New Roman" w:hAnsi="Times New Roman"/>
        </w:rPr>
        <w:t>extrem</w:t>
      </w:r>
      <w:r w:rsidR="000301D7" w:rsidRPr="00FF6D90">
        <w:rPr>
          <w:rFonts w:ascii="Times New Roman" w:hAnsi="Times New Roman"/>
        </w:rPr>
        <w:t xml:space="preserve">ely variable conditions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10.3390/electricity5040035","author":[{"dropping-particle":"","family":"Pulluri","given":"Harish","non-dropping-particle":"","parse-names":false,"suffix":""},{"dropping-particle":"","family":"Basetti","given":"Vedik","non-dropping-particle":"","parse-names":false,"suffix":""},{"dropping-particle":"","family":"Goud","given":"B Srikanth","non-dropping-particle":"","parse-names":false,"suffix":""},{"dropping-particle":"","family":"Kalyan","given":"Ch. Naga Sai","non-dropping-particle":"","parse-names":false,"suffix":""}],"container-title":"Electricity","id":"ITEM-1","issue":"4","issued":{"date-parts":[["2024"]]},"page":"712-733","publisher":"Multidisciplinary Digital Publishing Institute","title":"Exploring Evolutionary Algorithms for Optimal Power Flow: A Comprehensive Review and Analysis","type":"article-journal","volume":"5"},"uris":["http://www.mendeley.com/documents/?uuid=119775bc-76a2-4e64-bae1-697e14f0c05a"]}],"mendeley":{"formattedCitation":"(Pulluri et al., 2024)","plainTextFormattedCitation":"(Pulluri et al., 2024)","previouslyFormattedCitation":"[18]"},"properties":{"noteIndex":0},"schema":"https://github.com/citation-style-language/schema/raw/master/csl-citation.json"}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(Pulluri et al., 2024)</w:t>
      </w:r>
      <w:r w:rsidR="000301D7" w:rsidRPr="00FF6D90">
        <w:rPr>
          <w:rFonts w:ascii="Times New Roman" w:hAnsi="Times New Roman"/>
        </w:rPr>
        <w:fldChar w:fldCharType="end"/>
      </w:r>
      <w:r w:rsidR="000301D7" w:rsidRPr="00FF6D90">
        <w:rPr>
          <w:rFonts w:ascii="Times New Roman" w:hAnsi="Times New Roman"/>
        </w:rPr>
        <w:t xml:space="preserve">. Researchers </w:t>
      </w:r>
      <w:proofErr w:type="spellStart"/>
      <w:r w:rsidR="000301D7" w:rsidRPr="00FF6D90">
        <w:rPr>
          <w:rFonts w:ascii="Times New Roman" w:hAnsi="Times New Roman"/>
        </w:rPr>
        <w:t>Calloquispe</w:t>
      </w:r>
      <w:proofErr w:type="spellEnd"/>
      <w:r w:rsidR="000301D7" w:rsidRPr="00FF6D90">
        <w:rPr>
          <w:rFonts w:ascii="Times New Roman" w:hAnsi="Times New Roman"/>
        </w:rPr>
        <w:t xml:space="preserve">-Huallpa et al. (2023) used PSO in the optimal economic dispatch of hybrid microgrids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10.1109/isgt-la56058.2023.10328280","author":[{"dropping-particle":"","family":"Calloquispe-Huallpa","given":"Ricardo","non-dropping-particle":"","parse-names":false,"suffix":""},{"dropping-particle":"","family":"Huaman-Rivera","given":"Anny","non-dropping-particle":"","parse-names":false,"suffix":""},{"dropping-particle":"","family":"Ordoñez-Benavides","given":"Andres F","non-dropping-particle":"","parse-names":false,"suffix":""},{"dropping-particle":"V","family":"Garcia-Garcia","given":"Yuly","non-dropping-particle":"","parse-names":false,"suffix":""},{"dropping-particle":"","family":"Andrade","given":"Fabio","non-dropping-particle":"","parse-names":false,"suffix":""},{"dropping-particle":"","family":"Aponte-Bezares","given":"Erick E","non-dropping-particle":"","parse-names":false,"suffix":""},{"dropping-particle":"","family":"Irizarry-Rivera","given":"Agustín","non-dropping-particle":"","parse-names":false,"suffix":""}],"id":"ITEM-1","issued":{"date-parts":[["2023"]]},"title":"A Comparison Between Genetic Algorithm and Particle Swarm Optimization for Economic Dispatch in a Microgrid","type":"article-journal"},"uris":["http://www.mendeley.com/documents/?uuid=638f733f-b85b-4341-beed-cd32437765dc"]}],"mendeley":{"formattedCitation":"(Calloquispe-Huallpa et al., 2023)","plainTextFormattedCitation":"(Calloquispe-Huallpa et al., 2023)","previouslyFormattedCitation":"[20]"},"properties":{"noteIndex":0},"schema":"https://github.com/citation-style-language/schema/raw/master/csl-citation.json"}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(Calloquispe-Huallpa et al., 2023)</w:t>
      </w:r>
      <w:r w:rsidR="000301D7" w:rsidRPr="00FF6D90">
        <w:rPr>
          <w:rFonts w:ascii="Times New Roman" w:hAnsi="Times New Roman"/>
        </w:rPr>
        <w:fldChar w:fldCharType="end"/>
      </w:r>
      <w:r w:rsidR="000301D7" w:rsidRPr="00FF6D90">
        <w:rPr>
          <w:rFonts w:ascii="Times New Roman" w:hAnsi="Times New Roman"/>
        </w:rPr>
        <w:t>, and Chouhan et al.</w:t>
      </w:r>
      <w:r w:rsidR="00FA28CA">
        <w:rPr>
          <w:rFonts w:ascii="Times New Roman" w:hAnsi="Times New Roman"/>
        </w:rPr>
        <w:t xml:space="preserve"> </w:t>
      </w:r>
      <w:r w:rsidR="000301D7" w:rsidRPr="00FF6D90">
        <w:rPr>
          <w:rFonts w:ascii="Times New Roman" w:hAnsi="Times New Roman"/>
        </w:rPr>
        <w:t xml:space="preserve">(2022) showed that PSO </w:t>
      </w:r>
      <w:r>
        <w:rPr>
          <w:rFonts w:ascii="Times New Roman" w:hAnsi="Times New Roman"/>
        </w:rPr>
        <w:t>applies</w:t>
      </w:r>
      <w:r w:rsidR="000301D7" w:rsidRPr="00FF6D90">
        <w:rPr>
          <w:rFonts w:ascii="Times New Roman" w:hAnsi="Times New Roman"/>
        </w:rPr>
        <w:t xml:space="preserve"> to distributed generation planning in Indian distribution networks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{"citationItems":[{"id":"ITEM-1","itemData":{"DOI":"10.1109/iSSSC56467.2022.10051441","author":[{"dropping-particle":"","family":"Chouhan","given":"Jyoti Bala","non-dropping-particle":"","parse-names":false,"suffix":""},{"dropping-particle":"","family":"Ojha","given":"Amit","non-dropping-particle":"","parse-names":false,"suffix":""},{"dropping-particle":"","family":"Swarnkar","given":"Pankaj","non-dropping-particle":"","parse-names":false,"suffix":""}],"id":"ITEM-1","issued":{"date-parts":[["2022"]]},"page":"1-4","title":"PSO-Based Distributed Generation Planning","type":"article-journal"},"uris":["http://www.mendeley.com/documents/?uuid=56879a43-ba3f-4a44-bc5a-1683bbdc2dd5"]}],"mendeley":{"formattedCitation":"(Chouhan, Ojha, &amp; Swarnkar, 2022)","plainTextFormattedCitation":"(Chouhan, Ojha, &amp; Swarnkar, 2022)","previouslyFormattedCitation":"[21]"},"properties":{"noteIndex":0},"schema":"https://github.com/citation-style-language/schema/raw/master/csl-citation.json"}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(Chouhan, Ojha, &amp; Swarnkar, 2022)</w:t>
      </w:r>
      <w:r w:rsidR="000301D7" w:rsidRPr="00FF6D90">
        <w:rPr>
          <w:rFonts w:ascii="Times New Roman" w:hAnsi="Times New Roman"/>
        </w:rPr>
        <w:fldChar w:fldCharType="end"/>
      </w:r>
      <w:r w:rsidR="000301D7" w:rsidRPr="00FF6D90">
        <w:rPr>
          <w:rFonts w:ascii="Times New Roman" w:hAnsi="Times New Roman"/>
        </w:rPr>
        <w:t>. Genetic algorithms (GA</w:t>
      </w:r>
      <w:r>
        <w:rPr>
          <w:rFonts w:ascii="Times New Roman" w:hAnsi="Times New Roman"/>
        </w:rPr>
        <w:t>s) are</w:t>
      </w:r>
      <w:r w:rsidR="000301D7" w:rsidRPr="00FF6D90">
        <w:rPr>
          <w:rFonts w:ascii="Times New Roman" w:hAnsi="Times New Roman"/>
        </w:rPr>
        <w:t xml:space="preserve"> effective tools for optimizing microgrid operations, particularly in multi-objective scenarios involving renewable energy integration and reliability enhancement. These algorithms are adept at navigating complex, multi</w:t>
      </w:r>
      <w:r>
        <w:rPr>
          <w:rFonts w:ascii="Times New Roman" w:hAnsi="Times New Roman"/>
        </w:rPr>
        <w:t>modal search spaces, making them well-suited to addressing the diverse challenges of</w:t>
      </w:r>
      <w:r w:rsidR="000301D7" w:rsidRPr="00FF6D90">
        <w:rPr>
          <w:rFonts w:ascii="Times New Roman" w:hAnsi="Times New Roman"/>
        </w:rPr>
        <w:t xml:space="preserve"> microgrid management. The application of GAs in this context involves optimizing </w:t>
      </w:r>
      <w:r>
        <w:rPr>
          <w:rFonts w:ascii="Times New Roman" w:hAnsi="Times New Roman"/>
        </w:rPr>
        <w:t>multiple objectives, such as cost, emissions, and power quality, while accounting for the uncertainties inherent to</w:t>
      </w:r>
      <w:r w:rsidR="000301D7" w:rsidRPr="00FF6D90">
        <w:rPr>
          <w:rFonts w:ascii="Times New Roman" w:hAnsi="Times New Roman"/>
        </w:rPr>
        <w:t xml:space="preserve"> renewable energy sources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{"citationItems":[{"id":"ITEM-1","itemData":{"DOI":"10.59287/icaens.1128","author":[{"dropping-particle":"","family":"Khan","given":"Ihtiram Raza","non-dropping-particle":"","parse-names":false,"suffix":""},{"dropping-particle":"","family":"Rukh","given":"Gul","non-dropping-particle":"","parse-names":false,"suffix":""},{"dropping-particle":"","family":"Ullah","given":"Mian Farhan","non-dropping-particle":"","parse-names":false,"suffix":""}],"container-title":"International conference on applied engineering and natural sciences","id":"ITEM-1","issue":"1","issued":{"date-parts":[["2023"]]},"page":"1057-1061","publisher":"All Sciences Proceedings","title":"A multi-objective strategy for cost-effective microgrid solutions based on renewable energy sources","type":"article-journal","volume":"1"},"uris":["http://www.mendeley.com/documents/?uuid=342877fa-2a17-4a6e-a39c-dcb803ff5a42"]},{"id":"ITEM-2","itemData":{"DOI":"10.24084/repqj20.436","author":[{"dropping-particle":"","family":"Oviedo-Carranza","given":"S","non-dropping-particle":"","parse-names":false,"suffix":""},{"dropping-particle":"","family":"Artal-Sevil","given":"J S","non-dropping-particle":"","parse-names":false,"suffix":""},{"dropping-particle":"","family":"Domínguez-Navarro","given":"José A","non-dropping-particle":"","parse-names":false,"suffix":""}],"container-title":"Renewable energy &amp; power quality journal","id":"ITEM-2","issued":{"date-parts":[["2022"]]},"page":"789-794","title":"Optimal Operation of a Distributed Generation Microgrid based on the Multi-Objective Genetic Algorithms","type":"article-journal","volume":"20"},"uris":["http://www.mendeley.com/documents/?uuid=84741840-7438-4383-a232-b8772368ebd7"]}],"mendeley":{"formattedCitation":"(Khan, Rukh, &amp; Ullah, 2023; Oviedo-Carranza, Artal-Sevil, &amp; Domínguez-Navarro, 2022)","plainTextFormattedCitation":"(Khan, Rukh, &amp; Ullah, 2023; Oviedo-Carranza, Artal-Sevil, &amp; Domínguez-Navarro, 2022)","previouslyFormattedCitation":"[22], [23]"},"properties":{"noteIndex":0},"schema":"https://github.com/citation-style-language/schema/raw/master/csl-citation.json"}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(Khan, Rukh, &amp; Ullah, 2023; Oviedo-Carranza, Artal-Sevil, &amp; Domínguez-Navarro, 2022)</w:t>
      </w:r>
      <w:r w:rsidR="000301D7" w:rsidRPr="00FF6D90">
        <w:rPr>
          <w:rFonts w:ascii="Times New Roman" w:hAnsi="Times New Roman"/>
        </w:rPr>
        <w:fldChar w:fldCharType="end"/>
      </w:r>
      <w:r w:rsidR="000301D7" w:rsidRPr="00FF6D90">
        <w:rPr>
          <w:rFonts w:ascii="Times New Roman" w:hAnsi="Times New Roman"/>
        </w:rPr>
        <w:t xml:space="preserve">. GA, however, can be very slow to converge to the same quality solution that PSO. The Simulated Annealing (SA) algorithm proposed by Kirkpatrick et al. (1983) has been used to solve several power system optimization tasks, such as the size of a renewable element and BESS scheduling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{"citationItems":[{"id":"ITEM-1","itemData":{"author":[{"dropping-particle":"","family":"Vishwakarma","given":"Kamlesh Kumar","non-dropping-particle":"","parse-names":false,"suffix":""},{"dropping-particle":"","family":"Dubey","given":"Hari Mohan","non-dropping-particle":"","parse-names":false,"suffix":""}],"container-title":"International journal of engineering research and technology","id":"ITEM-1","issue":"3","issued":{"date-parts":[["2012"]]},"publisher":"ESRSA Publications","title":"Simulated Annealing Based Optimization for Solving Large Scale Economic Load Dispatch Problems","type":"article-journal","volume":"1"},"uris":["http://www.mendeley.com/documents/?uuid=d62252c1-2785-42da-b896-fd3328d53607"]}],"mendeley":{"formattedCitation":"(Vishwakarma &amp; Dubey, 2012)","plainTextFormattedCitation":"(Vishwakarma &amp; Dubey, 2012)","previouslyFormattedCitation":"[24]"},"properties":{"noteIndex":0},"schema":"https://github.com/citation-style-language/schema/raw/master/csl-citation.json"}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(Vishwakarma &amp; Dubey, 2012)</w:t>
      </w:r>
      <w:r w:rsidR="000301D7" w:rsidRPr="00FF6D90">
        <w:rPr>
          <w:rFonts w:ascii="Times New Roman" w:hAnsi="Times New Roman"/>
        </w:rPr>
        <w:fldChar w:fldCharType="end"/>
      </w:r>
      <w:r w:rsidR="000301D7" w:rsidRPr="00FF6D90">
        <w:rPr>
          <w:rFonts w:ascii="Times New Roman" w:hAnsi="Times New Roman"/>
        </w:rPr>
        <w:t xml:space="preserve">. The local minima entrapment is prevented by the probabilistic acceptance criterion of SA which makes it appropriate in the nonlinear applications of microgrids. Hybrid optimization methods have become prevalent in the recent years. In fact, the Series </w:t>
      </w:r>
      <w:proofErr w:type="spellStart"/>
      <w:r w:rsidR="000301D7" w:rsidRPr="00FF6D90">
        <w:rPr>
          <w:rFonts w:ascii="Times New Roman" w:hAnsi="Times New Roman"/>
        </w:rPr>
        <w:t>Salp</w:t>
      </w:r>
      <w:proofErr w:type="spellEnd"/>
      <w:r w:rsidR="000301D7" w:rsidRPr="00FF6D90">
        <w:rPr>
          <w:rFonts w:ascii="Times New Roman" w:hAnsi="Times New Roman"/>
        </w:rPr>
        <w:t xml:space="preserve">-Particle Swarm Optimization (SSPSO) algorithm by </w:t>
      </w:r>
      <w:proofErr w:type="spellStart"/>
      <w:r w:rsidR="000301D7" w:rsidRPr="00FF6D90">
        <w:rPr>
          <w:rFonts w:ascii="Times New Roman" w:hAnsi="Times New Roman"/>
        </w:rPr>
        <w:t>may</w:t>
      </w:r>
      <w:proofErr w:type="spellEnd"/>
      <w:r w:rsidR="000301D7" w:rsidRPr="00FF6D90">
        <w:rPr>
          <w:rFonts w:ascii="Times New Roman" w:hAnsi="Times New Roman"/>
        </w:rPr>
        <w:t xml:space="preserve"> researchers showed good results in the process of optimization of global maximum power point (GMPP) of PV arrays in the case of partial shading, which is a frequent condition in urban systems. Also better versions of PSO, Grey Wolf Optimizers, and </w:t>
      </w:r>
      <w:proofErr w:type="spellStart"/>
      <w:r w:rsidR="000301D7" w:rsidRPr="00FF6D90">
        <w:rPr>
          <w:rFonts w:ascii="Times New Roman" w:hAnsi="Times New Roman"/>
        </w:rPr>
        <w:t>Salp</w:t>
      </w:r>
      <w:proofErr w:type="spellEnd"/>
      <w:r w:rsidR="000301D7" w:rsidRPr="00FF6D90">
        <w:rPr>
          <w:rFonts w:ascii="Times New Roman" w:hAnsi="Times New Roman"/>
        </w:rPr>
        <w:t xml:space="preserve">-Swarm Hybrids have been used </w:t>
      </w:r>
      <w:r w:rsidR="000301D7" w:rsidRPr="00FF6D90">
        <w:rPr>
          <w:rFonts w:ascii="Times New Roman" w:hAnsi="Times New Roman"/>
        </w:rPr>
        <w:lastRenderedPageBreak/>
        <w:t xml:space="preserve">to micro-grid schedule and power balancing </w:t>
      </w:r>
      <w:r w:rsidR="000301D7" w:rsidRPr="00FF6D90">
        <w:rPr>
          <w:rFonts w:ascii="Times New Roman" w:hAnsi="Times New Roman"/>
        </w:rPr>
        <w:fldChar w:fldCharType="begin" w:fldLock="1"/>
      </w:r>
      <w:r w:rsidR="000301D7" w:rsidRPr="00FF6D90">
        <w:rPr>
          <w:rFonts w:ascii="Times New Roman" w:hAnsi="Times New Roman"/>
        </w:rPr>
        <w:instrText>ADDIN CSL_CITATION {"citationItems":[{"id":"ITEM-1","itemData":{"DOI":"10.3390/electricity5040035","author":[{"dropping-particle":"","family":"Pulluri","given":"Harish","non-dropping-particle":"","parse-names":false,"suffix":""},{"dropping-particle":"","family":"Basetti","given":"Vedik","non-dropping-particle":"","parse-names":false,"suffix":""},{"dropping-particle":"","family":"Goud","given":"B Srikanth","non-dropping-particle":"","parse-names":false,"suffix":""},{"dropping-particle":"","family":"Kalyan","given":"Ch. Naga Sai","non-dropping-particle":"","parse-names":false,"suffix":""}],"container-title":"Electricity","id":"ITEM-1","issue":"4","issued":{"date-parts":[["2024"]]},"page":"712-733","publisher":"Multidisciplinary Digital Publishing Institute","title":"Exploring Evolutionary Algorithms for Optimal Power Flow: A Comprehensive Review and Analysis","type":"article-journal","volume":"5"},"uris":["http://www.mendeley.com/documents/?uuid=119775bc-76a2-4e64-bae1-697e14f0c05a"]},{"id":"ITEM-2","itemData":{"DOI":"10.1109/JSYST.2020.3021379","author":[{"dropping-particle":"","family":"Lyden","given":"S","non-dropping-particle":"","parse-names":false,"suffix":""},{"dropping-particle":"","family":"Galligan","given":"Harry","non-dropping-particle":"","parse-names":false,"suffix":""},{"dropping-particle":"","family":"Haque","given":"Enamul","non-dropping-particle":"","parse-names":false,"suffix":""}],"container-title":"IEEE Systems Journal","id":"ITEM-2","issue":"3","issued":{"date-parts":[["2021"]]},"page":"4325-4333","publisher":"Institute of Electrical and Electronics Engineers (IEEE)","title":"A Hybrid Simulated Annealing and Perturb and Observe Maximum Power Point Tracking Method","type":"article-journal","volume":"15"},"uris":["http://www.mendeley.com/documents/?uuid=a6f85ab9-0026-4ebd-8911-c2d6f3bf8ad5"]},{"id":"ITEM-3","itemData":{"DOI":"10.1109/iSSSC56467.2022.10051441","author":[{"dropping-particle":"","family":"Chouhan","given":"Jyoti Bala","non-dropping-particle":"","parse-names":false,"suffix":""},{"dropping-particle":"","family":"Ojha","given":"Amit","non-dropping-particle":"","parse-names":false,"suffix":""},{"dropping-particle":"","family":"Swarnkar","given":"Pankaj","non-dropping-particle":"","parse-names":false,"suffix":""}],"id":"ITEM-3","issued":{"date-parts":[["2022"]]},"page":"1-4","title":"PSO-Based Distributed Generation Planning","type":"article-journal"},"uris":["http://www.mendeley.com/documents/?uuid=56879a43-ba3f-4a44-bc5a-1683bbdc2dd5"]},{"id":"ITEM-4","itemData":{"DOI":"10.3390/PR9081319","author":[{"dropping-particle":"","family":"Naderi","given":"Ehsan","non-dropping-particle":"","parse-names":false,"suffix":""},{"dropping-particle":"","family":"Narimani","given":"Hossein","non-dropping-particle":"","parse-names":false,"suffix":""},{"dropping-particle":"","family":"Pourakbari-Kasmaei","given":"Mahdi","non-dropping-particle":"","parse-names":false,"suffix":""},{"dropping-particle":"V","family":"Cerna","given":"Fernando","non-dropping-particle":"","parse-names":false,"suffix":""},{"dropping-particle":"","family":"Marzband","given":"Mousa","non-dropping-particle":"","parse-names":false,"suffix":""},{"dropping-particle":"","family":"Lehtonen","given":"Matti","non-dropping-particle":"","parse-names":false,"suffix":""}],"id":"ITEM-4","issue":"8","issued":{"date-parts":[["0"]]},"page":"1319","publisher":"MDPI AG","title":"State-of-the-Art of Optimal Active and Reactive Power Flow: A Comprehensive Review from Various Standpoints","type":"article-journal","volume":"9"},"uris":["http://www.mendeley.com/documents/?uuid=523bfc43-45a4-442f-a1aa-e0d833feb10d"]}],"mendeley":{"formattedCitation":"(Chouhan et al., 2022; Lyden, Galligan, &amp; Haque, 2021; Naderi et al., n.d.; Pulluri et al., 2024)","plainTextFormattedCitation":"(Chouhan et al., 2022; Lyden, Galligan, &amp; Haque, 2021; Naderi et al., n.d.; Pulluri et al., 2024)","previouslyFormattedCitation":"[18], [19], [21], [25]"},"properties":{"noteIndex":0},"schema":"https://github.com/citation-style-language/schema/raw/master/csl-citation.json"}</w:instrText>
      </w:r>
      <w:r w:rsidR="000301D7" w:rsidRPr="00FF6D90">
        <w:rPr>
          <w:rFonts w:ascii="Times New Roman" w:hAnsi="Times New Roman"/>
        </w:rPr>
        <w:fldChar w:fldCharType="separate"/>
      </w:r>
      <w:r w:rsidR="000301D7" w:rsidRPr="00FF6D90">
        <w:rPr>
          <w:rFonts w:ascii="Times New Roman" w:hAnsi="Times New Roman"/>
          <w:noProof/>
        </w:rPr>
        <w:t>(Chouhan et al., 2022; Lyden, Galligan, &amp; Haque, 2021; Naderi et al., n.d.; Pulluri et al., 2024)</w:t>
      </w:r>
      <w:r w:rsidR="000301D7" w:rsidRPr="00FF6D90">
        <w:rPr>
          <w:rFonts w:ascii="Times New Roman" w:hAnsi="Times New Roman"/>
        </w:rPr>
        <w:fldChar w:fldCharType="end"/>
      </w:r>
      <w:r w:rsidR="000301D7" w:rsidRPr="00FF6D90">
        <w:rPr>
          <w:rFonts w:ascii="Times New Roman" w:hAnsi="Times New Roman"/>
        </w:rPr>
        <w:t>.</w:t>
      </w:r>
    </w:p>
    <w:p w14:paraId="6891F5B6" w14:textId="013F865B" w:rsidR="000301D7" w:rsidRPr="00FF6D90" w:rsidRDefault="000301D7" w:rsidP="004D29E9">
      <w:pPr>
        <w:spacing w:after="0" w:line="240" w:lineRule="auto"/>
        <w:ind w:firstLine="284"/>
        <w:jc w:val="both"/>
        <w:rPr>
          <w:rFonts w:ascii="Times New Roman" w:hAnsi="Times New Roman"/>
        </w:rPr>
      </w:pPr>
      <w:r w:rsidRPr="00FF6D90">
        <w:rPr>
          <w:rFonts w:ascii="Times New Roman" w:hAnsi="Times New Roman"/>
        </w:rPr>
        <w:t xml:space="preserve">Besides </w:t>
      </w:r>
      <w:r w:rsidR="00A93615">
        <w:rPr>
          <w:rFonts w:ascii="Times New Roman" w:hAnsi="Times New Roman"/>
        </w:rPr>
        <w:t>algorithm development, there have been significant advances in microgrid architecture</w:t>
      </w:r>
      <w:r w:rsidRPr="00FF6D90">
        <w:rPr>
          <w:rFonts w:ascii="Times New Roman" w:hAnsi="Times New Roman"/>
        </w:rPr>
        <w:t xml:space="preserve">. Multi-energy microgrids, a combination of electricity, hydrogen generation, thermal storage, and electric vehicle (EV) charging facilities, have been studied widely. A general </w:t>
      </w:r>
      <w:proofErr w:type="spellStart"/>
      <w:r w:rsidRPr="00FF6D90">
        <w:rPr>
          <w:rFonts w:ascii="Times New Roman" w:hAnsi="Times New Roman"/>
        </w:rPr>
        <w:t>modeling</w:t>
      </w:r>
      <w:proofErr w:type="spellEnd"/>
      <w:r w:rsidRPr="00FF6D90">
        <w:rPr>
          <w:rFonts w:ascii="Times New Roman" w:hAnsi="Times New Roman"/>
        </w:rPr>
        <w:t xml:space="preserve"> approach to multi-energy systems was proposed by Jia </w:t>
      </w:r>
      <w:r w:rsidRPr="00FF6D90">
        <w:rPr>
          <w:rFonts w:ascii="Times New Roman" w:hAnsi="Times New Roman"/>
        </w:rPr>
        <w:fldChar w:fldCharType="begin" w:fldLock="1"/>
      </w:r>
      <w:r w:rsidRPr="00FF6D90">
        <w:rPr>
          <w:rFonts w:ascii="Times New Roman" w:hAnsi="Times New Roman"/>
        </w:rPr>
        <w:instrText>ADDIN CSL_CITATION {"citationItems":[{"id":"ITEM-1","itemData":{"DOI":"10.1049/pbpo149e_ch1","author":[{"dropping-particle":"","family":"Jia","given":"Hongjie","non-dropping-particle":"","parse-names":false,"suffix":""},{"dropping-particle":"","family":"Xu","given":"Xiandong","non-dropping-particle":"","parse-names":false,"suffix":""},{"dropping-particle":"","family":"Jin","given":"Xiaolong","non-dropping-particle":"","parse-names":false,"suffix":""},{"dropping-particle":"","family":"Wu","given":"Jian","non-dropping-particle":"","parse-names":false,"suffix":""}],"id":"ITEM-1","issued":{"date-parts":[["2024"]]},"page":"7-35","title":"Modeling of integrated energy systems","type":"article-journal"},"uris":["http://www.mendeley.com/documents/?uuid=7148fd03-1867-41b0-8684-b8483f8783b3"]}],"mendeley":{"formattedCitation":"(Jia, Xu, Jin, &amp; Wu, 2024)","plainTextFormattedCitation":"(Jia, Xu, Jin, &amp; Wu, 2024)","previouslyFormattedCitation":"[26]"},"properties":{"noteIndex":0},"schema":"https://github.com/citation-style-language/schema/raw/master/csl-citation.json"}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(Jia, Xu, Jin, &amp; Wu, 2024)</w:t>
      </w:r>
      <w:r w:rsidRPr="00FF6D90">
        <w:rPr>
          <w:rFonts w:ascii="Times New Roman" w:hAnsi="Times New Roman"/>
        </w:rPr>
        <w:fldChar w:fldCharType="end"/>
      </w:r>
      <w:r w:rsidR="00A93615">
        <w:rPr>
          <w:rFonts w:ascii="Times New Roman" w:hAnsi="Times New Roman"/>
        </w:rPr>
        <w:t>. In contrast,</w:t>
      </w:r>
      <w:r w:rsidRPr="00FF6D90">
        <w:rPr>
          <w:rFonts w:ascii="Times New Roman" w:hAnsi="Times New Roman"/>
        </w:rPr>
        <w:t xml:space="preserve"> </w:t>
      </w:r>
      <w:r w:rsidR="00A93615">
        <w:rPr>
          <w:rFonts w:ascii="Times New Roman" w:hAnsi="Times New Roman"/>
        </w:rPr>
        <w:t>recent works by Roy (Roy et al., 2021) have also emphasized the importance of jointly optimizing the</w:t>
      </w:r>
      <w:r w:rsidRPr="00FF6D90">
        <w:rPr>
          <w:rFonts w:ascii="Times New Roman" w:hAnsi="Times New Roman"/>
        </w:rPr>
        <w:t xml:space="preserve"> energy and hydrogen subsystems. Multi-level and two</w:t>
      </w:r>
      <w:r w:rsidR="00BB0A79">
        <w:rPr>
          <w:rFonts w:ascii="Times New Roman" w:hAnsi="Times New Roman"/>
        </w:rPr>
        <w:t>-</w:t>
      </w:r>
      <w:r w:rsidRPr="00FF6D90">
        <w:rPr>
          <w:rFonts w:ascii="Times New Roman" w:hAnsi="Times New Roman"/>
        </w:rPr>
        <w:t xml:space="preserve">stage optimization methods that </w:t>
      </w:r>
      <w:r w:rsidR="00A93615">
        <w:rPr>
          <w:rFonts w:ascii="Times New Roman" w:hAnsi="Times New Roman"/>
        </w:rPr>
        <w:t>integrate long-term sizing with short-term operational planning have been shown to improve economic feasibility and</w:t>
      </w:r>
      <w:r w:rsidRPr="00FF6D90">
        <w:rPr>
          <w:rFonts w:ascii="Times New Roman" w:hAnsi="Times New Roman"/>
        </w:rPr>
        <w:t xml:space="preserve"> system reliability </w:t>
      </w:r>
      <w:r w:rsidRPr="00FF6D90">
        <w:rPr>
          <w:rFonts w:ascii="Times New Roman" w:hAnsi="Times New Roman"/>
        </w:rPr>
        <w:fldChar w:fldCharType="begin" w:fldLock="1"/>
      </w:r>
      <w:r w:rsidRPr="00FF6D90">
        <w:rPr>
          <w:rFonts w:ascii="Times New Roman" w:hAnsi="Times New Roman"/>
        </w:rPr>
        <w:instrText>ADDIN CSL_CITATION {"citationItems":[{"id":"ITEM-1","itemData":{"author":[{"dropping-particle":"","family":"Vishwakarma","given":"Kamlesh Kumar","non-dropping-particle":"","parse-names":false,"suffix":""},{"dropping-particle":"","family":"Dubey","given":"Hari Mohan","non-dropping-particle":"","parse-names":false,"suffix":""}],"container-title":"International journal of engineering research and technology","id":"ITEM-1","issue":"3","issued":{"date-parts":[["2012"]]},"publisher":"ESRSA Publications","title":"Simulated Annealing Based Optimization for Solving Large Scale Economic Load Dispatch Problems","type":"article-journal","volume":"1"},"uris":["http://www.mendeley.com/documents/?uuid=d62252c1-2785-42da-b896-fd3328d53607"]},{"id":"ITEM-2","itemData":{"DOI":"10.1109/JSYST.2020.3021379","author":[{"dropping-particle":"","family":"Lyden","given":"S","non-dropping-particle":"","parse-names":false,"suffix":""},{"dropping-particle":"","family":"Galligan","given":"Harry","non-dropping-particle":"","parse-names":false,"suffix":""},{"dropping-particle":"","family":"Haque","given":"Enamul","non-dropping-particle":"","parse-names":false,"suffix":""}],"container-title":"IEEE Systems Journal","id":"ITEM-2","issue":"3","issued":{"date-parts":[["2021"]]},"page":"4325-4333","publisher":"Institute of Electrical and Electronics Engineers (IEEE)","title":"A Hybrid Simulated Annealing and Perturb and Observe Maximum Power Point Tracking Method","type":"article-journal","volume":"15"},"uris":["http://www.mendeley.com/documents/?uuid=a6f85ab9-0026-4ebd-8911-c2d6f3bf8ad5"]}],"mendeley":{"formattedCitation":"(Lyden et al., 2021; Vishwakarma &amp; Dubey, 2012)","plainTextFormattedCitation":"(Lyden et al., 2021; Vishwakarma &amp; Dubey, 2012)","previouslyFormattedCitation":"[24], [25]"},"properties":{"noteIndex":0},"schema":"https://github.com/citation-style-language/schema/raw/master/csl-citation.json"}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(Lyden et al., 2021; Vishwakarma &amp; Dubey, 2012)</w:t>
      </w:r>
      <w:r w:rsidRPr="00FF6D90">
        <w:rPr>
          <w:rFonts w:ascii="Times New Roman" w:hAnsi="Times New Roman"/>
        </w:rPr>
        <w:fldChar w:fldCharType="end"/>
      </w:r>
      <w:r w:rsidRPr="00FF6D90">
        <w:rPr>
          <w:rFonts w:ascii="Times New Roman" w:hAnsi="Times New Roman"/>
        </w:rPr>
        <w:t>. Hybrid renewable microgrids have been popular in the Indian context</w:t>
      </w:r>
      <w:r w:rsidR="00A93615">
        <w:rPr>
          <w:rFonts w:ascii="Times New Roman" w:hAnsi="Times New Roman"/>
        </w:rPr>
        <w:t xml:space="preserve"> due to facilitating policies, including net-metering, faster deductions, the rooftop solar program under the Ministry of New and Renewable Energy (MNRE),</w:t>
      </w:r>
      <w:r w:rsidRPr="00FF6D90">
        <w:rPr>
          <w:rFonts w:ascii="Times New Roman" w:hAnsi="Times New Roman"/>
        </w:rPr>
        <w:t xml:space="preserve"> and solar requirements by state governments. Chudasama &amp; Kotwal, (2019), (Kumar &amp; Venkatesan, (2023) and (Kirmani &amp; Shadab, (2015) have demonstrated that microgrids are appropriate in the diverse climatic areas of India, including states with high solar potential, like Madhya Pradesh and Rajasthan, and coastal wind-dominated areas, including Gujarat and Tamil Nadu </w:t>
      </w:r>
      <w:r w:rsidRPr="00FF6D90">
        <w:rPr>
          <w:rFonts w:ascii="Times New Roman" w:hAnsi="Times New Roman"/>
        </w:rPr>
        <w:fldChar w:fldCharType="begin" w:fldLock="1"/>
      </w:r>
      <w:r w:rsidRPr="00FF6D90">
        <w:rPr>
          <w:rFonts w:ascii="Times New Roman" w:hAnsi="Times New Roman"/>
        </w:rPr>
        <w:instrText>ADDIN CSL_CITATION {"citationItems":[{"id":"ITEM-1","itemData":{"DOI":"10.11648/J.IJEPE.20150402.21","author":[{"dropping-particle":"","family":"Kirmani","given":"Sheeraz","non-dropping-particle":"","parse-names":false,"suffix":""},{"dropping-particle":"","family":"Shadab","given":"Mohd","non-dropping-particle":"","parse-names":false,"suffix":""}],"container-title":"International Journal of Energy and Power Engineering","id":"ITEM-1","issue":"2","issued":{"date-parts":[["2015"]]},"page":"103","publisher":"Science Publishing Group","title":"Techno-Economic Feasibility Analysis of Hybrid Systems for Decentralized Power Generation in India","type":"article-journal","volume":"4"},"uris":["http://www.mendeley.com/documents/?uuid=21d9dcbd-9b5e-4a9f-9095-a9d6b66e51f1"]},{"id":"ITEM-2","itemData":{"DOI":"10.32628/ijsrset2182136","author":[{"dropping-particle":"","family":"Chudasama","given":"Praful P","non-dropping-particle":"","parse-names":false,"suffix":""},{"dropping-particle":"","family":"Kotwal","given":"Chetan D","non-dropping-particle":"","parse-names":false,"suffix":""}],"container-title":"International journal of scientific research in science, engineering and technology","id":"ITEM-2","issued":{"date-parts":[["2019"]]},"title":"Feasibility Assessment of a Standalone Hybrid Rural Microgrid Using a Load Following Dispatched Strategy","type":"article-journal"},"uris":["http://www.mendeley.com/documents/?uuid=82f7c706-ebca-470d-b526-009d357b4806"]},{"id":"ITEM-3","itemData":{"DOI":"10.1080/15325008.2023.2249883","author":[{"dropping-particle":"","family":"Kumar","given":"T Sathesh","non-dropping-particle":"","parse-names":false,"suffix":""},{"dropping-particle":"","family":"Venkatesan","given":"T","non-dropping-particle":"","parse-names":false,"suffix":""}],"container-title":"Electric Power Components and Systems","id":"ITEM-3","issued":{"date-parts":[["2023"]]},"title":"A Techno-Economic Optimal Evaluation and Feasibility Analysis of Hybrid Microgrid Electrification for Smart Cities in Tamil Nadu","type":"article-journal"},"uris":["http://www.mendeley.com/documents/?uuid=236604a3-e22a-4d06-899e-7d56f2de6399"]}],"mendeley":{"formattedCitation":"(Chudasama &amp; Kotwal, 2019; Kirmani &amp; Shadab, 2015; Kumar &amp; Venkatesan, 2023)","plainTextFormattedCitation":"(Chudasama &amp; Kotwal, 2019; Kirmani &amp; Shadab, 2015; Kumar &amp; Venkatesan, 2023)","previouslyFormattedCitation":"[28]–[30]"},"properties":{"noteIndex":0},"schema":"https://github.com/citation-style-language/schema/raw/master/csl-citation.json"}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(Chudasama &amp; Kotwal, 2019; Kirmani &amp; Shadab, 2015; Kumar &amp; Venkatesan, 2023)</w:t>
      </w:r>
      <w:r w:rsidRPr="00FF6D90">
        <w:rPr>
          <w:rFonts w:ascii="Times New Roman" w:hAnsi="Times New Roman"/>
        </w:rPr>
        <w:fldChar w:fldCharType="end"/>
      </w:r>
      <w:r w:rsidRPr="00FF6D90">
        <w:rPr>
          <w:rFonts w:ascii="Times New Roman" w:hAnsi="Times New Roman"/>
        </w:rPr>
        <w:t>. PV-wind-battery and other types of hybrid</w:t>
      </w:r>
      <w:r w:rsidR="00A93615">
        <w:rPr>
          <w:rFonts w:ascii="Times New Roman" w:hAnsi="Times New Roman"/>
        </w:rPr>
        <w:t xml:space="preserve"> microgrids, when operated under grid-connected configurations, have been shown to minimize operating costs in several feasibility study</w:t>
      </w:r>
      <w:r w:rsidRPr="00FF6D90">
        <w:rPr>
          <w:rFonts w:ascii="Times New Roman" w:hAnsi="Times New Roman"/>
        </w:rPr>
        <w:t xml:space="preserve"> areas. The literature still has significant gaps </w:t>
      </w:r>
      <w:r w:rsidR="00A93615">
        <w:rPr>
          <w:rFonts w:ascii="Times New Roman" w:hAnsi="Times New Roman"/>
        </w:rPr>
        <w:t>despite</w:t>
      </w:r>
      <w:r w:rsidRPr="00FF6D90">
        <w:rPr>
          <w:rFonts w:ascii="Times New Roman" w:hAnsi="Times New Roman"/>
        </w:rPr>
        <w:t xml:space="preserve"> significant improvements. Numerous investigations address only one of the component</w:t>
      </w:r>
      <w:r w:rsidR="00A93615">
        <w:rPr>
          <w:rFonts w:ascii="Times New Roman" w:hAnsi="Times New Roman"/>
        </w:rPr>
        <w:t>-sizing or short-term operation-scheduling dimensions, without addressing both dimensions</w:t>
      </w:r>
      <w:r w:rsidRPr="00FF6D90">
        <w:rPr>
          <w:rFonts w:ascii="Times New Roman" w:hAnsi="Times New Roman"/>
        </w:rPr>
        <w:t xml:space="preserve"> as a unit. Moreover, there is a lack of comparative analyses of various metaheuristic algorithms with the same databases, conditions, and metrics. Moreover, area-specific investigations</w:t>
      </w:r>
      <w:r w:rsidR="00A93615">
        <w:rPr>
          <w:rFonts w:ascii="Times New Roman" w:hAnsi="Times New Roman"/>
        </w:rPr>
        <w:t>, owing to the inclusion of local weather conditions, loading practices, and regulatory systems, especially in association with Indian cities,</w:t>
      </w:r>
      <w:r w:rsidRPr="00FF6D90">
        <w:rPr>
          <w:rFonts w:ascii="Times New Roman" w:hAnsi="Times New Roman"/>
        </w:rPr>
        <w:t xml:space="preserve"> are relatively rare </w:t>
      </w:r>
      <w:r w:rsidRPr="00FF6D90">
        <w:rPr>
          <w:rFonts w:ascii="Times New Roman" w:hAnsi="Times New Roman"/>
        </w:rPr>
        <w:fldChar w:fldCharType="begin" w:fldLock="1"/>
      </w:r>
      <w:r w:rsidRPr="00FF6D90">
        <w:rPr>
          <w:rFonts w:ascii="Times New Roman" w:hAnsi="Times New Roman"/>
        </w:rPr>
        <w:instrText>ADDIN CSL_CITATION {"citationItems":[{"id":"ITEM-1","itemData":{"DOI":"10.4018/979-8-3693-7842-7.ch010","author":[{"dropping-particle":"","family":"Chauhan","given":"Siddharthsingh K","non-dropping-particle":"","parse-names":false,"suffix":""},{"dropping-particle":"","family":"Chauhan","given":"Vineeta S","non-dropping-particle":"","parse-names":false,"suffix":""}],"container-title":"Advances in systems analysis, software engineering, and high performance computing book series","id":"ITEM-1","issued":{"date-parts":[["2024"]]},"page":"184-200","publisher":"IGI Global","title":"Meta-Heuristic Algorithms for Optimal Sizing of Hybrid Renewable Energy Systems","type":"article-journal"},"uris":["http://www.mendeley.com/documents/?uuid=20d23502-356b-4c2c-bdea-1fed3cc3d49d"]},{"id":"ITEM-2","itemData":{"DOI":"10.11648/J.IJEPE.20150402.21","author":[{"dropping-particle":"","family":"Kirmani","given":"Sheeraz","non-dropping-particle":"","parse-names":false,"suffix":""},{"dropping-particle":"","family":"Shadab","given":"Mohd","non-dropping-particle":"","parse-names":false,"suffix":""}],"container-title":"International Journal of Energy and Power Engineering","id":"ITEM-2","issue":"2","issued":{"date-parts":[["2015"]]},"page":"103","publisher":"Science Publishing Group","title":"Techno-Economic Feasibility Analysis of Hybrid Systems for Decentralized Power Generation in India","type":"article-journal","volume":"4"},"uris":["http://www.mendeley.com/documents/?uuid=21d9dcbd-9b5e-4a9f-9095-a9d6b66e51f1"]},{"id":"ITEM-3","itemData":{"DOI":"10.1007/s11831-022-09730-x","author":[{"dropping-particle":"","family":"Bouaouda","given":"A","non-dropping-particle":"","parse-names":false,"suffix":""},{"dropping-particle":"","family":"Sayouti","given":"Yassine","non-dropping-particle":"","parse-names":false,"suffix":""}],"container-title":"Archives of Computational Methods in Engineering","id":"ITEM-3","issue":"6","issued":{"date-parts":[["2022"]]},"page":"4049-4083","title":"Hybrid Meta-Heuristic Algorithms for Optimal Sizing of Hybrid Renewable Energy System: A Review of the State-of-the-Art","type":"article-journal","volume":"29"},"uris":["http://www.mendeley.com/documents/?uuid=428f3140-a6a2-470d-a54e-54e17702f1a2"]}],"mendeley":{"formattedCitation":"(Bouaouda &amp; Sayouti, 2022; Chauhan &amp; Chauhan, 2024; Kirmani &amp; Shadab, 2015)","plainTextFormattedCitation":"(Bouaouda &amp; Sayouti, 2022; Chauhan &amp; Chauhan, 2024; Kirmani &amp; Shadab, 2015)","previouslyFormattedCitation":"[28], [31], [32]"},"properties":{"noteIndex":0},"schema":"https://github.com/citation-style-language/schema/raw/master/csl-citation.json"}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(Bouaouda &amp; Sayouti, 2022; Chauhan &amp; Chauhan, 2024; Kirmani &amp; Shadab, 2015)</w:t>
      </w:r>
      <w:r w:rsidRPr="00FF6D90">
        <w:rPr>
          <w:rFonts w:ascii="Times New Roman" w:hAnsi="Times New Roman"/>
        </w:rPr>
        <w:fldChar w:fldCharType="end"/>
      </w:r>
      <w:r w:rsidRPr="00FF6D90">
        <w:rPr>
          <w:rFonts w:ascii="Times New Roman" w:hAnsi="Times New Roman"/>
        </w:rPr>
        <w:t xml:space="preserve">. These gaps </w:t>
      </w:r>
      <w:r w:rsidR="00A93615">
        <w:rPr>
          <w:rFonts w:ascii="Times New Roman" w:hAnsi="Times New Roman"/>
        </w:rPr>
        <w:t>highlight the need for an all-encompassing, India-specific analysis that considers the performance of optimization techniques, the</w:t>
      </w:r>
      <w:r w:rsidRPr="00FF6D90">
        <w:rPr>
          <w:rFonts w:ascii="Times New Roman" w:hAnsi="Times New Roman"/>
        </w:rPr>
        <w:t xml:space="preserve"> peculiarities of renewable resources, storage </w:t>
      </w:r>
      <w:proofErr w:type="spellStart"/>
      <w:r w:rsidRPr="00FF6D90">
        <w:rPr>
          <w:rFonts w:ascii="Times New Roman" w:hAnsi="Times New Roman"/>
        </w:rPr>
        <w:t>behavior</w:t>
      </w:r>
      <w:proofErr w:type="spellEnd"/>
      <w:r w:rsidRPr="00FF6D90">
        <w:rPr>
          <w:rFonts w:ascii="Times New Roman" w:hAnsi="Times New Roman"/>
        </w:rPr>
        <w:t xml:space="preserve">, and local grid policies simultaneously </w:t>
      </w:r>
      <w:r w:rsidRPr="00FF6D90">
        <w:rPr>
          <w:rFonts w:ascii="Times New Roman" w:hAnsi="Times New Roman"/>
        </w:rPr>
        <w:fldChar w:fldCharType="begin" w:fldLock="1"/>
      </w:r>
      <w:r w:rsidRPr="00FF6D90">
        <w:rPr>
          <w:rFonts w:ascii="Times New Roman" w:hAnsi="Times New Roman"/>
        </w:rPr>
        <w:instrText>ADDIN CSL_CITATION {"citationItems":[{"id":"ITEM-1","itemData":{"DOI":"10.1109/EIT48999.2020.9208343","author":[{"dropping-particle":"","family":"Alshammari","given":"Nahar","non-dropping-particle":"","parse-names":false,"suffix":""},{"dropping-particle":"","family":"Asumadu","given":"Johnson","non-dropping-particle":"","parse-names":false,"suffix":""}],"container-title":"Electro/Information Technology","id":"ITEM-1","issued":{"date-parts":[["2020"]]},"page":"648-654","publisher":"IEEE","title":"Comparative Analysis of Meta-Heuristic Algorithms for Optimal Sizing of Hybrid Renewable Energy System","type":"article-journal"},"uris":["http://www.mendeley.com/documents/?uuid=0ae8480b-5bde-423e-8440-0a3af15986bd"]},{"id":"ITEM-2","itemData":{"DOI":"10.21608/astj.2025.387829.1061","author":[{"dropping-particle":"","family":"Samir","given":"Ahmed","non-dropping-particle":"","parse-names":false,"suffix":""},{"dropping-particle":"","family":"Mostafa","given":"MohamedS","non-dropping-particle":"","parse-names":false,"suffix":""},{"dropping-particle":"","family":"Ashraf","given":"Abdelrahman","non-dropping-particle":"","parse-names":false,"suffix":""},{"dropping-particle":"","family":"Hafez","given":"Ahmed","non-dropping-particle":"","parse-names":false,"suffix":""}],"container-title":"Advanced Sciences and Technology Journal","id":"ITEM-2","issue":"0","issued":{"date-parts":[["2025"]]},"page":"0","publisher":"Egyptian Chinese University","title":"Techno-Economic Assessment of Renewable Energy-Based Microgrids: A Case Study for Building in El Gouna, Egypt","type":"article-journal","volume":"0"},"uris":["http://www.mendeley.com/documents/?uuid=0e6c75c1-ddab-4643-bced-529f0e29b7d2"]}],"mendeley":{"formattedCitation":"(Alshammari &amp; Asumadu, 2020; Samir et al., 2025)","plainTextFormattedCitation":"(Alshammari &amp; Asumadu, 2020; Samir et al., 2025)","previouslyFormattedCitation":"[5], [33]"},"properties":{"noteIndex":0},"schema":"https://github.com/citation-style-language/schema/raw/master/csl-citation.json"}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(Alshammari &amp; Asumadu, 2020; Samir et al., 2025)</w:t>
      </w:r>
      <w:r w:rsidRPr="00FF6D90">
        <w:rPr>
          <w:rFonts w:ascii="Times New Roman" w:hAnsi="Times New Roman"/>
        </w:rPr>
        <w:fldChar w:fldCharType="end"/>
      </w:r>
      <w:r w:rsidRPr="00FF6D90">
        <w:rPr>
          <w:rFonts w:ascii="Times New Roman" w:hAnsi="Times New Roman"/>
        </w:rPr>
        <w:t xml:space="preserve">. </w:t>
      </w:r>
    </w:p>
    <w:p w14:paraId="553E078A" w14:textId="34DAC940" w:rsidR="00237E6B" w:rsidRPr="00FF6D90" w:rsidRDefault="000301D7" w:rsidP="004D29E9">
      <w:pPr>
        <w:pStyle w:val="MDPI31text"/>
        <w:spacing w:line="240" w:lineRule="auto"/>
        <w:ind w:left="0" w:firstLine="284"/>
        <w:rPr>
          <w:rFonts w:ascii="Times New Roman" w:hAnsi="Times New Roman"/>
          <w:color w:val="auto"/>
          <w:sz w:val="22"/>
          <w:lang w:val="en-IN"/>
        </w:rPr>
      </w:pPr>
      <w:r w:rsidRPr="00FF6D90">
        <w:rPr>
          <w:rFonts w:ascii="Times New Roman" w:hAnsi="Times New Roman"/>
          <w:color w:val="auto"/>
          <w:sz w:val="22"/>
        </w:rPr>
        <w:t xml:space="preserve">Despite substantial progress in renewable-based microgrid research, limited attention has been given to region-specific operational optimization that reflects the climatic variability, load diversity, and tariff structures of Indian urban environments such as Bhopal. Moreover, existing studies often evaluate a single optimization technique or focus solely on sizing rather than short-term operational scheduling under practical grid-connected constraints. To address these gaps, the present work develops a unified optimization and simulation framework for a PV–Wind–BESS microgrid tailored to the Bhopal region, incorporating high-resolution meteorological and demand profiles. The primary objective of this study is to minimize the </w:t>
      </w:r>
      <w:r w:rsidR="00A93615">
        <w:rPr>
          <w:rFonts w:ascii="Times New Roman" w:hAnsi="Times New Roman"/>
          <w:color w:val="auto"/>
          <w:sz w:val="22"/>
        </w:rPr>
        <w:t>microgrid's daily operational costs</w:t>
      </w:r>
      <w:r w:rsidRPr="00FF6D90">
        <w:rPr>
          <w:rFonts w:ascii="Times New Roman" w:hAnsi="Times New Roman"/>
          <w:color w:val="auto"/>
          <w:sz w:val="22"/>
        </w:rPr>
        <w:t xml:space="preserve"> while ensuring reliable power balance, effective utilization of renewable resources, and adherence to technical constraints. A comparative analysis of Particle Swarm Optimization (PSO), Genetic Algorithm (GA), and Simulated Annealing (SA) is performed to identify the most efficient dispatch strategy under realistic operating conditions. The novelty of this work lies in (</w:t>
      </w:r>
      <w:proofErr w:type="spellStart"/>
      <w:r w:rsidRPr="00FF6D90">
        <w:rPr>
          <w:rFonts w:ascii="Times New Roman" w:hAnsi="Times New Roman"/>
          <w:color w:val="auto"/>
          <w:sz w:val="22"/>
        </w:rPr>
        <w:t>i</w:t>
      </w:r>
      <w:proofErr w:type="spellEnd"/>
      <w:r w:rsidRPr="00FF6D90">
        <w:rPr>
          <w:rFonts w:ascii="Times New Roman" w:hAnsi="Times New Roman"/>
          <w:color w:val="auto"/>
          <w:sz w:val="22"/>
        </w:rPr>
        <w:t>) the integration of region-specific renewable and load datasets, (ii) the simultaneous evaluation of three widely used metaheuristic algorithms within an identical simulation environment, and (iii) the demonstration of cost and renewable-penetration improvements achievable through optimized dispatch in an Indian urban microgrid context</w:t>
      </w:r>
      <w:r w:rsidRPr="00FF6D90">
        <w:rPr>
          <w:rFonts w:ascii="Times New Roman" w:hAnsi="Times New Roman"/>
          <w:color w:val="auto"/>
          <w:sz w:val="22"/>
          <w:lang w:val="en-IN"/>
        </w:rPr>
        <w:t>.</w:t>
      </w:r>
    </w:p>
    <w:p w14:paraId="2B730EF3" w14:textId="3343DD3F" w:rsidR="00237E6B" w:rsidRPr="00373A5F" w:rsidRDefault="00237E6B" w:rsidP="002D38EF">
      <w:pPr>
        <w:pStyle w:val="Rn1"/>
        <w:rPr>
          <w:lang w:val="en-US"/>
        </w:rPr>
      </w:pPr>
      <w:r w:rsidRPr="00373A5F">
        <w:rPr>
          <w:lang w:val="en-US"/>
        </w:rPr>
        <w:t>2. S</w:t>
      </w:r>
      <w:r w:rsidR="00CF2244" w:rsidRPr="00373A5F">
        <w:rPr>
          <w:lang w:val="en-US"/>
        </w:rPr>
        <w:t>tudy Area</w:t>
      </w:r>
    </w:p>
    <w:p w14:paraId="5B37B6D2" w14:textId="219CE075" w:rsidR="00CF2244" w:rsidRPr="00FF6D90" w:rsidRDefault="00CF2244" w:rsidP="004D29E9">
      <w:pPr>
        <w:spacing w:after="0" w:line="240" w:lineRule="auto"/>
        <w:ind w:firstLine="284"/>
        <w:jc w:val="both"/>
        <w:rPr>
          <w:rFonts w:ascii="Times New Roman" w:hAnsi="Times New Roman"/>
        </w:rPr>
      </w:pPr>
      <w:r w:rsidRPr="00FF6D90">
        <w:rPr>
          <w:rFonts w:ascii="Times New Roman" w:hAnsi="Times New Roman"/>
        </w:rPr>
        <w:t xml:space="preserve">Bhopal, the capital city of Madhya Pradesh in central India, located at 23.25°N </w:t>
      </w:r>
      <w:r w:rsidR="00A93615">
        <w:rPr>
          <w:rFonts w:ascii="Times New Roman" w:hAnsi="Times New Roman"/>
        </w:rPr>
        <w:t>and 77.41°E,</w:t>
      </w:r>
      <w:r w:rsidRPr="00FF6D90">
        <w:rPr>
          <w:rFonts w:ascii="Times New Roman" w:hAnsi="Times New Roman"/>
        </w:rPr>
        <w:t xml:space="preserve"> with an average elevation of about 500 meters, is selected as the study area for this research. Bhopal also has </w:t>
      </w:r>
      <w:r w:rsidR="00A93615">
        <w:rPr>
          <w:rFonts w:ascii="Times New Roman" w:hAnsi="Times New Roman"/>
        </w:rPr>
        <w:t>strong solar power potential, with an average Global Horizontal Irradiance (GHI) of 5.2 kW</w:t>
      </w:r>
      <w:r w:rsidRPr="00FF6D90">
        <w:rPr>
          <w:rFonts w:ascii="Times New Roman" w:hAnsi="Times New Roman"/>
        </w:rPr>
        <w:t>h/m</w:t>
      </w:r>
      <w:r w:rsidRPr="00FF6D90">
        <w:rPr>
          <w:rFonts w:ascii="Times New Roman" w:hAnsi="Times New Roman"/>
          <w:vertAlign w:val="superscript"/>
        </w:rPr>
        <w:t>2</w:t>
      </w:r>
      <w:r w:rsidRPr="00FF6D90">
        <w:rPr>
          <w:rFonts w:ascii="Times New Roman" w:hAnsi="Times New Roman"/>
        </w:rPr>
        <w:t>/day and 280</w:t>
      </w:r>
      <w:r w:rsidR="00FA28CA">
        <w:rPr>
          <w:rFonts w:ascii="Times New Roman" w:hAnsi="Times New Roman"/>
        </w:rPr>
        <w:t>–</w:t>
      </w:r>
      <w:r w:rsidRPr="00FF6D90">
        <w:rPr>
          <w:rFonts w:ascii="Times New Roman" w:hAnsi="Times New Roman"/>
        </w:rPr>
        <w:t>300 days of sunshine annually. April and May are the months with the greatest solar irradiation</w:t>
      </w:r>
      <w:r w:rsidR="00A93615">
        <w:rPr>
          <w:rFonts w:ascii="Times New Roman" w:hAnsi="Times New Roman"/>
        </w:rPr>
        <w:t>, with GPI levels reaching 7.0–7.2 kWh/m2/day, while the winter months have values of</w:t>
      </w:r>
      <w:r w:rsidRPr="00FF6D90">
        <w:rPr>
          <w:rFonts w:ascii="Times New Roman" w:hAnsi="Times New Roman"/>
        </w:rPr>
        <w:t xml:space="preserve"> 4.2</w:t>
      </w:r>
      <w:r w:rsidR="00FA28CA">
        <w:rPr>
          <w:rFonts w:ascii="Times New Roman" w:hAnsi="Times New Roman"/>
        </w:rPr>
        <w:t>–</w:t>
      </w:r>
      <w:r w:rsidRPr="00FF6D90">
        <w:rPr>
          <w:rFonts w:ascii="Times New Roman" w:hAnsi="Times New Roman"/>
        </w:rPr>
        <w:t>4.8 kWh/m</w:t>
      </w:r>
      <w:r w:rsidRPr="00FF6D90">
        <w:rPr>
          <w:rFonts w:ascii="Times New Roman" w:hAnsi="Times New Roman"/>
          <w:vertAlign w:val="superscript"/>
        </w:rPr>
        <w:t>2</w:t>
      </w:r>
      <w:r w:rsidRPr="00FF6D90">
        <w:rPr>
          <w:rFonts w:ascii="Times New Roman" w:hAnsi="Times New Roman"/>
        </w:rPr>
        <w:t xml:space="preserve">/day. </w:t>
      </w:r>
      <w:r w:rsidR="00A93615">
        <w:rPr>
          <w:rFonts w:ascii="Times New Roman" w:hAnsi="Times New Roman"/>
        </w:rPr>
        <w:t>The National Institute of Wind Energy (NIWE) and the India Meteorological Department long-term datasets confirm that the city's high solar radiation makes it an ideal location for photovoltaic (PV) power generation, as well as for studying</w:t>
      </w:r>
      <w:r w:rsidRPr="00FF6D90">
        <w:rPr>
          <w:rFonts w:ascii="Times New Roman" w:hAnsi="Times New Roman"/>
        </w:rPr>
        <w:t xml:space="preserve"> solar-dependent microgrid behaviour in realistic operating conditions. The </w:t>
      </w:r>
      <w:r w:rsidR="00A93615">
        <w:rPr>
          <w:rFonts w:ascii="Times New Roman" w:hAnsi="Times New Roman"/>
        </w:rPr>
        <w:t>wind energy resources in Bhopal are moderate and can</w:t>
      </w:r>
      <w:r w:rsidRPr="00FF6D90">
        <w:rPr>
          <w:rFonts w:ascii="Times New Roman" w:hAnsi="Times New Roman"/>
        </w:rPr>
        <w:t xml:space="preserve"> supplement solar generation. The average wind speed is between 2.5 </w:t>
      </w:r>
      <w:r w:rsidR="00A93615">
        <w:rPr>
          <w:rFonts w:ascii="Times New Roman" w:hAnsi="Times New Roman"/>
        </w:rPr>
        <w:t>and 3.0 m/s at 10 m height throughout the year, with seasonal speeds up to 3.5–4.2 m/s</w:t>
      </w:r>
      <w:r w:rsidRPr="00FF6D90">
        <w:rPr>
          <w:rFonts w:ascii="Times New Roman" w:hAnsi="Times New Roman"/>
        </w:rPr>
        <w:t xml:space="preserve"> during the monsoon months. Even though these speeds are not as high as those </w:t>
      </w:r>
      <w:r w:rsidR="00A93615">
        <w:rPr>
          <w:rFonts w:ascii="Times New Roman" w:hAnsi="Times New Roman"/>
        </w:rPr>
        <w:t>in coastal wind areas of India, they provide more renewable backup during seasons when the sun is weaker,</w:t>
      </w:r>
      <w:r w:rsidRPr="00FF6D90">
        <w:rPr>
          <w:rFonts w:ascii="Times New Roman" w:hAnsi="Times New Roman"/>
        </w:rPr>
        <w:t xml:space="preserve"> especially on cloudy monsoon days, as well as in the late evening hours. Electrical load patterns </w:t>
      </w:r>
      <w:r w:rsidR="00A93615">
        <w:rPr>
          <w:rFonts w:ascii="Times New Roman" w:hAnsi="Times New Roman"/>
        </w:rPr>
        <w:t>in Bhopal reflect</w:t>
      </w:r>
      <w:r w:rsidRPr="00FF6D90">
        <w:rPr>
          <w:rFonts w:ascii="Times New Roman" w:hAnsi="Times New Roman"/>
        </w:rPr>
        <w:t xml:space="preserve"> common urban consumption patterns </w:t>
      </w:r>
      <w:r w:rsidRPr="00FF6D90">
        <w:rPr>
          <w:rFonts w:ascii="Times New Roman" w:hAnsi="Times New Roman"/>
        </w:rPr>
        <w:fldChar w:fldCharType="begin" w:fldLock="1"/>
      </w:r>
      <w:r w:rsidRPr="00FF6D90">
        <w:rPr>
          <w:rFonts w:ascii="Times New Roman" w:hAnsi="Times New Roman"/>
        </w:rPr>
        <w:instrText>ADDIN CSL_CITATION {"citationItems":[{"id":"ITEM-1","itemData":{"DOI":"10.1109/icepes60647.2024.10653587","author":[{"dropping-particle":"","family":"Ghosh","given":"S","non-dropping-particle":"","parse-names":false,"suffix":""},{"dropping-particle":"","family":"Nandanwar","given":"Sonali","non-dropping-particle":"","parse-names":false,"suffix":""},{"dropping-particle":"","family":"Pandey","given":"G","non-dropping-particle":"","parse-names":false,"suffix":""}],"id":"ITEM-1","issued":{"date-parts":[["2024"]]},"page":"1-7","title":"Cost-Effective and Sustainable Microgrid System for Reliable Energy Supply in Remote and Rural Communities: A Case Study in Bhopal, Madhya Pradesh","type":"article-journal","volume":"16"},"uris":["http://www.mendeley.com/documents/?uuid=3c6004fa-7b31-4824-a4ee-83296e79af7f"]}],"mendeley":{"formattedCitation":"(Ghosh, Nandanwar, &amp; Pandey, 2024)","plainTextFormattedCitation":"(Ghosh, Nandanwar, &amp; Pandey, 2024)","previouslyFormattedCitation":"[34]"},"properties":{"noteIndex":0},"schema":"https://github.com/citation-style-language/schema/raw/master/csl-citation.json"}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 xml:space="preserve">(Ghosh </w:t>
      </w:r>
      <w:r w:rsidR="00AB1CC4">
        <w:rPr>
          <w:rFonts w:ascii="Times New Roman" w:hAnsi="Times New Roman"/>
          <w:noProof/>
        </w:rPr>
        <w:t>et al.</w:t>
      </w:r>
      <w:r w:rsidRPr="00FF6D90">
        <w:rPr>
          <w:rFonts w:ascii="Times New Roman" w:hAnsi="Times New Roman"/>
          <w:noProof/>
        </w:rPr>
        <w:t>, 2024)</w:t>
      </w:r>
      <w:r w:rsidRPr="00FF6D90">
        <w:rPr>
          <w:rFonts w:ascii="Times New Roman" w:hAnsi="Times New Roman"/>
        </w:rPr>
        <w:fldChar w:fldCharType="end"/>
      </w:r>
      <w:r w:rsidRPr="00FF6D90">
        <w:rPr>
          <w:rFonts w:ascii="Times New Roman" w:hAnsi="Times New Roman"/>
        </w:rPr>
        <w:t xml:space="preserve">. The evening peak is also high between 7.00 PM and 10.00 PM in residential areas </w:t>
      </w:r>
      <w:r w:rsidR="00A93615">
        <w:rPr>
          <w:rFonts w:ascii="Times New Roman" w:hAnsi="Times New Roman"/>
        </w:rPr>
        <w:t>due to lighting and cooling loads, while the daytime peak is between 9.00 AM and 6.00 PM in commercial and small industrial area</w:t>
      </w:r>
      <w:r w:rsidRPr="00FF6D90">
        <w:rPr>
          <w:rFonts w:ascii="Times New Roman" w:hAnsi="Times New Roman"/>
        </w:rPr>
        <w:t xml:space="preserve">s. To conduct </w:t>
      </w:r>
      <w:r w:rsidRPr="00FF6D90">
        <w:rPr>
          <w:rFonts w:ascii="Times New Roman" w:hAnsi="Times New Roman"/>
        </w:rPr>
        <w:lastRenderedPageBreak/>
        <w:t xml:space="preserve">this research, the microgrid is a </w:t>
      </w:r>
      <w:r w:rsidR="00A93615">
        <w:rPr>
          <w:rFonts w:ascii="Times New Roman" w:hAnsi="Times New Roman"/>
        </w:rPr>
        <w:t xml:space="preserve">mixed-use </w:t>
      </w:r>
      <w:r w:rsidRPr="00FF6D90">
        <w:rPr>
          <w:rFonts w:ascii="Times New Roman" w:hAnsi="Times New Roman"/>
        </w:rPr>
        <w:t>community with about 500 households</w:t>
      </w:r>
      <w:r w:rsidR="00A93615">
        <w:rPr>
          <w:rFonts w:ascii="Times New Roman" w:hAnsi="Times New Roman"/>
        </w:rPr>
        <w:t>,</w:t>
      </w:r>
      <w:r w:rsidRPr="00FF6D90">
        <w:rPr>
          <w:rFonts w:ascii="Times New Roman" w:hAnsi="Times New Roman"/>
        </w:rPr>
        <w:t xml:space="preserve"> commercial units</w:t>
      </w:r>
      <w:r w:rsidR="00A93615">
        <w:rPr>
          <w:rFonts w:ascii="Times New Roman" w:hAnsi="Times New Roman"/>
        </w:rPr>
        <w:t>,</w:t>
      </w:r>
      <w:r w:rsidRPr="00FF6D90">
        <w:rPr>
          <w:rFonts w:ascii="Times New Roman" w:hAnsi="Times New Roman"/>
        </w:rPr>
        <w:t xml:space="preserve"> and community service buildings. Th</w:t>
      </w:r>
      <w:r w:rsidR="00A93615">
        <w:rPr>
          <w:rFonts w:ascii="Times New Roman" w:hAnsi="Times New Roman"/>
        </w:rPr>
        <w:t>is cluster</w:t>
      </w:r>
      <w:r w:rsidRPr="00FF6D90">
        <w:rPr>
          <w:rFonts w:ascii="Times New Roman" w:hAnsi="Times New Roman"/>
        </w:rPr>
        <w:t xml:space="preserve"> has a peak of about 2.5 MW, an average of almost 8.5 MWh per day, and </w:t>
      </w:r>
      <w:r w:rsidR="00A93615">
        <w:rPr>
          <w:rFonts w:ascii="Times New Roman" w:hAnsi="Times New Roman"/>
        </w:rPr>
        <w:t xml:space="preserve">an </w:t>
      </w:r>
      <w:r w:rsidRPr="00FF6D90">
        <w:rPr>
          <w:rFonts w:ascii="Times New Roman" w:hAnsi="Times New Roman"/>
        </w:rPr>
        <w:t>early morning base load of 150</w:t>
      </w:r>
      <w:r w:rsidR="00FA28CA">
        <w:rPr>
          <w:rFonts w:ascii="Times New Roman" w:hAnsi="Times New Roman"/>
        </w:rPr>
        <w:t>–</w:t>
      </w:r>
      <w:r w:rsidRPr="00FF6D90">
        <w:rPr>
          <w:rFonts w:ascii="Times New Roman" w:hAnsi="Times New Roman"/>
        </w:rPr>
        <w:t xml:space="preserve">180 kW. The </w:t>
      </w:r>
      <w:r w:rsidR="00A93615">
        <w:rPr>
          <w:rFonts w:ascii="Times New Roman" w:hAnsi="Times New Roman"/>
        </w:rPr>
        <w:t>cooling system's load profile is also affected by seasonal changes and shifts, particularly in higher demand during summer, which should</w:t>
      </w:r>
      <w:r w:rsidRPr="00FF6D90">
        <w:rPr>
          <w:rFonts w:ascii="Times New Roman" w:hAnsi="Times New Roman"/>
        </w:rPr>
        <w:t xml:space="preserve"> be considered when optimizing </w:t>
      </w:r>
      <w:r w:rsidRPr="00FF6D90">
        <w:rPr>
          <w:rFonts w:ascii="Times New Roman" w:hAnsi="Times New Roman"/>
        </w:rPr>
        <w:fldChar w:fldCharType="begin" w:fldLock="1"/>
      </w:r>
      <w:r w:rsidRPr="00FF6D90">
        <w:rPr>
          <w:rFonts w:ascii="Times New Roman" w:hAnsi="Times New Roman"/>
        </w:rPr>
        <w:instrText>ADDIN CSL_CITATION {"citationItems":[{"id":"ITEM-1","itemData":{"DOI":"10.1109/icepes60647.2024.10653587","author":[{"dropping-particle":"","family":"Ghosh","given":"S","non-dropping-particle":"","parse-names":false,"suffix":""},{"dropping-particle":"","family":"Nandanwar","given":"Sonali","non-dropping-particle":"","parse-names":false,"suffix":""},{"dropping-particle":"","family":"Pandey","given":"G","non-dropping-particle":"","parse-names":false,"suffix":""}],"id":"ITEM-1","issued":{"date-parts":[["2024"]]},"page":"1-7","title":"Cost-Effective and Sustainable Microgrid System for Reliable Energy Supply in Remote and Rural Communities: A Case Study in Bhopal, Madhya Pradesh","type":"article-journal","volume":"16"},"uris":["http://www.mendeley.com/documents/?uuid=3c6004fa-7b31-4824-a4ee-83296e79af7f"]}],"mendeley":{"formattedCitation":"(Ghosh et al., 2024)","plainTextFormattedCitation":"(Ghosh et al., 2024)","previouslyFormattedCitation":"[34]"},"properties":{"noteIndex":0},"schema":"https://github.com/citation-style-language/schema/raw/master/csl-citation.json"}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(Ghosh et al., 2024)</w:t>
      </w:r>
      <w:r w:rsidRPr="00FF6D90">
        <w:rPr>
          <w:rFonts w:ascii="Times New Roman" w:hAnsi="Times New Roman"/>
        </w:rPr>
        <w:fldChar w:fldCharType="end"/>
      </w:r>
      <w:r w:rsidRPr="00FF6D90">
        <w:rPr>
          <w:rFonts w:ascii="Times New Roman" w:hAnsi="Times New Roman"/>
        </w:rPr>
        <w:t>.</w:t>
      </w:r>
    </w:p>
    <w:p w14:paraId="70D192A0" w14:textId="48BACF80" w:rsidR="00806E1F" w:rsidRPr="00FF6D90" w:rsidRDefault="00CF2244" w:rsidP="004D29E9">
      <w:pPr>
        <w:spacing w:after="0" w:line="240" w:lineRule="auto"/>
        <w:ind w:firstLine="284"/>
        <w:jc w:val="both"/>
        <w:rPr>
          <w:rFonts w:ascii="Times New Roman" w:hAnsi="Times New Roman"/>
        </w:rPr>
      </w:pPr>
      <w:r w:rsidRPr="00FF6D90">
        <w:rPr>
          <w:rFonts w:ascii="Times New Roman" w:hAnsi="Times New Roman"/>
        </w:rPr>
        <w:t>Overall, Bhopal</w:t>
      </w:r>
      <w:r w:rsidR="007E1AB9">
        <w:rPr>
          <w:rFonts w:ascii="Times New Roman" w:hAnsi="Times New Roman"/>
        </w:rPr>
        <w:t>'</w:t>
      </w:r>
      <w:r w:rsidRPr="00FF6D90">
        <w:rPr>
          <w:rFonts w:ascii="Times New Roman" w:hAnsi="Times New Roman"/>
        </w:rPr>
        <w:t xml:space="preserve">s combination of high solar irradiance, moderate but supportive wind conditions, mixed-use load characteristics, and strengthened state grid infrastructure provides an excellent real-world environment for evaluating hybrid renewable microgrid performance </w:t>
      </w:r>
      <w:r w:rsidRPr="00FF6D90">
        <w:rPr>
          <w:rFonts w:ascii="Times New Roman" w:hAnsi="Times New Roman"/>
        </w:rPr>
        <w:fldChar w:fldCharType="begin" w:fldLock="1"/>
      </w:r>
      <w:r w:rsidRPr="00FF6D90">
        <w:rPr>
          <w:rFonts w:ascii="Times New Roman" w:hAnsi="Times New Roman"/>
        </w:rPr>
        <w:instrText>ADDIN CSL_CITATION {"citationItems":[{"id":"ITEM-1","itemData":{"DOI":"10.1109/icepes60647.2024.10653587","author":[{"dropping-particle":"","family":"Ghosh","given":"S","non-dropping-particle":"","parse-names":false,"suffix":""},{"dropping-particle":"","family":"Nandanwar","given":"Sonali","non-dropping-particle":"","parse-names":false,"suffix":""},{"dropping-particle":"","family":"Pandey","given":"G","non-dropping-particle":"","parse-names":false,"suffix":""}],"id":"ITEM-1","issued":{"date-parts":[["2024"]]},"page":"1-7","title":"Cost-Effective and Sustainable Microgrid System for Reliable Energy Supply in Remote and Rural Communities: A Case Study in Bhopal, Madhya Pradesh","type":"article-journal","volume":"16"},"uris":["http://www.mendeley.com/documents/?uuid=3c6004fa-7b31-4824-a4ee-83296e79af7f"]}],"mendeley":{"formattedCitation":"(Ghosh et al., 2024)","plainTextFormattedCitation":"(Ghosh et al., 2024)","previouslyFormattedCitation":"[34]"},"properties":{"noteIndex":0},"schema":"https://github.com/citation-style-language/schema/raw/master/csl-citation.json"}</w:instrText>
      </w:r>
      <w:r w:rsidRPr="00FF6D90">
        <w:rPr>
          <w:rFonts w:ascii="Times New Roman" w:hAnsi="Times New Roman"/>
        </w:rPr>
        <w:fldChar w:fldCharType="separate"/>
      </w:r>
      <w:r w:rsidRPr="00FF6D90">
        <w:rPr>
          <w:rFonts w:ascii="Times New Roman" w:hAnsi="Times New Roman"/>
          <w:noProof/>
        </w:rPr>
        <w:t>(Ghosh et al., 2024)</w:t>
      </w:r>
      <w:r w:rsidRPr="00FF6D90">
        <w:rPr>
          <w:rFonts w:ascii="Times New Roman" w:hAnsi="Times New Roman"/>
        </w:rPr>
        <w:fldChar w:fldCharType="end"/>
      </w:r>
      <w:r w:rsidRPr="00FF6D90">
        <w:rPr>
          <w:rFonts w:ascii="Times New Roman" w:hAnsi="Times New Roman"/>
        </w:rPr>
        <w:t xml:space="preserve">. These factors make the city highly suitable for studying the interplay </w:t>
      </w:r>
      <w:r w:rsidR="00A93615">
        <w:rPr>
          <w:rFonts w:ascii="Times New Roman" w:hAnsi="Times New Roman"/>
        </w:rPr>
        <w:t>among photovoltaic generation, wind support, battery storage</w:t>
      </w:r>
      <w:r w:rsidRPr="00FF6D90">
        <w:rPr>
          <w:rFonts w:ascii="Times New Roman" w:hAnsi="Times New Roman"/>
        </w:rPr>
        <w:t>, and grid interaction under a net-metering framework. As a result, Bhopal offers a representative and practically relevant setting for validating the optimization approaches employed in this research, namely Particle Swarm Optimization (PSO), Genetic Algorithm (GA), and Simulated Annealing (SA), for achieving cost-effective and reliable microgrid operation.</w:t>
      </w:r>
    </w:p>
    <w:p w14:paraId="69A61901" w14:textId="1DAFB6A4" w:rsidR="00FF6D90" w:rsidRPr="00FF6D90" w:rsidRDefault="002D38EF" w:rsidP="002D38EF">
      <w:pPr>
        <w:pStyle w:val="Rn1"/>
        <w:rPr>
          <w:lang w:val="en-IN"/>
        </w:rPr>
      </w:pPr>
      <w:r w:rsidRPr="00373A5F">
        <w:rPr>
          <w:lang w:val="en-US"/>
        </w:rPr>
        <w:t>3.</w:t>
      </w:r>
      <w:r w:rsidR="00FF6D90" w:rsidRPr="00373A5F">
        <w:rPr>
          <w:lang w:val="en-US"/>
        </w:rPr>
        <w:t xml:space="preserve"> System Modeling</w:t>
      </w:r>
    </w:p>
    <w:p w14:paraId="241A33A0" w14:textId="780562DC" w:rsidR="00FF6D90" w:rsidRDefault="00FF6D90" w:rsidP="002D38EF">
      <w:pPr>
        <w:spacing w:after="0" w:line="240" w:lineRule="auto"/>
        <w:ind w:firstLine="284"/>
        <w:jc w:val="both"/>
        <w:rPr>
          <w:rFonts w:ascii="Times New Roman" w:hAnsi="Times New Roman"/>
        </w:rPr>
      </w:pPr>
      <w:r w:rsidRPr="00FF6D90">
        <w:rPr>
          <w:rFonts w:ascii="Times New Roman" w:hAnsi="Times New Roman"/>
        </w:rPr>
        <w:t xml:space="preserve">The proposed hybrid microgrid system consists of four major components: a photovoltaic (PV) generation unit, a wind energy conversion system (WECS), a battery energy storage system (BESS), and a bi-directional </w:t>
      </w:r>
      <w:r w:rsidRPr="002D38EF">
        <w:rPr>
          <w:rFonts w:ascii="Times New Roman" w:hAnsi="Times New Roman"/>
        </w:rPr>
        <w:t>grid interface operating under a net-metering framework as shown in Figure 1.</w:t>
      </w:r>
    </w:p>
    <w:p w14:paraId="2F67ED85" w14:textId="77777777" w:rsidR="002D38EF" w:rsidRPr="002D38EF" w:rsidRDefault="002D38EF" w:rsidP="004D29E9">
      <w:pPr>
        <w:spacing w:after="0" w:line="240" w:lineRule="auto"/>
        <w:jc w:val="both"/>
        <w:rPr>
          <w:rFonts w:ascii="Times New Roman" w:hAnsi="Times New Roman"/>
        </w:rPr>
      </w:pPr>
    </w:p>
    <w:p w14:paraId="37BE3660" w14:textId="77777777" w:rsidR="00FF6D90" w:rsidRPr="002D38EF" w:rsidRDefault="00FF6D90" w:rsidP="004D29E9">
      <w:pPr>
        <w:pStyle w:val="MDPI31text"/>
        <w:spacing w:line="240" w:lineRule="auto"/>
        <w:ind w:left="0" w:firstLine="0"/>
        <w:jc w:val="center"/>
        <w:rPr>
          <w:rFonts w:ascii="Times New Roman" w:hAnsi="Times New Roman"/>
          <w:color w:val="auto"/>
          <w:sz w:val="22"/>
          <w:szCs w:val="24"/>
        </w:rPr>
      </w:pPr>
      <w:r w:rsidRPr="002D38EF">
        <w:rPr>
          <w:noProof/>
          <w:sz w:val="22"/>
          <w:szCs w:val="24"/>
        </w:rPr>
        <w:drawing>
          <wp:inline distT="0" distB="0" distL="0" distR="0" wp14:anchorId="4FC8AF4E" wp14:editId="1C713BF6">
            <wp:extent cx="5926755" cy="3368842"/>
            <wp:effectExtent l="0" t="0" r="0" b="3175"/>
            <wp:docPr id="2118302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02390" name=""/>
                    <pic:cNvPicPr/>
                  </pic:nvPicPr>
                  <pic:blipFill>
                    <a:blip r:embed="rId11">
                      <a:extLst>
                        <a:ext uri="{28A0092B-C50C-407E-A947-70E740481C1C}">
                          <a14:useLocalDpi xmlns:a14="http://schemas.microsoft.com/office/drawing/2010/main" val="0"/>
                        </a:ext>
                      </a:extLst>
                    </a:blip>
                    <a:stretch>
                      <a:fillRect/>
                    </a:stretch>
                  </pic:blipFill>
                  <pic:spPr>
                    <a:xfrm>
                      <a:off x="0" y="0"/>
                      <a:ext cx="5964224" cy="3390140"/>
                    </a:xfrm>
                    <a:prstGeom prst="rect">
                      <a:avLst/>
                    </a:prstGeom>
                  </pic:spPr>
                </pic:pic>
              </a:graphicData>
            </a:graphic>
          </wp:inline>
        </w:drawing>
      </w:r>
    </w:p>
    <w:p w14:paraId="1C3B490F" w14:textId="539C7B17" w:rsidR="00FF6D90" w:rsidRPr="00373A5F" w:rsidRDefault="00FF6D90" w:rsidP="002D38EF">
      <w:pPr>
        <w:pStyle w:val="Rrys"/>
        <w:rPr>
          <w:lang w:val="en-US"/>
        </w:rPr>
      </w:pPr>
      <w:r w:rsidRPr="00373A5F">
        <w:rPr>
          <w:b/>
          <w:bCs/>
          <w:lang w:val="en-US"/>
        </w:rPr>
        <w:t>Fig. 1.</w:t>
      </w:r>
      <w:r w:rsidRPr="00373A5F">
        <w:rPr>
          <w:lang w:val="en-US"/>
        </w:rPr>
        <w:t xml:space="preserve"> PV–Wind–BESS based microgrid architecture with utility grid connection</w:t>
      </w:r>
    </w:p>
    <w:p w14:paraId="3F73FC91" w14:textId="77777777" w:rsidR="002D38EF" w:rsidRDefault="002D38EF" w:rsidP="004D29E9">
      <w:pPr>
        <w:pStyle w:val="MDPI31text"/>
        <w:spacing w:line="240" w:lineRule="auto"/>
        <w:ind w:left="0" w:firstLine="0"/>
        <w:rPr>
          <w:rFonts w:ascii="Times New Roman" w:hAnsi="Times New Roman"/>
          <w:color w:val="auto"/>
          <w:sz w:val="22"/>
        </w:rPr>
      </w:pPr>
    </w:p>
    <w:p w14:paraId="102377F1" w14:textId="2DCB2603" w:rsidR="00FF6D90" w:rsidRDefault="00FF6D90" w:rsidP="002D38EF">
      <w:pPr>
        <w:pStyle w:val="MDPI31text"/>
        <w:spacing w:line="240" w:lineRule="auto"/>
        <w:ind w:left="0" w:firstLine="284"/>
        <w:rPr>
          <w:rFonts w:ascii="Times New Roman" w:hAnsi="Times New Roman"/>
          <w:color w:val="auto"/>
          <w:sz w:val="22"/>
          <w:lang w:val="en-IN"/>
        </w:rPr>
      </w:pPr>
      <w:r w:rsidRPr="00FF6D90">
        <w:rPr>
          <w:rFonts w:ascii="Times New Roman" w:hAnsi="Times New Roman"/>
          <w:color w:val="auto"/>
          <w:sz w:val="22"/>
        </w:rPr>
        <w:t>The microgrid supplies a mixed residential</w:t>
      </w:r>
      <w:r w:rsidR="00A93615">
        <w:rPr>
          <w:rFonts w:ascii="Times New Roman" w:hAnsi="Times New Roman"/>
          <w:color w:val="auto"/>
          <w:sz w:val="22"/>
        </w:rPr>
        <w:t>-commercial load representative of the selected Bhopal study area and optimally dispatches it using</w:t>
      </w:r>
      <w:r w:rsidRPr="00FF6D90">
        <w:rPr>
          <w:rFonts w:ascii="Times New Roman" w:hAnsi="Times New Roman"/>
          <w:color w:val="auto"/>
          <w:sz w:val="22"/>
        </w:rPr>
        <w:t xml:space="preserve"> the chosen optimization algorithms (PSO, GA, and SA). </w:t>
      </w:r>
      <w:r w:rsidRPr="00FF6D90">
        <w:rPr>
          <w:rFonts w:ascii="Times New Roman" w:hAnsi="Times New Roman"/>
          <w:color w:val="auto"/>
          <w:sz w:val="22"/>
          <w:lang w:val="en-IN"/>
        </w:rPr>
        <w:t>The load demand and renewable energy generation profiles used in this study were obtained from representative hourly datasets for the Bhopal region. Solar PV generation was derived from hourly solar irradiance data, while wind generation was estimated using hourly wind speed data. The electrical load profile was based on a representative urban demand pattern. All datasets were processed at an hourly resolution over a 24-hour scheduling horizon for the optimization analysis.</w:t>
      </w:r>
    </w:p>
    <w:p w14:paraId="0E43D816" w14:textId="190D15F4" w:rsidR="00FF6D90" w:rsidRPr="00373A5F" w:rsidRDefault="002D38EF" w:rsidP="002D38EF">
      <w:pPr>
        <w:pStyle w:val="Rn2"/>
        <w:rPr>
          <w:lang w:val="en-US"/>
        </w:rPr>
      </w:pPr>
      <w:r w:rsidRPr="00373A5F">
        <w:rPr>
          <w:lang w:val="en-US"/>
        </w:rPr>
        <w:t xml:space="preserve">3.1. </w:t>
      </w:r>
      <w:r w:rsidR="00FF6D90" w:rsidRPr="00373A5F">
        <w:rPr>
          <w:lang w:val="en-US"/>
        </w:rPr>
        <w:t>Photovoltaic (PV) System Modeling</w:t>
      </w:r>
    </w:p>
    <w:p w14:paraId="5BC581A8" w14:textId="5963B0D2" w:rsidR="00FF6D90" w:rsidRPr="00FA28CA" w:rsidRDefault="00FF6D90" w:rsidP="00C73EBE">
      <w:pPr>
        <w:pStyle w:val="FirstParagraph"/>
        <w:spacing w:before="0" w:after="0"/>
        <w:ind w:firstLine="284"/>
        <w:jc w:val="both"/>
        <w:rPr>
          <w:rFonts w:cs="Times New Roman"/>
          <w:kern w:val="2"/>
          <w:sz w:val="22"/>
          <w:szCs w:val="22"/>
          <w:lang w:val="en-IN"/>
          <w14:ligatures w14:val="standardContextual"/>
        </w:rPr>
      </w:pPr>
      <w:r w:rsidRPr="00FF6D90">
        <w:rPr>
          <w:rFonts w:cs="Times New Roman"/>
          <w:kern w:val="2"/>
          <w:sz w:val="22"/>
          <w:szCs w:val="22"/>
          <w:lang w:val="en-IN"/>
          <w14:ligatures w14:val="standardContextual"/>
        </w:rPr>
        <w:t xml:space="preserve">The PV output is determined by incident solar irradiance and cell temperature. The model follows the standard efficiency-based formulation </w:t>
      </w:r>
      <w:r w:rsidRPr="00FA28CA">
        <w:rPr>
          <w:rFonts w:cs="Times New Roman"/>
          <w:kern w:val="2"/>
          <w:sz w:val="22"/>
          <w:szCs w:val="22"/>
          <w:lang w:val="en-IN"/>
          <w14:ligatures w14:val="standardContextual"/>
        </w:rPr>
        <w:t>as shown in Equation 1</w:t>
      </w:r>
      <w:r w:rsidR="00FA28CA" w:rsidRPr="00FA28CA">
        <w:rPr>
          <w:rFonts w:cs="Times New Roman"/>
          <w:kern w:val="2"/>
          <w:sz w:val="22"/>
          <w:szCs w:val="22"/>
          <w:lang w:val="en-IN"/>
          <w14:ligatures w14:val="standardContextual"/>
        </w:rPr>
        <w:t xml:space="preserve"> </w:t>
      </w:r>
      <w:r w:rsidRPr="00FA28CA">
        <w:rPr>
          <w:rFonts w:cs="Times New Roman"/>
          <w:kern w:val="2"/>
          <w:sz w:val="22"/>
          <w:szCs w:val="22"/>
          <w:lang w:val="en-IN"/>
          <w14:ligatures w14:val="standardContextual"/>
        </w:rPr>
        <w:fldChar w:fldCharType="begin" w:fldLock="1"/>
      </w:r>
      <w:r w:rsidRPr="00FA28CA">
        <w:rPr>
          <w:rFonts w:cs="Times New Roman"/>
          <w:kern w:val="2"/>
          <w:sz w:val="22"/>
          <w:szCs w:val="22"/>
          <w:lang w:val="en-IN"/>
          <w14:ligatures w14:val="standardContextual"/>
        </w:rPr>
        <w:instrText>ADDIN CSL_CITATION {"citationItems":[{"id":"ITEM-1","itemData":{"DOI":"10.1109/iSSSC56467.2022.10051441","author":[{"dropping-particle":"","family":"Chouhan","given":"Jyoti Bala","non-dropping-particle":"","parse-names":false,"suffix":""},{"dropping-particle":"","family":"Ojha","given":"Amit","non-dropping-particle":"","parse-names":false,"suffix":""},{"dropping-particle":"","family":"Swarnkar","given":"Pankaj","non-dropping-particle":"","parse-names":false,"suffix":""}],"id":"ITEM-1","issued":{"date-parts":[["2022"]]},"page":"1-4","title":"PSO-Based Distributed Generation Planning","type":"article-journal"},"uris":["http://www.mendeley.com/documents/?uuid=56879a43-ba3f-4a44-bc5a-1683bbdc2dd5"]}],"mendeley":{"formattedCitation":"(Chouhan et al., 2022)","plainTextFormattedCitation":"(Chouhan et al., 2022)","previouslyFormattedCitation":"[21]"},"properties":{"noteIndex":0},"schema":"https://github.com/citation-style-language/schema/raw/master/csl-citation.json"}</w:instrText>
      </w:r>
      <w:r w:rsidRPr="00FA28CA">
        <w:rPr>
          <w:rFonts w:cs="Times New Roman"/>
          <w:kern w:val="2"/>
          <w:sz w:val="22"/>
          <w:szCs w:val="22"/>
          <w:lang w:val="en-IN"/>
          <w14:ligatures w14:val="standardContextual"/>
        </w:rPr>
        <w:fldChar w:fldCharType="separate"/>
      </w:r>
      <w:r w:rsidRPr="00FA28CA">
        <w:rPr>
          <w:rFonts w:cs="Times New Roman"/>
          <w:noProof/>
          <w:kern w:val="2"/>
          <w:sz w:val="22"/>
          <w:szCs w:val="22"/>
          <w:lang w:val="en-IN"/>
          <w14:ligatures w14:val="standardContextual"/>
        </w:rPr>
        <w:t>(Chouhan et al., 2022)</w:t>
      </w:r>
      <w:r w:rsidRPr="00FA28CA">
        <w:rPr>
          <w:rFonts w:cs="Times New Roman"/>
          <w:kern w:val="2"/>
          <w:sz w:val="22"/>
          <w:szCs w:val="22"/>
          <w:lang w:val="en-IN"/>
          <w14:ligatures w14:val="standardContextual"/>
        </w:rPr>
        <w:fldChar w:fldCharType="end"/>
      </w:r>
      <w:r w:rsidRPr="00FA28CA">
        <w:rPr>
          <w:rFonts w:cs="Times New Roman"/>
          <w:kern w:val="2"/>
          <w:sz w:val="22"/>
          <w:szCs w:val="22"/>
          <w:lang w:val="en-IN"/>
          <w14:ligatures w14:val="standardContextual"/>
        </w:rPr>
        <w:t xml:space="preserve">. </w:t>
      </w:r>
    </w:p>
    <w:p w14:paraId="430BF6AD" w14:textId="2E128D74" w:rsidR="00FF6D90" w:rsidRPr="00FF6D90" w:rsidRDefault="00000000" w:rsidP="002D38EF">
      <w:pPr>
        <w:pStyle w:val="Tekstpodstawowy"/>
        <w:tabs>
          <w:tab w:val="right" w:pos="9638"/>
        </w:tabs>
        <w:spacing w:before="120" w:after="120"/>
        <w:ind w:left="2835"/>
        <w:rPr>
          <w:sz w:val="22"/>
          <w:szCs w:val="22"/>
        </w:rPr>
      </w:pPr>
      <m:oMath>
        <m:sSub>
          <m:sSubPr>
            <m:ctrlPr>
              <w:rPr>
                <w:rFonts w:ascii="Cambria Math" w:hAnsi="Cambria Math"/>
                <w:sz w:val="22"/>
                <w:szCs w:val="22"/>
              </w:rPr>
            </m:ctrlPr>
          </m:sSubPr>
          <m:e>
            <m:r>
              <w:rPr>
                <w:rFonts w:ascii="Cambria Math" w:hAnsi="Cambria Math"/>
                <w:sz w:val="22"/>
                <w:szCs w:val="22"/>
              </w:rPr>
              <m:t>P</m:t>
            </m:r>
          </m:e>
          <m:sub>
            <m:r>
              <m:rPr>
                <m:nor/>
              </m:rPr>
              <w:rPr>
                <w:sz w:val="22"/>
                <w:szCs w:val="22"/>
              </w:rPr>
              <m:t>PV</m:t>
            </m:r>
          </m:sub>
        </m:sSub>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η</m:t>
            </m:r>
          </m:e>
          <m:sub>
            <m:r>
              <m:rPr>
                <m:nor/>
              </m:rPr>
              <w:rPr>
                <w:sz w:val="22"/>
                <w:szCs w:val="22"/>
              </w:rPr>
              <m:t>PV</m:t>
            </m:r>
          </m:sub>
        </m:sSub>
        <m:sSub>
          <m:sSubPr>
            <m:ctrlPr>
              <w:rPr>
                <w:rFonts w:ascii="Cambria Math" w:hAnsi="Cambria Math"/>
                <w:sz w:val="22"/>
                <w:szCs w:val="22"/>
              </w:rPr>
            </m:ctrlPr>
          </m:sSubPr>
          <m:e>
            <m:r>
              <w:rPr>
                <w:rFonts w:ascii="Cambria Math" w:hAnsi="Cambria Math"/>
                <w:sz w:val="22"/>
                <w:szCs w:val="22"/>
              </w:rPr>
              <m:t>A</m:t>
            </m:r>
          </m:e>
          <m:sub>
            <m:r>
              <m:rPr>
                <m:nor/>
              </m:rPr>
              <w:rPr>
                <w:sz w:val="22"/>
                <w:szCs w:val="22"/>
              </w:rPr>
              <m:t>PV</m:t>
            </m:r>
          </m:sub>
        </m:sSub>
        <m:r>
          <w:rPr>
            <w:rFonts w:ascii="Cambria Math" w:hAnsi="Cambria Math"/>
            <w:sz w:val="22"/>
            <w:szCs w:val="22"/>
          </w:rPr>
          <m:t>G</m:t>
        </m:r>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d>
          <m:dPr>
            <m:begChr m:val="["/>
            <m:endChr m:val="]"/>
            <m:ctrlPr>
              <w:rPr>
                <w:rFonts w:ascii="Cambria Math" w:hAnsi="Cambria Math"/>
                <w:sz w:val="22"/>
                <w:szCs w:val="22"/>
              </w:rPr>
            </m:ctrlPr>
          </m:dPr>
          <m:e>
            <m:r>
              <w:rPr>
                <w:rFonts w:ascii="Cambria Math" w:hAnsi="Cambria Math"/>
                <w:sz w:val="22"/>
                <w:szCs w:val="22"/>
              </w:rPr>
              <m:t>1</m:t>
            </m:r>
            <m:r>
              <m:rPr>
                <m:sty m:val="p"/>
              </m:rPr>
              <w:rPr>
                <w:rFonts w:ascii="Cambria Math" w:hAnsi="Cambria Math"/>
                <w:sz w:val="22"/>
                <w:szCs w:val="22"/>
              </w:rPr>
              <m:t>-</m:t>
            </m:r>
            <m:r>
              <w:rPr>
                <w:rFonts w:ascii="Cambria Math" w:hAnsi="Cambria Math"/>
                <w:sz w:val="22"/>
                <w:szCs w:val="22"/>
              </w:rPr>
              <m:t>α</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c</m:t>
                    </m:r>
                  </m:sub>
                </m:sSub>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r>
                  <w:rPr>
                    <w:rFonts w:ascii="Cambria Math" w:hAnsi="Cambria Math"/>
                    <w:sz w:val="22"/>
                    <w:szCs w:val="22"/>
                  </w:rPr>
                  <m:t>25</m:t>
                </m:r>
              </m:e>
            </m:d>
          </m:e>
        </m:d>
      </m:oMath>
      <w:r w:rsidR="002D38EF">
        <w:rPr>
          <w:sz w:val="22"/>
          <w:szCs w:val="22"/>
        </w:rPr>
        <w:tab/>
        <w:t>(1)</w:t>
      </w:r>
    </w:p>
    <w:p w14:paraId="700E89D9" w14:textId="18E784E8" w:rsidR="00FF6D90" w:rsidRPr="00FF6D90" w:rsidRDefault="00FF6D90" w:rsidP="00C73EBE">
      <w:pPr>
        <w:pStyle w:val="Tekstpodstawowy"/>
        <w:jc w:val="both"/>
        <w:rPr>
          <w:sz w:val="22"/>
          <w:szCs w:val="22"/>
        </w:rPr>
      </w:pPr>
      <w:r w:rsidRPr="00FF6D90">
        <w:rPr>
          <w:sz w:val="22"/>
          <w:szCs w:val="22"/>
        </w:rPr>
        <w:t xml:space="preserve">where </w:t>
      </w:r>
      <m:oMath>
        <m:sSub>
          <m:sSubPr>
            <m:ctrlPr>
              <w:rPr>
                <w:rFonts w:ascii="Cambria Math" w:hAnsi="Cambria Math"/>
                <w:sz w:val="22"/>
                <w:szCs w:val="22"/>
              </w:rPr>
            </m:ctrlPr>
          </m:sSubPr>
          <m:e>
            <m:r>
              <w:rPr>
                <w:rFonts w:ascii="Cambria Math" w:hAnsi="Cambria Math"/>
                <w:sz w:val="22"/>
                <w:szCs w:val="22"/>
              </w:rPr>
              <m:t>η</m:t>
            </m:r>
          </m:e>
          <m:sub>
            <m:r>
              <m:rPr>
                <m:nor/>
              </m:rPr>
              <w:rPr>
                <w:sz w:val="22"/>
                <w:szCs w:val="22"/>
              </w:rPr>
              <m:t>PV</m:t>
            </m:r>
          </m:sub>
        </m:sSub>
      </m:oMath>
      <w:r w:rsidRPr="00FF6D90">
        <w:rPr>
          <w:sz w:val="22"/>
          <w:szCs w:val="22"/>
        </w:rPr>
        <w:t xml:space="preserve">: PV module efficiency, </w:t>
      </w:r>
      <m:oMath>
        <m:sSub>
          <m:sSubPr>
            <m:ctrlPr>
              <w:rPr>
                <w:rFonts w:ascii="Cambria Math" w:hAnsi="Cambria Math"/>
                <w:sz w:val="22"/>
                <w:szCs w:val="22"/>
              </w:rPr>
            </m:ctrlPr>
          </m:sSubPr>
          <m:e>
            <m:r>
              <w:rPr>
                <w:rFonts w:ascii="Cambria Math" w:hAnsi="Cambria Math"/>
                <w:sz w:val="22"/>
                <w:szCs w:val="22"/>
              </w:rPr>
              <m:t>A</m:t>
            </m:r>
          </m:e>
          <m:sub>
            <m:r>
              <m:rPr>
                <m:nor/>
              </m:rPr>
              <w:rPr>
                <w:sz w:val="22"/>
                <w:szCs w:val="22"/>
              </w:rPr>
              <m:t>PV</m:t>
            </m:r>
          </m:sub>
        </m:sSub>
      </m:oMath>
      <w:r w:rsidRPr="00FF6D90">
        <w:rPr>
          <w:sz w:val="22"/>
          <w:szCs w:val="22"/>
        </w:rPr>
        <w:t xml:space="preserve">: Total PV array area, </w:t>
      </w:r>
      <m:oMath>
        <m:r>
          <w:rPr>
            <w:rFonts w:ascii="Cambria Math" w:hAnsi="Cambria Math"/>
            <w:sz w:val="22"/>
            <w:szCs w:val="22"/>
          </w:rPr>
          <m:t>G(t)</m:t>
        </m:r>
      </m:oMath>
      <w:r w:rsidRPr="00FF6D90">
        <w:rPr>
          <w:sz w:val="22"/>
          <w:szCs w:val="22"/>
        </w:rPr>
        <w:t xml:space="preserve">: Solar irradiance (kW/m²) </w:t>
      </w:r>
      <m:oMath>
        <m:r>
          <w:rPr>
            <w:rFonts w:ascii="Cambria Math" w:hAnsi="Cambria Math"/>
            <w:sz w:val="22"/>
            <w:szCs w:val="22"/>
          </w:rPr>
          <m:t>α</m:t>
        </m:r>
      </m:oMath>
      <w:r w:rsidRPr="00FF6D90">
        <w:rPr>
          <w:sz w:val="22"/>
          <w:szCs w:val="22"/>
        </w:rPr>
        <w:t xml:space="preserve">: Temperature </w:t>
      </w:r>
      <w:r w:rsidRPr="00FF6D90">
        <w:rPr>
          <w:sz w:val="22"/>
          <w:szCs w:val="22"/>
        </w:rPr>
        <w:lastRenderedPageBreak/>
        <w:t xml:space="preserve">coefficient, </w:t>
      </w:r>
      <m:oMath>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c</m:t>
            </m:r>
          </m:sub>
        </m:sSub>
        <m:r>
          <w:rPr>
            <w:rFonts w:ascii="Cambria Math" w:hAnsi="Cambria Math"/>
            <w:sz w:val="22"/>
            <w:szCs w:val="22"/>
          </w:rPr>
          <m:t>(t)</m:t>
        </m:r>
      </m:oMath>
      <w:r w:rsidRPr="00FF6D90">
        <w:rPr>
          <w:sz w:val="22"/>
          <w:szCs w:val="22"/>
        </w:rPr>
        <w:t xml:space="preserve">: Cell temperature (°C). High temperatures in Bhopal (up to 45°C) directly reduce module efficiency, </w:t>
      </w:r>
      <w:r w:rsidR="00A93615">
        <w:rPr>
          <w:sz w:val="22"/>
          <w:szCs w:val="22"/>
        </w:rPr>
        <w:t>necessitating thermal correction</w:t>
      </w:r>
      <w:r w:rsidRPr="00FF6D90">
        <w:rPr>
          <w:sz w:val="22"/>
          <w:szCs w:val="22"/>
        </w:rPr>
        <w:t>.</w:t>
      </w:r>
    </w:p>
    <w:p w14:paraId="278B481F" w14:textId="2F0FA013" w:rsidR="00FF6D90" w:rsidRPr="00373A5F" w:rsidRDefault="002D38EF" w:rsidP="002D38EF">
      <w:pPr>
        <w:pStyle w:val="Rn2"/>
        <w:rPr>
          <w:lang w:val="en-US"/>
        </w:rPr>
      </w:pPr>
      <w:r w:rsidRPr="00373A5F">
        <w:rPr>
          <w:lang w:val="en-US"/>
        </w:rPr>
        <w:t xml:space="preserve">3.2. </w:t>
      </w:r>
      <w:r w:rsidR="00FF6D90" w:rsidRPr="00373A5F">
        <w:rPr>
          <w:lang w:val="en-US"/>
        </w:rPr>
        <w:t>Wind Energy Conversion System (WECS) Model</w:t>
      </w:r>
    </w:p>
    <w:p w14:paraId="20A9EF0D" w14:textId="7CCE48D6" w:rsidR="00FF6D90" w:rsidRPr="007B3B88" w:rsidRDefault="00FF6D90" w:rsidP="002D38EF">
      <w:pPr>
        <w:pStyle w:val="FirstParagraph"/>
        <w:spacing w:before="0" w:after="0"/>
        <w:ind w:firstLine="284"/>
        <w:jc w:val="both"/>
        <w:rPr>
          <w:spacing w:val="-4"/>
          <w:sz w:val="22"/>
          <w:szCs w:val="22"/>
        </w:rPr>
      </w:pPr>
      <w:r w:rsidRPr="007B3B88">
        <w:rPr>
          <w:spacing w:val="-4"/>
          <w:sz w:val="22"/>
          <w:szCs w:val="22"/>
        </w:rPr>
        <w:t xml:space="preserve">Wind turbine output follows a manufacturer-defined power curve. The output is given </w:t>
      </w:r>
      <w:r w:rsidR="00A93615">
        <w:rPr>
          <w:spacing w:val="-4"/>
          <w:sz w:val="22"/>
          <w:szCs w:val="22"/>
        </w:rPr>
        <w:t>by</w:t>
      </w:r>
      <w:r w:rsidRPr="007B3B88">
        <w:rPr>
          <w:spacing w:val="-4"/>
          <w:sz w:val="22"/>
          <w:szCs w:val="22"/>
        </w:rPr>
        <w:t xml:space="preserve"> Equation 2.</w:t>
      </w:r>
    </w:p>
    <w:p w14:paraId="32449539" w14:textId="07300878" w:rsidR="00FF6D90" w:rsidRPr="00FF6D90" w:rsidRDefault="00000000" w:rsidP="002D38EF">
      <w:pPr>
        <w:pStyle w:val="Tekstpodstawowy"/>
        <w:tabs>
          <w:tab w:val="right" w:pos="9638"/>
        </w:tabs>
        <w:spacing w:before="120" w:after="120"/>
        <w:ind w:left="2268"/>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WT</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d>
          <m:dPr>
            <m:begChr m:val="{"/>
            <m:endChr m:val=""/>
            <m:ctrlPr>
              <w:rPr>
                <w:rFonts w:ascii="Cambria Math" w:hAnsi="Cambria Math"/>
                <w:kern w:val="2"/>
                <w:sz w:val="22"/>
                <w:szCs w:val="22"/>
                <w14:ligatures w14:val="standardContextual"/>
              </w:rPr>
            </m:ctrlPr>
          </m:dPr>
          <m:e>
            <m:m>
              <m:mPr>
                <m:plcHide m:val="1"/>
                <m:mcs>
                  <m:mc>
                    <m:mcPr>
                      <m:count m:val="2"/>
                      <m:mcJc m:val="left"/>
                    </m:mcPr>
                  </m:mc>
                </m:mcs>
                <m:ctrlPr>
                  <w:rPr>
                    <w:rFonts w:ascii="Cambria Math" w:hAnsi="Cambria Math"/>
                    <w:kern w:val="2"/>
                    <w:sz w:val="22"/>
                    <w:szCs w:val="22"/>
                    <w14:ligatures w14:val="standardContextual"/>
                  </w:rPr>
                </m:ctrlPr>
              </m:mPr>
              <m:mr>
                <m:e>
                  <m:r>
                    <w:rPr>
                      <w:rFonts w:ascii="Cambria Math" w:hAnsi="Cambria Math"/>
                      <w:kern w:val="2"/>
                      <w:sz w:val="22"/>
                      <w:szCs w:val="22"/>
                      <w14:ligatures w14:val="standardContextual"/>
                    </w:rPr>
                    <m:t>0</m:t>
                  </m:r>
                  <m:r>
                    <m:rPr>
                      <m:sty m:val="p"/>
                    </m:rPr>
                    <w:rPr>
                      <w:rFonts w:ascii="Cambria Math" w:hAnsi="Cambria Math"/>
                      <w:kern w:val="2"/>
                      <w:sz w:val="22"/>
                      <w:szCs w:val="22"/>
                      <w14:ligatures w14:val="standardContextual"/>
                    </w:rPr>
                    <m:t>,</m:t>
                  </m:r>
                </m:e>
                <m:e>
                  <m:r>
                    <w:rPr>
                      <w:rFonts w:ascii="Cambria Math" w:hAnsi="Cambria Math"/>
                      <w:kern w:val="2"/>
                      <w:sz w:val="22"/>
                      <w:szCs w:val="22"/>
                      <w14:ligatures w14:val="standardContextual"/>
                    </w:rPr>
                    <m:t>V</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)&lt;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cut-in</m:t>
                      </m:r>
                    </m:sub>
                  </m:sSub>
                </m:e>
              </m:mr>
              <m:mr>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rated</m:t>
                      </m:r>
                    </m:sub>
                  </m:sSub>
                  <m:f>
                    <m:fPr>
                      <m:ctrlPr>
                        <w:rPr>
                          <w:rFonts w:ascii="Cambria Math" w:hAnsi="Cambria Math"/>
                          <w:kern w:val="2"/>
                          <w:sz w:val="22"/>
                          <w:szCs w:val="22"/>
                          <w14:ligatures w14:val="standardContextual"/>
                        </w:rPr>
                      </m:ctrlPr>
                    </m:fPr>
                    <m:num>
                      <m:r>
                        <w:rPr>
                          <w:rFonts w:ascii="Cambria Math" w:hAnsi="Cambria Math"/>
                          <w:kern w:val="2"/>
                          <w:sz w:val="22"/>
                          <w:szCs w:val="22"/>
                          <w14:ligatures w14:val="standardContextual"/>
                        </w:rPr>
                        <m:t>V</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cut-in</m:t>
                          </m:r>
                        </m:sub>
                      </m:sSub>
                    </m:num>
                    <m:den>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rated</m:t>
                          </m:r>
                        </m:sub>
                      </m:sSub>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cut-in</m:t>
                          </m:r>
                        </m:sub>
                      </m:sSub>
                    </m:den>
                  </m:f>
                  <m:r>
                    <m:rPr>
                      <m:sty m:val="p"/>
                    </m:rPr>
                    <w:rPr>
                      <w:rFonts w:ascii="Cambria Math" w:hAnsi="Cambria Math"/>
                      <w:kern w:val="2"/>
                      <w:sz w:val="22"/>
                      <w:szCs w:val="22"/>
                      <w14:ligatures w14:val="standardContextual"/>
                    </w:rPr>
                    <m:t>,</m:t>
                  </m:r>
                </m:e>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cut-in</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V</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)&lt;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rated</m:t>
                      </m:r>
                    </m:sub>
                  </m:sSub>
                </m:e>
              </m:mr>
              <m:mr>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rated</m:t>
                      </m:r>
                    </m:sub>
                  </m:sSub>
                  <m:r>
                    <m:rPr>
                      <m:sty m:val="p"/>
                    </m:rPr>
                    <w:rPr>
                      <w:rFonts w:ascii="Cambria Math" w:hAnsi="Cambria Math"/>
                      <w:kern w:val="2"/>
                      <w:sz w:val="22"/>
                      <w:szCs w:val="22"/>
                      <w14:ligatures w14:val="standardContextual"/>
                    </w:rPr>
                    <m:t>,</m:t>
                  </m:r>
                </m:e>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rated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V</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cut-off</m:t>
                      </m:r>
                    </m:sub>
                  </m:sSub>
                </m:e>
              </m:mr>
              <m:mr>
                <m:e>
                  <m:r>
                    <w:rPr>
                      <w:rFonts w:ascii="Cambria Math" w:hAnsi="Cambria Math"/>
                      <w:kern w:val="2"/>
                      <w:sz w:val="22"/>
                      <w:szCs w:val="22"/>
                      <w14:ligatures w14:val="standardContextual"/>
                    </w:rPr>
                    <m:t>0</m:t>
                  </m:r>
                  <m:r>
                    <m:rPr>
                      <m:sty m:val="p"/>
                    </m:rPr>
                    <w:rPr>
                      <w:rFonts w:ascii="Cambria Math" w:hAnsi="Cambria Math"/>
                      <w:kern w:val="2"/>
                      <w:sz w:val="22"/>
                      <w:szCs w:val="22"/>
                      <w14:ligatures w14:val="standardContextual"/>
                    </w:rPr>
                    <m:t>,</m:t>
                  </m:r>
                </m:e>
                <m:e>
                  <m:r>
                    <w:rPr>
                      <w:rFonts w:ascii="Cambria Math" w:hAnsi="Cambria Math"/>
                      <w:kern w:val="2"/>
                      <w:sz w:val="22"/>
                      <w:szCs w:val="22"/>
                      <w14:ligatures w14:val="standardContextual"/>
                    </w:rPr>
                    <m:t>V</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)&gt;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V</m:t>
                      </m:r>
                    </m:e>
                    <m:sub>
                      <m:r>
                        <m:rPr>
                          <m:nor/>
                        </m:rPr>
                        <w:rPr>
                          <w:kern w:val="2"/>
                          <w:sz w:val="22"/>
                          <w:szCs w:val="22"/>
                          <w14:ligatures w14:val="standardContextual"/>
                        </w:rPr>
                        <m:t>cut-off</m:t>
                      </m:r>
                    </m:sub>
                  </m:sSub>
                </m:e>
              </m:mr>
            </m:m>
          </m:e>
        </m:d>
      </m:oMath>
      <w:r w:rsidR="002D38EF">
        <w:rPr>
          <w:kern w:val="2"/>
          <w:sz w:val="22"/>
          <w:szCs w:val="22"/>
          <w14:ligatures w14:val="standardContextual"/>
        </w:rPr>
        <w:tab/>
        <w:t>(2)</w:t>
      </w:r>
    </w:p>
    <w:p w14:paraId="48D15C3A" w14:textId="77777777" w:rsidR="00FF6D90" w:rsidRPr="00FF6D90" w:rsidRDefault="00FF6D90" w:rsidP="004D29E9">
      <w:pPr>
        <w:pStyle w:val="Tekstpodstawowy"/>
        <w:jc w:val="both"/>
        <w:rPr>
          <w:sz w:val="22"/>
          <w:szCs w:val="22"/>
          <w:lang w:val="en-IN"/>
        </w:rPr>
      </w:pPr>
      <w:r w:rsidRPr="00FF6D90">
        <w:rPr>
          <w:sz w:val="22"/>
          <w:szCs w:val="22"/>
          <w:lang w:val="en-IN"/>
        </w:rPr>
        <w:t xml:space="preserve">where: </w:t>
      </w:r>
      <m:oMath>
        <m:r>
          <w:rPr>
            <w:rFonts w:ascii="Cambria Math" w:hAnsi="Cambria Math"/>
            <w:sz w:val="22"/>
            <w:szCs w:val="22"/>
            <w:lang w:val="en-IN"/>
          </w:rPr>
          <m:t>V(t)</m:t>
        </m:r>
      </m:oMath>
      <w:r w:rsidRPr="00FF6D90">
        <w:rPr>
          <w:sz w:val="22"/>
          <w:szCs w:val="22"/>
          <w:lang w:val="en-IN"/>
        </w:rPr>
        <w:t xml:space="preserve">: Wind speed, </w:t>
      </w:r>
      <m:oMath>
        <m:sSub>
          <m:sSubPr>
            <m:ctrlPr>
              <w:rPr>
                <w:rFonts w:ascii="Cambria Math" w:hAnsi="Cambria Math"/>
                <w:sz w:val="22"/>
                <w:szCs w:val="22"/>
              </w:rPr>
            </m:ctrlPr>
          </m:sSubPr>
          <m:e>
            <m:r>
              <w:rPr>
                <w:rFonts w:ascii="Cambria Math" w:hAnsi="Cambria Math"/>
                <w:sz w:val="22"/>
                <w:szCs w:val="22"/>
                <w:lang w:val="en-IN"/>
              </w:rPr>
              <m:t>V</m:t>
            </m:r>
          </m:e>
          <m:sub>
            <m:r>
              <m:rPr>
                <m:nor/>
              </m:rPr>
              <w:rPr>
                <w:sz w:val="22"/>
                <w:szCs w:val="22"/>
                <w:lang w:val="en-IN"/>
              </w:rPr>
              <m:t>cut-in</m:t>
            </m:r>
          </m:sub>
        </m:sSub>
      </m:oMath>
      <w:r w:rsidRPr="00FF6D90">
        <w:rPr>
          <w:sz w:val="22"/>
          <w:szCs w:val="22"/>
          <w:lang w:val="en-IN"/>
        </w:rPr>
        <w:t xml:space="preserve">, </w:t>
      </w:r>
      <m:oMath>
        <m:sSub>
          <m:sSubPr>
            <m:ctrlPr>
              <w:rPr>
                <w:rFonts w:ascii="Cambria Math" w:hAnsi="Cambria Math"/>
                <w:sz w:val="22"/>
                <w:szCs w:val="22"/>
              </w:rPr>
            </m:ctrlPr>
          </m:sSubPr>
          <m:e>
            <m:r>
              <w:rPr>
                <w:rFonts w:ascii="Cambria Math" w:hAnsi="Cambria Math"/>
                <w:sz w:val="22"/>
                <w:szCs w:val="22"/>
                <w:lang w:val="en-IN"/>
              </w:rPr>
              <m:t>V</m:t>
            </m:r>
          </m:e>
          <m:sub>
            <m:r>
              <m:rPr>
                <m:nor/>
              </m:rPr>
              <w:rPr>
                <w:sz w:val="22"/>
                <w:szCs w:val="22"/>
                <w:lang w:val="en-IN"/>
              </w:rPr>
              <m:t>rated</m:t>
            </m:r>
          </m:sub>
        </m:sSub>
      </m:oMath>
      <w:r w:rsidRPr="00FF6D90">
        <w:rPr>
          <w:sz w:val="22"/>
          <w:szCs w:val="22"/>
          <w:lang w:val="en-IN"/>
        </w:rPr>
        <w:t xml:space="preserve">, </w:t>
      </w:r>
      <m:oMath>
        <m:sSub>
          <m:sSubPr>
            <m:ctrlPr>
              <w:rPr>
                <w:rFonts w:ascii="Cambria Math" w:hAnsi="Cambria Math"/>
                <w:sz w:val="22"/>
                <w:szCs w:val="22"/>
              </w:rPr>
            </m:ctrlPr>
          </m:sSubPr>
          <m:e>
            <m:r>
              <w:rPr>
                <w:rFonts w:ascii="Cambria Math" w:hAnsi="Cambria Math"/>
                <w:sz w:val="22"/>
                <w:szCs w:val="22"/>
                <w:lang w:val="en-IN"/>
              </w:rPr>
              <m:t>V</m:t>
            </m:r>
          </m:e>
          <m:sub>
            <m:r>
              <m:rPr>
                <m:nor/>
              </m:rPr>
              <w:rPr>
                <w:sz w:val="22"/>
                <w:szCs w:val="22"/>
                <w:lang w:val="en-IN"/>
              </w:rPr>
              <m:t>cut-off</m:t>
            </m:r>
          </m:sub>
        </m:sSub>
      </m:oMath>
      <w:r w:rsidRPr="00FF6D90">
        <w:rPr>
          <w:sz w:val="22"/>
          <w:szCs w:val="22"/>
          <w:lang w:val="en-IN"/>
        </w:rPr>
        <w:t xml:space="preserve">: Turbine threshold speeds,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rated</m:t>
            </m:r>
          </m:sub>
        </m:sSub>
      </m:oMath>
      <w:r w:rsidRPr="00FF6D90">
        <w:rPr>
          <w:sz w:val="22"/>
          <w:szCs w:val="22"/>
          <w:lang w:val="en-IN"/>
        </w:rPr>
        <w:t>: Rated turbine power</w:t>
      </w:r>
    </w:p>
    <w:p w14:paraId="5E5739DB" w14:textId="77777777" w:rsidR="002D38EF" w:rsidRDefault="002D38EF" w:rsidP="002D38EF">
      <w:pPr>
        <w:pStyle w:val="Tekstpodstawowy"/>
        <w:ind w:firstLine="284"/>
        <w:jc w:val="both"/>
        <w:rPr>
          <w:sz w:val="22"/>
          <w:szCs w:val="22"/>
          <w:lang w:val="en-IN"/>
        </w:rPr>
      </w:pPr>
    </w:p>
    <w:p w14:paraId="22CC07FF" w14:textId="3AC2CDA0" w:rsidR="00FF6D90" w:rsidRPr="00FF6D90" w:rsidRDefault="00FF6D90" w:rsidP="002D38EF">
      <w:pPr>
        <w:pStyle w:val="Tekstpodstawowy"/>
        <w:ind w:firstLine="284"/>
        <w:jc w:val="both"/>
        <w:rPr>
          <w:sz w:val="22"/>
          <w:szCs w:val="22"/>
          <w:lang w:val="en-IN"/>
        </w:rPr>
      </w:pPr>
      <w:r w:rsidRPr="00FF6D90">
        <w:rPr>
          <w:sz w:val="22"/>
          <w:szCs w:val="22"/>
          <w:lang w:val="en-IN"/>
        </w:rPr>
        <w:t xml:space="preserve">Wind speeds in Bhopal (2.5–4.2 m/s) are modest but complement solar generation particularly during monsoon months </w:t>
      </w:r>
      <w:r w:rsidRPr="00FF6D90">
        <w:rPr>
          <w:sz w:val="22"/>
          <w:szCs w:val="22"/>
          <w:lang w:val="en-IN"/>
        </w:rPr>
        <w:fldChar w:fldCharType="begin" w:fldLock="1"/>
      </w:r>
      <w:r w:rsidRPr="00FF6D90">
        <w:rPr>
          <w:sz w:val="22"/>
          <w:szCs w:val="22"/>
          <w:lang w:val="en-IN"/>
        </w:rPr>
        <w:instrText>ADDIN CSL_CITATION {"citationItems":[{"id":"ITEM-1","itemData":{"DOI":"10.1109/icepes60647.2024.10653587","author":[{"dropping-particle":"","family":"Ghosh","given":"S","non-dropping-particle":"","parse-names":false,"suffix":""},{"dropping-particle":"","family":"Nandanwar","given":"Sonali","non-dropping-particle":"","parse-names":false,"suffix":""},{"dropping-particle":"","family":"Pandey","given":"G","non-dropping-particle":"","parse-names":false,"suffix":""}],"id":"ITEM-1","issued":{"date-parts":[["2024"]]},"page":"1-7","title":"Cost-Effective and Sustainable Microgrid System for Reliable Energy Supply in Remote and Rural Communities: A Case Study in Bhopal, Madhya Pradesh","type":"article-journal","volume":"16"},"uris":["http://www.mendeley.com/documents/?uuid=3c6004fa-7b31-4824-a4ee-83296e79af7f"]}],"mendeley":{"formattedCitation":"(Ghosh et al., 2024)","plainTextFormattedCitation":"(Ghosh et al., 2024)","previouslyFormattedCitation":"[34]"},"properties":{"noteIndex":0},"schema":"https://github.com/citation-style-language/schema/raw/master/csl-citation.json"}</w:instrText>
      </w:r>
      <w:r w:rsidRPr="00FF6D90">
        <w:rPr>
          <w:sz w:val="22"/>
          <w:szCs w:val="22"/>
          <w:lang w:val="en-IN"/>
        </w:rPr>
        <w:fldChar w:fldCharType="separate"/>
      </w:r>
      <w:r w:rsidRPr="00FF6D90">
        <w:rPr>
          <w:noProof/>
          <w:sz w:val="22"/>
          <w:szCs w:val="22"/>
          <w:lang w:val="en-IN"/>
        </w:rPr>
        <w:t>(Ghosh et al., 2024)</w:t>
      </w:r>
      <w:r w:rsidRPr="00FF6D90">
        <w:rPr>
          <w:sz w:val="22"/>
          <w:szCs w:val="22"/>
          <w:lang w:val="en-IN"/>
        </w:rPr>
        <w:fldChar w:fldCharType="end"/>
      </w:r>
      <w:r w:rsidRPr="00FF6D90">
        <w:rPr>
          <w:sz w:val="22"/>
          <w:szCs w:val="22"/>
          <w:lang w:val="en-IN"/>
        </w:rPr>
        <w:t>.</w:t>
      </w:r>
    </w:p>
    <w:p w14:paraId="3B118462" w14:textId="06E96953" w:rsidR="00FF6D90" w:rsidRPr="002D38EF" w:rsidRDefault="002D38EF" w:rsidP="002D38EF">
      <w:pPr>
        <w:pStyle w:val="Rn2"/>
        <w:rPr>
          <w:lang w:val="en-US"/>
        </w:rPr>
      </w:pPr>
      <w:r w:rsidRPr="002D38EF">
        <w:rPr>
          <w:lang w:val="en-US"/>
        </w:rPr>
        <w:t xml:space="preserve">3.3. </w:t>
      </w:r>
      <w:r w:rsidR="00FF6D90" w:rsidRPr="002D38EF">
        <w:rPr>
          <w:lang w:val="en-US"/>
        </w:rPr>
        <w:t>Battery Energy Storage System (BESS) Model</w:t>
      </w:r>
    </w:p>
    <w:p w14:paraId="53F43D61" w14:textId="77777777" w:rsidR="00FF6D90" w:rsidRPr="0073321C" w:rsidRDefault="00FF6D90" w:rsidP="004D29E9">
      <w:pPr>
        <w:pStyle w:val="FirstParagraph"/>
        <w:spacing w:before="0" w:after="0"/>
        <w:jc w:val="both"/>
        <w:rPr>
          <w:sz w:val="22"/>
          <w:szCs w:val="22"/>
        </w:rPr>
      </w:pPr>
      <w:r w:rsidRPr="00FF6D90">
        <w:rPr>
          <w:sz w:val="22"/>
          <w:szCs w:val="22"/>
        </w:rPr>
        <w:t xml:space="preserve">The battery supports peak shaving, renewable smoothing, and grid interaction. The state-of-charge (SOC) </w:t>
      </w:r>
      <w:r w:rsidRPr="0073321C">
        <w:rPr>
          <w:sz w:val="22"/>
          <w:szCs w:val="22"/>
        </w:rPr>
        <w:t xml:space="preserve">dynamic is modeled as expressed in Equation 3 </w:t>
      </w:r>
      <w:r w:rsidRPr="0073321C">
        <w:rPr>
          <w:sz w:val="22"/>
          <w:szCs w:val="22"/>
        </w:rPr>
        <w:fldChar w:fldCharType="begin" w:fldLock="1"/>
      </w:r>
      <w:r w:rsidRPr="0073321C">
        <w:rPr>
          <w:sz w:val="22"/>
          <w:szCs w:val="22"/>
        </w:rPr>
        <w:instrText>ADDIN CSL_CITATION {"citationItems":[{"id":"ITEM-1","itemData":{"DOI":"10.1007/978-981-16-4943-1_27","author":[{"dropping-particle":"","family":"Queen","given":"Hephzibah Jose","non-dropping-particle":"","parse-names":false,"suffix":""},{"dropping-particle":"","family":"Jayakumar","given":"J","non-dropping-particle":"","parse-names":false,"suffix":""},{"dropping-particle":"","family":"Deepika","given":"T J","non-dropping-particle":"","parse-names":false,"suffix":""}],"id":"ITEM-1","issued":{"date-parts":[["2022"]]},"page":"291-302","publisher":"Springer, Singapore","title":"Operating Cost Analysis of Microgrid Including Renewable Energy Sources and a Battery Under Dynamic Pricing","type":"article-journal"},"uris":["http://www.mendeley.com/documents/?uuid=b79c39c4-4c5c-4771-9e35-12eadd72f83c"]}],"mendeley":{"formattedCitation":"(Queen et al., 2022)","plainTextFormattedCitation":"(Queen et al., 2022)","previouslyFormattedCitation":"[10]"},"properties":{"noteIndex":0},"schema":"https://github.com/citation-style-language/schema/raw/master/csl-citation.json"}</w:instrText>
      </w:r>
      <w:r w:rsidRPr="0073321C">
        <w:rPr>
          <w:sz w:val="22"/>
          <w:szCs w:val="22"/>
        </w:rPr>
        <w:fldChar w:fldCharType="separate"/>
      </w:r>
      <w:r w:rsidRPr="0073321C">
        <w:rPr>
          <w:noProof/>
          <w:sz w:val="22"/>
          <w:szCs w:val="22"/>
        </w:rPr>
        <w:t>(Queen et al., 2022)</w:t>
      </w:r>
      <w:r w:rsidRPr="0073321C">
        <w:rPr>
          <w:sz w:val="22"/>
          <w:szCs w:val="22"/>
        </w:rPr>
        <w:fldChar w:fldCharType="end"/>
      </w:r>
      <w:r w:rsidRPr="0073321C">
        <w:rPr>
          <w:sz w:val="22"/>
          <w:szCs w:val="22"/>
        </w:rPr>
        <w:t>.</w:t>
      </w:r>
    </w:p>
    <w:p w14:paraId="5BE39837" w14:textId="0A2B23DA" w:rsidR="00FF6D90" w:rsidRPr="00FF6D90" w:rsidRDefault="00FF6D90" w:rsidP="005D544A">
      <w:pPr>
        <w:pStyle w:val="Tekstpodstawowy"/>
        <w:tabs>
          <w:tab w:val="right" w:pos="9638"/>
        </w:tabs>
        <w:spacing w:before="120" w:after="120"/>
        <w:ind w:left="2835"/>
        <w:jc w:val="center"/>
        <w:rPr>
          <w:kern w:val="2"/>
          <w:sz w:val="22"/>
          <w:szCs w:val="22"/>
          <w14:ligatures w14:val="standardContextual"/>
        </w:rPr>
      </w:pPr>
      <m:oMath>
        <m:r>
          <w:rPr>
            <w:rFonts w:ascii="Cambria Math" w:hAnsi="Cambria Math"/>
            <w:kern w:val="2"/>
            <w:sz w:val="22"/>
            <w:szCs w:val="22"/>
            <w14:ligatures w14:val="standardContextual"/>
          </w:rPr>
          <m:t>SOC</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SOC</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d>
          <m:dPr>
            <m:ctrlPr>
              <w:rPr>
                <w:rFonts w:ascii="Cambria Math" w:hAnsi="Cambria Math"/>
                <w:kern w:val="2"/>
                <w:sz w:val="22"/>
                <w:szCs w:val="22"/>
                <w14:ligatures w14:val="standardContextual"/>
              </w:rPr>
            </m:ctrlPr>
          </m:dPr>
          <m:e>
            <m:f>
              <m:fPr>
                <m:ctrlPr>
                  <w:rPr>
                    <w:rFonts w:ascii="Cambria Math" w:hAnsi="Cambria Math"/>
                    <w:kern w:val="2"/>
                    <w:sz w:val="22"/>
                    <w:szCs w:val="22"/>
                    <w14:ligatures w14:val="standardContextual"/>
                  </w:rPr>
                </m:ctrlPr>
              </m:fPr>
              <m:num>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η</m:t>
                    </m:r>
                  </m:e>
                  <m:sub>
                    <m:r>
                      <w:rPr>
                        <w:rFonts w:ascii="Cambria Math" w:hAnsi="Cambria Math"/>
                        <w:kern w:val="2"/>
                        <w:sz w:val="22"/>
                        <w:szCs w:val="22"/>
                        <w14:ligatures w14:val="standardContextual"/>
                      </w:rPr>
                      <m:t>c</m:t>
                    </m:r>
                  </m:sub>
                </m:sSub>
                <m:r>
                  <w:rPr>
                    <w:rFonts w:ascii="Cambria Math" w:hAnsi="Cambria Math"/>
                    <w:kern w:val="2"/>
                    <w:sz w:val="22"/>
                    <w:szCs w:val="22"/>
                    <w14:ligatures w14:val="standardContextual"/>
                  </w:rPr>
                  <m:t> </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c</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num>
              <m:den>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E</m:t>
                    </m:r>
                  </m:e>
                  <m:sub>
                    <m:r>
                      <m:rPr>
                        <m:nor/>
                      </m:rPr>
                      <w:rPr>
                        <w:kern w:val="2"/>
                        <w:sz w:val="22"/>
                        <w:szCs w:val="22"/>
                        <w14:ligatures w14:val="standardContextual"/>
                      </w:rPr>
                      <m:t>BESS</m:t>
                    </m:r>
                  </m:sub>
                </m:sSub>
              </m:den>
            </m:f>
            <m:r>
              <m:rPr>
                <m:sty m:val="p"/>
              </m:rPr>
              <w:rPr>
                <w:rFonts w:ascii="Cambria Math" w:hAnsi="Cambria Math"/>
                <w:kern w:val="2"/>
                <w:sz w:val="22"/>
                <w:szCs w:val="22"/>
                <w14:ligatures w14:val="standardContextual"/>
              </w:rPr>
              <m:t>-</m:t>
            </m:r>
            <m:f>
              <m:fPr>
                <m:ctrlPr>
                  <w:rPr>
                    <w:rFonts w:ascii="Cambria Math" w:hAnsi="Cambria Math"/>
                    <w:kern w:val="2"/>
                    <w:sz w:val="22"/>
                    <w:szCs w:val="22"/>
                    <w14:ligatures w14:val="standardContextual"/>
                  </w:rPr>
                </m:ctrlPr>
              </m:fPr>
              <m:num>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num>
              <m:den>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η</m:t>
                    </m:r>
                  </m:e>
                  <m:sub>
                    <m:r>
                      <w:rPr>
                        <w:rFonts w:ascii="Cambria Math" w:hAnsi="Cambria Math"/>
                        <w:kern w:val="2"/>
                        <w:sz w:val="22"/>
                        <w:szCs w:val="22"/>
                        <w14:ligatures w14:val="standardContextual"/>
                      </w:rPr>
                      <m:t>d</m:t>
                    </m:r>
                  </m:sub>
                </m:sSub>
                <m:r>
                  <w:rPr>
                    <w:rFonts w:ascii="Cambria Math" w:hAnsi="Cambria Math"/>
                    <w:kern w:val="2"/>
                    <w:sz w:val="22"/>
                    <w:szCs w:val="22"/>
                    <w14:ligatures w14:val="standardContextual"/>
                  </w:rPr>
                  <m:t> </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E</m:t>
                    </m:r>
                  </m:e>
                  <m:sub>
                    <m:r>
                      <m:rPr>
                        <m:nor/>
                      </m:rPr>
                      <w:rPr>
                        <w:kern w:val="2"/>
                        <w:sz w:val="22"/>
                        <w:szCs w:val="22"/>
                        <w14:ligatures w14:val="standardContextual"/>
                      </w:rPr>
                      <m:t>BESS</m:t>
                    </m:r>
                  </m:sub>
                </m:sSub>
              </m:den>
            </m:f>
          </m:e>
        </m:d>
        <m:r>
          <m:rPr>
            <m:sty m:val="p"/>
          </m:rPr>
          <w:rPr>
            <w:rFonts w:ascii="Cambria Math" w:hAnsi="Cambria Math"/>
            <w:kern w:val="2"/>
            <w:sz w:val="22"/>
            <w:szCs w:val="22"/>
            <w14:ligatures w14:val="standardContextual"/>
          </w:rPr>
          <m:t>Δ</m:t>
        </m:r>
        <m:r>
          <w:rPr>
            <w:rFonts w:ascii="Cambria Math" w:hAnsi="Cambria Math"/>
            <w:kern w:val="2"/>
            <w:sz w:val="22"/>
            <w:szCs w:val="22"/>
            <w14:ligatures w14:val="standardContextual"/>
          </w:rPr>
          <m:t>t</m:t>
        </m:r>
      </m:oMath>
      <w:r w:rsidR="005D544A">
        <w:rPr>
          <w:kern w:val="2"/>
          <w:sz w:val="22"/>
          <w:szCs w:val="22"/>
          <w14:ligatures w14:val="standardContextual"/>
        </w:rPr>
        <w:tab/>
        <w:t>(3)</w:t>
      </w:r>
    </w:p>
    <w:p w14:paraId="29634EDE" w14:textId="77777777" w:rsidR="00FF6D90" w:rsidRPr="00FF6D90" w:rsidRDefault="00FF6D90" w:rsidP="004D29E9">
      <w:pPr>
        <w:pStyle w:val="Tekstpodstawowy"/>
        <w:rPr>
          <w:kern w:val="2"/>
          <w:sz w:val="22"/>
          <w:szCs w:val="22"/>
          <w14:ligatures w14:val="standardContextual"/>
        </w:rPr>
      </w:pPr>
      <w:r w:rsidRPr="00FF6D90">
        <w:rPr>
          <w:kern w:val="2"/>
          <w:sz w:val="22"/>
          <w:szCs w:val="22"/>
          <w14:ligatures w14:val="standardContextual"/>
        </w:rPr>
        <w:t>Subject to constraints:</w:t>
      </w:r>
    </w:p>
    <w:p w14:paraId="61D558D6" w14:textId="340B1440" w:rsidR="00FF6D90" w:rsidRPr="005D544A" w:rsidRDefault="00FF6D90" w:rsidP="005D544A">
      <w:pPr>
        <w:pStyle w:val="Tekstpodstawowy"/>
        <w:tabs>
          <w:tab w:val="right" w:pos="9638"/>
        </w:tabs>
        <w:spacing w:before="120" w:after="120"/>
        <w:jc w:val="center"/>
        <w:rPr>
          <w:kern w:val="2"/>
          <w:sz w:val="22"/>
          <w:szCs w:val="22"/>
          <w14:ligatures w14:val="standardContextual"/>
        </w:rPr>
      </w:pPr>
      <m:oMathPara>
        <m:oMathParaPr>
          <m:jc m:val="center"/>
        </m:oMathParaPr>
        <m:oMath>
          <m:r>
            <w:rPr>
              <w:rFonts w:ascii="Cambria Math" w:hAnsi="Cambria Math"/>
              <w:kern w:val="2"/>
              <w:sz w:val="22"/>
              <w:szCs w:val="22"/>
              <w14:ligatures w14:val="standardContextual"/>
            </w:rPr>
            <m:t>SO</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C</m:t>
              </m:r>
            </m:e>
            <m:sub>
              <m:r>
                <m:rPr>
                  <m:sty m:val="p"/>
                </m:rPr>
                <w:rPr>
                  <w:rFonts w:ascii="Cambria Math" w:hAnsi="Cambria Math"/>
                  <w:kern w:val="2"/>
                  <w:sz w:val="22"/>
                  <w:szCs w:val="22"/>
                  <w14:ligatures w14:val="standardContextual"/>
                </w:rPr>
                <m:t>min</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SOC</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SO</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C</m:t>
              </m:r>
            </m:e>
            <m:sub>
              <m:r>
                <m:rPr>
                  <m:sty m:val="p"/>
                </m:rPr>
                <w:rPr>
                  <w:rFonts w:ascii="Cambria Math" w:hAnsi="Cambria Math"/>
                  <w:kern w:val="2"/>
                  <w:sz w:val="22"/>
                  <w:szCs w:val="22"/>
                  <w14:ligatures w14:val="standardContextual"/>
                </w:rPr>
                <m:t>max</m:t>
              </m:r>
            </m:sub>
          </m:sSub>
        </m:oMath>
      </m:oMathPara>
    </w:p>
    <w:p w14:paraId="50BE00CD" w14:textId="77777777" w:rsidR="00FF6D90" w:rsidRPr="00FF6D90" w:rsidRDefault="00FF6D90" w:rsidP="004D29E9">
      <w:pPr>
        <w:pStyle w:val="FirstParagraph"/>
        <w:spacing w:before="0" w:after="0"/>
        <w:rPr>
          <w:rFonts w:cs="Times New Roman"/>
          <w:kern w:val="2"/>
          <w:sz w:val="22"/>
          <w:szCs w:val="22"/>
          <w14:ligatures w14:val="standardContextual"/>
        </w:rPr>
      </w:pPr>
      <w:r w:rsidRPr="00FF6D90">
        <w:rPr>
          <w:rFonts w:cs="Times New Roman"/>
          <w:kern w:val="2"/>
          <w:sz w:val="22"/>
          <w:szCs w:val="22"/>
          <w14:ligatures w14:val="standardContextual"/>
        </w:rPr>
        <w:t>Charge/discharge limits:</w:t>
      </w:r>
    </w:p>
    <w:p w14:paraId="2431AA5E" w14:textId="6F75DCEB" w:rsidR="00FF6D90" w:rsidRPr="005D544A" w:rsidRDefault="00FF6D90" w:rsidP="005D544A">
      <w:pPr>
        <w:pStyle w:val="Tekstpodstawowy"/>
        <w:tabs>
          <w:tab w:val="right" w:pos="9638"/>
        </w:tabs>
        <w:spacing w:before="120"/>
        <w:rPr>
          <w:rFonts w:eastAsiaTheme="minorEastAsia"/>
          <w:kern w:val="2"/>
          <w:sz w:val="22"/>
          <w:szCs w:val="22"/>
          <w14:ligatures w14:val="standardContextual"/>
        </w:rPr>
      </w:pPr>
      <m:oMathPara>
        <m:oMathParaPr>
          <m:jc m:val="center"/>
        </m:oMathParaPr>
        <m:oMath>
          <m:r>
            <w:rPr>
              <w:rFonts w:ascii="Cambria Math" w:hAnsi="Cambria Math"/>
              <w:kern w:val="2"/>
              <w:sz w:val="22"/>
              <w:szCs w:val="22"/>
              <w14:ligatures w14:val="standardContextual"/>
            </w:rPr>
            <m:t>0</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c</m:t>
              </m:r>
            </m:sub>
          </m:sSub>
          <m:d>
            <m:dPr>
              <m:ctrlPr>
                <w:rPr>
                  <w:rFonts w:ascii="Cambria Math" w:hAnsi="Cambria Math"/>
                  <w:kern w:val="2"/>
                  <w:sz w:val="22"/>
                  <w:szCs w:val="22"/>
                  <w14:ligatures w14:val="standardContextual"/>
                </w:rPr>
              </m:ctrlPr>
            </m:dPr>
            <m:e>
              <m:r>
                <w:rPr>
                  <w:rFonts w:ascii="Cambria Math" w:hAnsi="Cambria Math"/>
                  <w:kern w:val="2"/>
                  <w:sz w:val="22"/>
                  <w:szCs w:val="22"/>
                  <w14:ligatures w14:val="standardContextual"/>
                </w:rPr>
                <m:t>t</m:t>
              </m:r>
            </m:e>
          </m:d>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c</m:t>
              </m:r>
            </m:sub>
            <m:sup>
              <m:r>
                <m:rPr>
                  <m:sty m:val="p"/>
                </m:rPr>
                <w:rPr>
                  <w:rFonts w:ascii="Cambria Math" w:hAnsi="Cambria Math"/>
                  <w:kern w:val="2"/>
                  <w:sz w:val="22"/>
                  <w:szCs w:val="22"/>
                  <w14:ligatures w14:val="standardContextual"/>
                </w:rPr>
                <m:t>max</m:t>
              </m:r>
            </m:sup>
          </m:sSubSup>
        </m:oMath>
      </m:oMathPara>
    </w:p>
    <w:p w14:paraId="20618F39" w14:textId="17A908E7" w:rsidR="00FF6D90" w:rsidRPr="005D544A" w:rsidRDefault="00FF6D90" w:rsidP="005D544A">
      <w:pPr>
        <w:pStyle w:val="Tekstpodstawowy"/>
        <w:tabs>
          <w:tab w:val="right" w:pos="9638"/>
        </w:tabs>
        <w:spacing w:before="120" w:after="120"/>
        <w:rPr>
          <w:kern w:val="2"/>
          <w14:ligatures w14:val="standardContextual"/>
        </w:rPr>
      </w:pPr>
      <m:oMathPara>
        <m:oMathParaPr>
          <m:jc m:val="center"/>
        </m:oMathParaPr>
        <m:oMath>
          <m:r>
            <w:rPr>
              <w:rFonts w:ascii="Cambria Math" w:hAnsi="Cambria Math"/>
              <w:kern w:val="2"/>
              <w:sz w:val="22"/>
              <w:szCs w:val="22"/>
              <w14:ligatures w14:val="standardContextual"/>
            </w:rPr>
            <m:t>0</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d</m:t>
              </m:r>
            </m:sub>
            <m:sup>
              <m:r>
                <m:rPr>
                  <m:sty m:val="p"/>
                </m:rPr>
                <w:rPr>
                  <w:rFonts w:ascii="Cambria Math" w:hAnsi="Cambria Math"/>
                  <w:kern w:val="2"/>
                  <w:sz w:val="22"/>
                  <w:szCs w:val="22"/>
                  <w14:ligatures w14:val="standardContextual"/>
                </w:rPr>
                <m:t>max</m:t>
              </m:r>
            </m:sup>
          </m:sSubSup>
        </m:oMath>
      </m:oMathPara>
    </w:p>
    <w:p w14:paraId="6058FF75" w14:textId="77777777" w:rsidR="00FF6D90" w:rsidRPr="00FF6D90" w:rsidRDefault="00FF6D90" w:rsidP="004D29E9">
      <w:pPr>
        <w:pStyle w:val="Tekstpodstawowy"/>
        <w:jc w:val="both"/>
        <w:rPr>
          <w:sz w:val="22"/>
          <w:szCs w:val="22"/>
          <w:lang w:val="en-IN"/>
        </w:rPr>
      </w:pPr>
      <w:r w:rsidRPr="00FF6D90">
        <w:rPr>
          <w:sz w:val="22"/>
          <w:szCs w:val="22"/>
          <w:lang w:val="en-IN"/>
        </w:rPr>
        <w:t xml:space="preserve">where </w:t>
      </w:r>
      <m:oMath>
        <m:sSub>
          <m:sSubPr>
            <m:ctrlPr>
              <w:rPr>
                <w:rFonts w:ascii="Cambria Math" w:hAnsi="Cambria Math"/>
                <w:sz w:val="22"/>
                <w:szCs w:val="22"/>
              </w:rPr>
            </m:ctrlPr>
          </m:sSubPr>
          <m:e>
            <m:r>
              <w:rPr>
                <w:rFonts w:ascii="Cambria Math" w:hAnsi="Cambria Math"/>
                <w:sz w:val="22"/>
                <w:szCs w:val="22"/>
                <w:lang w:val="en-IN"/>
              </w:rPr>
              <m:t>P</m:t>
            </m:r>
          </m:e>
          <m:sub>
            <m:r>
              <w:rPr>
                <w:rFonts w:ascii="Cambria Math" w:hAnsi="Cambria Math"/>
                <w:sz w:val="22"/>
                <w:szCs w:val="22"/>
                <w:lang w:val="en-IN"/>
              </w:rPr>
              <m:t>c</m:t>
            </m:r>
          </m:sub>
        </m:sSub>
        <m:r>
          <w:rPr>
            <w:rFonts w:ascii="Cambria Math" w:hAnsi="Cambria Math"/>
            <w:sz w:val="22"/>
            <w:szCs w:val="22"/>
            <w:lang w:val="en-IN"/>
          </w:rPr>
          <m:t>(t)</m:t>
        </m:r>
      </m:oMath>
      <w:r w:rsidRPr="00FF6D90">
        <w:rPr>
          <w:sz w:val="22"/>
          <w:szCs w:val="22"/>
          <w:lang w:val="en-IN"/>
        </w:rPr>
        <w:t xml:space="preserve">, </w:t>
      </w:r>
      <m:oMath>
        <m:sSub>
          <m:sSubPr>
            <m:ctrlPr>
              <w:rPr>
                <w:rFonts w:ascii="Cambria Math" w:hAnsi="Cambria Math"/>
                <w:sz w:val="22"/>
                <w:szCs w:val="22"/>
              </w:rPr>
            </m:ctrlPr>
          </m:sSubPr>
          <m:e>
            <m:r>
              <w:rPr>
                <w:rFonts w:ascii="Cambria Math" w:hAnsi="Cambria Math"/>
                <w:sz w:val="22"/>
                <w:szCs w:val="22"/>
                <w:lang w:val="en-IN"/>
              </w:rPr>
              <m:t>P</m:t>
            </m:r>
          </m:e>
          <m:sub>
            <m:r>
              <w:rPr>
                <w:rFonts w:ascii="Cambria Math" w:hAnsi="Cambria Math"/>
                <w:sz w:val="22"/>
                <w:szCs w:val="22"/>
                <w:lang w:val="en-IN"/>
              </w:rPr>
              <m:t>d</m:t>
            </m:r>
          </m:sub>
        </m:sSub>
        <m:r>
          <w:rPr>
            <w:rFonts w:ascii="Cambria Math" w:hAnsi="Cambria Math"/>
            <w:sz w:val="22"/>
            <w:szCs w:val="22"/>
            <w:lang w:val="en-IN"/>
          </w:rPr>
          <m:t>(t)</m:t>
        </m:r>
      </m:oMath>
      <w:r w:rsidRPr="00FF6D90">
        <w:rPr>
          <w:sz w:val="22"/>
          <w:szCs w:val="22"/>
          <w:lang w:val="en-IN"/>
        </w:rPr>
        <w:t xml:space="preserve">: Charging/discharging power, </w:t>
      </w:r>
      <m:oMath>
        <m:sSub>
          <m:sSubPr>
            <m:ctrlPr>
              <w:rPr>
                <w:rFonts w:ascii="Cambria Math" w:hAnsi="Cambria Math"/>
                <w:sz w:val="22"/>
                <w:szCs w:val="22"/>
              </w:rPr>
            </m:ctrlPr>
          </m:sSubPr>
          <m:e>
            <m:r>
              <w:rPr>
                <w:rFonts w:ascii="Cambria Math" w:hAnsi="Cambria Math"/>
                <w:sz w:val="22"/>
                <w:szCs w:val="22"/>
                <w:lang w:val="en-IN"/>
              </w:rPr>
              <m:t>η</m:t>
            </m:r>
          </m:e>
          <m:sub>
            <m:r>
              <w:rPr>
                <w:rFonts w:ascii="Cambria Math" w:hAnsi="Cambria Math"/>
                <w:sz w:val="22"/>
                <w:szCs w:val="22"/>
                <w:lang w:val="en-IN"/>
              </w:rPr>
              <m:t>c</m:t>
            </m:r>
          </m:sub>
        </m:sSub>
      </m:oMath>
      <w:r w:rsidRPr="00FF6D90">
        <w:rPr>
          <w:sz w:val="22"/>
          <w:szCs w:val="22"/>
          <w:lang w:val="en-IN"/>
        </w:rPr>
        <w:t xml:space="preserve">, </w:t>
      </w:r>
      <m:oMath>
        <m:sSub>
          <m:sSubPr>
            <m:ctrlPr>
              <w:rPr>
                <w:rFonts w:ascii="Cambria Math" w:hAnsi="Cambria Math"/>
                <w:sz w:val="22"/>
                <w:szCs w:val="22"/>
              </w:rPr>
            </m:ctrlPr>
          </m:sSubPr>
          <m:e>
            <m:r>
              <w:rPr>
                <w:rFonts w:ascii="Cambria Math" w:hAnsi="Cambria Math"/>
                <w:sz w:val="22"/>
                <w:szCs w:val="22"/>
                <w:lang w:val="en-IN"/>
              </w:rPr>
              <m:t>η</m:t>
            </m:r>
          </m:e>
          <m:sub>
            <m:r>
              <w:rPr>
                <w:rFonts w:ascii="Cambria Math" w:hAnsi="Cambria Math"/>
                <w:sz w:val="22"/>
                <w:szCs w:val="22"/>
                <w:lang w:val="en-IN"/>
              </w:rPr>
              <m:t>d</m:t>
            </m:r>
          </m:sub>
        </m:sSub>
      </m:oMath>
      <w:r w:rsidRPr="00FF6D90">
        <w:rPr>
          <w:sz w:val="22"/>
          <w:szCs w:val="22"/>
          <w:lang w:val="en-IN"/>
        </w:rPr>
        <w:t xml:space="preserve">: Charging/discharging efficiency, </w:t>
      </w:r>
      <m:oMath>
        <m:sSub>
          <m:sSubPr>
            <m:ctrlPr>
              <w:rPr>
                <w:rFonts w:ascii="Cambria Math" w:hAnsi="Cambria Math"/>
                <w:sz w:val="22"/>
                <w:szCs w:val="22"/>
              </w:rPr>
            </m:ctrlPr>
          </m:sSubPr>
          <m:e>
            <m:r>
              <w:rPr>
                <w:rFonts w:ascii="Cambria Math" w:hAnsi="Cambria Math"/>
                <w:sz w:val="22"/>
                <w:szCs w:val="22"/>
                <w:lang w:val="en-IN"/>
              </w:rPr>
              <m:t>E</m:t>
            </m:r>
          </m:e>
          <m:sub>
            <m:r>
              <m:rPr>
                <m:nor/>
              </m:rPr>
              <w:rPr>
                <w:sz w:val="22"/>
                <w:szCs w:val="22"/>
                <w:lang w:val="en-IN"/>
              </w:rPr>
              <m:t>BESS</m:t>
            </m:r>
          </m:sub>
        </m:sSub>
      </m:oMath>
      <w:r w:rsidRPr="00FF6D90">
        <w:rPr>
          <w:sz w:val="22"/>
          <w:szCs w:val="22"/>
          <w:lang w:val="en-IN"/>
        </w:rPr>
        <w:t>: Battery energy capacity.</w:t>
      </w:r>
    </w:p>
    <w:p w14:paraId="22D0B78C" w14:textId="53064916" w:rsidR="001D5FE9" w:rsidRPr="0073321C" w:rsidRDefault="0073321C" w:rsidP="0073321C">
      <w:pPr>
        <w:pStyle w:val="Rn2"/>
        <w:rPr>
          <w:lang w:val="en-US"/>
        </w:rPr>
      </w:pPr>
      <w:r w:rsidRPr="0073321C">
        <w:rPr>
          <w:lang w:val="en-US"/>
        </w:rPr>
        <w:t xml:space="preserve">3.4. </w:t>
      </w:r>
      <w:r w:rsidR="00D56489" w:rsidRPr="0073321C">
        <w:rPr>
          <w:lang w:val="en-US"/>
        </w:rPr>
        <w:t>Grid Interaction and Net-Metering Model</w:t>
      </w:r>
    </w:p>
    <w:p w14:paraId="6AE4A65D" w14:textId="13DFDF0E" w:rsidR="00D56489" w:rsidRPr="0073321C" w:rsidRDefault="00D56489" w:rsidP="0073321C">
      <w:pPr>
        <w:pStyle w:val="Tekstpodstawowy"/>
        <w:ind w:firstLine="284"/>
        <w:jc w:val="both"/>
        <w:rPr>
          <w:sz w:val="22"/>
          <w:szCs w:val="22"/>
          <w:lang w:val="en-IN"/>
        </w:rPr>
      </w:pPr>
      <w:r w:rsidRPr="0073321C">
        <w:rPr>
          <w:sz w:val="22"/>
          <w:szCs w:val="22"/>
          <w:lang w:val="en-IN"/>
        </w:rPr>
        <w:t xml:space="preserve">The microgrid exchanges power with the utility grid under a net-metering arrangement as shown in Equation 4 </w:t>
      </w:r>
      <w:r w:rsidRPr="0073321C">
        <w:rPr>
          <w:sz w:val="22"/>
          <w:szCs w:val="22"/>
          <w:lang w:val="en-IN"/>
        </w:rPr>
        <w:fldChar w:fldCharType="begin" w:fldLock="1"/>
      </w:r>
      <w:r w:rsidRPr="0073321C">
        <w:rPr>
          <w:sz w:val="22"/>
          <w:szCs w:val="22"/>
          <w:lang w:val="en-IN"/>
        </w:rPr>
        <w:instrText>ADDIN CSL_CITATION {"citationItems":[{"id":"ITEM-1","itemData":{"DOI":"10.51594/estj.v5i7.1360","author":[{"dropping-particle":"","family":"Agupugo","given":"Chijioke Paul","non-dropping-particle":"","parse-names":false,"suffix":""},{"dropping-particle":"","family":"Kehinde","given":"Husseini Musa","non-dropping-particle":"","parse-names":false,"suffix":""},{"dropping-particle":"","family":"Manuel","given":"Helena Nbéu Nkula","non-dropping-particle":"","parse-names":false,"suffix":""}],"container-title":"Engineering science &amp; tecnology journal","id":"ITEM-1","issue":"7","issued":{"date-parts":[["2024"]]},"page":"2379-2401","publisher":"Fair East Publishers","title":"Optimization of microgrid operations using renewable energy sources","type":"article-journal","volume":"5"},"uris":["http://www.mendeley.com/documents/?uuid=9d4fc03a-8b62-453f-acbf-f6f3ccded696"]}],"mendeley":{"formattedCitation":"(Agupugo et al., 2024)","plainTextFormattedCitation":"(Agupugo et al., 2024)","previouslyFormattedCitation":"[4]"},"properties":{"noteIndex":0},"schema":"https://github.com/citation-style-language/schema/raw/master/csl-citation.json"}</w:instrText>
      </w:r>
      <w:r w:rsidRPr="0073321C">
        <w:rPr>
          <w:sz w:val="22"/>
          <w:szCs w:val="22"/>
          <w:lang w:val="en-IN"/>
        </w:rPr>
        <w:fldChar w:fldCharType="separate"/>
      </w:r>
      <w:r w:rsidRPr="0073321C">
        <w:rPr>
          <w:noProof/>
          <w:sz w:val="22"/>
          <w:szCs w:val="22"/>
          <w:lang w:val="en-IN"/>
        </w:rPr>
        <w:t>(Agupugo et al., 2024)</w:t>
      </w:r>
      <w:r w:rsidRPr="0073321C">
        <w:rPr>
          <w:sz w:val="22"/>
          <w:szCs w:val="22"/>
          <w:lang w:val="en-IN"/>
        </w:rPr>
        <w:fldChar w:fldCharType="end"/>
      </w:r>
      <w:r w:rsidRPr="0073321C">
        <w:rPr>
          <w:sz w:val="22"/>
          <w:szCs w:val="22"/>
          <w:lang w:val="en-IN"/>
        </w:rPr>
        <w:t>.</w:t>
      </w:r>
    </w:p>
    <w:p w14:paraId="5B6CFC8E" w14:textId="3647D7F7" w:rsidR="0073321C" w:rsidRPr="00FF6D90" w:rsidRDefault="00000000" w:rsidP="0073321C">
      <w:pPr>
        <w:pStyle w:val="Tekstpodstawowy"/>
        <w:tabs>
          <w:tab w:val="right" w:pos="9638"/>
        </w:tabs>
        <w:spacing w:before="120" w:after="120"/>
        <w:ind w:left="2835"/>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grid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load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d>
          <m:dPr>
            <m:ctrlPr>
              <w:rPr>
                <w:rFonts w:ascii="Cambria Math" w:hAnsi="Cambria Math"/>
                <w:kern w:val="2"/>
                <w:sz w:val="22"/>
                <w:szCs w:val="22"/>
                <w14:ligatures w14:val="standardContextual"/>
              </w:rPr>
            </m:ctrlPr>
          </m:dPr>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PV</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WT</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BESS</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e>
        </m:d>
      </m:oMath>
      <w:r w:rsidR="0073321C">
        <w:rPr>
          <w:kern w:val="2"/>
          <w:sz w:val="22"/>
          <w:szCs w:val="22"/>
          <w14:ligatures w14:val="standardContextual"/>
        </w:rPr>
        <w:tab/>
        <w:t>(4)</w:t>
      </w:r>
    </w:p>
    <w:p w14:paraId="120E9E33" w14:textId="77777777" w:rsidR="00D56489" w:rsidRPr="00FF6D90" w:rsidRDefault="00D56489" w:rsidP="004D29E9">
      <w:pPr>
        <w:pStyle w:val="Tekstpodstawowy"/>
        <w:jc w:val="both"/>
        <w:rPr>
          <w:sz w:val="22"/>
          <w:szCs w:val="22"/>
          <w:lang w:val="en-IN"/>
        </w:rPr>
      </w:pPr>
      <w:r w:rsidRPr="00FF6D90">
        <w:rPr>
          <w:sz w:val="22"/>
          <w:szCs w:val="22"/>
          <w:lang w:val="en-IN"/>
        </w:rPr>
        <w:t xml:space="preserve">where: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grid</m:t>
            </m:r>
          </m:sub>
        </m:sSub>
        <m:r>
          <w:rPr>
            <w:rFonts w:ascii="Cambria Math" w:hAnsi="Cambria Math"/>
            <w:sz w:val="22"/>
            <w:szCs w:val="22"/>
            <w:lang w:val="en-IN"/>
          </w:rPr>
          <m:t>(t)&gt;0</m:t>
        </m:r>
      </m:oMath>
      <w:r w:rsidRPr="00FF6D90">
        <w:rPr>
          <w:sz w:val="22"/>
          <w:szCs w:val="22"/>
          <w:lang w:val="en-IN"/>
        </w:rPr>
        <w:t xml:space="preserve">: Grid import,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grid</m:t>
            </m:r>
          </m:sub>
        </m:sSub>
        <m:r>
          <w:rPr>
            <w:rFonts w:ascii="Cambria Math" w:hAnsi="Cambria Math"/>
            <w:sz w:val="22"/>
            <w:szCs w:val="22"/>
            <w:lang w:val="en-IN"/>
          </w:rPr>
          <m:t>(t)&lt;0</m:t>
        </m:r>
      </m:oMath>
      <w:r w:rsidRPr="00FF6D90">
        <w:rPr>
          <w:sz w:val="22"/>
          <w:szCs w:val="22"/>
          <w:lang w:val="en-IN"/>
        </w:rPr>
        <w:t>: Grid export (credited), Time-of-day tariffs of Madhya Pradesh are applied to compute import cost, while export tariffs are applied for credit settlement.</w:t>
      </w:r>
    </w:p>
    <w:p w14:paraId="33394896" w14:textId="164AB0A5" w:rsidR="00E10AC0" w:rsidRPr="00373A5F" w:rsidRDefault="0073321C" w:rsidP="0073321C">
      <w:pPr>
        <w:pStyle w:val="Rn2"/>
        <w:rPr>
          <w:lang w:val="en-US"/>
        </w:rPr>
      </w:pPr>
      <w:r w:rsidRPr="00373A5F">
        <w:rPr>
          <w:lang w:val="en-US"/>
        </w:rPr>
        <w:t xml:space="preserve">3.5. </w:t>
      </w:r>
      <w:r w:rsidR="00E10AC0" w:rsidRPr="00373A5F">
        <w:rPr>
          <w:lang w:val="en-US"/>
        </w:rPr>
        <w:t>Load Modeling</w:t>
      </w:r>
    </w:p>
    <w:p w14:paraId="7957DF32" w14:textId="77777777" w:rsidR="00E10AC0" w:rsidRPr="0073321C" w:rsidRDefault="00E10AC0" w:rsidP="0073321C">
      <w:pPr>
        <w:pStyle w:val="Tekstpodstawowy"/>
        <w:ind w:firstLine="284"/>
        <w:jc w:val="both"/>
        <w:rPr>
          <w:sz w:val="22"/>
          <w:szCs w:val="22"/>
          <w:lang w:val="en-IN"/>
        </w:rPr>
      </w:pPr>
      <w:r w:rsidRPr="0073321C">
        <w:rPr>
          <w:sz w:val="22"/>
          <w:szCs w:val="22"/>
          <w:lang w:val="en-IN"/>
        </w:rPr>
        <w:t xml:space="preserve">The load profile reflects the consumption pattern of 500 households plus commercial units as shown in Equation 5. </w:t>
      </w:r>
    </w:p>
    <w:p w14:paraId="2170BBBE" w14:textId="52DC08A4" w:rsidR="0073321C" w:rsidRPr="00FF6D90" w:rsidRDefault="00000000" w:rsidP="0073321C">
      <w:pPr>
        <w:pStyle w:val="Tekstpodstawowy"/>
        <w:tabs>
          <w:tab w:val="right" w:pos="9638"/>
        </w:tabs>
        <w:spacing w:before="120" w:after="120"/>
        <w:ind w:left="3402"/>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load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base</m:t>
            </m:r>
          </m:sub>
        </m:sSub>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res</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com</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oMath>
      <w:r w:rsidR="0073321C">
        <w:rPr>
          <w:kern w:val="2"/>
          <w:sz w:val="22"/>
          <w:szCs w:val="22"/>
          <w14:ligatures w14:val="standardContextual"/>
        </w:rPr>
        <w:tab/>
        <w:t>(5)</w:t>
      </w:r>
    </w:p>
    <w:p w14:paraId="1FD3D51D" w14:textId="42731F5E" w:rsidR="00A94EE1" w:rsidRPr="00FF6D90" w:rsidRDefault="00E10AC0" w:rsidP="004D29E9">
      <w:pPr>
        <w:pStyle w:val="Tekstpodstawowy"/>
        <w:jc w:val="both"/>
        <w:rPr>
          <w:sz w:val="22"/>
          <w:szCs w:val="22"/>
          <w:lang w:val="en-IN"/>
        </w:rPr>
      </w:pPr>
      <w:r w:rsidRPr="00FF6D90">
        <w:rPr>
          <w:sz w:val="22"/>
          <w:szCs w:val="22"/>
          <w:lang w:val="en-IN"/>
        </w:rPr>
        <w:t xml:space="preserve">where: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res</m:t>
            </m:r>
          </m:sub>
        </m:sSub>
        <m:r>
          <w:rPr>
            <w:rFonts w:ascii="Cambria Math" w:hAnsi="Cambria Math"/>
            <w:sz w:val="22"/>
            <w:szCs w:val="22"/>
            <w:lang w:val="en-IN"/>
          </w:rPr>
          <m:t>(t)</m:t>
        </m:r>
      </m:oMath>
      <w:r w:rsidRPr="00FF6D90">
        <w:rPr>
          <w:sz w:val="22"/>
          <w:szCs w:val="22"/>
          <w:lang w:val="en-IN"/>
        </w:rPr>
        <w:t xml:space="preserve">: Residential load component,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com</m:t>
            </m:r>
          </m:sub>
        </m:sSub>
        <m:r>
          <w:rPr>
            <w:rFonts w:ascii="Cambria Math" w:hAnsi="Cambria Math"/>
            <w:sz w:val="22"/>
            <w:szCs w:val="22"/>
            <w:lang w:val="en-IN"/>
          </w:rPr>
          <m:t>(t)</m:t>
        </m:r>
      </m:oMath>
      <w:r w:rsidRPr="00FF6D90">
        <w:rPr>
          <w:sz w:val="22"/>
          <w:szCs w:val="22"/>
          <w:lang w:val="en-IN"/>
        </w:rPr>
        <w:t>: Commercial load component, Peak load ≈ 2.5 MW (evening hours), Daily energy consumption ≈ 8.5 MWh</w:t>
      </w:r>
    </w:p>
    <w:p w14:paraId="129F932C" w14:textId="4C56B03D" w:rsidR="00A94EE1" w:rsidRPr="00373A5F" w:rsidRDefault="0073321C" w:rsidP="0073321C">
      <w:pPr>
        <w:pStyle w:val="Rn2"/>
        <w:rPr>
          <w:lang w:val="en-US"/>
        </w:rPr>
      </w:pPr>
      <w:r w:rsidRPr="00373A5F">
        <w:rPr>
          <w:lang w:val="en-US"/>
        </w:rPr>
        <w:t xml:space="preserve">3.6. </w:t>
      </w:r>
      <w:r w:rsidR="00A94EE1" w:rsidRPr="00373A5F">
        <w:rPr>
          <w:lang w:val="en-US"/>
        </w:rPr>
        <w:t>Power Balance Constraint</w:t>
      </w:r>
    </w:p>
    <w:p w14:paraId="0AA6F35C" w14:textId="26AB199E" w:rsidR="00A94EE1" w:rsidRPr="0073321C" w:rsidRDefault="00A94EE1" w:rsidP="0073321C">
      <w:pPr>
        <w:pStyle w:val="Tekstpodstawowy"/>
        <w:ind w:firstLine="284"/>
        <w:jc w:val="both"/>
        <w:rPr>
          <w:sz w:val="22"/>
          <w:szCs w:val="22"/>
          <w:lang w:val="en-IN"/>
        </w:rPr>
      </w:pPr>
      <w:r w:rsidRPr="0073321C">
        <w:rPr>
          <w:sz w:val="22"/>
          <w:szCs w:val="22"/>
          <w:lang w:val="en-IN"/>
        </w:rPr>
        <w:t>At every time step, supply must equal demand</w:t>
      </w:r>
      <w:r w:rsidR="00A93615">
        <w:rPr>
          <w:sz w:val="22"/>
          <w:szCs w:val="22"/>
          <w:lang w:val="en-IN"/>
        </w:rPr>
        <w:t>,</w:t>
      </w:r>
      <w:r w:rsidRPr="0073321C">
        <w:rPr>
          <w:sz w:val="22"/>
          <w:szCs w:val="22"/>
          <w:lang w:val="en-IN"/>
        </w:rPr>
        <w:t xml:space="preserve"> </w:t>
      </w:r>
      <w:r w:rsidR="00A93615">
        <w:rPr>
          <w:sz w:val="22"/>
          <w:szCs w:val="22"/>
          <w:lang w:val="en-IN"/>
        </w:rPr>
        <w:t>ensuring physically feasible operation during optimization,</w:t>
      </w:r>
      <w:r w:rsidRPr="0073321C">
        <w:rPr>
          <w:sz w:val="22"/>
          <w:szCs w:val="22"/>
          <w:lang w:val="en-IN"/>
        </w:rPr>
        <w:t xml:space="preserve"> as expressed in Equation 6.</w:t>
      </w:r>
    </w:p>
    <w:p w14:paraId="157F3C98" w14:textId="3A080C6B" w:rsidR="0073321C" w:rsidRPr="00FF6D90" w:rsidRDefault="00000000" w:rsidP="0073321C">
      <w:pPr>
        <w:pStyle w:val="Tekstpodstawowy"/>
        <w:tabs>
          <w:tab w:val="right" w:pos="9638"/>
        </w:tabs>
        <w:spacing w:before="120" w:after="120"/>
        <w:ind w:left="2693"/>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PV</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WT</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BESS</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grid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load</m:t>
            </m:r>
          </m:sub>
        </m:sSub>
        <m:d>
          <m:dPr>
            <m:ctrlPr>
              <w:rPr>
                <w:rFonts w:ascii="Cambria Math" w:hAnsi="Cambria Math"/>
                <w:kern w:val="2"/>
                <w:sz w:val="22"/>
                <w:szCs w:val="22"/>
                <w14:ligatures w14:val="standardContextual"/>
              </w:rPr>
            </m:ctrlPr>
          </m:dPr>
          <m:e>
            <m:r>
              <w:rPr>
                <w:rFonts w:ascii="Cambria Math" w:hAnsi="Cambria Math"/>
                <w:kern w:val="2"/>
                <w:sz w:val="22"/>
                <w:szCs w:val="22"/>
                <w14:ligatures w14:val="standardContextual"/>
              </w:rPr>
              <m:t>t</m:t>
            </m:r>
          </m:e>
        </m:d>
      </m:oMath>
      <w:r w:rsidR="0073321C">
        <w:rPr>
          <w:kern w:val="2"/>
          <w:sz w:val="22"/>
          <w:szCs w:val="22"/>
          <w14:ligatures w14:val="standardContextual"/>
        </w:rPr>
        <w:tab/>
        <w:t>(6)</w:t>
      </w:r>
    </w:p>
    <w:p w14:paraId="2CDEE503" w14:textId="64726EC4" w:rsidR="00B44A7E" w:rsidRPr="00373A5F" w:rsidRDefault="0073321C" w:rsidP="0073321C">
      <w:pPr>
        <w:pStyle w:val="Rn2"/>
        <w:rPr>
          <w:lang w:val="en-US"/>
        </w:rPr>
      </w:pPr>
      <w:r w:rsidRPr="00373A5F">
        <w:rPr>
          <w:lang w:val="en-US"/>
        </w:rPr>
        <w:t>3.7.</w:t>
      </w:r>
      <w:r w:rsidR="00B44A7E" w:rsidRPr="00373A5F">
        <w:rPr>
          <w:lang w:val="en-US"/>
        </w:rPr>
        <w:t xml:space="preserve"> Cost Modelling</w:t>
      </w:r>
    </w:p>
    <w:p w14:paraId="1A519354" w14:textId="32B30113" w:rsidR="00B44A7E" w:rsidRPr="0073321C" w:rsidRDefault="00B44A7E" w:rsidP="0073321C">
      <w:pPr>
        <w:pStyle w:val="Tekstpodstawowy"/>
        <w:ind w:firstLine="284"/>
        <w:jc w:val="both"/>
        <w:rPr>
          <w:sz w:val="22"/>
          <w:szCs w:val="22"/>
          <w:lang w:val="en-IN"/>
        </w:rPr>
      </w:pPr>
      <w:r w:rsidRPr="00FF6D90">
        <w:rPr>
          <w:sz w:val="22"/>
          <w:szCs w:val="22"/>
          <w:lang w:val="en-IN"/>
        </w:rPr>
        <w:t>The total operational cost of the microgrid consists of grid import cost</w:t>
      </w:r>
      <w:r w:rsidR="00A93615">
        <w:rPr>
          <w:sz w:val="22"/>
          <w:szCs w:val="22"/>
          <w:lang w:val="en-IN"/>
        </w:rPr>
        <w:t>s, export credit, BESS degradation costs, renewable curtailment penalties, and load shedding penalties</w:t>
      </w:r>
      <w:r w:rsidRPr="00FF6D90">
        <w:rPr>
          <w:sz w:val="22"/>
          <w:szCs w:val="22"/>
          <w:lang w:val="en-IN"/>
        </w:rPr>
        <w:t xml:space="preserve">. All components are expressed as shown in </w:t>
      </w:r>
      <w:r w:rsidRPr="0073321C">
        <w:rPr>
          <w:sz w:val="22"/>
          <w:szCs w:val="22"/>
          <w:lang w:val="en-IN"/>
        </w:rPr>
        <w:t xml:space="preserve">Equation 7 </w:t>
      </w:r>
      <w:r w:rsidRPr="0073321C">
        <w:rPr>
          <w:sz w:val="22"/>
          <w:szCs w:val="22"/>
          <w:lang w:val="en-IN"/>
        </w:rPr>
        <w:fldChar w:fldCharType="begin" w:fldLock="1"/>
      </w:r>
      <w:r w:rsidRPr="0073321C">
        <w:rPr>
          <w:sz w:val="22"/>
          <w:szCs w:val="22"/>
          <w:lang w:val="en-IN"/>
        </w:rPr>
        <w:instrText>ADDIN CSL_CITATION {"citationItems":[{"id":"ITEM-1","itemData":{"DOI":"10.1007/s40866-024-00200-w","author":[{"dropping-particle":"","family":"Rashwan","given":"Ahmed","non-dropping-particle":"","parse-names":false,"suffix":""},{"dropping-particle":"","family":"Faragalla","given":"Asmaa M","non-dropping-particle":"","parse-names":false,"suffix":""},{"dropping-particle":"","family":"Abo-Zahhad","given":"Essam M","non-dropping-particle":"","parse-names":false,"suffix":""},{"dropping-particle":"","family":"El-Dein","given":"Adel Z","non-dropping-particle":"","parse-names":false,"suffix":""},{"dropping-particle":"","family":"Liu","given":"Yuezhi","non-dropping-particle":"","parse-names":false,"suffix":""},{"dropping-particle":"","family":"Chen","given":"Yong","non-dropping-particle":"","parse-names":false,"suffix":""},{"dropping-particle":"","family":"Abdelhameed","given":"Esam H","non-dropping-particle":"","parse-names":false,"suffix":""}],"id":"ITEM-1","issued":{"date-parts":[["2024"]]},"title":"Techno-economic Optimization of Isolated Hybrid Microgrids for Remote Areas Electrification: Aswan city as a Case Study","type":"article-journal"},"uris":["http://www.mendeley.com/documents/?uuid=8a9132ba-8c20-428b-8ce1-3e439feab521"]}],"mendeley":{"formattedCitation":"(Rashwan et al., 2024)","plainTextFormattedCitation":"(Rashwan et al., 2024)","previouslyFormattedCitation":"[9]"},"properties":{"noteIndex":0},"schema":"https://github.com/citation-style-language/schema/raw/master/csl-citation.json"}</w:instrText>
      </w:r>
      <w:r w:rsidRPr="0073321C">
        <w:rPr>
          <w:sz w:val="22"/>
          <w:szCs w:val="22"/>
          <w:lang w:val="en-IN"/>
        </w:rPr>
        <w:fldChar w:fldCharType="separate"/>
      </w:r>
      <w:r w:rsidRPr="0073321C">
        <w:rPr>
          <w:noProof/>
          <w:sz w:val="22"/>
          <w:szCs w:val="22"/>
          <w:lang w:val="en-IN"/>
        </w:rPr>
        <w:t>(Rashwan et al., 2024)</w:t>
      </w:r>
      <w:r w:rsidRPr="0073321C">
        <w:rPr>
          <w:sz w:val="22"/>
          <w:szCs w:val="22"/>
          <w:lang w:val="en-IN"/>
        </w:rPr>
        <w:fldChar w:fldCharType="end"/>
      </w:r>
      <w:r w:rsidRPr="0073321C">
        <w:rPr>
          <w:sz w:val="22"/>
          <w:szCs w:val="22"/>
          <w:lang w:val="en-IN"/>
        </w:rPr>
        <w:t>.</w:t>
      </w:r>
    </w:p>
    <w:p w14:paraId="33FF08F7" w14:textId="262209AE" w:rsidR="0073321C" w:rsidRPr="00FF6D90" w:rsidRDefault="00000000" w:rsidP="0073321C">
      <w:pPr>
        <w:pStyle w:val="Tekstpodstawowy"/>
        <w:tabs>
          <w:tab w:val="right" w:pos="9638"/>
        </w:tabs>
        <w:spacing w:before="120" w:after="120"/>
        <w:ind w:firstLine="425"/>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C</m:t>
            </m:r>
          </m:e>
          <m:sub>
            <m:r>
              <m:rPr>
                <m:nor/>
              </m:rPr>
              <w:rPr>
                <w:kern w:val="2"/>
                <w:sz w:val="22"/>
                <w:szCs w:val="22"/>
                <w14:ligatures w14:val="standardContextual"/>
              </w:rPr>
              <m:t>total</m:t>
            </m:r>
          </m:sub>
        </m:sSub>
        <m:r>
          <m:rPr>
            <m:sty m:val="p"/>
          </m:rPr>
          <w:rPr>
            <w:rFonts w:ascii="Cambria Math" w:hAnsi="Cambria Math"/>
            <w:kern w:val="2"/>
            <w:sz w:val="22"/>
            <w:szCs w:val="22"/>
            <w14:ligatures w14:val="standardContextual"/>
          </w:rPr>
          <m:t>=</m:t>
        </m:r>
        <m:nary>
          <m:naryPr>
            <m:chr m:val="∑"/>
            <m:limLoc m:val="undOvr"/>
            <m:ctrlPr>
              <w:rPr>
                <w:rFonts w:ascii="Cambria Math" w:hAnsi="Cambria Math"/>
                <w:kern w:val="2"/>
                <w:sz w:val="22"/>
                <w:szCs w:val="22"/>
                <w14:ligatures w14:val="standardContextual"/>
              </w:rPr>
            </m:ctrlPr>
          </m:naryPr>
          <m:sub>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b>
          <m:sup>
            <m:r>
              <w:rPr>
                <w:rFonts w:ascii="Cambria Math" w:hAnsi="Cambria Math"/>
                <w:kern w:val="2"/>
                <w:sz w:val="22"/>
                <w:szCs w:val="22"/>
                <w14:ligatures w14:val="standardContextual"/>
              </w:rPr>
              <m:t>T</m:t>
            </m:r>
          </m:sup>
          <m:e>
            <m:d>
              <m:dPr>
                <m:begChr m:val="["/>
                <m:endChr m:val="]"/>
                <m:ctrlPr>
                  <w:rPr>
                    <w:rFonts w:ascii="Cambria Math" w:hAnsi="Cambria Math"/>
                    <w:kern w:val="2"/>
                    <w:sz w:val="22"/>
                    <w:szCs w:val="22"/>
                    <w14:ligatures w14:val="standardContextual"/>
                  </w:rPr>
                </m:ctrlPr>
              </m:dPr>
              <m:e>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P</m:t>
                    </m:r>
                  </m:e>
                  <m:sub>
                    <m:r>
                      <m:rPr>
                        <m:nor/>
                      </m:rPr>
                      <w:rPr>
                        <w:kern w:val="2"/>
                        <w:sz w:val="22"/>
                        <w:szCs w:val="22"/>
                        <w14:ligatures w14:val="standardContextual"/>
                      </w:rPr>
                      <m:t>grid</m:t>
                    </m:r>
                  </m:sub>
                  <m:sup>
                    <m:r>
                      <m:rPr>
                        <m:sty m:val="p"/>
                      </m:rPr>
                      <w:rPr>
                        <w:rFonts w:ascii="Cambria Math" w:hAnsi="Cambria Math"/>
                        <w:kern w:val="2"/>
                        <w:sz w:val="22"/>
                        <w:szCs w:val="22"/>
                        <w14:ligatures w14:val="standardContextual"/>
                      </w:rPr>
                      <m:t>+</m:t>
                    </m:r>
                  </m:sup>
                </m:sSubSup>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λ</m:t>
                    </m:r>
                  </m:e>
                  <m:sub>
                    <m:r>
                      <m:rPr>
                        <m:nor/>
                      </m:rPr>
                      <w:rPr>
                        <w:kern w:val="2"/>
                        <w:sz w:val="22"/>
                        <w:szCs w:val="22"/>
                        <w14:ligatures w14:val="standardContextual"/>
                      </w:rPr>
                      <m:t>import</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P</m:t>
                    </m:r>
                  </m:e>
                  <m:sub>
                    <m:r>
                      <m:rPr>
                        <m:nor/>
                      </m:rPr>
                      <w:rPr>
                        <w:kern w:val="2"/>
                        <w:sz w:val="22"/>
                        <w:szCs w:val="22"/>
                        <w14:ligatures w14:val="standardContextual"/>
                      </w:rPr>
                      <m:t>grid</m:t>
                    </m:r>
                  </m:sub>
                  <m:sup>
                    <m:r>
                      <m:rPr>
                        <m:sty m:val="p"/>
                      </m:rPr>
                      <w:rPr>
                        <w:rFonts w:ascii="Cambria Math" w:hAnsi="Cambria Math"/>
                        <w:kern w:val="2"/>
                        <w:sz w:val="22"/>
                        <w:szCs w:val="22"/>
                        <w14:ligatures w14:val="standardContextual"/>
                      </w:rPr>
                      <m:t>-</m:t>
                    </m:r>
                  </m:sup>
                </m:sSubSup>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λ</m:t>
                    </m:r>
                  </m:e>
                  <m:sub>
                    <m:r>
                      <m:rPr>
                        <m:nor/>
                      </m:rPr>
                      <w:rPr>
                        <w:kern w:val="2"/>
                        <w:sz w:val="22"/>
                        <w:szCs w:val="22"/>
                        <w14:ligatures w14:val="standardContextual"/>
                      </w:rPr>
                      <m:t>export</m:t>
                    </m:r>
                  </m:sub>
                </m:sSub>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β</m:t>
                    </m:r>
                  </m:e>
                  <m:sub>
                    <m:r>
                      <w:rPr>
                        <w:rFonts w:ascii="Cambria Math" w:hAnsi="Cambria Math"/>
                        <w:kern w:val="2"/>
                        <w:sz w:val="22"/>
                        <w:szCs w:val="22"/>
                        <w14:ligatures w14:val="standardContextual"/>
                      </w:rPr>
                      <m:t>c</m:t>
                    </m:r>
                  </m:sub>
                </m:sSub>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c</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β</m:t>
                    </m:r>
                  </m:e>
                  <m:sub>
                    <m:r>
                      <w:rPr>
                        <w:rFonts w:ascii="Cambria Math" w:hAnsi="Cambria Math"/>
                        <w:kern w:val="2"/>
                        <w:sz w:val="22"/>
                        <w:szCs w:val="22"/>
                        <w14:ligatures w14:val="standardContextual"/>
                      </w:rPr>
                      <m:t>d</m:t>
                    </m:r>
                  </m:sub>
                </m:sSub>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w:rPr>
                        <w:rFonts w:ascii="Cambria Math" w:hAnsi="Cambria Math"/>
                        <w:kern w:val="2"/>
                        <w:sz w:val="22"/>
                        <w:szCs w:val="22"/>
                        <w14:ligatures w14:val="standardContextual"/>
                      </w:rPr>
                      <m:t>d</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γ</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curt</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δ</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LS</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t</m:t>
                </m:r>
                <m:r>
                  <m:rPr>
                    <m:sty m:val="p"/>
                  </m:rPr>
                  <w:rPr>
                    <w:rFonts w:ascii="Cambria Math" w:hAnsi="Cambria Math"/>
                    <w:kern w:val="2"/>
                    <w:sz w:val="22"/>
                    <w:szCs w:val="22"/>
                    <w14:ligatures w14:val="standardContextual"/>
                  </w:rPr>
                  <m:t>)</m:t>
                </m:r>
              </m:e>
            </m:d>
          </m:e>
        </m:nary>
      </m:oMath>
      <w:r w:rsidR="0073321C">
        <w:rPr>
          <w:kern w:val="2"/>
          <w:sz w:val="22"/>
          <w:szCs w:val="22"/>
          <w14:ligatures w14:val="standardContextual"/>
        </w:rPr>
        <w:tab/>
        <w:t>(7)</w:t>
      </w:r>
    </w:p>
    <w:p w14:paraId="001B2715" w14:textId="36A39861" w:rsidR="00B44A7E" w:rsidRPr="00FF6D90" w:rsidRDefault="00B44A7E" w:rsidP="004D29E9">
      <w:pPr>
        <w:pStyle w:val="Tekstpodstawowy"/>
        <w:jc w:val="both"/>
        <w:rPr>
          <w:sz w:val="22"/>
          <w:szCs w:val="22"/>
          <w:lang w:val="en-IN"/>
        </w:rPr>
      </w:pPr>
      <w:r w:rsidRPr="00FF6D90">
        <w:rPr>
          <w:sz w:val="22"/>
          <w:szCs w:val="22"/>
          <w:lang w:val="en-IN"/>
        </w:rPr>
        <w:t xml:space="preserve">where, </w:t>
      </w:r>
      <m:oMath>
        <m:sSubSup>
          <m:sSubSupPr>
            <m:ctrlPr>
              <w:rPr>
                <w:rFonts w:ascii="Cambria Math" w:hAnsi="Cambria Math"/>
                <w:sz w:val="22"/>
                <w:szCs w:val="22"/>
              </w:rPr>
            </m:ctrlPr>
          </m:sSubSupPr>
          <m:e>
            <m:r>
              <w:rPr>
                <w:rFonts w:ascii="Cambria Math" w:hAnsi="Cambria Math"/>
                <w:sz w:val="22"/>
                <w:szCs w:val="22"/>
                <w:lang w:val="en-IN"/>
              </w:rPr>
              <m:t>P</m:t>
            </m:r>
          </m:e>
          <m:sub>
            <m:r>
              <m:rPr>
                <m:nor/>
              </m:rPr>
              <w:rPr>
                <w:sz w:val="22"/>
                <w:szCs w:val="22"/>
                <w:lang w:val="en-IN"/>
              </w:rPr>
              <m:t>grid</m:t>
            </m:r>
          </m:sub>
          <m:sup>
            <m:r>
              <w:rPr>
                <w:rFonts w:ascii="Cambria Math" w:hAnsi="Cambria Math"/>
                <w:sz w:val="22"/>
                <w:szCs w:val="22"/>
                <w:lang w:val="en-IN"/>
              </w:rPr>
              <m:t>+</m:t>
            </m:r>
          </m:sup>
        </m:sSubSup>
        <m:r>
          <w:rPr>
            <w:rFonts w:ascii="Cambria Math" w:hAnsi="Cambria Math"/>
            <w:sz w:val="22"/>
            <w:szCs w:val="22"/>
            <w:lang w:val="en-IN"/>
          </w:rPr>
          <m:t>(t)</m:t>
        </m:r>
      </m:oMath>
      <w:r w:rsidRPr="00FF6D90">
        <w:rPr>
          <w:sz w:val="22"/>
          <w:szCs w:val="22"/>
          <w:lang w:val="en-IN"/>
        </w:rPr>
        <w:t xml:space="preserve">represents the grid import power at time </w:t>
      </w:r>
      <m:oMath>
        <m:r>
          <w:rPr>
            <w:rFonts w:ascii="Cambria Math" w:hAnsi="Cambria Math"/>
            <w:sz w:val="22"/>
            <w:szCs w:val="22"/>
            <w:lang w:val="en-IN"/>
          </w:rPr>
          <m:t>t</m:t>
        </m:r>
      </m:oMath>
      <w:r w:rsidRPr="00FF6D90">
        <w:rPr>
          <w:sz w:val="22"/>
          <w:szCs w:val="22"/>
          <w:lang w:val="en-IN"/>
        </w:rPr>
        <w:t xml:space="preserve">, while </w:t>
      </w:r>
      <m:oMath>
        <m:sSubSup>
          <m:sSubSupPr>
            <m:ctrlPr>
              <w:rPr>
                <w:rFonts w:ascii="Cambria Math" w:hAnsi="Cambria Math"/>
                <w:sz w:val="22"/>
                <w:szCs w:val="22"/>
              </w:rPr>
            </m:ctrlPr>
          </m:sSubSupPr>
          <m:e>
            <m:r>
              <w:rPr>
                <w:rFonts w:ascii="Cambria Math" w:hAnsi="Cambria Math"/>
                <w:sz w:val="22"/>
                <w:szCs w:val="22"/>
                <w:lang w:val="en-IN"/>
              </w:rPr>
              <m:t>P</m:t>
            </m:r>
          </m:e>
          <m:sub>
            <m:r>
              <m:rPr>
                <m:nor/>
              </m:rPr>
              <w:rPr>
                <w:sz w:val="22"/>
                <w:szCs w:val="22"/>
                <w:lang w:val="en-IN"/>
              </w:rPr>
              <m:t>grid</m:t>
            </m:r>
          </m:sub>
          <m:sup>
            <m:r>
              <w:rPr>
                <w:rFonts w:ascii="Cambria Math" w:hAnsi="Cambria Math"/>
                <w:sz w:val="22"/>
                <w:szCs w:val="22"/>
                <w:lang w:val="en-IN"/>
              </w:rPr>
              <m:t>-</m:t>
            </m:r>
          </m:sup>
        </m:sSubSup>
        <m:r>
          <w:rPr>
            <w:rFonts w:ascii="Cambria Math" w:hAnsi="Cambria Math"/>
            <w:sz w:val="22"/>
            <w:szCs w:val="22"/>
            <w:lang w:val="en-IN"/>
          </w:rPr>
          <m:t>(t)</m:t>
        </m:r>
      </m:oMath>
      <w:r w:rsidRPr="00FF6D90">
        <w:rPr>
          <w:sz w:val="22"/>
          <w:szCs w:val="22"/>
          <w:lang w:val="en-IN"/>
        </w:rPr>
        <w:t>denotes the grid</w:t>
      </w:r>
      <w:r w:rsidR="00A93615">
        <w:rPr>
          <w:sz w:val="22"/>
          <w:szCs w:val="22"/>
          <w:lang w:val="en-IN"/>
        </w:rPr>
        <w:t>-export power delivered</w:t>
      </w:r>
      <w:r w:rsidRPr="00FF6D90">
        <w:rPr>
          <w:sz w:val="22"/>
          <w:szCs w:val="22"/>
          <w:lang w:val="en-IN"/>
        </w:rPr>
        <w:t xml:space="preserve"> to the utility under the net-metering mechanism. The parameter </w:t>
      </w:r>
      <m:oMath>
        <m:sSub>
          <m:sSubPr>
            <m:ctrlPr>
              <w:rPr>
                <w:rFonts w:ascii="Cambria Math" w:hAnsi="Cambria Math"/>
                <w:sz w:val="22"/>
                <w:szCs w:val="22"/>
              </w:rPr>
            </m:ctrlPr>
          </m:sSubPr>
          <m:e>
            <m:r>
              <w:rPr>
                <w:rFonts w:ascii="Cambria Math" w:hAnsi="Cambria Math"/>
                <w:sz w:val="22"/>
                <w:szCs w:val="22"/>
                <w:lang w:val="en-IN"/>
              </w:rPr>
              <m:t>λ</m:t>
            </m:r>
          </m:e>
          <m:sub>
            <m:r>
              <m:rPr>
                <m:nor/>
              </m:rPr>
              <w:rPr>
                <w:sz w:val="22"/>
                <w:szCs w:val="22"/>
                <w:lang w:val="en-IN"/>
              </w:rPr>
              <m:t>import</m:t>
            </m:r>
          </m:sub>
        </m:sSub>
        <m:r>
          <w:rPr>
            <w:rFonts w:ascii="Cambria Math" w:hAnsi="Cambria Math"/>
            <w:sz w:val="22"/>
            <w:szCs w:val="22"/>
            <w:lang w:val="en-IN"/>
          </w:rPr>
          <m:t>(t)</m:t>
        </m:r>
      </m:oMath>
      <w:r w:rsidRPr="00FF6D90">
        <w:rPr>
          <w:sz w:val="22"/>
          <w:szCs w:val="22"/>
          <w:lang w:val="en-IN"/>
        </w:rPr>
        <w:t xml:space="preserve">corresponds to the time-of-day (ToD) import tariff applied by the distribution company, whereas </w:t>
      </w:r>
      <m:oMath>
        <m:sSub>
          <m:sSubPr>
            <m:ctrlPr>
              <w:rPr>
                <w:rFonts w:ascii="Cambria Math" w:hAnsi="Cambria Math"/>
                <w:sz w:val="22"/>
                <w:szCs w:val="22"/>
              </w:rPr>
            </m:ctrlPr>
          </m:sSubPr>
          <m:e>
            <m:r>
              <w:rPr>
                <w:rFonts w:ascii="Cambria Math" w:hAnsi="Cambria Math"/>
                <w:sz w:val="22"/>
                <w:szCs w:val="22"/>
                <w:lang w:val="en-IN"/>
              </w:rPr>
              <m:t>λ</m:t>
            </m:r>
          </m:e>
          <m:sub>
            <m:r>
              <m:rPr>
                <m:nor/>
              </m:rPr>
              <w:rPr>
                <w:sz w:val="22"/>
                <w:szCs w:val="22"/>
                <w:lang w:val="en-IN"/>
              </w:rPr>
              <m:t>export</m:t>
            </m:r>
          </m:sub>
        </m:sSub>
      </m:oMath>
      <w:r w:rsidRPr="00FF6D90">
        <w:rPr>
          <w:sz w:val="22"/>
          <w:szCs w:val="22"/>
          <w:lang w:val="en-IN"/>
        </w:rPr>
        <w:t xml:space="preserve">is the export compensation rate provided for surplus energy fed into the grid. Battery operation is </w:t>
      </w:r>
      <w:proofErr w:type="spellStart"/>
      <w:r w:rsidRPr="00FF6D90">
        <w:rPr>
          <w:sz w:val="22"/>
          <w:szCs w:val="22"/>
          <w:lang w:val="en-IN"/>
        </w:rPr>
        <w:t>modeled</w:t>
      </w:r>
      <w:proofErr w:type="spellEnd"/>
      <w:r w:rsidRPr="00FF6D90">
        <w:rPr>
          <w:sz w:val="22"/>
          <w:szCs w:val="22"/>
          <w:lang w:val="en-IN"/>
        </w:rPr>
        <w:t xml:space="preserve"> using the charging and discharging powers </w:t>
      </w:r>
      <m:oMath>
        <m:sSub>
          <m:sSubPr>
            <m:ctrlPr>
              <w:rPr>
                <w:rFonts w:ascii="Cambria Math" w:hAnsi="Cambria Math"/>
                <w:sz w:val="22"/>
                <w:szCs w:val="22"/>
              </w:rPr>
            </m:ctrlPr>
          </m:sSubPr>
          <m:e>
            <m:r>
              <w:rPr>
                <w:rFonts w:ascii="Cambria Math" w:hAnsi="Cambria Math"/>
                <w:sz w:val="22"/>
                <w:szCs w:val="22"/>
                <w:lang w:val="en-IN"/>
              </w:rPr>
              <m:t>P</m:t>
            </m:r>
          </m:e>
          <m:sub>
            <m:r>
              <w:rPr>
                <w:rFonts w:ascii="Cambria Math" w:hAnsi="Cambria Math"/>
                <w:sz w:val="22"/>
                <w:szCs w:val="22"/>
                <w:lang w:val="en-IN"/>
              </w:rPr>
              <m:t>c</m:t>
            </m:r>
          </m:sub>
        </m:sSub>
        <m:r>
          <w:rPr>
            <w:rFonts w:ascii="Cambria Math" w:hAnsi="Cambria Math"/>
            <w:sz w:val="22"/>
            <w:szCs w:val="22"/>
            <w:lang w:val="en-IN"/>
          </w:rPr>
          <m:t>(t)</m:t>
        </m:r>
      </m:oMath>
      <w:r w:rsidRPr="00FF6D90">
        <w:rPr>
          <w:sz w:val="22"/>
          <w:szCs w:val="22"/>
          <w:lang w:val="en-IN"/>
        </w:rPr>
        <w:t xml:space="preserve">and </w:t>
      </w:r>
      <m:oMath>
        <m:sSub>
          <m:sSubPr>
            <m:ctrlPr>
              <w:rPr>
                <w:rFonts w:ascii="Cambria Math" w:hAnsi="Cambria Math"/>
                <w:sz w:val="22"/>
                <w:szCs w:val="22"/>
              </w:rPr>
            </m:ctrlPr>
          </m:sSubPr>
          <m:e>
            <m:r>
              <w:rPr>
                <w:rFonts w:ascii="Cambria Math" w:hAnsi="Cambria Math"/>
                <w:sz w:val="22"/>
                <w:szCs w:val="22"/>
                <w:lang w:val="en-IN"/>
              </w:rPr>
              <m:t>P</m:t>
            </m:r>
          </m:e>
          <m:sub>
            <m:r>
              <w:rPr>
                <w:rFonts w:ascii="Cambria Math" w:hAnsi="Cambria Math"/>
                <w:sz w:val="22"/>
                <w:szCs w:val="22"/>
                <w:lang w:val="en-IN"/>
              </w:rPr>
              <m:t>d</m:t>
            </m:r>
          </m:sub>
        </m:sSub>
        <m:r>
          <w:rPr>
            <w:rFonts w:ascii="Cambria Math" w:hAnsi="Cambria Math"/>
            <w:sz w:val="22"/>
            <w:szCs w:val="22"/>
            <w:lang w:val="en-IN"/>
          </w:rPr>
          <m:t>(t)</m:t>
        </m:r>
      </m:oMath>
      <w:r w:rsidRPr="00FF6D90">
        <w:rPr>
          <w:sz w:val="22"/>
          <w:szCs w:val="22"/>
          <w:lang w:val="en-IN"/>
        </w:rPr>
        <w:t xml:space="preserve">, respectively, with </w:t>
      </w:r>
      <m:oMath>
        <m:sSub>
          <m:sSubPr>
            <m:ctrlPr>
              <w:rPr>
                <w:rFonts w:ascii="Cambria Math" w:hAnsi="Cambria Math"/>
                <w:sz w:val="22"/>
                <w:szCs w:val="22"/>
              </w:rPr>
            </m:ctrlPr>
          </m:sSubPr>
          <m:e>
            <m:r>
              <w:rPr>
                <w:rFonts w:ascii="Cambria Math" w:hAnsi="Cambria Math"/>
                <w:sz w:val="22"/>
                <w:szCs w:val="22"/>
                <w:lang w:val="en-IN"/>
              </w:rPr>
              <m:t>β</m:t>
            </m:r>
          </m:e>
          <m:sub>
            <m:r>
              <w:rPr>
                <w:rFonts w:ascii="Cambria Math" w:hAnsi="Cambria Math"/>
                <w:sz w:val="22"/>
                <w:szCs w:val="22"/>
                <w:lang w:val="en-IN"/>
              </w:rPr>
              <m:t>c</m:t>
            </m:r>
          </m:sub>
        </m:sSub>
      </m:oMath>
      <w:r w:rsidRPr="00FF6D90">
        <w:rPr>
          <w:sz w:val="22"/>
          <w:szCs w:val="22"/>
          <w:lang w:val="en-IN"/>
        </w:rPr>
        <w:t xml:space="preserve">and </w:t>
      </w:r>
      <m:oMath>
        <m:sSub>
          <m:sSubPr>
            <m:ctrlPr>
              <w:rPr>
                <w:rFonts w:ascii="Cambria Math" w:hAnsi="Cambria Math"/>
                <w:sz w:val="22"/>
                <w:szCs w:val="22"/>
              </w:rPr>
            </m:ctrlPr>
          </m:sSubPr>
          <m:e>
            <m:r>
              <w:rPr>
                <w:rFonts w:ascii="Cambria Math" w:hAnsi="Cambria Math"/>
                <w:sz w:val="22"/>
                <w:szCs w:val="22"/>
                <w:lang w:val="en-IN"/>
              </w:rPr>
              <m:t>β</m:t>
            </m:r>
          </m:e>
          <m:sub>
            <m:r>
              <w:rPr>
                <w:rFonts w:ascii="Cambria Math" w:hAnsi="Cambria Math"/>
                <w:sz w:val="22"/>
                <w:szCs w:val="22"/>
                <w:lang w:val="en-IN"/>
              </w:rPr>
              <m:t>d</m:t>
            </m:r>
          </m:sub>
        </m:sSub>
      </m:oMath>
      <w:r w:rsidRPr="00FF6D90">
        <w:rPr>
          <w:sz w:val="22"/>
          <w:szCs w:val="22"/>
          <w:lang w:val="en-IN"/>
        </w:rPr>
        <w:t xml:space="preserve">representing the associated degradation cost coefficients that penalize excessive cycling. Renewable energy curtailment at any time step is expressed through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curt</m:t>
            </m:r>
          </m:sub>
        </m:sSub>
        <m:r>
          <w:rPr>
            <w:rFonts w:ascii="Cambria Math" w:hAnsi="Cambria Math"/>
            <w:sz w:val="22"/>
            <w:szCs w:val="22"/>
            <w:lang w:val="en-IN"/>
          </w:rPr>
          <m:t>(t)</m:t>
        </m:r>
      </m:oMath>
      <w:r w:rsidRPr="00FF6D90">
        <w:rPr>
          <w:sz w:val="22"/>
          <w:szCs w:val="22"/>
          <w:lang w:val="en-IN"/>
        </w:rPr>
        <w:t xml:space="preserve">, and its economic impact is controlled by the penalty factor </w:t>
      </w:r>
      <m:oMath>
        <m:r>
          <w:rPr>
            <w:rFonts w:ascii="Cambria Math" w:hAnsi="Cambria Math"/>
            <w:sz w:val="22"/>
            <w:szCs w:val="22"/>
            <w:lang w:val="en-IN"/>
          </w:rPr>
          <m:t>γ</m:t>
        </m:r>
      </m:oMath>
      <w:r w:rsidRPr="00FF6D90">
        <w:rPr>
          <w:sz w:val="22"/>
          <w:szCs w:val="22"/>
          <w:lang w:val="en-IN"/>
        </w:rPr>
        <w:t xml:space="preserve">. Any unserved or shed load is captured by </w:t>
      </w:r>
      <m:oMath>
        <m:sSub>
          <m:sSubPr>
            <m:ctrlPr>
              <w:rPr>
                <w:rFonts w:ascii="Cambria Math" w:hAnsi="Cambria Math"/>
                <w:sz w:val="22"/>
                <w:szCs w:val="22"/>
              </w:rPr>
            </m:ctrlPr>
          </m:sSubPr>
          <m:e>
            <m:r>
              <w:rPr>
                <w:rFonts w:ascii="Cambria Math" w:hAnsi="Cambria Math"/>
                <w:sz w:val="22"/>
                <w:szCs w:val="22"/>
                <w:lang w:val="en-IN"/>
              </w:rPr>
              <m:t>P</m:t>
            </m:r>
          </m:e>
          <m:sub>
            <m:r>
              <m:rPr>
                <m:nor/>
              </m:rPr>
              <w:rPr>
                <w:sz w:val="22"/>
                <w:szCs w:val="22"/>
                <w:lang w:val="en-IN"/>
              </w:rPr>
              <m:t>LS</m:t>
            </m:r>
          </m:sub>
        </m:sSub>
        <m:r>
          <w:rPr>
            <w:rFonts w:ascii="Cambria Math" w:hAnsi="Cambria Math"/>
            <w:sz w:val="22"/>
            <w:szCs w:val="22"/>
            <w:lang w:val="en-IN"/>
          </w:rPr>
          <m:t>(t)</m:t>
        </m:r>
      </m:oMath>
      <w:r w:rsidRPr="00FF6D90">
        <w:rPr>
          <w:sz w:val="22"/>
          <w:szCs w:val="22"/>
          <w:lang w:val="en-IN"/>
        </w:rPr>
        <w:t xml:space="preserve">, with a high penalty coefficient </w:t>
      </w:r>
      <m:oMath>
        <m:r>
          <w:rPr>
            <w:rFonts w:ascii="Cambria Math" w:hAnsi="Cambria Math"/>
            <w:sz w:val="22"/>
            <w:szCs w:val="22"/>
            <w:lang w:val="en-IN"/>
          </w:rPr>
          <m:t>δ</m:t>
        </m:r>
      </m:oMath>
      <w:r w:rsidRPr="00FF6D90">
        <w:rPr>
          <w:sz w:val="22"/>
          <w:szCs w:val="22"/>
          <w:lang w:val="en-IN"/>
        </w:rPr>
        <w:t xml:space="preserve">ensuring that load shedding occurs only when unavoidable. The total cost is accumulated over the simulation horizon </w:t>
      </w:r>
      <m:oMath>
        <m:r>
          <w:rPr>
            <w:rFonts w:ascii="Cambria Math" w:hAnsi="Cambria Math"/>
            <w:sz w:val="22"/>
            <w:szCs w:val="22"/>
            <w:lang w:val="en-IN"/>
          </w:rPr>
          <m:t>T</m:t>
        </m:r>
      </m:oMath>
      <w:r w:rsidRPr="00FF6D90">
        <w:rPr>
          <w:sz w:val="22"/>
          <w:szCs w:val="22"/>
          <w:lang w:val="en-IN"/>
        </w:rPr>
        <w:t>, covering all time intervals considered in the operational scheduling.</w:t>
      </w:r>
    </w:p>
    <w:p w14:paraId="2CB6F233" w14:textId="3D198E6B" w:rsidR="00B44A7E" w:rsidRPr="0073321C" w:rsidRDefault="00B44A7E" w:rsidP="0073321C">
      <w:pPr>
        <w:pStyle w:val="Tekstpodstawowy"/>
        <w:ind w:firstLine="284"/>
        <w:jc w:val="both"/>
        <w:rPr>
          <w:sz w:val="22"/>
          <w:szCs w:val="22"/>
          <w:lang w:val="en-IN"/>
        </w:rPr>
      </w:pPr>
      <w:r w:rsidRPr="00FF6D90">
        <w:rPr>
          <w:sz w:val="22"/>
          <w:szCs w:val="22"/>
          <w:lang w:val="en-IN"/>
        </w:rPr>
        <w:t xml:space="preserve">The objective of the proposed microgrid optimization framework is to determine the optimal dispatch of photovoltaic (PV) generation, wind turbine output, battery charging/discharging, and grid power exchange such that the total operational cost of the hybrid system is minimized while ensuring reliable load supply and respecting all physical and operational constraints. The problem is formulated as a constrained nonlinear optimization problem, where decision variables </w:t>
      </w:r>
      <w:r w:rsidRPr="0073321C">
        <w:rPr>
          <w:sz w:val="22"/>
          <w:szCs w:val="22"/>
          <w:lang w:val="en-IN"/>
        </w:rPr>
        <w:t>include power flows from renewable sources, battery operations, and grid interactions at each time step as shown in Table 1.</w:t>
      </w:r>
    </w:p>
    <w:p w14:paraId="01765065" w14:textId="77777777" w:rsidR="00B44A7E" w:rsidRPr="0073321C" w:rsidRDefault="00B44A7E" w:rsidP="004D29E9">
      <w:pPr>
        <w:pStyle w:val="Tekstpodstawowy"/>
        <w:jc w:val="both"/>
        <w:rPr>
          <w:sz w:val="22"/>
          <w:szCs w:val="22"/>
          <w:lang w:val="en-IN"/>
        </w:rPr>
      </w:pPr>
    </w:p>
    <w:p w14:paraId="32F6E798" w14:textId="5BAF161C" w:rsidR="00B44A7E" w:rsidRPr="00373A5F" w:rsidRDefault="00B44A7E" w:rsidP="0073321C">
      <w:pPr>
        <w:pStyle w:val="Rtab"/>
        <w:rPr>
          <w:lang w:val="en-US"/>
        </w:rPr>
      </w:pPr>
      <w:r w:rsidRPr="00373A5F">
        <w:rPr>
          <w:b/>
          <w:bCs/>
          <w:lang w:val="en-US"/>
        </w:rPr>
        <w:t>Table 1</w:t>
      </w:r>
      <w:r w:rsidR="0073321C" w:rsidRPr="00373A5F">
        <w:rPr>
          <w:b/>
          <w:bCs/>
          <w:lang w:val="en-US"/>
        </w:rPr>
        <w:t>.</w:t>
      </w:r>
      <w:r w:rsidRPr="00373A5F">
        <w:rPr>
          <w:lang w:val="en-US"/>
        </w:rPr>
        <w:t xml:space="preserve"> System parameters and component specifications of the proposed microgrid</w:t>
      </w:r>
    </w:p>
    <w:tbl>
      <w:tblPr>
        <w:tblStyle w:val="Table"/>
        <w:tblW w:w="0" w:type="auto"/>
        <w:jc w:val="center"/>
        <w:tblBorders>
          <w:left w:val="none" w:sz="0" w:space="0" w:color="auto"/>
          <w:right w:val="none" w:sz="0" w:space="0" w:color="auto"/>
          <w:insideV w:val="none" w:sz="0" w:space="0" w:color="auto"/>
        </w:tblBorders>
        <w:tblLook w:val="0020" w:firstRow="1" w:lastRow="0" w:firstColumn="0" w:lastColumn="0" w:noHBand="0" w:noVBand="0"/>
      </w:tblPr>
      <w:tblGrid>
        <w:gridCol w:w="2929"/>
        <w:gridCol w:w="2033"/>
      </w:tblGrid>
      <w:tr w:rsidR="00B44A7E" w:rsidRPr="0073321C" w14:paraId="32A58268" w14:textId="77777777" w:rsidTr="00E42691">
        <w:trPr>
          <w:cnfStyle w:val="100000000000" w:firstRow="1" w:lastRow="0" w:firstColumn="0" w:lastColumn="0" w:oddVBand="0" w:evenVBand="0" w:oddHBand="0" w:evenHBand="0" w:firstRowFirstColumn="0" w:firstRowLastColumn="0" w:lastRowFirstColumn="0" w:lastRowLastColumn="0"/>
          <w:trHeight w:val="397"/>
          <w:tblHeader/>
          <w:jc w:val="center"/>
        </w:trPr>
        <w:tc>
          <w:tcPr>
            <w:tcW w:w="0" w:type="auto"/>
            <w:tcBorders>
              <w:bottom w:val="none" w:sz="0" w:space="0" w:color="auto"/>
            </w:tcBorders>
            <w:vAlign w:val="center"/>
            <w:hideMark/>
          </w:tcPr>
          <w:p w14:paraId="451F6ED6" w14:textId="77777777" w:rsidR="00B44A7E" w:rsidRPr="0073321C" w:rsidRDefault="00B44A7E" w:rsidP="0073321C">
            <w:pPr>
              <w:pStyle w:val="Compact"/>
              <w:spacing w:before="0" w:after="0"/>
              <w:rPr>
                <w:sz w:val="22"/>
                <w:szCs w:val="22"/>
                <w:lang w:eastAsia="en-IN"/>
              </w:rPr>
            </w:pPr>
            <w:r w:rsidRPr="0073321C">
              <w:rPr>
                <w:sz w:val="22"/>
                <w:szCs w:val="22"/>
                <w:lang w:eastAsia="en-IN"/>
              </w:rPr>
              <w:t>Parameter</w:t>
            </w:r>
          </w:p>
        </w:tc>
        <w:tc>
          <w:tcPr>
            <w:tcW w:w="2033" w:type="dxa"/>
            <w:tcBorders>
              <w:bottom w:val="none" w:sz="0" w:space="0" w:color="auto"/>
            </w:tcBorders>
            <w:vAlign w:val="center"/>
            <w:hideMark/>
          </w:tcPr>
          <w:p w14:paraId="61EBEB0F" w14:textId="77777777" w:rsidR="00B44A7E" w:rsidRPr="0073321C" w:rsidRDefault="00B44A7E" w:rsidP="0073321C">
            <w:pPr>
              <w:pStyle w:val="Compact"/>
              <w:spacing w:before="0" w:after="0"/>
              <w:jc w:val="center"/>
              <w:rPr>
                <w:sz w:val="22"/>
                <w:szCs w:val="22"/>
                <w:lang w:eastAsia="en-IN"/>
              </w:rPr>
            </w:pPr>
            <w:r w:rsidRPr="0073321C">
              <w:rPr>
                <w:sz w:val="22"/>
                <w:szCs w:val="22"/>
                <w:lang w:eastAsia="en-IN"/>
              </w:rPr>
              <w:t>Value</w:t>
            </w:r>
          </w:p>
        </w:tc>
      </w:tr>
      <w:tr w:rsidR="00B44A7E" w:rsidRPr="00FF6D90" w14:paraId="739EB06B" w14:textId="77777777" w:rsidTr="00E42691">
        <w:trPr>
          <w:trHeight w:val="283"/>
          <w:jc w:val="center"/>
        </w:trPr>
        <w:tc>
          <w:tcPr>
            <w:tcW w:w="0" w:type="auto"/>
            <w:vAlign w:val="center"/>
            <w:hideMark/>
          </w:tcPr>
          <w:p w14:paraId="12888F19" w14:textId="77777777" w:rsidR="00B44A7E" w:rsidRPr="00FF6D90" w:rsidRDefault="00B44A7E" w:rsidP="0073321C">
            <w:pPr>
              <w:pStyle w:val="Compact"/>
              <w:spacing w:before="0" w:after="0"/>
              <w:rPr>
                <w:sz w:val="22"/>
                <w:szCs w:val="22"/>
                <w:lang w:eastAsia="en-IN"/>
              </w:rPr>
            </w:pPr>
            <w:r w:rsidRPr="00FF6D90">
              <w:rPr>
                <w:sz w:val="22"/>
                <w:szCs w:val="22"/>
                <w:lang w:eastAsia="en-IN"/>
              </w:rPr>
              <w:t>PV Capacity</w:t>
            </w:r>
          </w:p>
        </w:tc>
        <w:tc>
          <w:tcPr>
            <w:tcW w:w="2033" w:type="dxa"/>
            <w:vAlign w:val="center"/>
            <w:hideMark/>
          </w:tcPr>
          <w:p w14:paraId="1BE67838" w14:textId="77777777" w:rsidR="00B44A7E" w:rsidRPr="00FF6D90" w:rsidRDefault="00B44A7E" w:rsidP="0073321C">
            <w:pPr>
              <w:pStyle w:val="Compact"/>
              <w:spacing w:before="0" w:after="0"/>
              <w:jc w:val="center"/>
              <w:rPr>
                <w:sz w:val="22"/>
                <w:szCs w:val="22"/>
                <w:lang w:eastAsia="en-IN"/>
              </w:rPr>
            </w:pPr>
            <w:r w:rsidRPr="00FF6D90">
              <w:rPr>
                <w:sz w:val="22"/>
                <w:szCs w:val="22"/>
                <w:lang w:eastAsia="en-IN"/>
              </w:rPr>
              <w:t>1.5 MW</w:t>
            </w:r>
          </w:p>
        </w:tc>
      </w:tr>
      <w:tr w:rsidR="00B44A7E" w:rsidRPr="00FF6D90" w14:paraId="6E20FC10" w14:textId="77777777" w:rsidTr="00E42691">
        <w:trPr>
          <w:trHeight w:val="283"/>
          <w:jc w:val="center"/>
        </w:trPr>
        <w:tc>
          <w:tcPr>
            <w:tcW w:w="0" w:type="auto"/>
            <w:vAlign w:val="center"/>
            <w:hideMark/>
          </w:tcPr>
          <w:p w14:paraId="29E2DBEE" w14:textId="77777777" w:rsidR="00B44A7E" w:rsidRPr="00FF6D90" w:rsidRDefault="00B44A7E" w:rsidP="0073321C">
            <w:pPr>
              <w:pStyle w:val="Compact"/>
              <w:spacing w:before="0" w:after="0"/>
              <w:rPr>
                <w:sz w:val="22"/>
                <w:szCs w:val="22"/>
                <w:lang w:eastAsia="en-IN"/>
              </w:rPr>
            </w:pPr>
            <w:r w:rsidRPr="00FF6D90">
              <w:rPr>
                <w:sz w:val="22"/>
                <w:szCs w:val="22"/>
                <w:lang w:eastAsia="en-IN"/>
              </w:rPr>
              <w:t>Wind Capacity</w:t>
            </w:r>
          </w:p>
        </w:tc>
        <w:tc>
          <w:tcPr>
            <w:tcW w:w="2033" w:type="dxa"/>
            <w:vAlign w:val="center"/>
            <w:hideMark/>
          </w:tcPr>
          <w:p w14:paraId="7F1BF207" w14:textId="77777777" w:rsidR="00B44A7E" w:rsidRPr="00FF6D90" w:rsidRDefault="00B44A7E" w:rsidP="0073321C">
            <w:pPr>
              <w:pStyle w:val="Compact"/>
              <w:spacing w:before="0" w:after="0"/>
              <w:jc w:val="center"/>
              <w:rPr>
                <w:sz w:val="22"/>
                <w:szCs w:val="22"/>
                <w:lang w:eastAsia="en-IN"/>
              </w:rPr>
            </w:pPr>
            <w:r w:rsidRPr="00FF6D90">
              <w:rPr>
                <w:sz w:val="22"/>
                <w:szCs w:val="22"/>
                <w:lang w:eastAsia="en-IN"/>
              </w:rPr>
              <w:t>1.0 MW</w:t>
            </w:r>
          </w:p>
        </w:tc>
      </w:tr>
      <w:tr w:rsidR="00B44A7E" w:rsidRPr="00FF6D90" w14:paraId="57BE3761" w14:textId="77777777" w:rsidTr="00E42691">
        <w:trPr>
          <w:trHeight w:val="283"/>
          <w:jc w:val="center"/>
        </w:trPr>
        <w:tc>
          <w:tcPr>
            <w:tcW w:w="0" w:type="auto"/>
            <w:vAlign w:val="center"/>
            <w:hideMark/>
          </w:tcPr>
          <w:p w14:paraId="0272E608" w14:textId="77777777" w:rsidR="00B44A7E" w:rsidRPr="00FF6D90" w:rsidRDefault="00B44A7E" w:rsidP="0073321C">
            <w:pPr>
              <w:pStyle w:val="Compact"/>
              <w:spacing w:before="0" w:after="0"/>
              <w:rPr>
                <w:sz w:val="22"/>
                <w:szCs w:val="22"/>
                <w:lang w:eastAsia="en-IN"/>
              </w:rPr>
            </w:pPr>
            <w:r w:rsidRPr="00FF6D90">
              <w:rPr>
                <w:sz w:val="22"/>
                <w:szCs w:val="22"/>
                <w:lang w:eastAsia="en-IN"/>
              </w:rPr>
              <w:t>Battery Energy Capacity</w:t>
            </w:r>
          </w:p>
        </w:tc>
        <w:tc>
          <w:tcPr>
            <w:tcW w:w="2033" w:type="dxa"/>
            <w:vAlign w:val="center"/>
            <w:hideMark/>
          </w:tcPr>
          <w:p w14:paraId="0CEF69E5" w14:textId="77777777" w:rsidR="00B44A7E" w:rsidRPr="00FF6D90" w:rsidRDefault="00B44A7E" w:rsidP="0073321C">
            <w:pPr>
              <w:pStyle w:val="Compact"/>
              <w:spacing w:before="0" w:after="0"/>
              <w:jc w:val="center"/>
              <w:rPr>
                <w:sz w:val="22"/>
                <w:szCs w:val="22"/>
                <w:lang w:eastAsia="en-IN"/>
              </w:rPr>
            </w:pPr>
            <w:r w:rsidRPr="00FF6D90">
              <w:rPr>
                <w:sz w:val="22"/>
                <w:szCs w:val="22"/>
                <w:lang w:eastAsia="en-IN"/>
              </w:rPr>
              <w:t>2 MWh</w:t>
            </w:r>
          </w:p>
        </w:tc>
      </w:tr>
      <w:tr w:rsidR="00B44A7E" w:rsidRPr="00FF6D90" w14:paraId="0597144C" w14:textId="77777777" w:rsidTr="00E42691">
        <w:trPr>
          <w:trHeight w:val="283"/>
          <w:jc w:val="center"/>
        </w:trPr>
        <w:tc>
          <w:tcPr>
            <w:tcW w:w="0" w:type="auto"/>
            <w:vAlign w:val="center"/>
            <w:hideMark/>
          </w:tcPr>
          <w:p w14:paraId="375F761F" w14:textId="77777777" w:rsidR="00B44A7E" w:rsidRPr="00FF6D90" w:rsidRDefault="00B44A7E" w:rsidP="0073321C">
            <w:pPr>
              <w:pStyle w:val="Compact"/>
              <w:spacing w:before="0" w:after="0"/>
              <w:rPr>
                <w:sz w:val="22"/>
                <w:szCs w:val="22"/>
                <w:lang w:eastAsia="en-IN"/>
              </w:rPr>
            </w:pPr>
            <w:r w:rsidRPr="00FF6D90">
              <w:rPr>
                <w:sz w:val="22"/>
                <w:szCs w:val="22"/>
                <w:lang w:eastAsia="en-IN"/>
              </w:rPr>
              <w:t>Battery Round-Trip Efficiency</w:t>
            </w:r>
          </w:p>
        </w:tc>
        <w:tc>
          <w:tcPr>
            <w:tcW w:w="2033" w:type="dxa"/>
            <w:vAlign w:val="center"/>
            <w:hideMark/>
          </w:tcPr>
          <w:p w14:paraId="64435169" w14:textId="77777777" w:rsidR="00B44A7E" w:rsidRPr="00FF6D90" w:rsidRDefault="00B44A7E" w:rsidP="0073321C">
            <w:pPr>
              <w:pStyle w:val="Compact"/>
              <w:spacing w:before="0" w:after="0"/>
              <w:jc w:val="center"/>
              <w:rPr>
                <w:sz w:val="22"/>
                <w:szCs w:val="22"/>
                <w:lang w:eastAsia="en-IN"/>
              </w:rPr>
            </w:pPr>
            <w:r w:rsidRPr="00FF6D90">
              <w:rPr>
                <w:sz w:val="22"/>
                <w:szCs w:val="22"/>
                <w:lang w:eastAsia="en-IN"/>
              </w:rPr>
              <w:t>90%</w:t>
            </w:r>
          </w:p>
        </w:tc>
      </w:tr>
      <w:tr w:rsidR="00B44A7E" w:rsidRPr="00FF6D90" w14:paraId="2C05895D" w14:textId="77777777" w:rsidTr="00E42691">
        <w:trPr>
          <w:trHeight w:val="283"/>
          <w:jc w:val="center"/>
        </w:trPr>
        <w:tc>
          <w:tcPr>
            <w:tcW w:w="0" w:type="auto"/>
            <w:vAlign w:val="center"/>
            <w:hideMark/>
          </w:tcPr>
          <w:p w14:paraId="0FF25159" w14:textId="77777777" w:rsidR="00B44A7E" w:rsidRPr="00FF6D90" w:rsidRDefault="00B44A7E" w:rsidP="0073321C">
            <w:pPr>
              <w:pStyle w:val="Compact"/>
              <w:spacing w:before="0" w:after="0"/>
              <w:rPr>
                <w:sz w:val="22"/>
                <w:szCs w:val="22"/>
                <w:lang w:eastAsia="en-IN"/>
              </w:rPr>
            </w:pPr>
            <w:r w:rsidRPr="00FF6D90">
              <w:rPr>
                <w:sz w:val="22"/>
                <w:szCs w:val="22"/>
                <w:lang w:eastAsia="en-IN"/>
              </w:rPr>
              <w:t>SOC Operating Range</w:t>
            </w:r>
          </w:p>
        </w:tc>
        <w:tc>
          <w:tcPr>
            <w:tcW w:w="2033" w:type="dxa"/>
            <w:vAlign w:val="center"/>
            <w:hideMark/>
          </w:tcPr>
          <w:p w14:paraId="5E277D7A" w14:textId="702D7DB6" w:rsidR="00B44A7E" w:rsidRPr="00FF6D90" w:rsidRDefault="00B44A7E" w:rsidP="0073321C">
            <w:pPr>
              <w:pStyle w:val="Compact"/>
              <w:spacing w:before="0" w:after="0"/>
              <w:jc w:val="center"/>
              <w:rPr>
                <w:sz w:val="22"/>
                <w:szCs w:val="22"/>
                <w:lang w:eastAsia="en-IN"/>
              </w:rPr>
            </w:pPr>
            <w:r w:rsidRPr="00FF6D90">
              <w:rPr>
                <w:sz w:val="22"/>
                <w:szCs w:val="22"/>
                <w:lang w:eastAsia="en-IN"/>
              </w:rPr>
              <w:t>20</w:t>
            </w:r>
            <w:r w:rsidR="0073321C">
              <w:rPr>
                <w:sz w:val="22"/>
                <w:szCs w:val="22"/>
                <w:lang w:eastAsia="en-IN"/>
              </w:rPr>
              <w:t>–</w:t>
            </w:r>
            <w:r w:rsidRPr="00FF6D90">
              <w:rPr>
                <w:sz w:val="22"/>
                <w:szCs w:val="22"/>
                <w:lang w:eastAsia="en-IN"/>
              </w:rPr>
              <w:t>90%</w:t>
            </w:r>
          </w:p>
        </w:tc>
      </w:tr>
      <w:tr w:rsidR="00B44A7E" w:rsidRPr="00FF6D90" w14:paraId="56A4769C" w14:textId="77777777" w:rsidTr="00E42691">
        <w:trPr>
          <w:trHeight w:val="283"/>
          <w:jc w:val="center"/>
        </w:trPr>
        <w:tc>
          <w:tcPr>
            <w:tcW w:w="0" w:type="auto"/>
            <w:vAlign w:val="center"/>
            <w:hideMark/>
          </w:tcPr>
          <w:p w14:paraId="6B7378AB" w14:textId="77777777" w:rsidR="00B44A7E" w:rsidRPr="00FF6D90" w:rsidRDefault="00B44A7E" w:rsidP="0073321C">
            <w:pPr>
              <w:pStyle w:val="Compact"/>
              <w:spacing w:before="0" w:after="0"/>
              <w:rPr>
                <w:sz w:val="22"/>
                <w:szCs w:val="22"/>
                <w:lang w:eastAsia="en-IN"/>
              </w:rPr>
            </w:pPr>
            <w:r w:rsidRPr="00FF6D90">
              <w:rPr>
                <w:sz w:val="22"/>
                <w:szCs w:val="22"/>
                <w:lang w:eastAsia="en-IN"/>
              </w:rPr>
              <w:t>Grid Tariff</w:t>
            </w:r>
          </w:p>
        </w:tc>
        <w:tc>
          <w:tcPr>
            <w:tcW w:w="2033" w:type="dxa"/>
            <w:vAlign w:val="center"/>
            <w:hideMark/>
          </w:tcPr>
          <w:p w14:paraId="47E927B0" w14:textId="77777777" w:rsidR="00B44A7E" w:rsidRPr="00FF6D90" w:rsidRDefault="00B44A7E" w:rsidP="0073321C">
            <w:pPr>
              <w:pStyle w:val="Compact"/>
              <w:spacing w:before="0" w:after="0"/>
              <w:jc w:val="center"/>
              <w:rPr>
                <w:sz w:val="22"/>
                <w:szCs w:val="22"/>
                <w:lang w:eastAsia="en-IN"/>
              </w:rPr>
            </w:pPr>
            <w:r w:rsidRPr="00FF6D90">
              <w:rPr>
                <w:sz w:val="22"/>
                <w:szCs w:val="22"/>
                <w:lang w:eastAsia="en-IN"/>
              </w:rPr>
              <w:t>₹6 – ₹9 per kWh</w:t>
            </w:r>
          </w:p>
        </w:tc>
      </w:tr>
    </w:tbl>
    <w:p w14:paraId="02A791AB" w14:textId="77777777" w:rsidR="00FB12CE" w:rsidRPr="00FF6D90" w:rsidRDefault="00FB12CE" w:rsidP="004D29E9">
      <w:pPr>
        <w:pStyle w:val="MDPI31text"/>
        <w:spacing w:line="240" w:lineRule="auto"/>
        <w:ind w:left="0" w:firstLine="0"/>
        <w:rPr>
          <w:rFonts w:ascii="Times New Roman" w:hAnsi="Times New Roman"/>
          <w:color w:val="auto"/>
          <w:sz w:val="22"/>
          <w:lang w:val="en-IN"/>
        </w:rPr>
      </w:pPr>
    </w:p>
    <w:p w14:paraId="57A21C16" w14:textId="27AF54BE" w:rsidR="00B44A7E" w:rsidRPr="00C73EBE" w:rsidRDefault="00FB12CE" w:rsidP="0073321C">
      <w:pPr>
        <w:pStyle w:val="MDPI31text"/>
        <w:spacing w:line="240" w:lineRule="auto"/>
        <w:ind w:left="0" w:firstLine="284"/>
        <w:rPr>
          <w:rFonts w:ascii="Times New Roman" w:hAnsi="Times New Roman"/>
          <w:color w:val="auto"/>
          <w:spacing w:val="-2"/>
          <w:sz w:val="22"/>
          <w:lang w:val="en-IN"/>
        </w:rPr>
      </w:pPr>
      <w:r w:rsidRPr="00C73EBE">
        <w:rPr>
          <w:rFonts w:ascii="Times New Roman" w:hAnsi="Times New Roman"/>
          <w:color w:val="auto"/>
          <w:spacing w:val="-2"/>
          <w:sz w:val="22"/>
          <w:lang w:val="en-IN"/>
        </w:rPr>
        <w:t xml:space="preserve">The </w:t>
      </w:r>
      <w:r w:rsidR="00A93615" w:rsidRPr="00C73EBE">
        <w:rPr>
          <w:rFonts w:ascii="Times New Roman" w:hAnsi="Times New Roman"/>
          <w:color w:val="auto"/>
          <w:spacing w:val="-2"/>
          <w:sz w:val="22"/>
          <w:lang w:val="en-IN"/>
        </w:rPr>
        <w:t>selected component ratings were verified to meet the representative load profile of the examined urban microgrid and to provide</w:t>
      </w:r>
      <w:r w:rsidRPr="00C73EBE">
        <w:rPr>
          <w:rFonts w:ascii="Times New Roman" w:hAnsi="Times New Roman"/>
          <w:color w:val="auto"/>
          <w:spacing w:val="-2"/>
          <w:sz w:val="22"/>
          <w:lang w:val="en-IN"/>
        </w:rPr>
        <w:t xml:space="preserve"> sufficient renewable penetration and flexibility to operate the system. It was decided to design a 1.5 MW PV system to tap the </w:t>
      </w:r>
      <w:r w:rsidR="00A93615" w:rsidRPr="00C73EBE">
        <w:rPr>
          <w:rFonts w:ascii="Times New Roman" w:hAnsi="Times New Roman"/>
          <w:color w:val="auto"/>
          <w:spacing w:val="-2"/>
          <w:sz w:val="22"/>
          <w:lang w:val="en-IN"/>
        </w:rPr>
        <w:t>high solar resource in Bhopal and meet most</w:t>
      </w:r>
      <w:r w:rsidRPr="00C73EBE">
        <w:rPr>
          <w:rFonts w:ascii="Times New Roman" w:hAnsi="Times New Roman"/>
          <w:color w:val="auto"/>
          <w:spacing w:val="-2"/>
          <w:sz w:val="22"/>
          <w:lang w:val="en-IN"/>
        </w:rPr>
        <w:t xml:space="preserve"> daytime demand. A 1.0 MW wind turbine can complement the PV generation during low-solar periods and season</w:t>
      </w:r>
      <w:r w:rsidR="00A93615" w:rsidRPr="00C73EBE">
        <w:rPr>
          <w:rFonts w:ascii="Times New Roman" w:hAnsi="Times New Roman"/>
          <w:color w:val="auto"/>
          <w:spacing w:val="-2"/>
          <w:sz w:val="22"/>
          <w:lang w:val="en-IN"/>
        </w:rPr>
        <w:t>al</w:t>
      </w:r>
      <w:r w:rsidRPr="00C73EBE">
        <w:rPr>
          <w:rFonts w:ascii="Times New Roman" w:hAnsi="Times New Roman"/>
          <w:color w:val="auto"/>
          <w:spacing w:val="-2"/>
          <w:sz w:val="22"/>
          <w:lang w:val="en-IN"/>
        </w:rPr>
        <w:t xml:space="preserve"> variations. The 2 MWh BESS energy storage capacity is sufficient for short-term load balancing, smoothing </w:t>
      </w:r>
      <w:r w:rsidR="00A93615" w:rsidRPr="00C73EBE">
        <w:rPr>
          <w:rFonts w:ascii="Times New Roman" w:hAnsi="Times New Roman"/>
          <w:color w:val="auto"/>
          <w:spacing w:val="-2"/>
          <w:sz w:val="22"/>
          <w:lang w:val="en-IN"/>
        </w:rPr>
        <w:t>the renewable energy supply, and peak shaving</w:t>
      </w:r>
      <w:r w:rsidRPr="00C73EBE">
        <w:rPr>
          <w:rFonts w:ascii="Times New Roman" w:hAnsi="Times New Roman"/>
          <w:color w:val="auto"/>
          <w:spacing w:val="-2"/>
          <w:sz w:val="22"/>
          <w:lang w:val="en-IN"/>
        </w:rPr>
        <w:t>, subject to the desired SOC operating range. Such capacities can be used to ensure a proper generation</w:t>
      </w:r>
      <w:r w:rsidR="00A93615" w:rsidRPr="00C73EBE">
        <w:rPr>
          <w:rFonts w:ascii="Times New Roman" w:hAnsi="Times New Roman"/>
          <w:color w:val="auto"/>
          <w:spacing w:val="-2"/>
          <w:sz w:val="22"/>
          <w:lang w:val="en-IN"/>
        </w:rPr>
        <w:t>-to-load ratio for the discussed 2.5 MW peak load and 8.5 MWh daily energy demand, enabling a valid comparison of the optimization algorithms' performance</w:t>
      </w:r>
      <w:r w:rsidRPr="00C73EBE">
        <w:rPr>
          <w:rFonts w:ascii="Times New Roman" w:hAnsi="Times New Roman"/>
          <w:color w:val="auto"/>
          <w:spacing w:val="-2"/>
          <w:sz w:val="22"/>
          <w:lang w:val="en-IN"/>
        </w:rPr>
        <w:t>.</w:t>
      </w:r>
    </w:p>
    <w:p w14:paraId="0430A985" w14:textId="05E36E3D" w:rsidR="000D27DD" w:rsidRPr="00373A5F" w:rsidRDefault="0073321C" w:rsidP="0073321C">
      <w:pPr>
        <w:pStyle w:val="Rn1"/>
        <w:rPr>
          <w:lang w:val="en-US"/>
        </w:rPr>
      </w:pPr>
      <w:r w:rsidRPr="00373A5F">
        <w:rPr>
          <w:lang w:val="en-US"/>
        </w:rPr>
        <w:t xml:space="preserve">4. </w:t>
      </w:r>
      <w:r w:rsidR="000D27DD" w:rsidRPr="00373A5F">
        <w:rPr>
          <w:lang w:val="en-US"/>
        </w:rPr>
        <w:t>Optimization Algorithms (PSO, GA, and SA)</w:t>
      </w:r>
    </w:p>
    <w:p w14:paraId="41C6E8BE" w14:textId="2EDF5435" w:rsidR="000D27DD" w:rsidRPr="0073321C" w:rsidRDefault="000D27DD" w:rsidP="0073321C">
      <w:pPr>
        <w:widowControl w:val="0"/>
        <w:autoSpaceDE w:val="0"/>
        <w:autoSpaceDN w:val="0"/>
        <w:spacing w:after="0" w:line="240" w:lineRule="auto"/>
        <w:ind w:firstLine="284"/>
        <w:jc w:val="both"/>
        <w:rPr>
          <w:rFonts w:ascii="Times New Roman" w:eastAsia="Times New Roman" w:hAnsi="Times New Roman"/>
        </w:rPr>
      </w:pPr>
      <w:r w:rsidRPr="0073321C">
        <w:rPr>
          <w:rFonts w:ascii="Times New Roman" w:eastAsia="Times New Roman" w:hAnsi="Times New Roman"/>
        </w:rPr>
        <w:t xml:space="preserve">The operational scheduling problem </w:t>
      </w:r>
      <w:proofErr w:type="spellStart"/>
      <w:r w:rsidRPr="0073321C">
        <w:rPr>
          <w:rFonts w:ascii="Times New Roman" w:eastAsia="Times New Roman" w:hAnsi="Times New Roman"/>
        </w:rPr>
        <w:t>modeled</w:t>
      </w:r>
      <w:proofErr w:type="spellEnd"/>
      <w:r w:rsidRPr="0073321C">
        <w:rPr>
          <w:rFonts w:ascii="Times New Roman" w:eastAsia="Times New Roman" w:hAnsi="Times New Roman"/>
        </w:rPr>
        <w:t xml:space="preserve"> </w:t>
      </w:r>
      <w:r w:rsidR="00A93615">
        <w:rPr>
          <w:rFonts w:ascii="Times New Roman" w:eastAsia="Times New Roman" w:hAnsi="Times New Roman"/>
        </w:rPr>
        <w:t>in this study is nonlinear, nonconvex, and time-coupled due to the intermittency of renewable generation and the dynamic nature of the</w:t>
      </w:r>
      <w:r w:rsidRPr="0073321C">
        <w:rPr>
          <w:rFonts w:ascii="Times New Roman" w:eastAsia="Times New Roman" w:hAnsi="Times New Roman"/>
        </w:rPr>
        <w:t xml:space="preserve"> battery energy storage system (BESS). To deal with this complexity effectively, three established metaheuristic optimization algorithms</w:t>
      </w:r>
      <w:r w:rsidR="00A93615">
        <w:rPr>
          <w:rFonts w:ascii="Times New Roman" w:eastAsia="Times New Roman" w:hAnsi="Times New Roman"/>
        </w:rPr>
        <w:t>,</w:t>
      </w:r>
      <w:r w:rsidRPr="0073321C">
        <w:rPr>
          <w:rFonts w:ascii="Times New Roman" w:eastAsia="Times New Roman" w:hAnsi="Times New Roman"/>
        </w:rPr>
        <w:t xml:space="preserve"> Particle Swarm Optimization (PSO), Genetic Algorithm (GA)</w:t>
      </w:r>
      <w:r w:rsidR="00A93615">
        <w:rPr>
          <w:rFonts w:ascii="Times New Roman" w:eastAsia="Times New Roman" w:hAnsi="Times New Roman"/>
        </w:rPr>
        <w:t>,</w:t>
      </w:r>
      <w:r w:rsidRPr="0073321C">
        <w:rPr>
          <w:rFonts w:ascii="Times New Roman" w:eastAsia="Times New Roman" w:hAnsi="Times New Roman"/>
        </w:rPr>
        <w:t xml:space="preserve"> and Simulated Annealing (SA)</w:t>
      </w:r>
      <w:r w:rsidR="00A93615">
        <w:rPr>
          <w:rFonts w:ascii="Times New Roman" w:eastAsia="Times New Roman" w:hAnsi="Times New Roman"/>
        </w:rPr>
        <w:t>,</w:t>
      </w:r>
      <w:r w:rsidRPr="0073321C">
        <w:rPr>
          <w:rFonts w:ascii="Times New Roman" w:eastAsia="Times New Roman" w:hAnsi="Times New Roman"/>
        </w:rPr>
        <w:t xml:space="preserve"> are used as indicated in </w:t>
      </w:r>
      <w:r w:rsidR="00A93615">
        <w:rPr>
          <w:rFonts w:ascii="Times New Roman" w:eastAsia="Times New Roman" w:hAnsi="Times New Roman"/>
        </w:rPr>
        <w:t xml:space="preserve">the </w:t>
      </w:r>
      <w:r w:rsidRPr="0073321C">
        <w:rPr>
          <w:rFonts w:ascii="Times New Roman" w:eastAsia="Times New Roman" w:hAnsi="Times New Roman"/>
        </w:rPr>
        <w:t xml:space="preserve">flowchart shown in Figure 2. These algorithms have been selected </w:t>
      </w:r>
      <w:r w:rsidR="00A93615">
        <w:rPr>
          <w:rFonts w:ascii="Times New Roman" w:eastAsia="Times New Roman" w:hAnsi="Times New Roman"/>
        </w:rPr>
        <w:t>because they are not gradient-based, but useful in the multi-dimensional search space, and exhibit excellent resistance to local minima</w:t>
      </w:r>
      <w:r w:rsidRPr="0073321C">
        <w:rPr>
          <w:rFonts w:ascii="Times New Roman" w:eastAsia="Times New Roman" w:hAnsi="Times New Roman"/>
        </w:rPr>
        <w:t xml:space="preserve"> </w:t>
      </w:r>
      <w:r w:rsidRPr="0073321C">
        <w:rPr>
          <w:rFonts w:ascii="Times New Roman" w:eastAsia="Times New Roman" w:hAnsi="Times New Roman"/>
        </w:rPr>
        <w:fldChar w:fldCharType="begin" w:fldLock="1"/>
      </w:r>
      <w:r w:rsidRPr="0073321C">
        <w:rPr>
          <w:rFonts w:ascii="Times New Roman" w:eastAsia="Times New Roman" w:hAnsi="Times New Roman"/>
        </w:rPr>
        <w:instrText>ADDIN CSL_CITATION {"citationItems":[{"id":"ITEM-1","itemData":{"DOI":"10.1155/2014/361519","author":[{"dropping-particle":"","family":"Zheng","given":"Xuemei","non-dropping-particle":"","parse-names":false,"suffix":""},{"dropping-particle":"","family":"Li","given":"Qiuming","non-dropping-particle":"","parse-names":false,"suffix":""},{"dropping-particle":"","family":"Li","given":"Peng","non-dropping-particle":"","parse-names":false,"suffix":""},{"dropping-particle":"","family":"Ding","given":"Danmei","non-dropping-particle":"","parse-names":false,"suffix":""}],"container-title":"International Journal of Photoenergy","id":"ITEM-1","issue":"2014","issued":{"date-parts":[["2014"]]},"page":"1-11","publisher":"Hindawi Publishing Corporation","title":"Cooperative Optimal Control Strategy for Microgrid under Grid-Connected and Islanded Modes","type":"article-journal","volume":"2014"},"uris":["http://www.mendeley.com/documents/?uuid=5b861f45-236f-4bb8-828c-f083e2fec1b6"]}],"mendeley":{"formattedCitation":"(Zheng et al., 2014)","plainTextFormattedCitation":"(Zheng et al., 2014)","previouslyFormattedCitation":"[15]"},"properties":{"noteIndex":0},"schema":"https://github.com/citation-style-language/schema/raw/master/csl-citation.json"}</w:instrText>
      </w:r>
      <w:r w:rsidRPr="0073321C">
        <w:rPr>
          <w:rFonts w:ascii="Times New Roman" w:eastAsia="Times New Roman" w:hAnsi="Times New Roman"/>
        </w:rPr>
        <w:fldChar w:fldCharType="separate"/>
      </w:r>
      <w:r w:rsidRPr="0073321C">
        <w:rPr>
          <w:rFonts w:ascii="Times New Roman" w:eastAsia="Times New Roman" w:hAnsi="Times New Roman"/>
          <w:noProof/>
        </w:rPr>
        <w:t>(Zheng et al., 2014)</w:t>
      </w:r>
      <w:r w:rsidRPr="0073321C">
        <w:rPr>
          <w:rFonts w:ascii="Times New Roman" w:eastAsia="Times New Roman" w:hAnsi="Times New Roman"/>
        </w:rPr>
        <w:fldChar w:fldCharType="end"/>
      </w:r>
      <w:r w:rsidRPr="0073321C">
        <w:rPr>
          <w:rFonts w:ascii="Times New Roman" w:eastAsia="Times New Roman" w:hAnsi="Times New Roman"/>
        </w:rPr>
        <w:t>.</w:t>
      </w:r>
    </w:p>
    <w:p w14:paraId="00403015" w14:textId="7B8C2319" w:rsidR="00B44A7E" w:rsidRPr="0073321C" w:rsidRDefault="00257558" w:rsidP="004D29E9">
      <w:pPr>
        <w:pStyle w:val="MDPI31text"/>
        <w:spacing w:line="240" w:lineRule="auto"/>
        <w:ind w:left="0" w:firstLine="0"/>
        <w:jc w:val="center"/>
        <w:rPr>
          <w:rFonts w:ascii="Times New Roman" w:hAnsi="Times New Roman"/>
          <w:color w:val="auto"/>
          <w:sz w:val="22"/>
        </w:rPr>
      </w:pPr>
      <w:r w:rsidRPr="0073321C">
        <w:rPr>
          <w:noProof/>
          <w:color w:val="auto"/>
        </w:rPr>
        <w:lastRenderedPageBreak/>
        <w:drawing>
          <wp:inline distT="0" distB="0" distL="0" distR="0" wp14:anchorId="4A2B68DF" wp14:editId="1299B314">
            <wp:extent cx="6120130" cy="3246120"/>
            <wp:effectExtent l="19050" t="19050" r="13970" b="11430"/>
            <wp:docPr id="848311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11806" name=""/>
                    <pic:cNvPicPr/>
                  </pic:nvPicPr>
                  <pic:blipFill>
                    <a:blip r:embed="rId12"/>
                    <a:stretch>
                      <a:fillRect/>
                    </a:stretch>
                  </pic:blipFill>
                  <pic:spPr>
                    <a:xfrm>
                      <a:off x="0" y="0"/>
                      <a:ext cx="6120130" cy="3246120"/>
                    </a:xfrm>
                    <a:prstGeom prst="rect">
                      <a:avLst/>
                    </a:prstGeom>
                    <a:ln>
                      <a:solidFill>
                        <a:schemeClr val="tx1"/>
                      </a:solidFill>
                      <a:prstDash val="sysDot"/>
                    </a:ln>
                  </pic:spPr>
                </pic:pic>
              </a:graphicData>
            </a:graphic>
          </wp:inline>
        </w:drawing>
      </w:r>
    </w:p>
    <w:p w14:paraId="28F75734" w14:textId="55B9573A" w:rsidR="001D5FE9" w:rsidRPr="00373A5F" w:rsidRDefault="00257558" w:rsidP="0073321C">
      <w:pPr>
        <w:pStyle w:val="Rrys"/>
        <w:rPr>
          <w:lang w:val="en-US"/>
        </w:rPr>
      </w:pPr>
      <w:r w:rsidRPr="00373A5F">
        <w:rPr>
          <w:b/>
          <w:bCs/>
          <w:lang w:val="en-US"/>
        </w:rPr>
        <w:t>Fig</w:t>
      </w:r>
      <w:r w:rsidR="0073321C" w:rsidRPr="00373A5F">
        <w:rPr>
          <w:b/>
          <w:bCs/>
          <w:lang w:val="en-US"/>
        </w:rPr>
        <w:t>.</w:t>
      </w:r>
      <w:r w:rsidRPr="00373A5F">
        <w:rPr>
          <w:b/>
          <w:bCs/>
          <w:lang w:val="en-US"/>
        </w:rPr>
        <w:t xml:space="preserve"> 2</w:t>
      </w:r>
      <w:r w:rsidR="0073321C" w:rsidRPr="00373A5F">
        <w:rPr>
          <w:b/>
          <w:bCs/>
          <w:lang w:val="en-US"/>
        </w:rPr>
        <w:t>.</w:t>
      </w:r>
      <w:r w:rsidRPr="00373A5F">
        <w:rPr>
          <w:lang w:val="en-US"/>
        </w:rPr>
        <w:t xml:space="preserve"> Flowcharts of the PSO, GA, and SA optimization algorithms used for microgrid energy management</w:t>
      </w:r>
    </w:p>
    <w:p w14:paraId="3C085464" w14:textId="50DADE0D" w:rsidR="002B0DAB" w:rsidRPr="00373A5F" w:rsidRDefault="0073321C" w:rsidP="0073321C">
      <w:pPr>
        <w:pStyle w:val="Rn2"/>
        <w:rPr>
          <w:lang w:val="en-US"/>
        </w:rPr>
      </w:pPr>
      <w:r w:rsidRPr="00373A5F">
        <w:rPr>
          <w:lang w:val="en-US"/>
        </w:rPr>
        <w:t xml:space="preserve">4.1. </w:t>
      </w:r>
      <w:r w:rsidR="00855506" w:rsidRPr="00373A5F">
        <w:rPr>
          <w:lang w:val="en-US"/>
        </w:rPr>
        <w:t>Particle Swarm Optimization (PSO)</w:t>
      </w:r>
    </w:p>
    <w:p w14:paraId="713BF377" w14:textId="5DF18841" w:rsidR="00855506" w:rsidRPr="0073321C" w:rsidRDefault="00855506" w:rsidP="004D29E9">
      <w:pPr>
        <w:pStyle w:val="Tekstpodstawowy"/>
        <w:jc w:val="both"/>
        <w:rPr>
          <w:sz w:val="22"/>
          <w:szCs w:val="22"/>
        </w:rPr>
      </w:pPr>
      <w:r w:rsidRPr="00FF6D90">
        <w:rPr>
          <w:sz w:val="22"/>
          <w:szCs w:val="22"/>
          <w:lang w:val="en-IN"/>
        </w:rPr>
        <w:t xml:space="preserve">Particle Swarm Optimization is an iterative population-based algorithm inspired by the collective </w:t>
      </w:r>
      <w:proofErr w:type="spellStart"/>
      <w:r w:rsidRPr="00FF6D90">
        <w:rPr>
          <w:sz w:val="22"/>
          <w:szCs w:val="22"/>
          <w:lang w:val="en-IN"/>
        </w:rPr>
        <w:t>behavior</w:t>
      </w:r>
      <w:proofErr w:type="spellEnd"/>
      <w:r w:rsidRPr="00FF6D90">
        <w:rPr>
          <w:sz w:val="22"/>
          <w:szCs w:val="22"/>
          <w:lang w:val="en-IN"/>
        </w:rPr>
        <w:t xml:space="preserve"> of birds flocking toward a destination. Each particle represents a candidate solution whose position and velocity evolve based on its own experience and the swarm</w:t>
      </w:r>
      <w:r w:rsidR="007E1AB9">
        <w:rPr>
          <w:sz w:val="22"/>
          <w:szCs w:val="22"/>
          <w:lang w:val="en-IN"/>
        </w:rPr>
        <w:t>'</w:t>
      </w:r>
      <w:r w:rsidRPr="00FF6D90">
        <w:rPr>
          <w:sz w:val="22"/>
          <w:szCs w:val="22"/>
          <w:lang w:val="en-IN"/>
        </w:rPr>
        <w:t xml:space="preserve">s best-known solution. The velocity update of the </w:t>
      </w:r>
      <m:oMath>
        <m:r>
          <w:rPr>
            <w:rFonts w:ascii="Cambria Math" w:hAnsi="Cambria Math"/>
            <w:sz w:val="22"/>
            <w:szCs w:val="22"/>
            <w:lang w:val="en-IN"/>
          </w:rPr>
          <m:t>i</m:t>
        </m:r>
      </m:oMath>
      <w:r w:rsidRPr="00FF6D90">
        <w:rPr>
          <w:sz w:val="22"/>
          <w:szCs w:val="22"/>
          <w:vertAlign w:val="superscript"/>
          <w:lang w:val="en-IN"/>
        </w:rPr>
        <w:t>th</w:t>
      </w:r>
      <w:r w:rsidRPr="00FF6D90">
        <w:rPr>
          <w:sz w:val="22"/>
          <w:szCs w:val="22"/>
          <w:lang w:val="en-IN"/>
        </w:rPr>
        <w:t xml:space="preserve"> particle </w:t>
      </w:r>
      <w:r w:rsidRPr="0073321C">
        <w:rPr>
          <w:sz w:val="22"/>
          <w:szCs w:val="22"/>
          <w:lang w:val="en-IN"/>
        </w:rPr>
        <w:t xml:space="preserve">at iteration </w:t>
      </w:r>
      <m:oMath>
        <m:r>
          <w:rPr>
            <w:rFonts w:ascii="Cambria Math" w:hAnsi="Cambria Math"/>
            <w:sz w:val="22"/>
            <w:szCs w:val="22"/>
            <w:lang w:val="en-IN"/>
          </w:rPr>
          <m:t>k</m:t>
        </m:r>
      </m:oMath>
      <w:r w:rsidRPr="0073321C">
        <w:rPr>
          <w:sz w:val="22"/>
          <w:szCs w:val="22"/>
          <w:lang w:val="en-IN"/>
        </w:rPr>
        <w:t xml:space="preserve">is given by Equation 8 </w:t>
      </w:r>
      <w:r w:rsidRPr="0073321C">
        <w:rPr>
          <w:sz w:val="22"/>
          <w:szCs w:val="22"/>
          <w:lang w:val="en-IN"/>
        </w:rPr>
        <w:fldChar w:fldCharType="begin" w:fldLock="1"/>
      </w:r>
      <w:r w:rsidRPr="0073321C">
        <w:rPr>
          <w:sz w:val="22"/>
          <w:szCs w:val="22"/>
          <w:lang w:val="en-IN"/>
        </w:rPr>
        <w:instrText>ADDIN CSL_CITATION {"citationItems":[{"id":"ITEM-1","itemData":{"DOI":"10.3390/PR9081319","author":[{"dropping-particle":"","family":"Naderi","given":"Ehsan","non-dropping-particle":"","parse-names":false,"suffix":""},{"dropping-particle":"","family":"Narimani","given":"Hossein","non-dropping-particle":"","parse-names":false,"suffix":""},{"dropping-particle":"","family":"Pourakbari-Kasmaei","given":"Mahdi","non-dropping-particle":"","parse-names":false,"suffix":""},{"dropping-particle":"V","family":"Cerna","given":"Fernando","non-dropping-particle":"","parse-names":false,"suffix":""},{"dropping-particle":"","family":"Marzband","given":"Mousa","non-dropping-particle":"","parse-names":false,"suffix":""},{"dropping-particle":"","family":"Lehtonen","given":"Matti","non-dropping-particle":"","parse-names":false,"suffix":""}],"id":"ITEM-1","issue":"8","issued":{"date-parts":[["0"]]},"page":"1319","publisher":"MDPI AG","title":"State-of-the-Art of Optimal Active and Reactive Power Flow: A Comprehensive Review from Various Standpoints","type":"article-journal","volume":"9"},"uris":["http://www.mendeley.com/documents/?uuid=523bfc43-45a4-442f-a1aa-e0d833feb10d"]}],"mendeley":{"formattedCitation":"(Naderi et al., n.d.)","plainTextFormattedCitation":"(Naderi et al., n.d.)","previouslyFormattedCitation":"[19]"},"properties":{"noteIndex":0},"schema":"https://github.com/citation-style-language/schema/raw/master/csl-citation.json"}</w:instrText>
      </w:r>
      <w:r w:rsidRPr="0073321C">
        <w:rPr>
          <w:sz w:val="22"/>
          <w:szCs w:val="22"/>
          <w:lang w:val="en-IN"/>
        </w:rPr>
        <w:fldChar w:fldCharType="separate"/>
      </w:r>
      <w:r w:rsidRPr="0073321C">
        <w:rPr>
          <w:noProof/>
          <w:sz w:val="22"/>
          <w:szCs w:val="22"/>
          <w:lang w:val="en-IN"/>
        </w:rPr>
        <w:t>(Naderi et al., n.d.)</w:t>
      </w:r>
      <w:r w:rsidRPr="0073321C">
        <w:rPr>
          <w:sz w:val="22"/>
          <w:szCs w:val="22"/>
          <w:lang w:val="en-IN"/>
        </w:rPr>
        <w:fldChar w:fldCharType="end"/>
      </w:r>
      <w:r w:rsidRPr="0073321C">
        <w:rPr>
          <w:sz w:val="22"/>
          <w:szCs w:val="22"/>
          <w:lang w:val="en-IN"/>
        </w:rPr>
        <w:t>.</w:t>
      </w:r>
    </w:p>
    <w:p w14:paraId="00AC955F" w14:textId="10737231" w:rsidR="0073321C" w:rsidRPr="00FF6D90" w:rsidRDefault="00000000" w:rsidP="0073321C">
      <w:pPr>
        <w:pStyle w:val="Tekstpodstawowy"/>
        <w:tabs>
          <w:tab w:val="right" w:pos="9638"/>
        </w:tabs>
        <w:spacing w:before="120" w:after="120"/>
        <w:ind w:left="2126"/>
        <w:rPr>
          <w:kern w:val="2"/>
          <w:sz w:val="22"/>
          <w:szCs w:val="22"/>
          <w14:ligatures w14:val="standardContextual"/>
        </w:rPr>
      </w:pPr>
      <m:oMath>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v</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p>
        </m:sSubSup>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ω </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v</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sup>
        </m:sSubSup>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c</m:t>
            </m:r>
          </m:e>
          <m:sub>
            <m:r>
              <w:rPr>
                <w:rFonts w:ascii="Cambria Math" w:hAnsi="Cambria Math"/>
                <w:kern w:val="2"/>
                <w:sz w:val="22"/>
                <w:szCs w:val="22"/>
                <w14:ligatures w14:val="standardContextual"/>
              </w:rPr>
              <m:t>1</m:t>
            </m:r>
          </m:sub>
        </m:sSub>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r</m:t>
            </m:r>
          </m:e>
          <m:sub>
            <m:r>
              <w:rPr>
                <w:rFonts w:ascii="Cambria Math" w:hAnsi="Cambria Math"/>
                <w:kern w:val="2"/>
                <w:sz w:val="22"/>
                <w:szCs w:val="22"/>
                <w14:ligatures w14:val="standardContextual"/>
              </w:rPr>
              <m:t>1</m:t>
            </m:r>
          </m:sub>
        </m:sSub>
        <m:d>
          <m:dPr>
            <m:ctrlPr>
              <w:rPr>
                <w:rFonts w:ascii="Cambria Math" w:hAnsi="Cambria Math"/>
                <w:kern w:val="2"/>
                <w:sz w:val="22"/>
                <w:szCs w:val="22"/>
                <w14:ligatures w14:val="standardContextual"/>
              </w:rPr>
            </m:ctrlPr>
          </m:dPr>
          <m:e>
            <m:r>
              <w:rPr>
                <w:rFonts w:ascii="Cambria Math" w:hAnsi="Cambria Math"/>
                <w:kern w:val="2"/>
                <w:sz w:val="22"/>
                <w:szCs w:val="22"/>
                <w14:ligatures w14:val="standardContextual"/>
              </w:rPr>
              <m:t>pbes</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t</m:t>
                </m:r>
              </m:e>
              <m:sub>
                <m:r>
                  <w:rPr>
                    <w:rFonts w:ascii="Cambria Math" w:hAnsi="Cambria Math"/>
                    <w:kern w:val="2"/>
                    <w:sz w:val="22"/>
                    <w:szCs w:val="22"/>
                    <w14:ligatures w14:val="standardContextual"/>
                  </w:rPr>
                  <m:t>i</m:t>
                </m:r>
              </m:sub>
            </m:sSub>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x</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sup>
            </m:sSubSup>
          </m:e>
        </m:d>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c</m:t>
            </m:r>
          </m:e>
          <m:sub>
            <m:r>
              <w:rPr>
                <w:rFonts w:ascii="Cambria Math" w:hAnsi="Cambria Math"/>
                <w:kern w:val="2"/>
                <w:sz w:val="22"/>
                <w:szCs w:val="22"/>
                <w14:ligatures w14:val="standardContextual"/>
              </w:rPr>
              <m:t>2</m:t>
            </m:r>
          </m:sub>
        </m:sSub>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r</m:t>
            </m:r>
          </m:e>
          <m:sub>
            <m:r>
              <w:rPr>
                <w:rFonts w:ascii="Cambria Math" w:hAnsi="Cambria Math"/>
                <w:kern w:val="2"/>
                <w:sz w:val="22"/>
                <w:szCs w:val="22"/>
                <w14:ligatures w14:val="standardContextual"/>
              </w:rPr>
              <m:t>2</m:t>
            </m:r>
          </m:sub>
        </m:sSub>
        <m:d>
          <m:dPr>
            <m:ctrlPr>
              <w:rPr>
                <w:rFonts w:ascii="Cambria Math" w:hAnsi="Cambria Math"/>
                <w:kern w:val="2"/>
                <w:sz w:val="22"/>
                <w:szCs w:val="22"/>
                <w14:ligatures w14:val="standardContextual"/>
              </w:rPr>
            </m:ctrlPr>
          </m:dPr>
          <m:e>
            <m:r>
              <w:rPr>
                <w:rFonts w:ascii="Cambria Math" w:hAnsi="Cambria Math"/>
                <w:kern w:val="2"/>
                <w:sz w:val="22"/>
                <w:szCs w:val="22"/>
                <w14:ligatures w14:val="standardContextual"/>
              </w:rPr>
              <m:t>gbest</m:t>
            </m:r>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x</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sup>
            </m:sSubSup>
          </m:e>
        </m:d>
      </m:oMath>
      <w:r w:rsidR="0073321C">
        <w:rPr>
          <w:kern w:val="2"/>
          <w:sz w:val="22"/>
          <w:szCs w:val="22"/>
          <w14:ligatures w14:val="standardContextual"/>
        </w:rPr>
        <w:tab/>
        <w:t>(8)</w:t>
      </w:r>
    </w:p>
    <w:p w14:paraId="77EB1089" w14:textId="77777777" w:rsidR="0073321C" w:rsidRPr="0073321C" w:rsidRDefault="0073321C" w:rsidP="004D29E9">
      <w:pPr>
        <w:pStyle w:val="FirstParagraph"/>
        <w:spacing w:before="0" w:after="0"/>
        <w:rPr>
          <w:kern w:val="2"/>
          <w14:ligatures w14:val="standardContextual"/>
        </w:rPr>
      </w:pPr>
      <w:r w:rsidRPr="0073321C">
        <w:rPr>
          <w:kern w:val="2"/>
          <w14:ligatures w14:val="standardContextual"/>
        </w:rPr>
        <w:t>The updated velocity is then added to the current position given by Equation 9</w:t>
      </w:r>
    </w:p>
    <w:p w14:paraId="0FE64C5D" w14:textId="06F0C39B" w:rsidR="0073321C" w:rsidRPr="00FF6D90" w:rsidRDefault="00000000" w:rsidP="0073321C">
      <w:pPr>
        <w:pStyle w:val="Tekstpodstawowy"/>
        <w:tabs>
          <w:tab w:val="right" w:pos="9638"/>
        </w:tabs>
        <w:spacing w:before="120" w:after="120"/>
        <w:ind w:left="3969"/>
        <w:rPr>
          <w:kern w:val="2"/>
          <w:sz w:val="22"/>
          <w:szCs w:val="22"/>
          <w14:ligatures w14:val="standardContextual"/>
        </w:rPr>
      </w:pPr>
      <m:oMath>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x</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p>
        </m:sSubSup>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x</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sup>
        </m:sSubSup>
        <m:r>
          <m:rPr>
            <m:sty m:val="p"/>
          </m:rPr>
          <w:rPr>
            <w:rFonts w:ascii="Cambria Math" w:hAnsi="Cambria Math"/>
            <w:kern w:val="2"/>
            <w:sz w:val="22"/>
            <w:szCs w:val="22"/>
            <w14:ligatures w14:val="standardContextual"/>
          </w:rPr>
          <m:t>+</m:t>
        </m:r>
        <m:sSubSup>
          <m:sSubSupPr>
            <m:ctrlPr>
              <w:rPr>
                <w:rFonts w:ascii="Cambria Math" w:hAnsi="Cambria Math"/>
                <w:kern w:val="2"/>
                <w:sz w:val="22"/>
                <w:szCs w:val="22"/>
                <w14:ligatures w14:val="standardContextual"/>
              </w:rPr>
            </m:ctrlPr>
          </m:sSubSupPr>
          <m:e>
            <m:r>
              <w:rPr>
                <w:rFonts w:ascii="Cambria Math" w:hAnsi="Cambria Math"/>
                <w:kern w:val="2"/>
                <w:sz w:val="22"/>
                <w:szCs w:val="22"/>
                <w14:ligatures w14:val="standardContextual"/>
              </w:rPr>
              <m:t>v</m:t>
            </m:r>
          </m:e>
          <m:sub>
            <m:r>
              <w:rPr>
                <w:rFonts w:ascii="Cambria Math" w:hAnsi="Cambria Math"/>
                <w:kern w:val="2"/>
                <w:sz w:val="22"/>
                <w:szCs w:val="22"/>
                <w14:ligatures w14:val="standardContextual"/>
              </w:rPr>
              <m:t>i</m:t>
            </m:r>
          </m:sub>
          <m:sup>
            <m:r>
              <w:rPr>
                <w:rFonts w:ascii="Cambria Math" w:hAnsi="Cambria Math"/>
                <w:kern w:val="2"/>
                <w:sz w:val="22"/>
                <w:szCs w:val="22"/>
                <w14:ligatures w14:val="standardContextual"/>
              </w:rPr>
              <m:t>k</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p>
        </m:sSubSup>
      </m:oMath>
      <w:r w:rsidR="0073321C">
        <w:rPr>
          <w:kern w:val="2"/>
          <w:sz w:val="22"/>
          <w:szCs w:val="22"/>
          <w14:ligatures w14:val="standardContextual"/>
        </w:rPr>
        <w:tab/>
        <w:t>(9)</w:t>
      </w:r>
    </w:p>
    <w:p w14:paraId="53C892AC" w14:textId="597B0ECB" w:rsidR="00855506" w:rsidRPr="00FF6D90" w:rsidRDefault="00855506" w:rsidP="004D29E9">
      <w:pPr>
        <w:pStyle w:val="Tekstpodstawowy"/>
        <w:jc w:val="both"/>
        <w:rPr>
          <w:sz w:val="22"/>
          <w:szCs w:val="22"/>
          <w:lang w:val="en-IN"/>
        </w:rPr>
      </w:pPr>
      <w:r w:rsidRPr="00FF6D90">
        <w:rPr>
          <w:sz w:val="22"/>
          <w:szCs w:val="22"/>
          <w:lang w:val="en-IN"/>
        </w:rPr>
        <w:t xml:space="preserve">In PSO, </w:t>
      </w:r>
      <m:oMath>
        <m:sSubSup>
          <m:sSubSupPr>
            <m:ctrlPr>
              <w:rPr>
                <w:rFonts w:ascii="Cambria Math" w:hAnsi="Cambria Math"/>
                <w:sz w:val="22"/>
                <w:szCs w:val="22"/>
              </w:rPr>
            </m:ctrlPr>
          </m:sSubSupPr>
          <m:e>
            <m:r>
              <w:rPr>
                <w:rFonts w:ascii="Cambria Math" w:hAnsi="Cambria Math"/>
                <w:sz w:val="22"/>
                <w:szCs w:val="22"/>
                <w:lang w:val="en-IN"/>
              </w:rPr>
              <m:t>x</m:t>
            </m:r>
          </m:e>
          <m:sub>
            <m:r>
              <w:rPr>
                <w:rFonts w:ascii="Cambria Math" w:hAnsi="Cambria Math"/>
                <w:sz w:val="22"/>
                <w:szCs w:val="22"/>
                <w:lang w:val="en-IN"/>
              </w:rPr>
              <m:t>i</m:t>
            </m:r>
          </m:sub>
          <m:sup>
            <m:r>
              <w:rPr>
                <w:rFonts w:ascii="Cambria Math" w:hAnsi="Cambria Math"/>
                <w:sz w:val="22"/>
                <w:szCs w:val="22"/>
                <w:lang w:val="en-IN"/>
              </w:rPr>
              <m:t>k</m:t>
            </m:r>
          </m:sup>
        </m:sSubSup>
      </m:oMath>
      <w:r w:rsidRPr="00FF6D90">
        <w:rPr>
          <w:sz w:val="22"/>
          <w:szCs w:val="22"/>
          <w:lang w:val="en-IN"/>
        </w:rPr>
        <w:t xml:space="preserve">and </w:t>
      </w:r>
      <m:oMath>
        <m:sSubSup>
          <m:sSubSupPr>
            <m:ctrlPr>
              <w:rPr>
                <w:rFonts w:ascii="Cambria Math" w:hAnsi="Cambria Math"/>
                <w:sz w:val="22"/>
                <w:szCs w:val="22"/>
              </w:rPr>
            </m:ctrlPr>
          </m:sSubSupPr>
          <m:e>
            <m:r>
              <w:rPr>
                <w:rFonts w:ascii="Cambria Math" w:hAnsi="Cambria Math"/>
                <w:sz w:val="22"/>
                <w:szCs w:val="22"/>
                <w:lang w:val="en-IN"/>
              </w:rPr>
              <m:t>v</m:t>
            </m:r>
          </m:e>
          <m:sub>
            <m:r>
              <w:rPr>
                <w:rFonts w:ascii="Cambria Math" w:hAnsi="Cambria Math"/>
                <w:sz w:val="22"/>
                <w:szCs w:val="22"/>
                <w:lang w:val="en-IN"/>
              </w:rPr>
              <m:t>i</m:t>
            </m:r>
          </m:sub>
          <m:sup>
            <m:r>
              <w:rPr>
                <w:rFonts w:ascii="Cambria Math" w:hAnsi="Cambria Math"/>
                <w:sz w:val="22"/>
                <w:szCs w:val="22"/>
                <w:lang w:val="en-IN"/>
              </w:rPr>
              <m:t>k</m:t>
            </m:r>
          </m:sup>
        </m:sSubSup>
      </m:oMath>
      <w:r w:rsidRPr="00FF6D90">
        <w:rPr>
          <w:sz w:val="22"/>
          <w:szCs w:val="22"/>
          <w:lang w:val="en-IN"/>
        </w:rPr>
        <w:t>denote the particle</w:t>
      </w:r>
      <w:r w:rsidR="007E1AB9">
        <w:rPr>
          <w:sz w:val="22"/>
          <w:szCs w:val="22"/>
          <w:lang w:val="en-IN"/>
        </w:rPr>
        <w:t>'</w:t>
      </w:r>
      <w:r w:rsidRPr="00FF6D90">
        <w:rPr>
          <w:sz w:val="22"/>
          <w:szCs w:val="22"/>
          <w:lang w:val="en-IN"/>
        </w:rPr>
        <w:t xml:space="preserve">s position and velocity, while </w:t>
      </w:r>
      <m:oMath>
        <m:r>
          <w:rPr>
            <w:rFonts w:ascii="Cambria Math" w:hAnsi="Cambria Math"/>
            <w:sz w:val="22"/>
            <w:szCs w:val="22"/>
            <w:lang w:val="en-IN"/>
          </w:rPr>
          <m:t>pbes</m:t>
        </m:r>
        <m:sSub>
          <m:sSubPr>
            <m:ctrlPr>
              <w:rPr>
                <w:rFonts w:ascii="Cambria Math" w:hAnsi="Cambria Math"/>
                <w:sz w:val="22"/>
                <w:szCs w:val="22"/>
              </w:rPr>
            </m:ctrlPr>
          </m:sSubPr>
          <m:e>
            <m:r>
              <w:rPr>
                <w:rFonts w:ascii="Cambria Math" w:hAnsi="Cambria Math"/>
                <w:sz w:val="22"/>
                <w:szCs w:val="22"/>
                <w:lang w:val="en-IN"/>
              </w:rPr>
              <m:t>t</m:t>
            </m:r>
          </m:e>
          <m:sub>
            <m:r>
              <w:rPr>
                <w:rFonts w:ascii="Cambria Math" w:hAnsi="Cambria Math"/>
                <w:sz w:val="22"/>
                <w:szCs w:val="22"/>
                <w:lang w:val="en-IN"/>
              </w:rPr>
              <m:t>i</m:t>
            </m:r>
          </m:sub>
        </m:sSub>
      </m:oMath>
      <w:r w:rsidRPr="00FF6D90">
        <w:rPr>
          <w:sz w:val="22"/>
          <w:szCs w:val="22"/>
          <w:lang w:val="en-IN"/>
        </w:rPr>
        <w:t xml:space="preserve">and </w:t>
      </w:r>
      <m:oMath>
        <m:r>
          <w:rPr>
            <w:rFonts w:ascii="Cambria Math" w:hAnsi="Cambria Math"/>
            <w:sz w:val="22"/>
            <w:szCs w:val="22"/>
            <w:lang w:val="en-IN"/>
          </w:rPr>
          <m:t>gbest</m:t>
        </m:r>
      </m:oMath>
      <w:r w:rsidRPr="00FF6D90">
        <w:rPr>
          <w:sz w:val="22"/>
          <w:szCs w:val="22"/>
          <w:lang w:val="en-IN"/>
        </w:rPr>
        <w:t xml:space="preserve">represent its personal and global best positions. The coefficients </w:t>
      </w:r>
      <m:oMath>
        <m:r>
          <w:rPr>
            <w:rFonts w:ascii="Cambria Math" w:hAnsi="Cambria Math"/>
            <w:sz w:val="22"/>
            <w:szCs w:val="22"/>
            <w:lang w:val="en-IN"/>
          </w:rPr>
          <m:t>ω,</m:t>
        </m:r>
        <m:sSub>
          <m:sSubPr>
            <m:ctrlPr>
              <w:rPr>
                <w:rFonts w:ascii="Cambria Math" w:hAnsi="Cambria Math"/>
                <w:sz w:val="22"/>
                <w:szCs w:val="22"/>
              </w:rPr>
            </m:ctrlPr>
          </m:sSubPr>
          <m:e>
            <m:r>
              <w:rPr>
                <w:rFonts w:ascii="Cambria Math" w:hAnsi="Cambria Math"/>
                <w:sz w:val="22"/>
                <w:szCs w:val="22"/>
                <w:lang w:val="en-IN"/>
              </w:rPr>
              <m:t>c</m:t>
            </m:r>
          </m:e>
          <m:sub>
            <m:r>
              <w:rPr>
                <w:rFonts w:ascii="Cambria Math" w:hAnsi="Cambria Math"/>
                <w:sz w:val="22"/>
                <w:szCs w:val="22"/>
                <w:lang w:val="en-IN"/>
              </w:rPr>
              <m:t>1</m:t>
            </m:r>
          </m:sub>
        </m:sSub>
        <m:r>
          <w:rPr>
            <w:rFonts w:ascii="Cambria Math" w:hAnsi="Cambria Math"/>
            <w:sz w:val="22"/>
            <w:szCs w:val="22"/>
            <w:lang w:val="en-IN"/>
          </w:rPr>
          <m:t>,</m:t>
        </m:r>
        <m:sSub>
          <m:sSubPr>
            <m:ctrlPr>
              <w:rPr>
                <w:rFonts w:ascii="Cambria Math" w:hAnsi="Cambria Math"/>
                <w:sz w:val="22"/>
                <w:szCs w:val="22"/>
              </w:rPr>
            </m:ctrlPr>
          </m:sSubPr>
          <m:e>
            <m:r>
              <w:rPr>
                <w:rFonts w:ascii="Cambria Math" w:hAnsi="Cambria Math"/>
                <w:sz w:val="22"/>
                <w:szCs w:val="22"/>
                <w:lang w:val="en-IN"/>
              </w:rPr>
              <m:t>c</m:t>
            </m:r>
          </m:e>
          <m:sub>
            <m:r>
              <w:rPr>
                <w:rFonts w:ascii="Cambria Math" w:hAnsi="Cambria Math"/>
                <w:sz w:val="22"/>
                <w:szCs w:val="22"/>
                <w:lang w:val="en-IN"/>
              </w:rPr>
              <m:t xml:space="preserve">2 </m:t>
            </m:r>
          </m:sub>
        </m:sSub>
      </m:oMath>
      <w:r w:rsidRPr="00FF6D90">
        <w:rPr>
          <w:sz w:val="22"/>
          <w:szCs w:val="22"/>
          <w:lang w:val="en-IN"/>
        </w:rPr>
        <w:t>govern inertia, self-learning, and collective learning. These updates continue iteratively, with constraints applied after each position update to ensure feasibility.</w:t>
      </w:r>
    </w:p>
    <w:p w14:paraId="0518ED61" w14:textId="6D0249FD" w:rsidR="00257558" w:rsidRPr="0073321C" w:rsidRDefault="00794085" w:rsidP="00794085">
      <w:pPr>
        <w:pStyle w:val="Rn2"/>
        <w:rPr>
          <w:lang w:val="en-US"/>
        </w:rPr>
      </w:pPr>
      <w:r w:rsidRPr="0073321C">
        <w:rPr>
          <w:lang w:val="en-US"/>
        </w:rPr>
        <w:t xml:space="preserve">4.2. </w:t>
      </w:r>
      <w:r w:rsidR="002B0DAB" w:rsidRPr="0073321C">
        <w:rPr>
          <w:lang w:val="en-US"/>
        </w:rPr>
        <w:t>Genetic Algorithm (GA)</w:t>
      </w:r>
    </w:p>
    <w:p w14:paraId="5C7DBB14" w14:textId="61D04BE1" w:rsidR="002B0DAB" w:rsidRPr="00776130" w:rsidRDefault="002B0DAB" w:rsidP="00776130">
      <w:pPr>
        <w:pStyle w:val="Tekstpodstawowy"/>
        <w:ind w:firstLine="284"/>
        <w:jc w:val="both"/>
        <w:rPr>
          <w:rFonts w:ascii="Cambria Math" w:hAnsi="Cambria Math"/>
          <w:sz w:val="22"/>
          <w:szCs w:val="22"/>
          <w:oMath/>
        </w:rPr>
      </w:pPr>
      <w:r w:rsidRPr="00776130">
        <w:rPr>
          <w:sz w:val="22"/>
          <w:szCs w:val="22"/>
          <w:lang w:val="en-IN"/>
        </w:rPr>
        <w:t xml:space="preserve">The Genetic Algorithm is an evolutionary optimization method inspired by natural selection and biological evolution. In GA, each candidate solution is encoded as a chromosome, and generations evolve through selection, crossover, and mutation. The probability of selecting a chromosome </w:t>
      </w:r>
      <m:oMath>
        <m:r>
          <w:rPr>
            <w:rFonts w:ascii="Cambria Math" w:hAnsi="Cambria Math"/>
            <w:sz w:val="22"/>
            <w:szCs w:val="22"/>
            <w:lang w:val="en-IN"/>
          </w:rPr>
          <m:t>i</m:t>
        </m:r>
      </m:oMath>
      <w:r w:rsidRPr="00776130">
        <w:rPr>
          <w:sz w:val="22"/>
          <w:szCs w:val="22"/>
          <w:lang w:val="en-IN"/>
        </w:rPr>
        <w:t>based on its fitness is expressed as shown in Equation 11</w:t>
      </w:r>
      <w:r w:rsidRPr="00776130">
        <w:rPr>
          <w:sz w:val="22"/>
          <w:szCs w:val="22"/>
          <w:lang w:val="en-IN"/>
        </w:rPr>
        <w:fldChar w:fldCharType="begin" w:fldLock="1"/>
      </w:r>
      <w:r w:rsidRPr="00776130">
        <w:rPr>
          <w:sz w:val="22"/>
          <w:szCs w:val="22"/>
          <w:lang w:val="en-IN"/>
        </w:rPr>
        <w:instrText>ADDIN CSL_CITATION {"citationItems":[{"id":"ITEM-1","itemData":{"DOI":"10.1109/isgt-la56058.2023.10328280","author":[{"dropping-particle":"","family":"Calloquispe-Huallpa","given":"Ricardo","non-dropping-particle":"","parse-names":false,"suffix":""},{"dropping-particle":"","family":"Huaman-Rivera","given":"Anny","non-dropping-particle":"","parse-names":false,"suffix":""},{"dropping-particle":"","family":"Ordoñez-Benavides","given":"Andres F","non-dropping-particle":"","parse-names":false,"suffix":""},{"dropping-particle":"V","family":"Garcia-Garcia","given":"Yuly","non-dropping-particle":"","parse-names":false,"suffix":""},{"dropping-particle":"","family":"Andrade","given":"Fabio","non-dropping-particle":"","parse-names":false,"suffix":""},{"dropping-particle":"","family":"Aponte-Bezares","given":"Erick E","non-dropping-particle":"","parse-names":false,"suffix":""},{"dropping-particle":"","family":"Irizarry-Rivera","given":"Agustín","non-dropping-particle":"","parse-names":false,"suffix":""}],"id":"ITEM-1","issued":{"date-parts":[["2023"]]},"title":"A Comparison Between Genetic Algorithm and Particle Swarm Optimization for Economic Dispatch in a Microgrid","type":"article-journal"},"uris":["http://www.mendeley.com/documents/?uuid=638f733f-b85b-4341-beed-cd32437765dc"]}],"mendeley":{"formattedCitation":"(Calloquispe-Huallpa et al., 2023)","plainTextFormattedCitation":"(Calloquispe-Huallpa et al., 2023)","previouslyFormattedCitation":"[20]"},"properties":{"noteIndex":0},"schema":"https://github.com/citation-style-language/schema/raw/master/csl-citation.json"}</w:instrText>
      </w:r>
      <w:r w:rsidRPr="00776130">
        <w:rPr>
          <w:sz w:val="22"/>
          <w:szCs w:val="22"/>
          <w:lang w:val="en-IN"/>
        </w:rPr>
        <w:fldChar w:fldCharType="separate"/>
      </w:r>
      <w:r w:rsidRPr="00776130">
        <w:rPr>
          <w:noProof/>
          <w:sz w:val="22"/>
          <w:szCs w:val="22"/>
          <w:lang w:val="en-IN"/>
        </w:rPr>
        <w:t>(Calloquispe-Huallpa et al., 2023)</w:t>
      </w:r>
      <w:r w:rsidRPr="00776130">
        <w:rPr>
          <w:sz w:val="22"/>
          <w:szCs w:val="22"/>
          <w:lang w:val="en-IN"/>
        </w:rPr>
        <w:fldChar w:fldCharType="end"/>
      </w:r>
      <m:oMath>
        <m:r>
          <w:rPr>
            <w:rFonts w:ascii="Cambria Math" w:hAnsi="Cambria Math"/>
            <w:sz w:val="22"/>
            <w:szCs w:val="22"/>
          </w:rPr>
          <m:t xml:space="preserve">. </m:t>
        </m:r>
      </m:oMath>
    </w:p>
    <w:p w14:paraId="08D82583" w14:textId="6B9FFDF5" w:rsidR="00776130" w:rsidRPr="00FF6D90" w:rsidRDefault="00776130" w:rsidP="00776130">
      <w:pPr>
        <w:pStyle w:val="Tekstpodstawowy"/>
        <w:tabs>
          <w:tab w:val="right" w:pos="9638"/>
        </w:tabs>
        <w:spacing w:before="120" w:after="120"/>
        <w:ind w:left="4253"/>
        <w:rPr>
          <w:kern w:val="2"/>
          <w:sz w:val="22"/>
          <w:szCs w:val="22"/>
          <w14:ligatures w14:val="standardContextual"/>
        </w:rPr>
      </w:pPr>
      <m:oMath>
        <m:r>
          <w:rPr>
            <w:rFonts w:ascii="Cambria Math" w:hAnsi="Cambria Math"/>
            <w:kern w:val="2"/>
            <w:sz w:val="22"/>
            <w:szCs w:val="22"/>
            <w14:ligatures w14:val="standardContextual"/>
          </w:rPr>
          <m:t>P</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i</m:t>
        </m:r>
        <m:r>
          <m:rPr>
            <m:sty m:val="p"/>
          </m:rPr>
          <w:rPr>
            <w:rFonts w:ascii="Cambria Math" w:hAnsi="Cambria Math"/>
            <w:kern w:val="2"/>
            <w:sz w:val="22"/>
            <w:szCs w:val="22"/>
            <w14:ligatures w14:val="standardContextual"/>
          </w:rPr>
          <m:t>)=</m:t>
        </m:r>
        <m:f>
          <m:fPr>
            <m:ctrlPr>
              <w:rPr>
                <w:rFonts w:ascii="Cambria Math" w:hAnsi="Cambria Math"/>
                <w:kern w:val="2"/>
                <w:sz w:val="22"/>
                <w:szCs w:val="22"/>
                <w14:ligatures w14:val="standardContextual"/>
              </w:rPr>
            </m:ctrlPr>
          </m:fPr>
          <m:num>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f</m:t>
                </m:r>
              </m:e>
              <m:sub>
                <m:r>
                  <w:rPr>
                    <w:rFonts w:ascii="Cambria Math" w:hAnsi="Cambria Math"/>
                    <w:kern w:val="2"/>
                    <w:sz w:val="22"/>
                    <w:szCs w:val="22"/>
                    <w14:ligatures w14:val="standardContextual"/>
                  </w:rPr>
                  <m:t>i</m:t>
                </m:r>
              </m:sub>
            </m:sSub>
          </m:num>
          <m:den>
            <m:nary>
              <m:naryPr>
                <m:chr m:val="∑"/>
                <m:limLoc m:val="undOvr"/>
                <m:ctrlPr>
                  <w:rPr>
                    <w:rFonts w:ascii="Cambria Math" w:hAnsi="Cambria Math"/>
                    <w:kern w:val="2"/>
                    <w:sz w:val="22"/>
                    <w:szCs w:val="22"/>
                    <w14:ligatures w14:val="standardContextual"/>
                  </w:rPr>
                </m:ctrlPr>
              </m:naryPr>
              <m:sub>
                <m:r>
                  <w:rPr>
                    <w:rFonts w:ascii="Cambria Math" w:hAnsi="Cambria Math"/>
                    <w:kern w:val="2"/>
                    <w:sz w:val="22"/>
                    <w:szCs w:val="22"/>
                    <w14:ligatures w14:val="standardContextual"/>
                  </w:rPr>
                  <m:t>j</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b>
              <m:sup>
                <m:r>
                  <w:rPr>
                    <w:rFonts w:ascii="Cambria Math" w:hAnsi="Cambria Math"/>
                    <w:kern w:val="2"/>
                    <w:sz w:val="22"/>
                    <w:szCs w:val="22"/>
                    <w14:ligatures w14:val="standardContextual"/>
                  </w:rPr>
                  <m:t>N</m:t>
                </m:r>
              </m:sup>
              <m:e>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f</m:t>
                    </m:r>
                  </m:e>
                  <m:sub>
                    <m:r>
                      <w:rPr>
                        <w:rFonts w:ascii="Cambria Math" w:hAnsi="Cambria Math"/>
                        <w:kern w:val="2"/>
                        <w:sz w:val="22"/>
                        <w:szCs w:val="22"/>
                        <w14:ligatures w14:val="standardContextual"/>
                      </w:rPr>
                      <m:t>j</m:t>
                    </m:r>
                  </m:sub>
                </m:sSub>
              </m:e>
            </m:nary>
          </m:den>
        </m:f>
      </m:oMath>
      <w:r>
        <w:rPr>
          <w:kern w:val="2"/>
          <w:sz w:val="22"/>
          <w:szCs w:val="22"/>
          <w14:ligatures w14:val="standardContextual"/>
        </w:rPr>
        <w:tab/>
        <w:t>(10)</w:t>
      </w:r>
    </w:p>
    <w:p w14:paraId="61E5722F" w14:textId="1837952B" w:rsidR="00776130" w:rsidRPr="00776130" w:rsidRDefault="00776130" w:rsidP="00776130">
      <w:pPr>
        <w:pStyle w:val="Tekstpodstawowy"/>
        <w:ind w:firstLine="284"/>
        <w:rPr>
          <w:kern w:val="2"/>
          <w:sz w:val="22"/>
          <w:szCs w:val="22"/>
          <w:lang w:val="en-IN"/>
          <w14:ligatures w14:val="standardContextual"/>
        </w:rPr>
      </w:pPr>
      <w:r w:rsidRPr="00776130">
        <w:rPr>
          <w:kern w:val="2"/>
          <w:sz w:val="22"/>
          <w:szCs w:val="22"/>
          <w:lang w:val="en-IN"/>
          <w14:ligatures w14:val="standardContextual"/>
        </w:rPr>
        <w:t xml:space="preserve">Crossover between parent solutions </w:t>
      </w:r>
      <m:oMath>
        <m:r>
          <w:rPr>
            <w:rFonts w:ascii="Cambria Math" w:hAnsi="Cambria Math"/>
            <w:kern w:val="2"/>
            <w:sz w:val="22"/>
            <w:szCs w:val="22"/>
            <w:lang w:val="en-IN"/>
            <w14:ligatures w14:val="standardContextual"/>
          </w:rPr>
          <m:t>A</m:t>
        </m:r>
      </m:oMath>
      <w:r w:rsidRPr="00776130">
        <w:rPr>
          <w:kern w:val="2"/>
          <w:sz w:val="22"/>
          <w:szCs w:val="22"/>
          <w:lang w:val="en-IN"/>
          <w14:ligatures w14:val="standardContextual"/>
        </w:rPr>
        <w:t xml:space="preserve">and </w:t>
      </w:r>
      <m:oMath>
        <m:r>
          <w:rPr>
            <w:rFonts w:ascii="Cambria Math" w:hAnsi="Cambria Math"/>
            <w:kern w:val="2"/>
            <w:sz w:val="22"/>
            <w:szCs w:val="22"/>
            <w:lang w:val="en-IN"/>
            <w14:ligatures w14:val="standardContextual"/>
          </w:rPr>
          <m:t>B</m:t>
        </m:r>
      </m:oMath>
      <w:r w:rsidRPr="00776130">
        <w:rPr>
          <w:kern w:val="2"/>
          <w:sz w:val="22"/>
          <w:szCs w:val="22"/>
          <w:lang w:val="en-IN"/>
          <w14:ligatures w14:val="standardContextual"/>
        </w:rPr>
        <w:t>generates an offspring using Equation 11</w:t>
      </w:r>
    </w:p>
    <w:p w14:paraId="3A5A5894" w14:textId="7D06B92F" w:rsidR="00776130" w:rsidRPr="00FF6D90" w:rsidRDefault="00776130" w:rsidP="00776130">
      <w:pPr>
        <w:pStyle w:val="Tekstpodstawowy"/>
        <w:tabs>
          <w:tab w:val="right" w:pos="9638"/>
        </w:tabs>
        <w:spacing w:before="120" w:after="120"/>
        <w:ind w:left="3544"/>
        <w:rPr>
          <w:kern w:val="2"/>
          <w:sz w:val="22"/>
          <w:szCs w:val="22"/>
          <w14:ligatures w14:val="standardContextual"/>
        </w:rPr>
      </w:pPr>
      <m:oMath>
        <m:r>
          <m:rPr>
            <m:nor/>
          </m:rPr>
          <w:rPr>
            <w:kern w:val="2"/>
            <w:sz w:val="22"/>
            <w:szCs w:val="22"/>
            <w14:ligatures w14:val="standardContextual"/>
          </w:rPr>
          <m:t>Offspring</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αA</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α</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B</m:t>
        </m:r>
      </m:oMath>
      <w:r>
        <w:rPr>
          <w:kern w:val="2"/>
          <w:sz w:val="22"/>
          <w:szCs w:val="22"/>
          <w14:ligatures w14:val="standardContextual"/>
        </w:rPr>
        <w:tab/>
        <w:t>(11)</w:t>
      </w:r>
    </w:p>
    <w:p w14:paraId="5710A07F" w14:textId="77777777" w:rsidR="00776130" w:rsidRPr="00776130" w:rsidRDefault="00776130" w:rsidP="00776130">
      <w:pPr>
        <w:pStyle w:val="Tekstpodstawowy"/>
        <w:ind w:firstLine="284"/>
        <w:rPr>
          <w:kern w:val="2"/>
          <w:sz w:val="22"/>
          <w:szCs w:val="22"/>
          <w14:ligatures w14:val="standardContextual"/>
        </w:rPr>
      </w:pPr>
      <w:r w:rsidRPr="00776130">
        <w:rPr>
          <w:kern w:val="2"/>
          <w:sz w:val="22"/>
          <w:szCs w:val="22"/>
          <w14:ligatures w14:val="standardContextual"/>
        </w:rPr>
        <w:t>Mutation introduces random variation given by Equation 12 as</w:t>
      </w:r>
    </w:p>
    <w:p w14:paraId="33EA0054" w14:textId="4DECE4CF" w:rsidR="00776130" w:rsidRPr="00FF6D90" w:rsidRDefault="00000000" w:rsidP="00776130">
      <w:pPr>
        <w:pStyle w:val="Tekstpodstawowy"/>
        <w:tabs>
          <w:tab w:val="right" w:pos="9638"/>
        </w:tabs>
        <w:spacing w:before="120" w:after="120"/>
        <w:ind w:left="3969"/>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x</m:t>
            </m:r>
          </m:e>
          <m:sub>
            <m:sSup>
              <m:sSupPr>
                <m:ctrlPr>
                  <w:rPr>
                    <w:rFonts w:ascii="Cambria Math" w:hAnsi="Cambria Math"/>
                    <w:kern w:val="2"/>
                    <w:sz w:val="22"/>
                    <w:szCs w:val="22"/>
                    <w14:ligatures w14:val="standardContextual"/>
                  </w:rPr>
                </m:ctrlPr>
              </m:sSupPr>
              <m:e>
                <m:r>
                  <w:rPr>
                    <w:rFonts w:ascii="Cambria Math" w:hAnsi="Cambria Math"/>
                    <w:kern w:val="2"/>
                    <w:sz w:val="22"/>
                    <w:szCs w:val="22"/>
                    <w14:ligatures w14:val="standardContextual"/>
                  </w:rPr>
                  <m:t>i</m:t>
                </m:r>
              </m:e>
              <m:sup>
                <m:r>
                  <m:rPr>
                    <m:sty m:val="p"/>
                  </m:rPr>
                  <w:rPr>
                    <w:rFonts w:ascii="Cambria Math" w:hAnsi="Cambria Math"/>
                    <w:kern w:val="2"/>
                    <w:sz w:val="22"/>
                    <w:szCs w:val="22"/>
                    <w14:ligatures w14:val="standardContextual"/>
                  </w:rPr>
                  <m:t>'</m:t>
                </m:r>
              </m:sup>
            </m:sSup>
          </m:sub>
        </m:sSub>
        <m:r>
          <m:rPr>
            <m:sty m:val="p"/>
          </m:rPr>
          <w:rPr>
            <w:rFonts w:ascii="Cambria Math" w:hAnsi="Cambria Math"/>
            <w:kern w:val="2"/>
            <w:sz w:val="22"/>
            <w:szCs w:val="22"/>
            <w14:ligatures w14:val="standardContextual"/>
          </w:rPr>
          <m:t>=</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x</m:t>
            </m:r>
          </m:e>
          <m:sub>
            <m:r>
              <w:rPr>
                <w:rFonts w:ascii="Cambria Math" w:hAnsi="Cambria Math"/>
                <w:kern w:val="2"/>
                <w:sz w:val="22"/>
                <w:szCs w:val="22"/>
                <w14:ligatures w14:val="standardContextual"/>
              </w:rPr>
              <m:t>i</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σ N</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0</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r>
          <m:rPr>
            <m:sty m:val="p"/>
          </m:rPr>
          <w:rPr>
            <w:rFonts w:ascii="Cambria Math" w:hAnsi="Cambria Math"/>
            <w:kern w:val="2"/>
            <w:sz w:val="22"/>
            <w:szCs w:val="22"/>
            <w14:ligatures w14:val="standardContextual"/>
          </w:rPr>
          <m:t>)</m:t>
        </m:r>
      </m:oMath>
      <w:r w:rsidR="00776130">
        <w:rPr>
          <w:kern w:val="2"/>
          <w:sz w:val="22"/>
          <w:szCs w:val="22"/>
          <w14:ligatures w14:val="standardContextual"/>
        </w:rPr>
        <w:tab/>
        <w:t>(12)</w:t>
      </w:r>
    </w:p>
    <w:p w14:paraId="4328D310" w14:textId="70F077AC" w:rsidR="002B0DAB" w:rsidRPr="00FF6D90" w:rsidRDefault="002B0DAB" w:rsidP="004D29E9">
      <w:pPr>
        <w:pStyle w:val="MDPI31text"/>
        <w:spacing w:line="240" w:lineRule="auto"/>
        <w:ind w:left="0" w:firstLine="0"/>
        <w:rPr>
          <w:rFonts w:ascii="Times New Roman" w:hAnsi="Times New Roman"/>
          <w:color w:val="auto"/>
          <w:sz w:val="22"/>
        </w:rPr>
      </w:pPr>
      <w:r w:rsidRPr="00FF6D90">
        <w:rPr>
          <w:color w:val="auto"/>
        </w:rPr>
        <w:t xml:space="preserve">Where </w:t>
      </w:r>
      <m:oMath>
        <m:sSub>
          <m:sSubPr>
            <m:ctrlPr>
              <w:rPr>
                <w:rFonts w:ascii="Cambria Math" w:hAnsi="Cambria Math"/>
                <w:color w:val="auto"/>
                <w:sz w:val="24"/>
                <w:szCs w:val="24"/>
              </w:rPr>
            </m:ctrlPr>
          </m:sSubPr>
          <m:e>
            <m:r>
              <w:rPr>
                <w:rFonts w:ascii="Cambria Math" w:hAnsi="Cambria Math"/>
                <w:color w:val="auto"/>
              </w:rPr>
              <m:t>f</m:t>
            </m:r>
          </m:e>
          <m:sub>
            <m:r>
              <w:rPr>
                <w:rFonts w:ascii="Cambria Math" w:hAnsi="Cambria Math"/>
                <w:color w:val="auto"/>
              </w:rPr>
              <m:t>i</m:t>
            </m:r>
          </m:sub>
        </m:sSub>
      </m:oMath>
      <w:r w:rsidRPr="00FF6D90">
        <w:rPr>
          <w:color w:val="auto"/>
        </w:rPr>
        <w:t xml:space="preserve">determines selection probability, </w:t>
      </w:r>
      <m:oMath>
        <m:r>
          <w:rPr>
            <w:rFonts w:ascii="Cambria Math" w:hAnsi="Cambria Math"/>
            <w:color w:val="auto"/>
          </w:rPr>
          <m:t>α</m:t>
        </m:r>
      </m:oMath>
      <w:r w:rsidRPr="00FF6D90">
        <w:rPr>
          <w:color w:val="auto"/>
        </w:rPr>
        <w:t xml:space="preserve">controls crossover, and </w:t>
      </w:r>
      <m:oMath>
        <m:r>
          <w:rPr>
            <w:rFonts w:ascii="Cambria Math" w:hAnsi="Cambria Math"/>
            <w:color w:val="auto"/>
          </w:rPr>
          <m:t>σN(0,1)</m:t>
        </m:r>
      </m:oMath>
      <w:r w:rsidRPr="00FF6D90">
        <w:rPr>
          <w:color w:val="auto"/>
        </w:rPr>
        <w:t>defines mutation.</w:t>
      </w:r>
    </w:p>
    <w:p w14:paraId="3299569D" w14:textId="77777777" w:rsidR="00D20231" w:rsidRDefault="00D20231">
      <w:pPr>
        <w:spacing w:after="0" w:line="240" w:lineRule="auto"/>
        <w:rPr>
          <w:rFonts w:ascii="Times New Roman" w:eastAsiaTheme="minorHAnsi" w:hAnsi="Times New Roman" w:cstheme="minorBidi"/>
          <w:b/>
          <w:kern w:val="2"/>
          <w:lang w:val="en-US"/>
          <w14:ligatures w14:val="standardContextual"/>
        </w:rPr>
      </w:pPr>
      <w:r>
        <w:rPr>
          <w:lang w:val="en-US"/>
        </w:rPr>
        <w:br w:type="page"/>
      </w:r>
    </w:p>
    <w:p w14:paraId="72880542" w14:textId="077F1D72" w:rsidR="002B0DAB" w:rsidRPr="00373A5F" w:rsidRDefault="00776130" w:rsidP="00776130">
      <w:pPr>
        <w:pStyle w:val="Rn2"/>
        <w:rPr>
          <w:lang w:val="en-US"/>
        </w:rPr>
      </w:pPr>
      <w:r w:rsidRPr="00373A5F">
        <w:rPr>
          <w:lang w:val="en-US"/>
        </w:rPr>
        <w:lastRenderedPageBreak/>
        <w:t xml:space="preserve">4.3. </w:t>
      </w:r>
      <w:r w:rsidR="002B0DAB" w:rsidRPr="00373A5F">
        <w:rPr>
          <w:lang w:val="en-US"/>
        </w:rPr>
        <w:t>Simulated Annealing (SA)</w:t>
      </w:r>
    </w:p>
    <w:p w14:paraId="0237293E" w14:textId="3D6BEE06" w:rsidR="002B0DAB" w:rsidRPr="00FF6D90" w:rsidRDefault="002B0DAB" w:rsidP="00776130">
      <w:pPr>
        <w:pStyle w:val="Tekstpodstawowy"/>
        <w:ind w:firstLine="284"/>
        <w:jc w:val="both"/>
        <w:rPr>
          <w:sz w:val="22"/>
          <w:szCs w:val="22"/>
          <w:lang w:val="en-IN"/>
        </w:rPr>
      </w:pPr>
      <w:r w:rsidRPr="00FF6D90">
        <w:rPr>
          <w:sz w:val="22"/>
          <w:szCs w:val="22"/>
          <w:lang w:val="en-IN"/>
        </w:rPr>
        <w:t>Simulated Annealing is a single-solution probabilistic optimization method inspired by the thermodynamic an</w:t>
      </w:r>
      <w:r w:rsidRPr="00776130">
        <w:rPr>
          <w:sz w:val="22"/>
          <w:szCs w:val="22"/>
          <w:lang w:val="en-IN"/>
        </w:rPr>
        <w:t xml:space="preserve">nealing of metals. At each iteration, SA perturbs the current solution to generate a </w:t>
      </w:r>
      <w:proofErr w:type="spellStart"/>
      <w:r w:rsidRPr="00776130">
        <w:rPr>
          <w:sz w:val="22"/>
          <w:szCs w:val="22"/>
          <w:lang w:val="en-IN"/>
        </w:rPr>
        <w:t>neighboring</w:t>
      </w:r>
      <w:proofErr w:type="spellEnd"/>
      <w:r w:rsidRPr="00776130">
        <w:rPr>
          <w:sz w:val="22"/>
          <w:szCs w:val="22"/>
          <w:lang w:val="en-IN"/>
        </w:rPr>
        <w:t xml:space="preserve"> solution. If</w:t>
      </w:r>
      <w:r w:rsidR="00C73EBE">
        <w:rPr>
          <w:sz w:val="22"/>
          <w:szCs w:val="22"/>
          <w:lang w:val="en-IN"/>
        </w:rPr>
        <w:t> </w:t>
      </w:r>
      <w:r w:rsidRPr="00776130">
        <w:rPr>
          <w:sz w:val="22"/>
          <w:szCs w:val="22"/>
          <w:lang w:val="en-IN"/>
        </w:rPr>
        <w:t xml:space="preserve">the new solution improves the objective function, it is accepted. If not, it may still be accepted with the probability expressed by Equation 13 </w:t>
      </w:r>
      <w:r w:rsidRPr="00776130">
        <w:rPr>
          <w:sz w:val="22"/>
          <w:szCs w:val="22"/>
          <w:lang w:val="en-IN"/>
        </w:rPr>
        <w:fldChar w:fldCharType="begin" w:fldLock="1"/>
      </w:r>
      <w:r w:rsidRPr="00776130">
        <w:rPr>
          <w:sz w:val="22"/>
          <w:szCs w:val="22"/>
          <w:lang w:val="en-IN"/>
        </w:rPr>
        <w:instrText>ADDIN CSL_CITATION {"citationItems":[{"id":"ITEM-1","itemData":{"DOI":"10.1109/JSYST.2020.3021379","author":[{"dropping-particle":"","family":"Lyden","given":"S","non-dropping-particle":"","parse-names":false,"suffix":""},{"dropping-particle":"","family":"Galligan","given":"Harry","non-dropping-particle":"","parse-names":false,"suffix":""},{"dropping-particle":"","family":"Haque","given":"Enamul","non-dropping-particle":"","parse-names":false,"suffix":""}],"container-title":"IEEE Systems Journal","id":"ITEM-1","issue":"3","issued":{"date-parts":[["2021"]]},"page":"4325-4333","publisher":"Institute of Electrical and Electronics Engineers (IEEE)","title":"A Hybrid Simulated Annealing and Perturb and Observe Maximum Power Point Tracking Method","type":"article-journal","volume":"15"},"uris":["http://www.mendeley.com/documents/?uuid=a6f85ab9-0026-4ebd-8911-c2d6f3bf8ad5"]}],"mendeley":{"formattedCitation":"(Lyden et al., 2021)","plainTextFormattedCitation":"(Lyden et al., 2021)","previouslyFormattedCitation":"[25]"},"properties":{"noteIndex":0},"schema":"https://github.com/citation-style-language/schema/raw/master/csl-citation.json"}</w:instrText>
      </w:r>
      <w:r w:rsidRPr="00776130">
        <w:rPr>
          <w:sz w:val="22"/>
          <w:szCs w:val="22"/>
          <w:lang w:val="en-IN"/>
        </w:rPr>
        <w:fldChar w:fldCharType="separate"/>
      </w:r>
      <w:r w:rsidRPr="00776130">
        <w:rPr>
          <w:noProof/>
          <w:sz w:val="22"/>
          <w:szCs w:val="22"/>
          <w:lang w:val="en-IN"/>
        </w:rPr>
        <w:t>(Lyden et al., 2021)</w:t>
      </w:r>
      <w:r w:rsidRPr="00776130">
        <w:rPr>
          <w:sz w:val="22"/>
          <w:szCs w:val="22"/>
          <w:lang w:val="en-IN"/>
        </w:rPr>
        <w:fldChar w:fldCharType="end"/>
      </w:r>
      <w:r w:rsidRPr="00FF6D90">
        <w:rPr>
          <w:sz w:val="22"/>
          <w:szCs w:val="22"/>
          <w:lang w:val="en-IN"/>
        </w:rPr>
        <w:t xml:space="preserve">. </w:t>
      </w:r>
    </w:p>
    <w:p w14:paraId="25D2DBE7" w14:textId="664EA340" w:rsidR="00776130" w:rsidRPr="00FF6D90" w:rsidRDefault="00000000" w:rsidP="00776130">
      <w:pPr>
        <w:pStyle w:val="Tekstpodstawowy"/>
        <w:tabs>
          <w:tab w:val="right" w:pos="9638"/>
        </w:tabs>
        <w:spacing w:before="120" w:after="120"/>
        <w:ind w:left="3827"/>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P</m:t>
            </m:r>
          </m:e>
          <m:sub>
            <m:r>
              <m:rPr>
                <m:nor/>
              </m:rPr>
              <w:rPr>
                <w:kern w:val="2"/>
                <w:sz w:val="22"/>
                <w:szCs w:val="22"/>
                <w14:ligatures w14:val="standardContextual"/>
              </w:rPr>
              <m:t>accept</m:t>
            </m:r>
          </m:sub>
        </m:sSub>
        <m:r>
          <m:rPr>
            <m:sty m:val="p"/>
          </m:rPr>
          <w:rPr>
            <w:rFonts w:ascii="Cambria Math" w:hAnsi="Cambria Math"/>
            <w:kern w:val="2"/>
            <w:sz w:val="22"/>
            <w:szCs w:val="22"/>
            <w14:ligatures w14:val="standardContextual"/>
          </w:rPr>
          <m:t>=exp</m:t>
        </m:r>
        <m:r>
          <w:rPr>
            <w:rFonts w:ascii="Cambria Math" w:hAnsi="Cambria Math"/>
            <w:kern w:val="2"/>
            <w:sz w:val="22"/>
            <w:szCs w:val="22"/>
            <w14:ligatures w14:val="standardContextual"/>
          </w:rPr>
          <m:t>​</m:t>
        </m:r>
        <m:d>
          <m:dPr>
            <m:ctrlPr>
              <w:rPr>
                <w:rFonts w:ascii="Cambria Math" w:hAnsi="Cambria Math"/>
                <w:kern w:val="2"/>
                <w:sz w:val="22"/>
                <w:szCs w:val="22"/>
                <w14:ligatures w14:val="standardContextual"/>
              </w:rPr>
            </m:ctrlPr>
          </m:dPr>
          <m:e>
            <m:r>
              <m:rPr>
                <m:sty m:val="p"/>
              </m:rPr>
              <w:rPr>
                <w:rFonts w:ascii="Cambria Math" w:hAnsi="Cambria Math"/>
                <w:kern w:val="2"/>
                <w:sz w:val="22"/>
                <w:szCs w:val="22"/>
                <w14:ligatures w14:val="standardContextual"/>
              </w:rPr>
              <m:t>-</m:t>
            </m:r>
            <m:f>
              <m:fPr>
                <m:ctrlPr>
                  <w:rPr>
                    <w:rFonts w:ascii="Cambria Math" w:hAnsi="Cambria Math"/>
                    <w:kern w:val="2"/>
                    <w:sz w:val="22"/>
                    <w:szCs w:val="22"/>
                    <w14:ligatures w14:val="standardContextual"/>
                  </w:rPr>
                </m:ctrlPr>
              </m:fPr>
              <m:num>
                <m:r>
                  <m:rPr>
                    <m:sty m:val="p"/>
                  </m:rPr>
                  <w:rPr>
                    <w:rFonts w:ascii="Cambria Math" w:hAnsi="Cambria Math"/>
                    <w:kern w:val="2"/>
                    <w:sz w:val="22"/>
                    <w:szCs w:val="22"/>
                    <w14:ligatures w14:val="standardContextual"/>
                  </w:rPr>
                  <m:t>Δ</m:t>
                </m:r>
                <m:r>
                  <w:rPr>
                    <w:rFonts w:ascii="Cambria Math" w:hAnsi="Cambria Math"/>
                    <w:kern w:val="2"/>
                    <w:sz w:val="22"/>
                    <w:szCs w:val="22"/>
                    <w14:ligatures w14:val="standardContextual"/>
                  </w:rPr>
                  <m:t>C</m:t>
                </m:r>
              </m:num>
              <m:den>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T</m:t>
                    </m:r>
                  </m:e>
                  <m:sub>
                    <m:r>
                      <w:rPr>
                        <w:rFonts w:ascii="Cambria Math" w:hAnsi="Cambria Math"/>
                        <w:kern w:val="2"/>
                        <w:sz w:val="22"/>
                        <w:szCs w:val="22"/>
                        <w14:ligatures w14:val="standardContextual"/>
                      </w:rPr>
                      <m:t>k</m:t>
                    </m:r>
                  </m:sub>
                </m:sSub>
              </m:den>
            </m:f>
          </m:e>
        </m:d>
      </m:oMath>
      <w:r w:rsidR="00776130">
        <w:rPr>
          <w:kern w:val="2"/>
          <w:sz w:val="22"/>
          <w:szCs w:val="22"/>
          <w14:ligatures w14:val="standardContextual"/>
        </w:rPr>
        <w:tab/>
        <w:t>(13)</w:t>
      </w:r>
    </w:p>
    <w:p w14:paraId="46837DDC" w14:textId="77777777" w:rsidR="00776130" w:rsidRPr="00776130" w:rsidRDefault="00776130" w:rsidP="00776130">
      <w:pPr>
        <w:pStyle w:val="Tekstpodstawowy"/>
        <w:ind w:firstLine="284"/>
        <w:rPr>
          <w:kern w:val="2"/>
          <w:sz w:val="22"/>
          <w:szCs w:val="22"/>
          <w:lang w:val="en-IN"/>
          <w14:ligatures w14:val="standardContextual"/>
        </w:rPr>
      </w:pPr>
      <w:r w:rsidRPr="00776130">
        <w:rPr>
          <w:kern w:val="2"/>
          <w:sz w:val="22"/>
          <w:szCs w:val="22"/>
          <w:lang w:val="en-IN"/>
          <w14:ligatures w14:val="standardContextual"/>
        </w:rPr>
        <w:t>The temperature is gradually reduced according to Equation 14</w:t>
      </w:r>
    </w:p>
    <w:p w14:paraId="7D1008DA" w14:textId="693AD739" w:rsidR="00776130" w:rsidRPr="00FF6D90" w:rsidRDefault="00000000" w:rsidP="00776130">
      <w:pPr>
        <w:pStyle w:val="Tekstpodstawowy"/>
        <w:tabs>
          <w:tab w:val="right" w:pos="9638"/>
        </w:tabs>
        <w:spacing w:before="120" w:after="120"/>
        <w:ind w:left="4394"/>
        <w:rPr>
          <w:kern w:val="2"/>
          <w:sz w:val="22"/>
          <w:szCs w:val="22"/>
          <w14:ligatures w14:val="standardContextual"/>
        </w:rPr>
      </w:pPr>
      <m:oMath>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T</m:t>
            </m:r>
          </m:e>
          <m:sub>
            <m:r>
              <w:rPr>
                <w:rFonts w:ascii="Cambria Math" w:hAnsi="Cambria Math"/>
                <w:kern w:val="2"/>
                <w:sz w:val="22"/>
                <w:szCs w:val="22"/>
                <w14:ligatures w14:val="standardContextual"/>
              </w:rPr>
              <m:t>k</m:t>
            </m:r>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1</m:t>
            </m:r>
          </m:sub>
        </m:sSub>
        <m:r>
          <m:rPr>
            <m:sty m:val="p"/>
          </m:rPr>
          <w:rPr>
            <w:rFonts w:ascii="Cambria Math" w:hAnsi="Cambria Math"/>
            <w:kern w:val="2"/>
            <w:sz w:val="22"/>
            <w:szCs w:val="22"/>
            <w14:ligatures w14:val="standardContextual"/>
          </w:rPr>
          <m:t>=</m:t>
        </m:r>
        <m:r>
          <w:rPr>
            <w:rFonts w:ascii="Cambria Math" w:hAnsi="Cambria Math"/>
            <w:kern w:val="2"/>
            <w:sz w:val="22"/>
            <w:szCs w:val="22"/>
            <w14:ligatures w14:val="standardContextual"/>
          </w:rPr>
          <m:t>α</m:t>
        </m:r>
        <m:sSub>
          <m:sSubPr>
            <m:ctrlPr>
              <w:rPr>
                <w:rFonts w:ascii="Cambria Math" w:hAnsi="Cambria Math"/>
                <w:kern w:val="2"/>
                <w:sz w:val="22"/>
                <w:szCs w:val="22"/>
                <w14:ligatures w14:val="standardContextual"/>
              </w:rPr>
            </m:ctrlPr>
          </m:sSubPr>
          <m:e>
            <m:r>
              <w:rPr>
                <w:rFonts w:ascii="Cambria Math" w:hAnsi="Cambria Math"/>
                <w:kern w:val="2"/>
                <w:sz w:val="22"/>
                <w:szCs w:val="22"/>
                <w14:ligatures w14:val="standardContextual"/>
              </w:rPr>
              <m:t>T</m:t>
            </m:r>
          </m:e>
          <m:sub>
            <m:r>
              <w:rPr>
                <w:rFonts w:ascii="Cambria Math" w:hAnsi="Cambria Math"/>
                <w:kern w:val="2"/>
                <w:sz w:val="22"/>
                <w:szCs w:val="22"/>
                <w14:ligatures w14:val="standardContextual"/>
              </w:rPr>
              <m:t>k</m:t>
            </m:r>
          </m:sub>
        </m:sSub>
      </m:oMath>
      <w:r w:rsidR="00776130">
        <w:rPr>
          <w:kern w:val="2"/>
          <w:sz w:val="22"/>
          <w:szCs w:val="22"/>
          <w14:ligatures w14:val="standardContextual"/>
        </w:rPr>
        <w:tab/>
        <w:t>(14)</w:t>
      </w:r>
    </w:p>
    <w:p w14:paraId="6EBB786E" w14:textId="77777777" w:rsidR="002B0DAB" w:rsidRPr="00FF6D90" w:rsidRDefault="002B0DAB" w:rsidP="004D29E9">
      <w:pPr>
        <w:pStyle w:val="Tekstpodstawowy"/>
        <w:jc w:val="both"/>
        <w:rPr>
          <w:sz w:val="22"/>
          <w:szCs w:val="22"/>
          <w:lang w:val="en-IN"/>
        </w:rPr>
      </w:pPr>
      <w:r w:rsidRPr="00FF6D90">
        <w:rPr>
          <w:sz w:val="22"/>
          <w:szCs w:val="22"/>
          <w:lang w:val="en-IN"/>
        </w:rPr>
        <w:t xml:space="preserve">where the parameters </w:t>
      </w:r>
      <m:oMath>
        <m:r>
          <m:rPr>
            <m:sty m:val="p"/>
          </m:rPr>
          <w:rPr>
            <w:rFonts w:ascii="Cambria Math" w:hAnsi="Cambria Math"/>
            <w:sz w:val="22"/>
            <w:szCs w:val="22"/>
            <w:lang w:val="en-IN"/>
          </w:rPr>
          <m:t>Δ</m:t>
        </m:r>
        <m:r>
          <w:rPr>
            <w:rFonts w:ascii="Cambria Math" w:hAnsi="Cambria Math"/>
            <w:sz w:val="22"/>
            <w:szCs w:val="22"/>
            <w:lang w:val="en-IN"/>
          </w:rPr>
          <m:t>C</m:t>
        </m:r>
      </m:oMath>
      <w:r w:rsidRPr="00FF6D90">
        <w:rPr>
          <w:sz w:val="22"/>
          <w:szCs w:val="22"/>
          <w:lang w:val="en-IN"/>
        </w:rPr>
        <w:t xml:space="preserve">, </w:t>
      </w:r>
      <m:oMath>
        <m:sSub>
          <m:sSubPr>
            <m:ctrlPr>
              <w:rPr>
                <w:rFonts w:ascii="Cambria Math" w:hAnsi="Cambria Math"/>
                <w:sz w:val="22"/>
                <w:szCs w:val="22"/>
                <w:lang w:val="en-IN"/>
              </w:rPr>
            </m:ctrlPr>
          </m:sSubPr>
          <m:e>
            <m:r>
              <w:rPr>
                <w:rFonts w:ascii="Cambria Math" w:hAnsi="Cambria Math"/>
                <w:sz w:val="22"/>
                <w:szCs w:val="22"/>
                <w:lang w:val="en-IN"/>
              </w:rPr>
              <m:t>T</m:t>
            </m:r>
          </m:e>
          <m:sub>
            <m:r>
              <w:rPr>
                <w:rFonts w:ascii="Cambria Math" w:hAnsi="Cambria Math"/>
                <w:sz w:val="22"/>
                <w:szCs w:val="22"/>
                <w:lang w:val="en-IN"/>
              </w:rPr>
              <m:t>k</m:t>
            </m:r>
          </m:sub>
        </m:sSub>
      </m:oMath>
      <w:r w:rsidRPr="00FF6D90">
        <w:rPr>
          <w:sz w:val="22"/>
          <w:szCs w:val="22"/>
          <w:lang w:val="en-IN"/>
        </w:rPr>
        <w:t xml:space="preserve">, and </w:t>
      </w:r>
      <m:oMath>
        <m:r>
          <w:rPr>
            <w:rFonts w:ascii="Cambria Math" w:hAnsi="Cambria Math"/>
            <w:sz w:val="22"/>
            <w:szCs w:val="22"/>
            <w:lang w:val="en-IN"/>
          </w:rPr>
          <m:t>α</m:t>
        </m:r>
      </m:oMath>
      <w:r w:rsidRPr="00FF6D90">
        <w:rPr>
          <w:sz w:val="22"/>
          <w:szCs w:val="22"/>
          <w:lang w:val="en-IN"/>
        </w:rPr>
        <w:t>represent cost difference, temperature, and cooling coefficient, respectively.</w:t>
      </w:r>
    </w:p>
    <w:p w14:paraId="3BFDFDE1" w14:textId="25D2A505" w:rsidR="00F443FD" w:rsidRPr="00373A5F" w:rsidRDefault="00776130" w:rsidP="00776130">
      <w:pPr>
        <w:pStyle w:val="Rn1"/>
        <w:rPr>
          <w:lang w:val="en-US"/>
        </w:rPr>
      </w:pPr>
      <w:r w:rsidRPr="00373A5F">
        <w:rPr>
          <w:lang w:val="en-US"/>
        </w:rPr>
        <w:t xml:space="preserve">5. </w:t>
      </w:r>
      <w:r w:rsidR="00FE697D" w:rsidRPr="00373A5F">
        <w:rPr>
          <w:lang w:val="en-US"/>
        </w:rPr>
        <w:t>Simulation Setup</w:t>
      </w:r>
    </w:p>
    <w:p w14:paraId="4E3BD0B2" w14:textId="7E958C8C" w:rsidR="00FE697D" w:rsidRPr="00776130" w:rsidRDefault="00FE697D" w:rsidP="00776130">
      <w:pPr>
        <w:widowControl w:val="0"/>
        <w:autoSpaceDE w:val="0"/>
        <w:autoSpaceDN w:val="0"/>
        <w:spacing w:after="0" w:line="240" w:lineRule="auto"/>
        <w:ind w:firstLine="284"/>
        <w:jc w:val="both"/>
        <w:rPr>
          <w:rFonts w:ascii="Times New Roman" w:eastAsia="Times New Roman" w:hAnsi="Times New Roman"/>
        </w:rPr>
      </w:pPr>
      <w:r w:rsidRPr="00776130">
        <w:rPr>
          <w:rFonts w:ascii="Times New Roman" w:eastAsia="Times New Roman" w:hAnsi="Times New Roman"/>
        </w:rPr>
        <w:t>A time-series simulation in MATLAB/Simulink was used to test the operation</w:t>
      </w:r>
      <w:r w:rsidR="00A93615">
        <w:rPr>
          <w:rFonts w:ascii="Times New Roman" w:eastAsia="Times New Roman" w:hAnsi="Times New Roman"/>
        </w:rPr>
        <w:t>al performance of the proposed hybrid microgrid over a 24-h horizon, with a 1-min time resolution (1440 intervals)</w:t>
      </w:r>
      <w:r w:rsidRPr="00776130">
        <w:rPr>
          <w:rFonts w:ascii="Times New Roman" w:eastAsia="Times New Roman" w:hAnsi="Times New Roman"/>
        </w:rPr>
        <w:t xml:space="preserve">. It is such granularity that allows the variability of the solar irradiance, wind velocity, load demand, and battery state-of-charge (SOC) to be accurately modelled, and the behaviour of microgrids under climatic and consumption patterns reasonably representative of urban India. The hybrid microgrid was a combination of </w:t>
      </w:r>
      <w:r w:rsidR="00A93615">
        <w:rPr>
          <w:rFonts w:ascii="Times New Roman" w:eastAsia="Times New Roman" w:hAnsi="Times New Roman"/>
        </w:rPr>
        <w:t>a photovoltaic (PV) array, a wind turbine, a lithium-ion battery energy storage system (BESS), and a</w:t>
      </w:r>
      <w:r w:rsidRPr="00776130">
        <w:rPr>
          <w:rFonts w:ascii="Times New Roman" w:eastAsia="Times New Roman" w:hAnsi="Times New Roman"/>
        </w:rPr>
        <w:t xml:space="preserve"> grid interface under a controlled net-metering system </w:t>
      </w:r>
      <w:r w:rsidRPr="00776130">
        <w:rPr>
          <w:rFonts w:ascii="Times New Roman" w:eastAsia="Times New Roman" w:hAnsi="Times New Roman"/>
        </w:rPr>
        <w:fldChar w:fldCharType="begin" w:fldLock="1"/>
      </w:r>
      <w:r w:rsidRPr="00776130">
        <w:rPr>
          <w:rFonts w:ascii="Times New Roman" w:eastAsia="Times New Roman" w:hAnsi="Times New Roman"/>
        </w:rPr>
        <w:instrText>ADDIN CSL_CITATION {"citationItems":[{"id":"ITEM-1","itemData":{"author":[{"dropping-particle":"","family":"Vishwakarma","given":"Kamlesh Kumar","non-dropping-particle":"","parse-names":false,"suffix":""},{"dropping-particle":"","family":"Dubey","given":"Hari Mohan","non-dropping-particle":"","parse-names":false,"suffix":""}],"container-title":"International journal of engineering research and technology","id":"ITEM-1","issue":"3","issued":{"date-parts":[["2012"]]},"publisher":"ESRSA Publications","title":"Simulated Annealing Based Optimization for Solving Large Scale Economic Load Dispatch Problems","type":"article-journal","volume":"1"},"uris":["http://www.mendeley.com/documents/?uuid=d62252c1-2785-42da-b896-fd3328d53607"]}],"mendeley":{"formattedCitation":"(Vishwakarma &amp; Dubey, 2012)","plainTextFormattedCitation":"(Vishwakarma &amp; Dubey, 2012)","previouslyFormattedCitation":"[24]"},"properties":{"noteIndex":0},"schema":"https://github.com/citation-style-language/schema/raw/master/csl-citation.json"}</w:instrText>
      </w:r>
      <w:r w:rsidRPr="00776130">
        <w:rPr>
          <w:rFonts w:ascii="Times New Roman" w:eastAsia="Times New Roman" w:hAnsi="Times New Roman"/>
        </w:rPr>
        <w:fldChar w:fldCharType="separate"/>
      </w:r>
      <w:r w:rsidRPr="00776130">
        <w:rPr>
          <w:rFonts w:ascii="Times New Roman" w:eastAsia="Times New Roman" w:hAnsi="Times New Roman"/>
          <w:noProof/>
        </w:rPr>
        <w:t>(Vishwakarma &amp; Dubey, 2012)</w:t>
      </w:r>
      <w:r w:rsidRPr="00776130">
        <w:rPr>
          <w:rFonts w:ascii="Times New Roman" w:eastAsia="Times New Roman" w:hAnsi="Times New Roman"/>
        </w:rPr>
        <w:fldChar w:fldCharType="end"/>
      </w:r>
      <w:r w:rsidRPr="00776130">
        <w:rPr>
          <w:rFonts w:ascii="Times New Roman" w:eastAsia="Times New Roman" w:hAnsi="Times New Roman"/>
        </w:rPr>
        <w:t xml:space="preserve">. These components </w:t>
      </w:r>
      <w:r w:rsidR="00A93615">
        <w:rPr>
          <w:rFonts w:ascii="Times New Roman" w:eastAsia="Times New Roman" w:hAnsi="Times New Roman"/>
        </w:rPr>
        <w:t>serve a mixed-use load in Bhopal, Madhya Pradesh, comprising an estimated 500 households and commercial organisations,</w:t>
      </w:r>
      <w:r w:rsidRPr="00776130">
        <w:rPr>
          <w:rFonts w:ascii="Times New Roman" w:eastAsia="Times New Roman" w:hAnsi="Times New Roman"/>
        </w:rPr>
        <w:t xml:space="preserve"> with a peak load of 2.5 MW and daily energy use of 8.5 MWh. The solar capacity (Average Global Horizontal Irradiance [GHI]) of ≈ 5.2 kWh/m</w:t>
      </w:r>
      <w:r w:rsidRPr="00776130">
        <w:rPr>
          <w:rFonts w:ascii="Times New Roman" w:eastAsia="Times New Roman" w:hAnsi="Times New Roman"/>
          <w:vertAlign w:val="superscript"/>
        </w:rPr>
        <w:t>2</w:t>
      </w:r>
      <w:r w:rsidRPr="00776130">
        <w:rPr>
          <w:rFonts w:ascii="Times New Roman" w:eastAsia="Times New Roman" w:hAnsi="Times New Roman"/>
        </w:rPr>
        <w:t>/day, with a higher amount of 7 kWh/m</w:t>
      </w:r>
      <w:r w:rsidRPr="00776130">
        <w:rPr>
          <w:rFonts w:ascii="Times New Roman" w:eastAsia="Times New Roman" w:hAnsi="Times New Roman"/>
          <w:vertAlign w:val="superscript"/>
        </w:rPr>
        <w:t>2</w:t>
      </w:r>
      <w:r w:rsidRPr="00776130">
        <w:rPr>
          <w:rFonts w:ascii="Times New Roman" w:eastAsia="Times New Roman" w:hAnsi="Times New Roman"/>
        </w:rPr>
        <w:t>/day in the summer seasons) and wind power (2.8</w:t>
      </w:r>
      <w:r w:rsidR="00FA28CA">
        <w:rPr>
          <w:rFonts w:ascii="Times New Roman" w:eastAsia="Times New Roman" w:hAnsi="Times New Roman"/>
        </w:rPr>
        <w:t>–</w:t>
      </w:r>
      <w:r w:rsidRPr="00776130">
        <w:rPr>
          <w:rFonts w:ascii="Times New Roman" w:eastAsia="Times New Roman" w:hAnsi="Times New Roman"/>
        </w:rPr>
        <w:t xml:space="preserve">4.2 m/s annually) </w:t>
      </w:r>
      <w:r w:rsidR="00A93615">
        <w:rPr>
          <w:rFonts w:ascii="Times New Roman" w:eastAsia="Times New Roman" w:hAnsi="Times New Roman"/>
        </w:rPr>
        <w:t>at the site were incorporated into</w:t>
      </w:r>
      <w:r w:rsidRPr="00776130">
        <w:rPr>
          <w:rFonts w:ascii="Times New Roman" w:eastAsia="Times New Roman" w:hAnsi="Times New Roman"/>
        </w:rPr>
        <w:t xml:space="preserve"> the renewable production models.</w:t>
      </w:r>
      <w:r w:rsidR="00C56749" w:rsidRPr="00776130">
        <w:rPr>
          <w:rFonts w:ascii="Times New Roman" w:eastAsia="Times New Roman" w:hAnsi="Times New Roman"/>
        </w:rPr>
        <w:t xml:space="preserve"> The renewable energy datasets were derived from representative solar irradiance and wind speed data for the Bhopal region obtained from publicly available meteorological records</w:t>
      </w:r>
      <w:r w:rsidR="00A93615">
        <w:rPr>
          <w:rFonts w:ascii="Times New Roman" w:eastAsia="Times New Roman" w:hAnsi="Times New Roman"/>
        </w:rPr>
        <w:t>. At the same time,</w:t>
      </w:r>
      <w:r w:rsidR="00C56749" w:rsidRPr="00776130">
        <w:rPr>
          <w:rFonts w:ascii="Times New Roman" w:eastAsia="Times New Roman" w:hAnsi="Times New Roman"/>
        </w:rPr>
        <w:t xml:space="preserve"> the load profile represents a typical urban mixed-use demand. The optimization was performed over a 24-hour scheduling horizon using hourly input datasets, which were subsequently processed </w:t>
      </w:r>
      <w:r w:rsidR="00A93615">
        <w:rPr>
          <w:rFonts w:ascii="Times New Roman" w:eastAsia="Times New Roman" w:hAnsi="Times New Roman"/>
        </w:rPr>
        <w:t>in MATLAB/Simulink</w:t>
      </w:r>
      <w:r w:rsidR="00C56749" w:rsidRPr="00776130">
        <w:rPr>
          <w:rFonts w:ascii="Times New Roman" w:eastAsia="Times New Roman" w:hAnsi="Times New Roman"/>
        </w:rPr>
        <w:t xml:space="preserve"> for microgrid operational analysis.</w:t>
      </w:r>
      <w:r w:rsidRPr="00776130">
        <w:rPr>
          <w:rFonts w:ascii="Times New Roman" w:eastAsia="Times New Roman" w:hAnsi="Times New Roman"/>
        </w:rPr>
        <w:t xml:space="preserve"> </w:t>
      </w:r>
      <w:r w:rsidR="00A93615">
        <w:rPr>
          <w:rFonts w:ascii="Times New Roman" w:eastAsia="Times New Roman" w:hAnsi="Times New Roman"/>
        </w:rPr>
        <w:t>At every simulation step, MATLAB loads irradiance, wind, and load data that are not accessible via time-</w:t>
      </w:r>
      <w:r w:rsidRPr="00776130">
        <w:rPr>
          <w:rFonts w:ascii="Times New Roman" w:eastAsia="Times New Roman" w:hAnsi="Times New Roman"/>
        </w:rPr>
        <w:t xml:space="preserve">series data. A temperature-dependent efficiency model was used to compute </w:t>
      </w:r>
      <w:r w:rsidR="00A93615">
        <w:rPr>
          <w:rFonts w:ascii="Times New Roman" w:eastAsia="Times New Roman" w:hAnsi="Times New Roman"/>
        </w:rPr>
        <w:t>PV output, and a wind turbine power curve corrected for hub-height wind speed was used to comput</w:t>
      </w:r>
      <w:r w:rsidRPr="00776130">
        <w:rPr>
          <w:rFonts w:ascii="Times New Roman" w:eastAsia="Times New Roman" w:hAnsi="Times New Roman"/>
        </w:rPr>
        <w:t>e wind generation. The SOC-based differential equation was used to model BESS dynamics, with charging/Discharging efficiencies, thermal/inverter loss, and battery degradation cost coefficients. The net-metering policy was used to determine grid power exchange, which is calculated using Time-of-Day (</w:t>
      </w:r>
      <w:proofErr w:type="spellStart"/>
      <w:r w:rsidRPr="00776130">
        <w:rPr>
          <w:rFonts w:ascii="Times New Roman" w:eastAsia="Times New Roman" w:hAnsi="Times New Roman"/>
        </w:rPr>
        <w:t>ToD</w:t>
      </w:r>
      <w:proofErr w:type="spellEnd"/>
      <w:r w:rsidRPr="00776130">
        <w:rPr>
          <w:rFonts w:ascii="Times New Roman" w:eastAsia="Times New Roman" w:hAnsi="Times New Roman"/>
        </w:rPr>
        <w:t xml:space="preserve">) import tariffs and export credits. An operating-mode test was done by a power-balance test. The BESS would charge at the SOC and power-rate limit when renewable production was greater than demand; and would discharge until the bottom SOC limit </w:t>
      </w:r>
      <w:r w:rsidR="00A93615">
        <w:rPr>
          <w:rFonts w:ascii="Times New Roman" w:eastAsia="Times New Roman" w:hAnsi="Times New Roman"/>
        </w:rPr>
        <w:t>was reached. When production was smaller,</w:t>
      </w:r>
      <w:r w:rsidRPr="00776130">
        <w:rPr>
          <w:rFonts w:ascii="Times New Roman" w:eastAsia="Times New Roman" w:hAnsi="Times New Roman"/>
        </w:rPr>
        <w:t xml:space="preserve"> the deficit was made up by the grid. The grid import/export charges, BESS degradation, renewable curtailment</w:t>
      </w:r>
      <w:r w:rsidR="00A93615">
        <w:rPr>
          <w:rFonts w:ascii="Times New Roman" w:eastAsia="Times New Roman" w:hAnsi="Times New Roman"/>
        </w:rPr>
        <w:t>,</w:t>
      </w:r>
      <w:r w:rsidRPr="00776130">
        <w:rPr>
          <w:rFonts w:ascii="Times New Roman" w:eastAsia="Times New Roman" w:hAnsi="Times New Roman"/>
        </w:rPr>
        <w:t xml:space="preserve"> and load shedding were included in operational costs. These expenses were summed up within a 24-h period </w:t>
      </w:r>
      <w:r w:rsidRPr="00776130">
        <w:rPr>
          <w:rFonts w:ascii="Times New Roman" w:eastAsia="Times New Roman" w:hAnsi="Times New Roman"/>
        </w:rPr>
        <w:fldChar w:fldCharType="begin" w:fldLock="1"/>
      </w:r>
      <w:r w:rsidRPr="00776130">
        <w:rPr>
          <w:rFonts w:ascii="Times New Roman" w:eastAsia="Times New Roman" w:hAnsi="Times New Roman"/>
        </w:rPr>
        <w:instrText>ADDIN CSL_CITATION {"citationItems":[{"id":"ITEM-1","itemData":{"DOI":"10.1109/iSSSC56467.2022.10051441","author":[{"dropping-particle":"","family":"Chouhan","given":"Jyoti Bala","non-dropping-particle":"","parse-names":false,"suffix":""},{"dropping-particle":"","family":"Ojha","given":"Amit","non-dropping-particle":"","parse-names":false,"suffix":""},{"dropping-particle":"","family":"Swarnkar","given":"Pankaj","non-dropping-particle":"","parse-names":false,"suffix":""}],"id":"ITEM-1","issued":{"date-parts":[["2022"]]},"page":"1-4","title":"PSO-Based Distributed Generation Planning","type":"article-journal"},"uris":["http://www.mendeley.com/documents/?uuid=56879a43-ba3f-4a44-bc5a-1683bbdc2dd5"]}],"mendeley":{"formattedCitation":"(Chouhan et al., 2022)","plainTextFormattedCitation":"(Chouhan et al., 2022)","previouslyFormattedCitation":"[21]"},"properties":{"noteIndex":0},"schema":"https://github.com/citation-style-language/schema/raw/master/csl-citation.json"}</w:instrText>
      </w:r>
      <w:r w:rsidRPr="00776130">
        <w:rPr>
          <w:rFonts w:ascii="Times New Roman" w:eastAsia="Times New Roman" w:hAnsi="Times New Roman"/>
        </w:rPr>
        <w:fldChar w:fldCharType="separate"/>
      </w:r>
      <w:r w:rsidRPr="00776130">
        <w:rPr>
          <w:rFonts w:ascii="Times New Roman" w:eastAsia="Times New Roman" w:hAnsi="Times New Roman"/>
          <w:noProof/>
        </w:rPr>
        <w:t>(Chouhan et al., 2022)</w:t>
      </w:r>
      <w:r w:rsidRPr="00776130">
        <w:rPr>
          <w:rFonts w:ascii="Times New Roman" w:eastAsia="Times New Roman" w:hAnsi="Times New Roman"/>
        </w:rPr>
        <w:fldChar w:fldCharType="end"/>
      </w:r>
      <w:r w:rsidRPr="00776130">
        <w:rPr>
          <w:rFonts w:ascii="Times New Roman" w:eastAsia="Times New Roman" w:hAnsi="Times New Roman"/>
        </w:rPr>
        <w:t xml:space="preserve">. </w:t>
      </w:r>
    </w:p>
    <w:p w14:paraId="67C21F6B" w14:textId="16A987A3" w:rsidR="00FE697D" w:rsidRPr="00776130" w:rsidRDefault="00FE697D" w:rsidP="00776130">
      <w:pPr>
        <w:widowControl w:val="0"/>
        <w:autoSpaceDE w:val="0"/>
        <w:autoSpaceDN w:val="0"/>
        <w:spacing w:after="0" w:line="240" w:lineRule="auto"/>
        <w:ind w:firstLine="284"/>
        <w:jc w:val="both"/>
        <w:rPr>
          <w:rFonts w:ascii="Times New Roman" w:eastAsia="Times New Roman" w:hAnsi="Times New Roman"/>
        </w:rPr>
      </w:pPr>
      <w:r w:rsidRPr="00776130">
        <w:rPr>
          <w:rFonts w:ascii="Times New Roman" w:eastAsia="Times New Roman" w:hAnsi="Times New Roman"/>
        </w:rPr>
        <w:t xml:space="preserve">The simulation workflow is shown in Figure 3 and includes the </w:t>
      </w:r>
      <w:r w:rsidR="00A93615">
        <w:rPr>
          <w:rFonts w:ascii="Times New Roman" w:eastAsia="Times New Roman" w:hAnsi="Times New Roman"/>
        </w:rPr>
        <w:t>decision-making steps taken</w:t>
      </w:r>
      <w:r w:rsidRPr="00776130">
        <w:rPr>
          <w:rFonts w:ascii="Times New Roman" w:eastAsia="Times New Roman" w:hAnsi="Times New Roman"/>
        </w:rPr>
        <w:t xml:space="preserve"> every minute. The steps involved system initiation, calculation of renewable generation, power-balance analysis, BESS operation </w:t>
      </w:r>
      <w:r w:rsidR="00A93615">
        <w:rPr>
          <w:rFonts w:ascii="Times New Roman" w:eastAsia="Times New Roman" w:hAnsi="Times New Roman"/>
        </w:rPr>
        <w:t>within SOC constraints, cost calculation, and reporting of Key Performance Indicators (KPIs</w:t>
      </w:r>
      <w:r w:rsidRPr="00776130">
        <w:rPr>
          <w:rFonts w:ascii="Times New Roman" w:eastAsia="Times New Roman" w:hAnsi="Times New Roman"/>
        </w:rPr>
        <w:t xml:space="preserve">). The flowchart below </w:t>
      </w:r>
      <w:r w:rsidR="00A93615">
        <w:rPr>
          <w:rFonts w:ascii="Times New Roman" w:eastAsia="Times New Roman" w:hAnsi="Times New Roman"/>
        </w:rPr>
        <w:t>shows the simulation engine used by all the optimization algorithms</w:t>
      </w:r>
      <w:r w:rsidRPr="00776130">
        <w:rPr>
          <w:rFonts w:ascii="Times New Roman" w:eastAsia="Times New Roman" w:hAnsi="Times New Roman"/>
        </w:rPr>
        <w:t xml:space="preserve">. These optimization algorithms (PSO, GA, and SA) </w:t>
      </w:r>
      <w:r w:rsidR="00A93615">
        <w:rPr>
          <w:rFonts w:ascii="Times New Roman" w:eastAsia="Times New Roman" w:hAnsi="Times New Roman"/>
        </w:rPr>
        <w:t>interact</w:t>
      </w:r>
      <w:r w:rsidRPr="00776130">
        <w:rPr>
          <w:rFonts w:ascii="Times New Roman" w:eastAsia="Times New Roman" w:hAnsi="Times New Roman"/>
        </w:rPr>
        <w:t xml:space="preserve"> with this engine in the following way</w:t>
      </w:r>
      <w:r w:rsidR="00A93615">
        <w:rPr>
          <w:rFonts w:ascii="Times New Roman" w:eastAsia="Times New Roman" w:hAnsi="Times New Roman"/>
        </w:rPr>
        <w:t>:</w:t>
      </w:r>
      <w:r w:rsidRPr="00776130">
        <w:rPr>
          <w:rFonts w:ascii="Times New Roman" w:eastAsia="Times New Roman" w:hAnsi="Times New Roman"/>
        </w:rPr>
        <w:t xml:space="preserve"> schedules, minute-wise simulation, cost calculation, and loss</w:t>
      </w:r>
      <w:r w:rsidR="00A93615">
        <w:rPr>
          <w:rFonts w:ascii="Times New Roman" w:eastAsia="Times New Roman" w:hAnsi="Times New Roman"/>
        </w:rPr>
        <w:t>-</w:t>
      </w:r>
      <w:r w:rsidRPr="00776130">
        <w:rPr>
          <w:rFonts w:ascii="Times New Roman" w:eastAsia="Times New Roman" w:hAnsi="Times New Roman"/>
        </w:rPr>
        <w:t xml:space="preserve">specific decision variables refinement until they come to a point of convergence </w:t>
      </w:r>
      <w:r w:rsidRPr="00776130">
        <w:rPr>
          <w:rFonts w:ascii="Times New Roman" w:eastAsia="Times New Roman" w:hAnsi="Times New Roman"/>
        </w:rPr>
        <w:fldChar w:fldCharType="begin" w:fldLock="1"/>
      </w:r>
      <w:r w:rsidRPr="00776130">
        <w:rPr>
          <w:rFonts w:ascii="Times New Roman" w:eastAsia="Times New Roman" w:hAnsi="Times New Roman"/>
        </w:rPr>
        <w:instrText>ADDIN CSL_CITATION {"citationItems":[{"id":"ITEM-1","itemData":{"DOI":"10.3390/en15228525","author":[{"dropping-particle":"","family":"Vinothine","given":"Shanmugarajah","non-dropping-particle":"","parse-names":false,"suffix":""},{"dropping-particle":"","family":"Arachchige","given":"Lidula N Widanagama","non-dropping-particle":"","parse-names":false,"suffix":""},{"dropping-particle":"","family":"Rajapakse","given":"Athula","non-dropping-particle":"","parse-names":false,"suffix":""},{"dropping-particle":"","family":"Kaluthanthrige","given":"Roshani","non-dropping-particle":"","parse-names":false,"suffix":""}],"container-title":"Energies","id":"ITEM-1","issue":"22","issued":{"date-parts":[["2022"]]},"page":"8525","title":"Microgrid Energy Management and Methods for Managing Forecast Uncertainties","type":"article-journal","volume":"15"},"uris":["http://www.mendeley.com/documents/?uuid=17fc969a-63ca-4fbc-945b-b7ac5910c99c"]},{"id":"ITEM-2","itemData":{"DOI":"10.1155/2014/361519","author":[{"dropping-particle":"","family":"Zheng","given":"Xuemei","non-dropping-particle":"","parse-names":false,"suffix":""},{"dropping-particle":"","family":"Li","given":"Qiuming","non-dropping-particle":"","parse-names":false,"suffix":""},{"dropping-particle":"","family":"Li","given":"Peng","non-dropping-particle":"","parse-names":false,"suffix":""},{"dropping-particle":"","family":"Ding","given":"Danmei","non-dropping-particle":"","parse-names":false,"suffix":""}],"container-title":"International Journal of Photoenergy","id":"ITEM-2","issue":"2014","issued":{"date-parts":[["2014"]]},"page":"1-11","publisher":"Hindawi Publishing Corporation","title":"Cooperative Optimal Control Strategy for Microgrid under Grid-Connected and Islanded Modes","type":"article-journal","volume":"2014"},"uris":["http://www.mendeley.com/documents/?uuid=5b861f45-236f-4bb8-828c-f083e2fec1b6"]},{"id":"ITEM-3","itemData":{"DOI":"10.1109/iccad64771.2025.11099312","author":[{"dropping-particle":"","family":"Hadi","given":"Mojtaba","non-dropping-particle":"","parse-names":false,"suffix":""},{"dropping-particle":"","family":"Elbouchikhi","given":"Elhoussin","non-dropping-particle":"","parse-names":false,"suffix":""},{"dropping-particle":"","family":"Zhou","given":"Zhibin","non-dropping-particle":"","parse-names":false,"suffix":""},{"dropping-particle":"","family":"Saim","given":"Abdelhakim","non-dropping-particle":"","parse-names":false,"suffix":""}],"id":"ITEM-3","issued":{"date-parts":[["2025"]]},"page":"1-6","title":"Optimal Sizing and Energy Management for Multi-Energy Microgrids Integrated with Combined Heat and Power Unit","type":"article-journal"},"uris":["http://www.mendeley.com/documents/?uuid=ac1c0b27-28de-4262-8884-f3a9b16489ef"]},{"id":"ITEM-4","itemData":{"DOI":"10.26682/csjuod.2023.26.2.36","author":[{"dropping-particle":"","family":"Hassan","given":"Hamad","non-dropping-particle":"","parse-names":false,"suffix":""},{"dropping-particle":"","family":"Habbi","given":"Hanan Mikhael D","non-dropping-particle":"","parse-names":false,"suffix":""},{"dropping-particle":"","family":"Abbood","given":"Afaneen","non-dropping-particle":"","parse-names":false,"suffix":""}],"container-title":"مجلة جامعة دهوك","id":"ITEM-4","issue":"2","issued":{"date-parts":[["2023"]]},"page":"390-399","publisher":"University of Duhok","title":"Hybrid Metaheuristic Algorithms Mppt under Partial Shading Condition","type":"article-journal","volume":"26"},"uris":["http://www.mendeley.com/documents/?uuid=55c8c4d6-7a54-4da5-b44b-1e29dc54a8b2"]},{"id":"ITEM-5","itemData":{"DOI":"10.3390/en15114055","author":[{"dropping-particle":"","family":"Akram","given":"Nouman","non-dropping-particle":"","parse-names":false,"suffix":""},{"dropping-particle":"","family":"Khan","given":"Laiq","non-dropping-particle":"","parse-names":false,"suffix":""},{"dropping-particle":"","family":"Agha","given":"Shahrukh","non-dropping-particle":"","parse-names":false,"suffix":""},{"dropping-particle":"","family":"Hafeez","given":"Kamran","non-dropping-particle":"","parse-names":false,"suffix":""}],"container-title":"Energies","id":"ITEM-5","issue":"11","issued":{"date-parts":[["2022"]]},"page":"4055","title":"Global Maximum Power Point Tracking of Partially Shaded PV System Using Advanced Optimization Techniques","type":"article-journal","volume":"15"},"uris":["http://www.mendeley.com/documents/?uuid=e04d3705-a82c-4f46-aff3-8a0b9aff2f42"]}],"mendeley":{"formattedCitation":"(Akram et al., 2022; Hadi et al., 2025; Hassan et al., 2023; Vinothine et al., 2022; Zheng et al., 2014)","plainTextFormattedCitation":"(Akram et al., 2022; Hadi et al., 2025; Hassan et al., 2023; Vinothine et al., 2022; Zheng et al., 2014)","previouslyFormattedCitation":"[12]–[15], [17]"},"properties":{"noteIndex":0},"schema":"https://github.com/citation-style-language/schema/raw/master/csl-citation.json"}</w:instrText>
      </w:r>
      <w:r w:rsidRPr="00776130">
        <w:rPr>
          <w:rFonts w:ascii="Times New Roman" w:eastAsia="Times New Roman" w:hAnsi="Times New Roman"/>
        </w:rPr>
        <w:fldChar w:fldCharType="separate"/>
      </w:r>
      <w:r w:rsidRPr="00776130">
        <w:rPr>
          <w:rFonts w:ascii="Times New Roman" w:eastAsia="Times New Roman" w:hAnsi="Times New Roman"/>
          <w:noProof/>
        </w:rPr>
        <w:t>(Akram et al., 2022; Hadi et al., 2025; Hassan et al., 2023; Vinothine et al., 2022; Zheng et al., 2014)</w:t>
      </w:r>
      <w:r w:rsidRPr="00776130">
        <w:rPr>
          <w:rFonts w:ascii="Times New Roman" w:eastAsia="Times New Roman" w:hAnsi="Times New Roman"/>
        </w:rPr>
        <w:fldChar w:fldCharType="end"/>
      </w:r>
      <w:r w:rsidRPr="00776130">
        <w:rPr>
          <w:rFonts w:ascii="Times New Roman" w:eastAsia="Times New Roman" w:hAnsi="Times New Roman"/>
        </w:rPr>
        <w:t xml:space="preserve">. All algorithms were run on the MATLAB platform to </w:t>
      </w:r>
      <w:r w:rsidR="00A93615">
        <w:rPr>
          <w:rFonts w:ascii="Times New Roman" w:eastAsia="Times New Roman" w:hAnsi="Times New Roman"/>
        </w:rPr>
        <w:t>enable a level of comparative analysis; the result</w:t>
      </w:r>
      <w:r w:rsidRPr="00776130">
        <w:rPr>
          <w:rFonts w:ascii="Times New Roman" w:eastAsia="Times New Roman" w:hAnsi="Times New Roman"/>
        </w:rPr>
        <w:t xml:space="preserve">s are shown in Table 2. Outputs varied, </w:t>
      </w:r>
      <w:r w:rsidR="00A93615">
        <w:rPr>
          <w:rFonts w:ascii="Times New Roman" w:eastAsia="Times New Roman" w:hAnsi="Times New Roman"/>
        </w:rPr>
        <w:t>including PV and wind generation profiles, SOC, grid import/export, cost distributions, degree of renewable penetration, and convergence via PSO, GA,</w:t>
      </w:r>
      <w:r w:rsidRPr="00776130">
        <w:rPr>
          <w:rFonts w:ascii="Times New Roman" w:eastAsia="Times New Roman" w:hAnsi="Times New Roman"/>
        </w:rPr>
        <w:t xml:space="preserve"> and SA.</w:t>
      </w:r>
    </w:p>
    <w:p w14:paraId="1AA76199" w14:textId="21FC9EB2" w:rsidR="00FE697D" w:rsidRPr="00FF6D90" w:rsidRDefault="00776130" w:rsidP="00776130">
      <w:pPr>
        <w:widowControl w:val="0"/>
        <w:autoSpaceDE w:val="0"/>
        <w:autoSpaceDN w:val="0"/>
        <w:spacing w:after="0" w:line="240" w:lineRule="auto"/>
        <w:jc w:val="center"/>
        <w:rPr>
          <w:rFonts w:ascii="Times New Roman" w:eastAsia="Times New Roman" w:hAnsi="Times New Roman"/>
        </w:rPr>
      </w:pPr>
      <w:r w:rsidRPr="00FF6D90">
        <w:rPr>
          <w:noProof/>
        </w:rPr>
        <w:lastRenderedPageBreak/>
        <w:drawing>
          <wp:inline distT="0" distB="0" distL="0" distR="0" wp14:anchorId="7360DDE4" wp14:editId="2179F450">
            <wp:extent cx="5571776" cy="3443844"/>
            <wp:effectExtent l="0" t="0" r="0" b="4445"/>
            <wp:docPr id="383072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72287" name=""/>
                    <pic:cNvPicPr/>
                  </pic:nvPicPr>
                  <pic:blipFill>
                    <a:blip r:embed="rId13">
                      <a:extLst>
                        <a:ext uri="{28A0092B-C50C-407E-A947-70E740481C1C}">
                          <a14:useLocalDpi xmlns:a14="http://schemas.microsoft.com/office/drawing/2010/main" val="0"/>
                        </a:ext>
                      </a:extLst>
                    </a:blip>
                    <a:stretch>
                      <a:fillRect/>
                    </a:stretch>
                  </pic:blipFill>
                  <pic:spPr>
                    <a:xfrm>
                      <a:off x="0" y="0"/>
                      <a:ext cx="5603172" cy="3463249"/>
                    </a:xfrm>
                    <a:prstGeom prst="rect">
                      <a:avLst/>
                    </a:prstGeom>
                  </pic:spPr>
                </pic:pic>
              </a:graphicData>
            </a:graphic>
          </wp:inline>
        </w:drawing>
      </w:r>
    </w:p>
    <w:p w14:paraId="3BF4F63F" w14:textId="628362A3" w:rsidR="00EC05BE" w:rsidRPr="00FF6D90" w:rsidRDefault="00EC05BE" w:rsidP="00776130">
      <w:pPr>
        <w:pStyle w:val="Rrys"/>
        <w:rPr>
          <w:b/>
          <w:bCs/>
          <w:lang w:val="en-US"/>
        </w:rPr>
      </w:pPr>
      <w:r w:rsidRPr="00FF6D90">
        <w:rPr>
          <w:b/>
          <w:bCs/>
          <w:lang w:val="en-US"/>
        </w:rPr>
        <w:t>Fig</w:t>
      </w:r>
      <w:r w:rsidR="00776130">
        <w:rPr>
          <w:b/>
          <w:bCs/>
          <w:lang w:val="en-US"/>
        </w:rPr>
        <w:t>.</w:t>
      </w:r>
      <w:r w:rsidRPr="00FF6D90">
        <w:rPr>
          <w:b/>
          <w:bCs/>
          <w:lang w:val="en-US"/>
        </w:rPr>
        <w:t xml:space="preserve"> 3</w:t>
      </w:r>
      <w:r w:rsidR="00776130" w:rsidRPr="00776130">
        <w:rPr>
          <w:b/>
          <w:bCs/>
          <w:lang w:val="en-US"/>
        </w:rPr>
        <w:t>.</w:t>
      </w:r>
      <w:r w:rsidRPr="00FF6D90">
        <w:rPr>
          <w:lang w:val="en-US"/>
        </w:rPr>
        <w:t xml:space="preserve"> </w:t>
      </w:r>
      <w:r w:rsidRPr="00373A5F">
        <w:rPr>
          <w:lang w:val="en-US"/>
        </w:rPr>
        <w:t>Simulation workflow for microgrid energy management and cost evaluation</w:t>
      </w:r>
    </w:p>
    <w:p w14:paraId="1A0186DE" w14:textId="387EBB54" w:rsidR="00F443FD" w:rsidRPr="00FF6D90" w:rsidRDefault="00F443FD" w:rsidP="00776130">
      <w:pPr>
        <w:widowControl w:val="0"/>
        <w:autoSpaceDE w:val="0"/>
        <w:autoSpaceDN w:val="0"/>
        <w:spacing w:after="0" w:line="240" w:lineRule="auto"/>
        <w:jc w:val="both"/>
        <w:rPr>
          <w:rFonts w:ascii="Times New Roman" w:hAnsi="Times New Roman"/>
        </w:rPr>
      </w:pPr>
    </w:p>
    <w:p w14:paraId="5508DF83" w14:textId="3C279528" w:rsidR="00EC05BE" w:rsidRPr="00373A5F" w:rsidRDefault="00EC05BE" w:rsidP="00776130">
      <w:pPr>
        <w:pStyle w:val="Rtab"/>
        <w:rPr>
          <w:lang w:val="en-US"/>
        </w:rPr>
      </w:pPr>
      <w:r w:rsidRPr="00FF6D90">
        <w:rPr>
          <w:b/>
          <w:bCs/>
          <w:lang w:val="en-US"/>
        </w:rPr>
        <w:t>Table 2</w:t>
      </w:r>
      <w:r w:rsidR="00776130">
        <w:rPr>
          <w:b/>
          <w:bCs/>
          <w:lang w:val="en-US"/>
        </w:rPr>
        <w:t>.</w:t>
      </w:r>
      <w:r w:rsidRPr="00FF6D90">
        <w:rPr>
          <w:b/>
          <w:bCs/>
          <w:lang w:val="en-US"/>
        </w:rPr>
        <w:t xml:space="preserve"> </w:t>
      </w:r>
      <w:r w:rsidRPr="00373A5F">
        <w:rPr>
          <w:lang w:val="en-US"/>
        </w:rPr>
        <w:t>Performance comparison of optimization algorithms for microgrid optimization</w:t>
      </w:r>
    </w:p>
    <w:tbl>
      <w:tblPr>
        <w:tblStyle w:val="Table"/>
        <w:tblW w:w="0" w:type="auto"/>
        <w:jc w:val="center"/>
        <w:tblBorders>
          <w:left w:val="none" w:sz="0" w:space="0" w:color="auto"/>
          <w:right w:val="none" w:sz="0" w:space="0" w:color="auto"/>
          <w:insideV w:val="none" w:sz="0" w:space="0" w:color="auto"/>
        </w:tblBorders>
        <w:tblLook w:val="0020" w:firstRow="1" w:lastRow="0" w:firstColumn="0" w:lastColumn="0" w:noHBand="0" w:noVBand="0"/>
      </w:tblPr>
      <w:tblGrid>
        <w:gridCol w:w="1133"/>
        <w:gridCol w:w="2128"/>
        <w:gridCol w:w="850"/>
      </w:tblGrid>
      <w:tr w:rsidR="00EC05BE" w:rsidRPr="00FF6D90" w14:paraId="473CBE00" w14:textId="77777777" w:rsidTr="005D1582">
        <w:trPr>
          <w:cnfStyle w:val="100000000000" w:firstRow="1" w:lastRow="0" w:firstColumn="0" w:lastColumn="0" w:oddVBand="0" w:evenVBand="0" w:oddHBand="0" w:evenHBand="0" w:firstRowFirstColumn="0" w:firstRowLastColumn="0" w:lastRowFirstColumn="0" w:lastRowLastColumn="0"/>
          <w:trHeight w:val="340"/>
          <w:tblHeader/>
          <w:jc w:val="center"/>
        </w:trPr>
        <w:tc>
          <w:tcPr>
            <w:tcW w:w="0" w:type="auto"/>
            <w:tcBorders>
              <w:bottom w:val="none" w:sz="0" w:space="0" w:color="auto"/>
            </w:tcBorders>
            <w:vAlign w:val="center"/>
          </w:tcPr>
          <w:p w14:paraId="71E82E6B"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Algorithm</w:t>
            </w:r>
            <w:proofErr w:type="spellEnd"/>
          </w:p>
        </w:tc>
        <w:tc>
          <w:tcPr>
            <w:tcW w:w="2128" w:type="dxa"/>
            <w:tcBorders>
              <w:bottom w:val="none" w:sz="0" w:space="0" w:color="auto"/>
            </w:tcBorders>
            <w:vAlign w:val="center"/>
          </w:tcPr>
          <w:p w14:paraId="7349AD2A"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Parameter</w:t>
            </w:r>
            <w:proofErr w:type="spellEnd"/>
          </w:p>
        </w:tc>
        <w:tc>
          <w:tcPr>
            <w:tcW w:w="850" w:type="dxa"/>
            <w:tcBorders>
              <w:bottom w:val="none" w:sz="0" w:space="0" w:color="auto"/>
            </w:tcBorders>
            <w:vAlign w:val="center"/>
          </w:tcPr>
          <w:p w14:paraId="6C850C7B"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Value</w:t>
            </w:r>
          </w:p>
        </w:tc>
      </w:tr>
      <w:tr w:rsidR="00EC05BE" w:rsidRPr="00FF6D90" w14:paraId="63B2F224" w14:textId="77777777" w:rsidTr="005D1582">
        <w:trPr>
          <w:trHeight w:val="283"/>
          <w:jc w:val="center"/>
        </w:trPr>
        <w:tc>
          <w:tcPr>
            <w:tcW w:w="0" w:type="auto"/>
            <w:vAlign w:val="center"/>
          </w:tcPr>
          <w:p w14:paraId="0051CE76"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PSO</w:t>
            </w:r>
          </w:p>
        </w:tc>
        <w:tc>
          <w:tcPr>
            <w:tcW w:w="2128" w:type="dxa"/>
            <w:vAlign w:val="center"/>
          </w:tcPr>
          <w:p w14:paraId="5D6A2AC8"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Swarm</w:t>
            </w:r>
            <w:proofErr w:type="spellEnd"/>
            <w:r w:rsidRPr="00FF6D90">
              <w:rPr>
                <w:rFonts w:ascii="Times New Roman" w:eastAsia="Times New Roman" w:hAnsi="Times New Roman" w:cs="Times New Roman"/>
              </w:rPr>
              <w:t xml:space="preserve"> </w:t>
            </w:r>
            <w:proofErr w:type="spellStart"/>
            <w:r w:rsidRPr="00FF6D90">
              <w:rPr>
                <w:rFonts w:ascii="Times New Roman" w:eastAsia="Times New Roman" w:hAnsi="Times New Roman" w:cs="Times New Roman"/>
              </w:rPr>
              <w:t>size</w:t>
            </w:r>
            <w:proofErr w:type="spellEnd"/>
          </w:p>
        </w:tc>
        <w:tc>
          <w:tcPr>
            <w:tcW w:w="850" w:type="dxa"/>
            <w:vAlign w:val="center"/>
          </w:tcPr>
          <w:p w14:paraId="4CF8110D"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30</w:t>
            </w:r>
          </w:p>
        </w:tc>
      </w:tr>
      <w:tr w:rsidR="00EC05BE" w:rsidRPr="00FF6D90" w14:paraId="71A7B3BA" w14:textId="77777777" w:rsidTr="005D1582">
        <w:trPr>
          <w:trHeight w:val="283"/>
          <w:jc w:val="center"/>
        </w:trPr>
        <w:tc>
          <w:tcPr>
            <w:tcW w:w="0" w:type="auto"/>
            <w:vAlign w:val="center"/>
          </w:tcPr>
          <w:p w14:paraId="630047C9"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PSO</w:t>
            </w:r>
          </w:p>
        </w:tc>
        <w:tc>
          <w:tcPr>
            <w:tcW w:w="2128" w:type="dxa"/>
            <w:vAlign w:val="center"/>
          </w:tcPr>
          <w:p w14:paraId="1CCEDBC3"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Number</w:t>
            </w:r>
            <w:proofErr w:type="spellEnd"/>
            <w:r w:rsidRPr="00FF6D90">
              <w:rPr>
                <w:rFonts w:ascii="Times New Roman" w:eastAsia="Times New Roman" w:hAnsi="Times New Roman" w:cs="Times New Roman"/>
              </w:rPr>
              <w:t xml:space="preserve"> of </w:t>
            </w:r>
            <w:proofErr w:type="spellStart"/>
            <w:r w:rsidRPr="00FF6D90">
              <w:rPr>
                <w:rFonts w:ascii="Times New Roman" w:eastAsia="Times New Roman" w:hAnsi="Times New Roman" w:cs="Times New Roman"/>
              </w:rPr>
              <w:t>iterations</w:t>
            </w:r>
            <w:proofErr w:type="spellEnd"/>
          </w:p>
        </w:tc>
        <w:tc>
          <w:tcPr>
            <w:tcW w:w="850" w:type="dxa"/>
            <w:vAlign w:val="center"/>
          </w:tcPr>
          <w:p w14:paraId="46D19757"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100</w:t>
            </w:r>
          </w:p>
        </w:tc>
      </w:tr>
      <w:tr w:rsidR="00EC05BE" w:rsidRPr="00FF6D90" w14:paraId="5994C3E4" w14:textId="77777777" w:rsidTr="005D1582">
        <w:trPr>
          <w:trHeight w:val="283"/>
          <w:jc w:val="center"/>
        </w:trPr>
        <w:tc>
          <w:tcPr>
            <w:tcW w:w="0" w:type="auto"/>
            <w:vAlign w:val="center"/>
          </w:tcPr>
          <w:p w14:paraId="49A6DF94"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GA</w:t>
            </w:r>
          </w:p>
        </w:tc>
        <w:tc>
          <w:tcPr>
            <w:tcW w:w="2128" w:type="dxa"/>
            <w:vAlign w:val="center"/>
          </w:tcPr>
          <w:p w14:paraId="21DC1818"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Population</w:t>
            </w:r>
            <w:proofErr w:type="spellEnd"/>
            <w:r w:rsidRPr="00FF6D90">
              <w:rPr>
                <w:rFonts w:ascii="Times New Roman" w:eastAsia="Times New Roman" w:hAnsi="Times New Roman" w:cs="Times New Roman"/>
              </w:rPr>
              <w:t xml:space="preserve"> </w:t>
            </w:r>
            <w:proofErr w:type="spellStart"/>
            <w:r w:rsidRPr="00FF6D90">
              <w:rPr>
                <w:rFonts w:ascii="Times New Roman" w:eastAsia="Times New Roman" w:hAnsi="Times New Roman" w:cs="Times New Roman"/>
              </w:rPr>
              <w:t>size</w:t>
            </w:r>
            <w:proofErr w:type="spellEnd"/>
          </w:p>
        </w:tc>
        <w:tc>
          <w:tcPr>
            <w:tcW w:w="850" w:type="dxa"/>
            <w:vAlign w:val="center"/>
          </w:tcPr>
          <w:p w14:paraId="139516B4"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50</w:t>
            </w:r>
          </w:p>
        </w:tc>
      </w:tr>
      <w:tr w:rsidR="00EC05BE" w:rsidRPr="00FF6D90" w14:paraId="540C1D2F" w14:textId="77777777" w:rsidTr="005D1582">
        <w:trPr>
          <w:trHeight w:val="283"/>
          <w:jc w:val="center"/>
        </w:trPr>
        <w:tc>
          <w:tcPr>
            <w:tcW w:w="0" w:type="auto"/>
            <w:vAlign w:val="center"/>
          </w:tcPr>
          <w:p w14:paraId="3B2BED20"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GA</w:t>
            </w:r>
          </w:p>
        </w:tc>
        <w:tc>
          <w:tcPr>
            <w:tcW w:w="2128" w:type="dxa"/>
            <w:vAlign w:val="center"/>
          </w:tcPr>
          <w:p w14:paraId="1F34C2AA"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Mutation</w:t>
            </w:r>
            <w:proofErr w:type="spellEnd"/>
            <w:r w:rsidRPr="00FF6D90">
              <w:rPr>
                <w:rFonts w:ascii="Times New Roman" w:eastAsia="Times New Roman" w:hAnsi="Times New Roman" w:cs="Times New Roman"/>
              </w:rPr>
              <w:t xml:space="preserve"> </w:t>
            </w:r>
            <w:proofErr w:type="spellStart"/>
            <w:r w:rsidRPr="00FF6D90">
              <w:rPr>
                <w:rFonts w:ascii="Times New Roman" w:eastAsia="Times New Roman" w:hAnsi="Times New Roman" w:cs="Times New Roman"/>
              </w:rPr>
              <w:t>rate</w:t>
            </w:r>
            <w:proofErr w:type="spellEnd"/>
          </w:p>
        </w:tc>
        <w:tc>
          <w:tcPr>
            <w:tcW w:w="850" w:type="dxa"/>
            <w:vAlign w:val="center"/>
          </w:tcPr>
          <w:p w14:paraId="461CA5A9"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0.05</w:t>
            </w:r>
          </w:p>
        </w:tc>
      </w:tr>
      <w:tr w:rsidR="00EC05BE" w:rsidRPr="00FF6D90" w14:paraId="471A3A76" w14:textId="77777777" w:rsidTr="005D1582">
        <w:trPr>
          <w:trHeight w:val="283"/>
          <w:jc w:val="center"/>
        </w:trPr>
        <w:tc>
          <w:tcPr>
            <w:tcW w:w="0" w:type="auto"/>
            <w:vAlign w:val="center"/>
          </w:tcPr>
          <w:p w14:paraId="6FC87747"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SA</w:t>
            </w:r>
          </w:p>
        </w:tc>
        <w:tc>
          <w:tcPr>
            <w:tcW w:w="2128" w:type="dxa"/>
            <w:vAlign w:val="center"/>
          </w:tcPr>
          <w:p w14:paraId="7894CB83"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proofErr w:type="spellStart"/>
            <w:r w:rsidRPr="00FF6D90">
              <w:rPr>
                <w:rFonts w:ascii="Times New Roman" w:eastAsia="Times New Roman" w:hAnsi="Times New Roman" w:cs="Times New Roman"/>
              </w:rPr>
              <w:t>Cooling</w:t>
            </w:r>
            <w:proofErr w:type="spellEnd"/>
            <w:r w:rsidRPr="00FF6D90">
              <w:rPr>
                <w:rFonts w:ascii="Times New Roman" w:eastAsia="Times New Roman" w:hAnsi="Times New Roman" w:cs="Times New Roman"/>
              </w:rPr>
              <w:t xml:space="preserve"> </w:t>
            </w:r>
            <w:proofErr w:type="spellStart"/>
            <w:r w:rsidRPr="00FF6D90">
              <w:rPr>
                <w:rFonts w:ascii="Times New Roman" w:eastAsia="Times New Roman" w:hAnsi="Times New Roman" w:cs="Times New Roman"/>
              </w:rPr>
              <w:t>factor</w:t>
            </w:r>
            <w:proofErr w:type="spellEnd"/>
          </w:p>
        </w:tc>
        <w:tc>
          <w:tcPr>
            <w:tcW w:w="850" w:type="dxa"/>
            <w:vAlign w:val="center"/>
          </w:tcPr>
          <w:p w14:paraId="7F505001" w14:textId="77777777" w:rsidR="00EC05BE" w:rsidRPr="00FF6D90" w:rsidRDefault="00EC05BE" w:rsidP="00776130">
            <w:pPr>
              <w:widowControl w:val="0"/>
              <w:autoSpaceDE w:val="0"/>
              <w:autoSpaceDN w:val="0"/>
              <w:spacing w:after="0" w:line="240" w:lineRule="auto"/>
              <w:jc w:val="center"/>
              <w:rPr>
                <w:rFonts w:ascii="Times New Roman" w:eastAsia="Times New Roman" w:hAnsi="Times New Roman" w:cs="Times New Roman"/>
              </w:rPr>
            </w:pPr>
            <w:r w:rsidRPr="00FF6D90">
              <w:rPr>
                <w:rFonts w:ascii="Times New Roman" w:eastAsia="Times New Roman" w:hAnsi="Times New Roman" w:cs="Times New Roman"/>
              </w:rPr>
              <w:t>0.95</w:t>
            </w:r>
          </w:p>
        </w:tc>
      </w:tr>
    </w:tbl>
    <w:p w14:paraId="6FB182A1" w14:textId="2340C611" w:rsidR="0008078A" w:rsidRPr="00776130" w:rsidRDefault="00AC4AE3" w:rsidP="00AC4AE3">
      <w:pPr>
        <w:pStyle w:val="Rn1"/>
      </w:pPr>
      <w:r>
        <w:t xml:space="preserve">6. </w:t>
      </w:r>
      <w:r w:rsidRPr="00AC4AE3">
        <w:t>Results and Discussion</w:t>
      </w:r>
    </w:p>
    <w:p w14:paraId="357E23EA" w14:textId="007BF0C5" w:rsidR="0008078A" w:rsidRPr="00FF6D90" w:rsidRDefault="00776130" w:rsidP="00776130">
      <w:pPr>
        <w:pStyle w:val="Rn2"/>
      </w:pPr>
      <w:r>
        <w:t xml:space="preserve">6.1. </w:t>
      </w:r>
      <w:proofErr w:type="spellStart"/>
      <w:r w:rsidR="0008078A" w:rsidRPr="00FF6D90">
        <w:t>Renewable</w:t>
      </w:r>
      <w:proofErr w:type="spellEnd"/>
      <w:r w:rsidR="0008078A" w:rsidRPr="00FF6D90">
        <w:t xml:space="preserve"> </w:t>
      </w:r>
      <w:proofErr w:type="spellStart"/>
      <w:r w:rsidR="0008078A" w:rsidRPr="00FF6D90">
        <w:t>Profiles</w:t>
      </w:r>
      <w:proofErr w:type="spellEnd"/>
      <w:r w:rsidR="0008078A" w:rsidRPr="00FF6D90">
        <w:t xml:space="preserve"> &amp; </w:t>
      </w:r>
      <w:proofErr w:type="spellStart"/>
      <w:r w:rsidR="0008078A" w:rsidRPr="00FF6D90">
        <w:t>Load</w:t>
      </w:r>
      <w:proofErr w:type="spellEnd"/>
      <w:r w:rsidR="0008078A" w:rsidRPr="00FF6D90">
        <w:t xml:space="preserve"> </w:t>
      </w:r>
      <w:proofErr w:type="spellStart"/>
      <w:r w:rsidR="0008078A" w:rsidRPr="00FF6D90">
        <w:t>Behavior</w:t>
      </w:r>
      <w:proofErr w:type="spellEnd"/>
    </w:p>
    <w:p w14:paraId="3B567BD5" w14:textId="74F0456F" w:rsidR="0008078A" w:rsidRPr="00776130" w:rsidRDefault="0008078A" w:rsidP="00776130">
      <w:pPr>
        <w:pStyle w:val="Tekstpodstawowy"/>
        <w:ind w:firstLine="284"/>
        <w:jc w:val="both"/>
        <w:rPr>
          <w:sz w:val="22"/>
          <w:szCs w:val="22"/>
          <w:lang w:val="en-IN"/>
        </w:rPr>
      </w:pPr>
      <w:r w:rsidRPr="00776130">
        <w:rPr>
          <w:sz w:val="22"/>
          <w:szCs w:val="22"/>
          <w:lang w:val="en-IN"/>
        </w:rPr>
        <w:t>This section presents the operational performance of the proposed hybrid renewable microgrid system designed for the Bhopal region of Madhya Pradesh, India. The results are obtained from the MATLAB-based simulation framework described in the previous sections, considering a 24-hour operational horizon with high temporal resolution. The analysis focuses on the interaction between photovoltaic generation, wind power output, load demand, and the battery energy storage system (BESS) under realistic climatic and consumption conditions typical of Bhopal. Due to the region</w:t>
      </w:r>
      <w:r w:rsidR="007E1AB9">
        <w:rPr>
          <w:sz w:val="22"/>
          <w:szCs w:val="22"/>
          <w:lang w:val="en-IN"/>
        </w:rPr>
        <w:t>'</w:t>
      </w:r>
      <w:r w:rsidRPr="00776130">
        <w:rPr>
          <w:sz w:val="22"/>
          <w:szCs w:val="22"/>
          <w:lang w:val="en-IN"/>
        </w:rPr>
        <w:t xml:space="preserve">s </w:t>
      </w:r>
      <w:proofErr w:type="spellStart"/>
      <w:r w:rsidRPr="00776130">
        <w:rPr>
          <w:sz w:val="22"/>
          <w:szCs w:val="22"/>
          <w:lang w:val="en-IN"/>
        </w:rPr>
        <w:t>favorable</w:t>
      </w:r>
      <w:proofErr w:type="spellEnd"/>
      <w:r w:rsidRPr="00776130">
        <w:rPr>
          <w:sz w:val="22"/>
          <w:szCs w:val="22"/>
          <w:lang w:val="en-IN"/>
        </w:rPr>
        <w:t xml:space="preserve"> renewable energy potential, particularly high solar irradiance and moderate wind availability, hybrid renewable integration is considered an effective strategy for improving energy reliability and sustainability in urban microgrid systems.</w:t>
      </w:r>
    </w:p>
    <w:p w14:paraId="7FD97F4E" w14:textId="51B93545" w:rsidR="0008078A" w:rsidRPr="00776130" w:rsidRDefault="0008078A" w:rsidP="00776130">
      <w:pPr>
        <w:pStyle w:val="Tekstpodstawowy"/>
        <w:ind w:firstLine="284"/>
        <w:jc w:val="both"/>
        <w:rPr>
          <w:sz w:val="22"/>
          <w:szCs w:val="22"/>
          <w:lang w:val="en-IN"/>
        </w:rPr>
      </w:pPr>
      <w:r w:rsidRPr="00776130">
        <w:rPr>
          <w:sz w:val="22"/>
          <w:szCs w:val="22"/>
          <w:lang w:val="en-IN"/>
        </w:rPr>
        <w:t>Figure 4 presents the hourly operational profiles of the key components of the hybrid microgrid system, including photovoltaic generation, load demand, wind power generation, and battery state</w:t>
      </w:r>
      <w:r w:rsidR="00A93615">
        <w:rPr>
          <w:sz w:val="22"/>
          <w:szCs w:val="22"/>
          <w:lang w:val="en-IN"/>
        </w:rPr>
        <w:t xml:space="preserve"> of </w:t>
      </w:r>
      <w:r w:rsidRPr="00776130">
        <w:rPr>
          <w:sz w:val="22"/>
          <w:szCs w:val="22"/>
          <w:lang w:val="en-IN"/>
        </w:rPr>
        <w:t xml:space="preserve">charge. These profiles represent the fundamental parameters that influence the </w:t>
      </w:r>
      <w:r w:rsidR="00A93615">
        <w:rPr>
          <w:sz w:val="22"/>
          <w:szCs w:val="22"/>
          <w:lang w:val="en-IN"/>
        </w:rPr>
        <w:t>microgrid's energy balance and optimal dispatch</w:t>
      </w:r>
      <w:r w:rsidRPr="00776130">
        <w:rPr>
          <w:sz w:val="22"/>
          <w:szCs w:val="22"/>
          <w:lang w:val="en-IN"/>
        </w:rPr>
        <w:t>. The results provide insight into how renewable resources and energy storage interact dynamically to meet the electricity demand of the considered urban load cluster.</w:t>
      </w:r>
    </w:p>
    <w:p w14:paraId="55F5C6E0" w14:textId="3F886EAA" w:rsidR="0008078A" w:rsidRPr="00776130" w:rsidRDefault="0008078A" w:rsidP="00776130">
      <w:pPr>
        <w:pStyle w:val="Tekstpodstawowy"/>
        <w:ind w:firstLine="284"/>
        <w:jc w:val="both"/>
        <w:rPr>
          <w:sz w:val="22"/>
          <w:szCs w:val="22"/>
          <w:lang w:val="en-IN"/>
        </w:rPr>
      </w:pPr>
      <w:r w:rsidRPr="00776130">
        <w:rPr>
          <w:sz w:val="22"/>
          <w:szCs w:val="22"/>
          <w:lang w:val="en-IN"/>
        </w:rPr>
        <w:t>The photovoltaic generation profile illustrated in Figure 4(a) follows the typical diurnal solar irradiance pattern observed in central India. Photovoltaic power production begins to increase after sunrise at approximately 05:00 h, corresponding to the availability of solar radiation in the Bhopal region.</w:t>
      </w:r>
    </w:p>
    <w:p w14:paraId="50DB5CCF" w14:textId="70972D40" w:rsidR="0008078A" w:rsidRPr="00A93615" w:rsidRDefault="00A93615" w:rsidP="00A93615">
      <w:pPr>
        <w:pStyle w:val="Tekstpodstawowy"/>
        <w:ind w:firstLine="284"/>
        <w:jc w:val="both"/>
        <w:rPr>
          <w:spacing w:val="-2"/>
        </w:rPr>
      </w:pPr>
      <w:r w:rsidRPr="00A93615">
        <w:rPr>
          <w:spacing w:val="-2"/>
          <w:sz w:val="22"/>
          <w:szCs w:val="22"/>
          <w:lang w:val="en-IN"/>
        </w:rPr>
        <w:t>The generating power progressively increases with increasing solar power, and it peaks at about 500</w:t>
      </w:r>
      <w:r w:rsidR="00C73EBE">
        <w:rPr>
          <w:spacing w:val="-2"/>
          <w:sz w:val="22"/>
          <w:szCs w:val="22"/>
          <w:lang w:val="en-IN"/>
        </w:rPr>
        <w:t xml:space="preserve"> </w:t>
      </w:r>
      <w:r w:rsidRPr="00A93615">
        <w:rPr>
          <w:spacing w:val="-2"/>
          <w:sz w:val="22"/>
          <w:szCs w:val="22"/>
          <w:lang w:val="en-IN"/>
        </w:rPr>
        <w:t>kW around 10:00–11:00 h, when solar radiation is at its peak. The generation of photovoltaic power slowly decreases after this time due to a decrease in solar irradiance as it approaches sunset, and it becomes very low at night. This action confirms the high potential of solar energy in Bhopal, as well as the intermittency of photovoltaic energy, which requires a backup power source and a storage system to maintain a continuous power supply.</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21"/>
        <w:gridCol w:w="8336"/>
      </w:tblGrid>
      <w:tr w:rsidR="00A93615" w14:paraId="609E5E36" w14:textId="77777777" w:rsidTr="00A93615">
        <w:trPr>
          <w:jc w:val="center"/>
        </w:trPr>
        <w:tc>
          <w:tcPr>
            <w:tcW w:w="421" w:type="dxa"/>
          </w:tcPr>
          <w:p w14:paraId="4A7E4BEE" w14:textId="65F145BD" w:rsidR="00A93615" w:rsidRDefault="00A93615" w:rsidP="004D29E9">
            <w:pPr>
              <w:pStyle w:val="Tekstpodstawowy"/>
              <w:jc w:val="both"/>
            </w:pPr>
            <w:r>
              <w:lastRenderedPageBreak/>
              <w:t>(a)</w:t>
            </w:r>
          </w:p>
        </w:tc>
        <w:tc>
          <w:tcPr>
            <w:tcW w:w="8336" w:type="dxa"/>
          </w:tcPr>
          <w:p w14:paraId="6A33CF23" w14:textId="2E9BD867" w:rsidR="00A93615" w:rsidRDefault="00A93615" w:rsidP="004D29E9">
            <w:pPr>
              <w:pStyle w:val="Tekstpodstawowy"/>
              <w:jc w:val="both"/>
            </w:pPr>
            <w:r w:rsidRPr="00FF6D90">
              <w:rPr>
                <w:b/>
                <w:bCs/>
                <w:noProof/>
              </w:rPr>
              <w:drawing>
                <wp:inline distT="0" distB="0" distL="0" distR="0" wp14:anchorId="2BC9B74B" wp14:editId="10CB94B4">
                  <wp:extent cx="5080000" cy="1720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89766" name=""/>
                          <pic:cNvPicPr/>
                        </pic:nvPicPr>
                        <pic:blipFill>
                          <a:blip r:embed="rId14">
                            <a:extLst>
                              <a:ext uri="{28A0092B-C50C-407E-A947-70E740481C1C}">
                                <a14:useLocalDpi xmlns:a14="http://schemas.microsoft.com/office/drawing/2010/main" val="0"/>
                              </a:ext>
                            </a:extLst>
                          </a:blip>
                          <a:stretch>
                            <a:fillRect/>
                          </a:stretch>
                        </pic:blipFill>
                        <pic:spPr>
                          <a:xfrm>
                            <a:off x="0" y="0"/>
                            <a:ext cx="5080000" cy="1720850"/>
                          </a:xfrm>
                          <a:prstGeom prst="rect">
                            <a:avLst/>
                          </a:prstGeom>
                        </pic:spPr>
                      </pic:pic>
                    </a:graphicData>
                  </a:graphic>
                </wp:inline>
              </w:drawing>
            </w:r>
          </w:p>
        </w:tc>
      </w:tr>
      <w:tr w:rsidR="00A93615" w14:paraId="078FA7DE" w14:textId="77777777" w:rsidTr="00A93615">
        <w:trPr>
          <w:jc w:val="center"/>
        </w:trPr>
        <w:tc>
          <w:tcPr>
            <w:tcW w:w="421" w:type="dxa"/>
          </w:tcPr>
          <w:p w14:paraId="3691180E" w14:textId="18D719F9" w:rsidR="00A93615" w:rsidRDefault="00A93615" w:rsidP="004D29E9">
            <w:pPr>
              <w:pStyle w:val="Tekstpodstawowy"/>
              <w:jc w:val="both"/>
            </w:pPr>
            <w:r>
              <w:t>(b)</w:t>
            </w:r>
          </w:p>
        </w:tc>
        <w:tc>
          <w:tcPr>
            <w:tcW w:w="8336" w:type="dxa"/>
          </w:tcPr>
          <w:p w14:paraId="7754B423" w14:textId="636AE6CB" w:rsidR="00A93615" w:rsidRDefault="00A93615" w:rsidP="004D29E9">
            <w:pPr>
              <w:pStyle w:val="Tekstpodstawowy"/>
              <w:jc w:val="both"/>
            </w:pPr>
            <w:r w:rsidRPr="00FF6D90">
              <w:rPr>
                <w:noProof/>
              </w:rPr>
              <w:drawing>
                <wp:inline distT="0" distB="0" distL="0" distR="0" wp14:anchorId="1724D935" wp14:editId="7BAD8976">
                  <wp:extent cx="4953000" cy="162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04788" name=""/>
                          <pic:cNvPicPr/>
                        </pic:nvPicPr>
                        <pic:blipFill>
                          <a:blip r:embed="rId15">
                            <a:extLst>
                              <a:ext uri="{28A0092B-C50C-407E-A947-70E740481C1C}">
                                <a14:useLocalDpi xmlns:a14="http://schemas.microsoft.com/office/drawing/2010/main" val="0"/>
                              </a:ext>
                            </a:extLst>
                          </a:blip>
                          <a:stretch>
                            <a:fillRect/>
                          </a:stretch>
                        </pic:blipFill>
                        <pic:spPr>
                          <a:xfrm>
                            <a:off x="0" y="0"/>
                            <a:ext cx="4953000" cy="1625600"/>
                          </a:xfrm>
                          <a:prstGeom prst="rect">
                            <a:avLst/>
                          </a:prstGeom>
                        </pic:spPr>
                      </pic:pic>
                    </a:graphicData>
                  </a:graphic>
                </wp:inline>
              </w:drawing>
            </w:r>
          </w:p>
        </w:tc>
      </w:tr>
      <w:tr w:rsidR="00A93615" w14:paraId="46E71977" w14:textId="77777777" w:rsidTr="00A93615">
        <w:trPr>
          <w:jc w:val="center"/>
        </w:trPr>
        <w:tc>
          <w:tcPr>
            <w:tcW w:w="421" w:type="dxa"/>
          </w:tcPr>
          <w:p w14:paraId="2D279A95" w14:textId="0579A753" w:rsidR="00A93615" w:rsidRDefault="00A93615" w:rsidP="004D29E9">
            <w:pPr>
              <w:pStyle w:val="Tekstpodstawowy"/>
              <w:jc w:val="both"/>
            </w:pPr>
            <w:r>
              <w:t>(c)</w:t>
            </w:r>
          </w:p>
        </w:tc>
        <w:tc>
          <w:tcPr>
            <w:tcW w:w="8336" w:type="dxa"/>
          </w:tcPr>
          <w:p w14:paraId="6362230A" w14:textId="5E5D9D38" w:rsidR="00A93615" w:rsidRDefault="00A93615" w:rsidP="004D29E9">
            <w:pPr>
              <w:pStyle w:val="Tekstpodstawowy"/>
              <w:jc w:val="both"/>
            </w:pPr>
            <w:r w:rsidRPr="00FF6D90">
              <w:rPr>
                <w:b/>
                <w:bCs/>
                <w:noProof/>
              </w:rPr>
              <w:drawing>
                <wp:inline distT="0" distB="0" distL="0" distR="0" wp14:anchorId="48654FE0" wp14:editId="5928D476">
                  <wp:extent cx="5226050" cy="2353901"/>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17973" name=""/>
                          <pic:cNvPicPr/>
                        </pic:nvPicPr>
                        <pic:blipFill>
                          <a:blip r:embed="rId16">
                            <a:extLst>
                              <a:ext uri="{28A0092B-C50C-407E-A947-70E740481C1C}">
                                <a14:useLocalDpi xmlns:a14="http://schemas.microsoft.com/office/drawing/2010/main" val="0"/>
                              </a:ext>
                            </a:extLst>
                          </a:blip>
                          <a:stretch>
                            <a:fillRect/>
                          </a:stretch>
                        </pic:blipFill>
                        <pic:spPr>
                          <a:xfrm>
                            <a:off x="0" y="0"/>
                            <a:ext cx="5246558" cy="2363138"/>
                          </a:xfrm>
                          <a:prstGeom prst="rect">
                            <a:avLst/>
                          </a:prstGeom>
                        </pic:spPr>
                      </pic:pic>
                    </a:graphicData>
                  </a:graphic>
                </wp:inline>
              </w:drawing>
            </w:r>
          </w:p>
        </w:tc>
      </w:tr>
      <w:tr w:rsidR="00A93615" w14:paraId="090FAE4D" w14:textId="77777777" w:rsidTr="00A93615">
        <w:trPr>
          <w:jc w:val="center"/>
        </w:trPr>
        <w:tc>
          <w:tcPr>
            <w:tcW w:w="421" w:type="dxa"/>
          </w:tcPr>
          <w:p w14:paraId="2AC8B41D" w14:textId="339F4D07" w:rsidR="00A93615" w:rsidRDefault="00A93615" w:rsidP="004D29E9">
            <w:pPr>
              <w:pStyle w:val="Tekstpodstawowy"/>
              <w:jc w:val="both"/>
            </w:pPr>
            <w:r>
              <w:t>(d)</w:t>
            </w:r>
          </w:p>
        </w:tc>
        <w:tc>
          <w:tcPr>
            <w:tcW w:w="8336" w:type="dxa"/>
          </w:tcPr>
          <w:p w14:paraId="70B273C1" w14:textId="162EA8D6" w:rsidR="00A93615" w:rsidRDefault="00A93615" w:rsidP="004D29E9">
            <w:pPr>
              <w:pStyle w:val="Tekstpodstawowy"/>
              <w:jc w:val="both"/>
            </w:pPr>
            <w:r w:rsidRPr="00FF6D90">
              <w:rPr>
                <w:noProof/>
              </w:rPr>
              <w:drawing>
                <wp:inline distT="0" distB="0" distL="0" distR="0" wp14:anchorId="170FDBE8" wp14:editId="567415AB">
                  <wp:extent cx="5251450" cy="1530350"/>
                  <wp:effectExtent l="0" t="0" r="635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86905" name=""/>
                          <pic:cNvPicPr/>
                        </pic:nvPicPr>
                        <pic:blipFill>
                          <a:blip r:embed="rId17"/>
                          <a:stretch>
                            <a:fillRect/>
                          </a:stretch>
                        </pic:blipFill>
                        <pic:spPr>
                          <a:xfrm>
                            <a:off x="0" y="0"/>
                            <a:ext cx="5251721" cy="1530429"/>
                          </a:xfrm>
                          <a:prstGeom prst="rect">
                            <a:avLst/>
                          </a:prstGeom>
                        </pic:spPr>
                      </pic:pic>
                    </a:graphicData>
                  </a:graphic>
                </wp:inline>
              </w:drawing>
            </w:r>
          </w:p>
        </w:tc>
      </w:tr>
    </w:tbl>
    <w:p w14:paraId="1EC795B2" w14:textId="57CBF7E1" w:rsidR="0008078A" w:rsidRPr="00373A5F" w:rsidRDefault="0008078A" w:rsidP="004D29E9">
      <w:pPr>
        <w:pStyle w:val="Rrys"/>
        <w:rPr>
          <w:lang w:val="en-US"/>
        </w:rPr>
      </w:pPr>
      <w:r w:rsidRPr="00373A5F">
        <w:rPr>
          <w:b/>
          <w:bCs/>
          <w:lang w:val="en-US"/>
        </w:rPr>
        <w:t>Fig</w:t>
      </w:r>
      <w:r w:rsidR="004D29E9" w:rsidRPr="00373A5F">
        <w:rPr>
          <w:b/>
          <w:bCs/>
          <w:lang w:val="en-US"/>
        </w:rPr>
        <w:t>.</w:t>
      </w:r>
      <w:r w:rsidRPr="00373A5F">
        <w:rPr>
          <w:b/>
          <w:bCs/>
          <w:lang w:val="en-US"/>
        </w:rPr>
        <w:t xml:space="preserve"> 4</w:t>
      </w:r>
      <w:r w:rsidR="004D29E9" w:rsidRPr="00373A5F">
        <w:rPr>
          <w:b/>
          <w:bCs/>
          <w:lang w:val="en-US"/>
        </w:rPr>
        <w:t>.</w:t>
      </w:r>
      <w:r w:rsidRPr="00373A5F">
        <w:rPr>
          <w:b/>
          <w:bCs/>
          <w:szCs w:val="20"/>
          <w:lang w:val="en-US"/>
        </w:rPr>
        <w:t xml:space="preserve"> </w:t>
      </w:r>
      <w:r w:rsidRPr="00373A5F">
        <w:rPr>
          <w:b/>
          <w:bCs/>
          <w:lang w:val="en-US"/>
        </w:rPr>
        <w:t>(a</w:t>
      </w:r>
      <w:r w:rsidRPr="00373A5F">
        <w:rPr>
          <w:lang w:val="en-US"/>
        </w:rPr>
        <w:t xml:space="preserve">) PV power generation </w:t>
      </w:r>
      <w:r w:rsidRPr="00373A5F">
        <w:rPr>
          <w:b/>
          <w:bCs/>
          <w:lang w:val="en-US"/>
        </w:rPr>
        <w:t>(b)</w:t>
      </w:r>
      <w:r w:rsidRPr="00373A5F">
        <w:rPr>
          <w:lang w:val="en-US"/>
        </w:rPr>
        <w:t xml:space="preserve"> load demand profile </w:t>
      </w:r>
      <w:r w:rsidRPr="00373A5F">
        <w:rPr>
          <w:b/>
          <w:bCs/>
          <w:lang w:val="en-US"/>
        </w:rPr>
        <w:t>(c)</w:t>
      </w:r>
      <w:r w:rsidRPr="00373A5F">
        <w:rPr>
          <w:lang w:val="en-US"/>
        </w:rPr>
        <w:t xml:space="preserve"> Wind speed profile and </w:t>
      </w:r>
      <w:r w:rsidRPr="00373A5F">
        <w:rPr>
          <w:b/>
          <w:bCs/>
          <w:lang w:val="en-US"/>
        </w:rPr>
        <w:t>(d)</w:t>
      </w:r>
      <w:r w:rsidRPr="00373A5F">
        <w:rPr>
          <w:lang w:val="en-US"/>
        </w:rPr>
        <w:t xml:space="preserve"> operational dynamics of battery energy storage system</w:t>
      </w:r>
    </w:p>
    <w:p w14:paraId="348D7128" w14:textId="77777777" w:rsidR="00040EA0" w:rsidRPr="004D29E9" w:rsidRDefault="00040EA0" w:rsidP="004D29E9">
      <w:pPr>
        <w:pStyle w:val="Tekstpodstawowy"/>
        <w:ind w:firstLine="284"/>
        <w:jc w:val="both"/>
        <w:rPr>
          <w:sz w:val="22"/>
          <w:szCs w:val="22"/>
          <w:lang w:val="en-IN"/>
        </w:rPr>
      </w:pPr>
    </w:p>
    <w:p w14:paraId="00F02143" w14:textId="101D68F6" w:rsidR="0008078A" w:rsidRPr="004D29E9" w:rsidRDefault="0008078A" w:rsidP="00822744">
      <w:pPr>
        <w:pStyle w:val="Tekstpodstawowy"/>
        <w:spacing w:line="238" w:lineRule="auto"/>
        <w:ind w:firstLine="284"/>
        <w:jc w:val="both"/>
        <w:rPr>
          <w:sz w:val="22"/>
          <w:szCs w:val="22"/>
          <w:lang w:val="en-IN"/>
        </w:rPr>
      </w:pPr>
      <w:r w:rsidRPr="004D29E9">
        <w:rPr>
          <w:sz w:val="22"/>
          <w:szCs w:val="22"/>
          <w:lang w:val="en-IN"/>
        </w:rPr>
        <w:t xml:space="preserve">Figure 4(b) illustrates the hourly load demand profile, </w:t>
      </w:r>
      <w:r w:rsidR="00A93615">
        <w:rPr>
          <w:sz w:val="22"/>
          <w:szCs w:val="22"/>
          <w:lang w:val="en-IN"/>
        </w:rPr>
        <w:t>i.e., the electricity consumption profile</w:t>
      </w:r>
      <w:r w:rsidRPr="004D29E9">
        <w:rPr>
          <w:sz w:val="22"/>
          <w:szCs w:val="22"/>
          <w:lang w:val="en-IN"/>
        </w:rPr>
        <w:t xml:space="preserve"> of the urban microgrid system in the case study. The load demand starts at about 260</w:t>
      </w:r>
      <w:r w:rsidR="00FA28CA">
        <w:rPr>
          <w:sz w:val="22"/>
          <w:szCs w:val="22"/>
          <w:lang w:val="en-IN"/>
        </w:rPr>
        <w:t>–</w:t>
      </w:r>
      <w:r w:rsidRPr="004D29E9">
        <w:rPr>
          <w:sz w:val="22"/>
          <w:szCs w:val="22"/>
          <w:lang w:val="en-IN"/>
        </w:rPr>
        <w:t xml:space="preserve">280 kW in the early mornings, </w:t>
      </w:r>
      <w:r w:rsidR="00A93615">
        <w:rPr>
          <w:sz w:val="22"/>
          <w:szCs w:val="22"/>
          <w:lang w:val="en-IN"/>
        </w:rPr>
        <w:t>reflecting the base residential demand during</w:t>
      </w:r>
      <w:r w:rsidRPr="004D29E9">
        <w:rPr>
          <w:sz w:val="22"/>
          <w:szCs w:val="22"/>
          <w:lang w:val="en-IN"/>
        </w:rPr>
        <w:t xml:space="preserve"> the night. There is a small decrease in load around 05:00 h</w:t>
      </w:r>
      <w:r w:rsidR="00A93615">
        <w:rPr>
          <w:sz w:val="22"/>
          <w:szCs w:val="22"/>
          <w:lang w:val="en-IN"/>
        </w:rPr>
        <w:t>,</w:t>
      </w:r>
      <w:r w:rsidRPr="004D29E9">
        <w:rPr>
          <w:sz w:val="22"/>
          <w:szCs w:val="22"/>
          <w:lang w:val="en-IN"/>
        </w:rPr>
        <w:t xml:space="preserve"> </w:t>
      </w:r>
      <w:r w:rsidR="00A93615">
        <w:rPr>
          <w:sz w:val="22"/>
          <w:szCs w:val="22"/>
          <w:lang w:val="en-IN"/>
        </w:rPr>
        <w:t>which is likely</w:t>
      </w:r>
      <w:r w:rsidRPr="004D29E9">
        <w:rPr>
          <w:sz w:val="22"/>
          <w:szCs w:val="22"/>
          <w:lang w:val="en-IN"/>
        </w:rPr>
        <w:t xml:space="preserve"> to represent decreased electricity consumption in the early mornings. The load demand rises gradually as the day start</w:t>
      </w:r>
      <w:r w:rsidR="00A93615">
        <w:rPr>
          <w:sz w:val="22"/>
          <w:szCs w:val="22"/>
          <w:lang w:val="en-IN"/>
        </w:rPr>
        <w:t>s and reaches a peak of almost 600 kW</w:t>
      </w:r>
      <w:r w:rsidRPr="004D29E9">
        <w:rPr>
          <w:sz w:val="22"/>
          <w:szCs w:val="22"/>
          <w:lang w:val="en-IN"/>
        </w:rPr>
        <w:t xml:space="preserve"> between 12:00 h and 15:00 h. The main cause of this peak demand is </w:t>
      </w:r>
      <w:r w:rsidR="00A93615">
        <w:rPr>
          <w:sz w:val="22"/>
          <w:szCs w:val="22"/>
          <w:lang w:val="en-IN"/>
        </w:rPr>
        <w:t>commercial, residential, and cooling needs, all of which are related to Bhopal's warm climatic conditions</w:t>
      </w:r>
      <w:r w:rsidRPr="004D29E9">
        <w:rPr>
          <w:sz w:val="22"/>
          <w:szCs w:val="22"/>
          <w:lang w:val="en-IN"/>
        </w:rPr>
        <w:t xml:space="preserve">. The maximum occurs in the afternoon and </w:t>
      </w:r>
      <w:r w:rsidR="00A93615">
        <w:rPr>
          <w:sz w:val="22"/>
          <w:szCs w:val="22"/>
          <w:lang w:val="en-IN"/>
        </w:rPr>
        <w:t>steadily declines in the evening, reaching</w:t>
      </w:r>
      <w:r w:rsidRPr="004D29E9">
        <w:rPr>
          <w:sz w:val="22"/>
          <w:szCs w:val="22"/>
          <w:lang w:val="en-IN"/>
        </w:rPr>
        <w:t xml:space="preserve"> around 400</w:t>
      </w:r>
      <w:r w:rsidR="00A93615">
        <w:rPr>
          <w:sz w:val="22"/>
          <w:szCs w:val="22"/>
          <w:lang w:val="en-IN"/>
        </w:rPr>
        <w:t> </w:t>
      </w:r>
      <w:r w:rsidRPr="004D29E9">
        <w:rPr>
          <w:sz w:val="22"/>
          <w:szCs w:val="22"/>
          <w:lang w:val="en-IN"/>
        </w:rPr>
        <w:t xml:space="preserve">kW at night. The general load profile thus represents a normal mixed-use urban demand situation comprising </w:t>
      </w:r>
      <w:r w:rsidR="00A93615">
        <w:rPr>
          <w:sz w:val="22"/>
          <w:szCs w:val="22"/>
          <w:lang w:val="en-IN"/>
        </w:rPr>
        <w:t>residential, commercial, and service-</w:t>
      </w:r>
      <w:r w:rsidRPr="004D29E9">
        <w:rPr>
          <w:sz w:val="22"/>
          <w:szCs w:val="22"/>
          <w:lang w:val="en-IN"/>
        </w:rPr>
        <w:t>sector electricity demand.</w:t>
      </w:r>
    </w:p>
    <w:p w14:paraId="1738AC82" w14:textId="793B5AF3" w:rsidR="0008078A" w:rsidRPr="004D29E9" w:rsidRDefault="0008078A" w:rsidP="00822744">
      <w:pPr>
        <w:pStyle w:val="Tekstpodstawowy"/>
        <w:spacing w:line="238" w:lineRule="auto"/>
        <w:ind w:firstLine="284"/>
        <w:jc w:val="both"/>
        <w:rPr>
          <w:sz w:val="22"/>
          <w:szCs w:val="22"/>
        </w:rPr>
      </w:pPr>
      <w:r w:rsidRPr="004D29E9">
        <w:rPr>
          <w:sz w:val="22"/>
          <w:szCs w:val="22"/>
        </w:rPr>
        <w:lastRenderedPageBreak/>
        <w:t>Figure 4(c) wind generation profile indicates the variable and stochastic nature of wind energy resources in the hybrid microgrid system. The output of wind power also changes significantly throughout the day</w:t>
      </w:r>
      <w:r w:rsidR="00A93615">
        <w:rPr>
          <w:sz w:val="22"/>
          <w:szCs w:val="22"/>
        </w:rPr>
        <w:t>; this depends heavily on changes in wind speed in the Bhopal region over time</w:t>
      </w:r>
      <w:r w:rsidRPr="004D29E9">
        <w:rPr>
          <w:sz w:val="22"/>
          <w:szCs w:val="22"/>
        </w:rPr>
        <w:t xml:space="preserve">. The generation pattern suggests that wind energy generation is </w:t>
      </w:r>
      <w:r w:rsidR="00A93615">
        <w:rPr>
          <w:sz w:val="22"/>
          <w:szCs w:val="22"/>
        </w:rPr>
        <w:t>higher</w:t>
      </w:r>
      <w:r w:rsidRPr="004D29E9">
        <w:rPr>
          <w:sz w:val="22"/>
          <w:szCs w:val="22"/>
        </w:rPr>
        <w:t xml:space="preserve"> at nighttime and late evening hours, when the generation level was about 450</w:t>
      </w:r>
      <w:r w:rsidR="00FA28CA">
        <w:rPr>
          <w:sz w:val="22"/>
          <w:szCs w:val="22"/>
        </w:rPr>
        <w:t>–</w:t>
      </w:r>
      <w:r w:rsidRPr="004D29E9">
        <w:rPr>
          <w:sz w:val="22"/>
          <w:szCs w:val="22"/>
        </w:rPr>
        <w:t xml:space="preserve">500 kW. On the other hand, </w:t>
      </w:r>
      <w:r w:rsidR="00A93615">
        <w:rPr>
          <w:sz w:val="22"/>
          <w:szCs w:val="22"/>
        </w:rPr>
        <w:t>wind generation decreases at noon and drops</w:t>
      </w:r>
      <w:r w:rsidRPr="004D29E9">
        <w:rPr>
          <w:sz w:val="22"/>
          <w:szCs w:val="22"/>
        </w:rPr>
        <w:t xml:space="preserve"> below 100 kW. This difference in wind supply </w:t>
      </w:r>
      <w:r w:rsidR="00A93615">
        <w:rPr>
          <w:sz w:val="22"/>
          <w:szCs w:val="22"/>
        </w:rPr>
        <w:t>highlights the complementary operation of</w:t>
      </w:r>
      <w:r w:rsidRPr="004D29E9">
        <w:rPr>
          <w:sz w:val="22"/>
          <w:szCs w:val="22"/>
        </w:rPr>
        <w:t xml:space="preserve"> wind and solar sources of energy. Although </w:t>
      </w:r>
      <w:r w:rsidR="00A93615">
        <w:rPr>
          <w:sz w:val="22"/>
          <w:szCs w:val="22"/>
        </w:rPr>
        <w:t>a photovoltaic system generates power during the daytime, wind generation supplements the power supply</w:t>
      </w:r>
      <w:r w:rsidRPr="004D29E9">
        <w:rPr>
          <w:sz w:val="22"/>
          <w:szCs w:val="22"/>
        </w:rPr>
        <w:t xml:space="preserve"> </w:t>
      </w:r>
      <w:r w:rsidR="00A93615">
        <w:rPr>
          <w:sz w:val="22"/>
          <w:szCs w:val="22"/>
        </w:rPr>
        <w:t>at night</w:t>
      </w:r>
      <w:r w:rsidRPr="004D29E9">
        <w:rPr>
          <w:sz w:val="22"/>
          <w:szCs w:val="22"/>
        </w:rPr>
        <w:t xml:space="preserve"> when the sun is not shining. Such complementary behavior </w:t>
      </w:r>
      <w:r w:rsidR="00A93615">
        <w:rPr>
          <w:sz w:val="22"/>
          <w:szCs w:val="22"/>
        </w:rPr>
        <w:t>benefits the stability of renewable energy supply and enhances the hybrid microgrid system's reliability</w:t>
      </w:r>
      <w:r w:rsidRPr="004D29E9">
        <w:rPr>
          <w:sz w:val="22"/>
          <w:szCs w:val="22"/>
        </w:rPr>
        <w:t>.</w:t>
      </w:r>
    </w:p>
    <w:p w14:paraId="743EAE4C" w14:textId="1FECD77E" w:rsidR="0008078A" w:rsidRPr="004D29E9" w:rsidRDefault="0008078A" w:rsidP="00822744">
      <w:pPr>
        <w:pStyle w:val="Tekstpodstawowy"/>
        <w:spacing w:line="238" w:lineRule="auto"/>
        <w:ind w:firstLine="284"/>
        <w:jc w:val="both"/>
        <w:rPr>
          <w:sz w:val="22"/>
          <w:szCs w:val="22"/>
        </w:rPr>
      </w:pPr>
      <w:r w:rsidRPr="004D29E9">
        <w:rPr>
          <w:sz w:val="22"/>
          <w:szCs w:val="22"/>
        </w:rPr>
        <w:t xml:space="preserve">Figure 4(d) illustrates the operational dynamics of </w:t>
      </w:r>
      <w:r w:rsidR="00A93615">
        <w:rPr>
          <w:sz w:val="22"/>
          <w:szCs w:val="22"/>
        </w:rPr>
        <w:t>the battery energy storage system and shows that the battery state-of-charge varies over</w:t>
      </w:r>
      <w:r w:rsidRPr="004D29E9">
        <w:rPr>
          <w:sz w:val="22"/>
          <w:szCs w:val="22"/>
        </w:rPr>
        <w:t xml:space="preserve"> the simulation period. At the onset of the simulation </w:t>
      </w:r>
      <w:r w:rsidR="00A93615">
        <w:rPr>
          <w:sz w:val="22"/>
          <w:szCs w:val="22"/>
        </w:rPr>
        <w:t>period, the battery SOC is set to about 55%, which represents the storage unit's initial working state</w:t>
      </w:r>
      <w:r w:rsidRPr="004D29E9">
        <w:rPr>
          <w:sz w:val="22"/>
          <w:szCs w:val="22"/>
        </w:rPr>
        <w:t xml:space="preserve">. During the early morning hours, </w:t>
      </w:r>
      <w:r w:rsidR="00A93615">
        <w:rPr>
          <w:sz w:val="22"/>
          <w:szCs w:val="22"/>
        </w:rPr>
        <w:t>solar generation will rise, resulting</w:t>
      </w:r>
      <w:r w:rsidRPr="004D29E9">
        <w:rPr>
          <w:sz w:val="22"/>
          <w:szCs w:val="22"/>
        </w:rPr>
        <w:t xml:space="preserve"> in surplus renewable energy in the microgrid. This surplus energy is efficiently stored in the battery</w:t>
      </w:r>
      <w:r w:rsidR="00A93615">
        <w:rPr>
          <w:sz w:val="22"/>
          <w:szCs w:val="22"/>
        </w:rPr>
        <w:t>, leading to a rapid increase in SOC, reaching</w:t>
      </w:r>
      <w:r w:rsidRPr="004D29E9">
        <w:rPr>
          <w:sz w:val="22"/>
          <w:szCs w:val="22"/>
        </w:rPr>
        <w:t xml:space="preserve"> almost 95% between 05:00 h and 06:00 h. During this stage</w:t>
      </w:r>
      <w:r w:rsidR="00A93615">
        <w:rPr>
          <w:sz w:val="22"/>
          <w:szCs w:val="22"/>
        </w:rPr>
        <w:t>, the battery plays a crucial role in buffering excess renewable energy when generation is high</w:t>
      </w:r>
      <w:r w:rsidRPr="004D29E9">
        <w:rPr>
          <w:sz w:val="22"/>
          <w:szCs w:val="22"/>
        </w:rPr>
        <w:t>. The stored energy is slowly used up as the day goes on</w:t>
      </w:r>
      <w:r w:rsidR="00A93615">
        <w:rPr>
          <w:sz w:val="22"/>
          <w:szCs w:val="22"/>
        </w:rPr>
        <w:t>, and the load demand starts to grow to maintain the system's energy balance</w:t>
      </w:r>
      <w:r w:rsidRPr="004D29E9">
        <w:rPr>
          <w:sz w:val="22"/>
          <w:szCs w:val="22"/>
        </w:rPr>
        <w:t xml:space="preserve">. The battery discharges </w:t>
      </w:r>
      <w:r w:rsidR="00A93615">
        <w:rPr>
          <w:sz w:val="22"/>
          <w:szCs w:val="22"/>
        </w:rPr>
        <w:t>in the afternoon and evening, when renewable generation cannot meet</w:t>
      </w:r>
      <w:r w:rsidRPr="004D29E9">
        <w:rPr>
          <w:sz w:val="22"/>
          <w:szCs w:val="22"/>
        </w:rPr>
        <w:t xml:space="preserve"> demand. At the simulation horizon, the SOC is stabilized at around 50%</w:t>
      </w:r>
      <w:r w:rsidR="00A93615">
        <w:rPr>
          <w:sz w:val="22"/>
          <w:szCs w:val="22"/>
        </w:rPr>
        <w:t>, indicating balanced charging and discharging and the efficient operation of the energy storage system within</w:t>
      </w:r>
      <w:r w:rsidRPr="004D29E9">
        <w:rPr>
          <w:sz w:val="22"/>
          <w:szCs w:val="22"/>
        </w:rPr>
        <w:t xml:space="preserve"> the hybrid microgrid.</w:t>
      </w:r>
    </w:p>
    <w:p w14:paraId="23B1925C" w14:textId="6142B1A7" w:rsidR="0008078A" w:rsidRPr="004D29E9" w:rsidRDefault="0008078A" w:rsidP="00822744">
      <w:pPr>
        <w:pStyle w:val="Tekstpodstawowy"/>
        <w:spacing w:line="238" w:lineRule="auto"/>
        <w:ind w:firstLine="284"/>
        <w:jc w:val="both"/>
        <w:rPr>
          <w:sz w:val="22"/>
          <w:szCs w:val="22"/>
          <w:lang w:val="en-IN"/>
        </w:rPr>
      </w:pPr>
      <w:r w:rsidRPr="004D29E9">
        <w:rPr>
          <w:sz w:val="22"/>
          <w:szCs w:val="22"/>
          <w:lang w:val="en-IN"/>
        </w:rPr>
        <w:t xml:space="preserve">The overall analysis of Figure 4(a-d) shows that it is necessary to combine various renewable energy sources with battery storage to ensure the stable and consistent work of a microgrid. </w:t>
      </w:r>
      <w:r w:rsidR="00A93615">
        <w:rPr>
          <w:sz w:val="22"/>
          <w:szCs w:val="22"/>
          <w:lang w:val="en-IN"/>
        </w:rPr>
        <w:t>P</w:t>
      </w:r>
      <w:r w:rsidRPr="004D29E9">
        <w:rPr>
          <w:sz w:val="22"/>
          <w:szCs w:val="22"/>
          <w:lang w:val="en-IN"/>
        </w:rPr>
        <w:t xml:space="preserve">hotovoltaic generation is also a major contributor </w:t>
      </w:r>
      <w:r w:rsidR="00A93615">
        <w:rPr>
          <w:sz w:val="22"/>
          <w:szCs w:val="22"/>
          <w:lang w:val="en-IN"/>
        </w:rPr>
        <w:t>to power during the daytime because of Bhopal's strong solar potential. In contrast, wind energy is another contributor that augments generation at night</w:t>
      </w:r>
      <w:r w:rsidRPr="004D29E9">
        <w:rPr>
          <w:sz w:val="22"/>
          <w:szCs w:val="22"/>
          <w:lang w:val="en-IN"/>
        </w:rPr>
        <w:t xml:space="preserve"> and in the early morning hours. This battery energy storage system is significant in </w:t>
      </w:r>
      <w:r w:rsidR="00A93615">
        <w:rPr>
          <w:sz w:val="22"/>
          <w:szCs w:val="22"/>
          <w:lang w:val="en-IN"/>
        </w:rPr>
        <w:t>balancing the temporal variation between renewable generation and load demand, as it stores surplus energy and provides</w:t>
      </w:r>
      <w:r w:rsidRPr="004D29E9">
        <w:rPr>
          <w:sz w:val="22"/>
          <w:szCs w:val="22"/>
          <w:lang w:val="en-IN"/>
        </w:rPr>
        <w:t xml:space="preserve"> power when the load needs more energy than the renewable energy is available. This synchronized communication between renewable sources and energy storage will </w:t>
      </w:r>
      <w:r w:rsidR="00A93615">
        <w:rPr>
          <w:sz w:val="22"/>
          <w:szCs w:val="22"/>
          <w:lang w:val="en-IN"/>
        </w:rPr>
        <w:t>enable the microgrid to maintain operational stability and reduce</w:t>
      </w:r>
      <w:r w:rsidRPr="004D29E9">
        <w:rPr>
          <w:sz w:val="22"/>
          <w:szCs w:val="22"/>
          <w:lang w:val="en-IN"/>
        </w:rPr>
        <w:t xml:space="preserve"> reliance on grid electricity. Thus, the findings confirm that the hybrid structure of PV-Wind-BESS microgrids is, in fact, technically feasible </w:t>
      </w:r>
      <w:r w:rsidR="00A93615">
        <w:rPr>
          <w:sz w:val="22"/>
          <w:szCs w:val="22"/>
          <w:lang w:val="en-IN"/>
        </w:rPr>
        <w:t>for urban energy systems around Bhopal and can substantially increase the use of renewable energy without adversely affecting</w:t>
      </w:r>
      <w:r w:rsidRPr="004D29E9">
        <w:rPr>
          <w:sz w:val="22"/>
          <w:szCs w:val="22"/>
          <w:lang w:val="en-IN"/>
        </w:rPr>
        <w:t xml:space="preserve"> power supply.</w:t>
      </w:r>
    </w:p>
    <w:p w14:paraId="0B7DF298" w14:textId="4E799EA7" w:rsidR="0008078A" w:rsidRPr="004D29E9" w:rsidRDefault="004D29E9" w:rsidP="004D29E9">
      <w:pPr>
        <w:pStyle w:val="Rn2"/>
        <w:rPr>
          <w:lang w:val="en-US"/>
        </w:rPr>
      </w:pPr>
      <w:r w:rsidRPr="004D29E9">
        <w:rPr>
          <w:lang w:val="en-US"/>
        </w:rPr>
        <w:t xml:space="preserve">6.2. </w:t>
      </w:r>
      <w:r w:rsidR="0008078A" w:rsidRPr="004D29E9">
        <w:rPr>
          <w:lang w:val="en-US"/>
        </w:rPr>
        <w:t>Power Dispatch and Grid Interaction Analysis</w:t>
      </w:r>
    </w:p>
    <w:p w14:paraId="3519C51B" w14:textId="00450F91" w:rsidR="0008078A" w:rsidRDefault="0008078A" w:rsidP="004D29E9">
      <w:pPr>
        <w:pStyle w:val="Tekstpodstawowy"/>
        <w:ind w:firstLine="284"/>
        <w:jc w:val="both"/>
        <w:rPr>
          <w:sz w:val="22"/>
          <w:szCs w:val="22"/>
          <w:lang w:val="en-IN"/>
        </w:rPr>
      </w:pPr>
      <w:r w:rsidRPr="00FF6D90">
        <w:rPr>
          <w:sz w:val="22"/>
          <w:szCs w:val="22"/>
          <w:lang w:val="en-IN"/>
        </w:rPr>
        <w:t xml:space="preserve">Figure 5 presents the temporal power dispatch characteristics of the hybrid microgrid under the climatic and load conditions of Bhopal. The plotted profiles depict the instantaneous contributions of photovoltaic generation, wind output, battery charge–discharge activity, and grid interaction necessary to satisfy the real-time load demand. During the early morning hours (00:00–05:00 h), renewable availability remains low; photovoltaic generation is zero, and wind output fluctuates between 300 </w:t>
      </w:r>
      <w:r w:rsidR="00A93615">
        <w:rPr>
          <w:sz w:val="22"/>
          <w:szCs w:val="22"/>
          <w:lang w:val="en-IN"/>
        </w:rPr>
        <w:t>and</w:t>
      </w:r>
      <w:r w:rsidRPr="00FF6D90">
        <w:rPr>
          <w:sz w:val="22"/>
          <w:szCs w:val="22"/>
          <w:lang w:val="en-IN"/>
        </w:rPr>
        <w:t xml:space="preserve"> –450 kW, indicating insufficient renewable contribution to meet the prevailing demand. Consequently, the system relies on grid import, as evidenced by the positive grid power values during this interval. As solar irradiance increases after sunrise, photovoltaic generation begins contributing significantly, reaching levels above 400 kW by mid-morning.</w:t>
      </w:r>
    </w:p>
    <w:p w14:paraId="41157B6C" w14:textId="77777777" w:rsidR="00A93615" w:rsidRDefault="00A93615" w:rsidP="004D29E9">
      <w:pPr>
        <w:pStyle w:val="Tekstpodstawowy"/>
        <w:ind w:firstLine="284"/>
        <w:jc w:val="both"/>
        <w:rPr>
          <w:sz w:val="22"/>
          <w:szCs w:val="22"/>
          <w:lang w:val="en-IN"/>
        </w:rPr>
      </w:pPr>
    </w:p>
    <w:p w14:paraId="0E8F8B8C" w14:textId="5469A950" w:rsidR="0008078A" w:rsidRPr="00FF6D90" w:rsidRDefault="004D29E9" w:rsidP="004D29E9">
      <w:pPr>
        <w:pStyle w:val="Tekstpodstawowy"/>
        <w:jc w:val="center"/>
        <w:rPr>
          <w:sz w:val="22"/>
          <w:szCs w:val="22"/>
          <w:lang w:val="en-IN"/>
        </w:rPr>
      </w:pPr>
      <w:r w:rsidRPr="00FF6D90">
        <w:rPr>
          <w:noProof/>
        </w:rPr>
        <w:drawing>
          <wp:inline distT="0" distB="0" distL="0" distR="0" wp14:anchorId="74914CE8" wp14:editId="0540613D">
            <wp:extent cx="5731510" cy="2272665"/>
            <wp:effectExtent l="0" t="0" r="2540" b="0"/>
            <wp:docPr id="60796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63439" name=""/>
                    <pic:cNvPicPr/>
                  </pic:nvPicPr>
                  <pic:blipFill>
                    <a:blip r:embed="rId18">
                      <a:extLst>
                        <a:ext uri="{28A0092B-C50C-407E-A947-70E740481C1C}">
                          <a14:useLocalDpi xmlns:a14="http://schemas.microsoft.com/office/drawing/2010/main" val="0"/>
                        </a:ext>
                      </a:extLst>
                    </a:blip>
                    <a:stretch>
                      <a:fillRect/>
                    </a:stretch>
                  </pic:blipFill>
                  <pic:spPr>
                    <a:xfrm>
                      <a:off x="0" y="0"/>
                      <a:ext cx="5731510" cy="2272665"/>
                    </a:xfrm>
                    <a:prstGeom prst="rect">
                      <a:avLst/>
                    </a:prstGeom>
                  </pic:spPr>
                </pic:pic>
              </a:graphicData>
            </a:graphic>
          </wp:inline>
        </w:drawing>
      </w:r>
    </w:p>
    <w:p w14:paraId="38AB66D7" w14:textId="7C254AC7" w:rsidR="0008078A" w:rsidRPr="00373A5F" w:rsidRDefault="0008078A" w:rsidP="004D29E9">
      <w:pPr>
        <w:pStyle w:val="Rrys"/>
        <w:rPr>
          <w:lang w:val="en-US"/>
        </w:rPr>
      </w:pPr>
      <w:r w:rsidRPr="00373A5F">
        <w:rPr>
          <w:b/>
          <w:bCs/>
          <w:lang w:val="en-US"/>
        </w:rPr>
        <w:t>Fig</w:t>
      </w:r>
      <w:r w:rsidR="004D29E9" w:rsidRPr="00373A5F">
        <w:rPr>
          <w:b/>
          <w:bCs/>
          <w:lang w:val="en-US"/>
        </w:rPr>
        <w:t>.</w:t>
      </w:r>
      <w:r w:rsidRPr="00373A5F">
        <w:rPr>
          <w:b/>
          <w:bCs/>
          <w:lang w:val="en-US"/>
        </w:rPr>
        <w:t xml:space="preserve"> 5</w:t>
      </w:r>
      <w:r w:rsidR="004D29E9" w:rsidRPr="00373A5F">
        <w:rPr>
          <w:b/>
          <w:bCs/>
          <w:lang w:val="en-US"/>
        </w:rPr>
        <w:t>.</w:t>
      </w:r>
      <w:r w:rsidRPr="00373A5F">
        <w:rPr>
          <w:lang w:val="en-US"/>
        </w:rPr>
        <w:t xml:space="preserve"> Hourly power profiles of PV, wind, load demand, BESS operation, and grid power exchange in the microgrid</w:t>
      </w:r>
    </w:p>
    <w:p w14:paraId="62A17A7F" w14:textId="5D725612" w:rsidR="0008078A" w:rsidRPr="00FF6D90" w:rsidRDefault="0008078A" w:rsidP="004D29E9">
      <w:pPr>
        <w:pStyle w:val="Tekstpodstawowy"/>
        <w:ind w:firstLine="284"/>
        <w:jc w:val="both"/>
        <w:rPr>
          <w:sz w:val="22"/>
          <w:szCs w:val="22"/>
          <w:lang w:val="en-IN"/>
        </w:rPr>
      </w:pPr>
      <w:r w:rsidRPr="00FF6D90">
        <w:rPr>
          <w:sz w:val="22"/>
          <w:szCs w:val="22"/>
          <w:lang w:val="en-IN"/>
        </w:rPr>
        <w:lastRenderedPageBreak/>
        <w:t xml:space="preserve">This </w:t>
      </w:r>
      <w:r w:rsidR="00A93615">
        <w:rPr>
          <w:sz w:val="22"/>
          <w:szCs w:val="22"/>
          <w:lang w:val="en-IN"/>
        </w:rPr>
        <w:t>increase in photovoltaic power production allows reducing grid reliance and starting to charge batteries, as the BESS's power values</w:t>
      </w:r>
      <w:r w:rsidRPr="00FF6D90">
        <w:rPr>
          <w:sz w:val="22"/>
          <w:szCs w:val="22"/>
          <w:lang w:val="en-IN"/>
        </w:rPr>
        <w:t xml:space="preserve"> are positive in the morning. It is shown that there </w:t>
      </w:r>
      <w:r w:rsidR="00A93615">
        <w:rPr>
          <w:sz w:val="22"/>
          <w:szCs w:val="22"/>
          <w:lang w:val="en-IN"/>
        </w:rPr>
        <w:t xml:space="preserve">is a specific change in dispatch </w:t>
      </w:r>
      <w:proofErr w:type="spellStart"/>
      <w:r w:rsidR="00A93615">
        <w:rPr>
          <w:sz w:val="22"/>
          <w:szCs w:val="22"/>
          <w:lang w:val="en-IN"/>
        </w:rPr>
        <w:t>behavior</w:t>
      </w:r>
      <w:proofErr w:type="spellEnd"/>
      <w:r w:rsidR="00A93615">
        <w:rPr>
          <w:sz w:val="22"/>
          <w:szCs w:val="22"/>
          <w:lang w:val="en-IN"/>
        </w:rPr>
        <w:t xml:space="preserve"> between 10:00 h and 16:00 h, when the renewable availability, with solar energy prevailing, is adequate to meet a considerable portion of the</w:t>
      </w:r>
      <w:r w:rsidRPr="00FF6D90">
        <w:rPr>
          <w:sz w:val="22"/>
          <w:szCs w:val="22"/>
          <w:lang w:val="en-IN"/>
        </w:rPr>
        <w:t xml:space="preserve"> demand. The maximum photovoltaic </w:t>
      </w:r>
      <w:r w:rsidR="00A93615">
        <w:rPr>
          <w:sz w:val="22"/>
          <w:szCs w:val="22"/>
          <w:lang w:val="en-IN"/>
        </w:rPr>
        <w:t>output occurs during this period, and wind power is supplementary because</w:t>
      </w:r>
      <w:r w:rsidRPr="00FF6D90">
        <w:rPr>
          <w:sz w:val="22"/>
          <w:szCs w:val="22"/>
          <w:lang w:val="en-IN"/>
        </w:rPr>
        <w:t xml:space="preserve"> it is variable. The excess renewable energy at these times is channelled to the battery system to charge </w:t>
      </w:r>
      <w:r w:rsidR="00A93615">
        <w:rPr>
          <w:sz w:val="22"/>
          <w:szCs w:val="22"/>
          <w:lang w:val="en-IN"/>
        </w:rPr>
        <w:t>it, so the BESS can store energy and reduce grid imports</w:t>
      </w:r>
      <w:r w:rsidRPr="00FF6D90">
        <w:rPr>
          <w:sz w:val="22"/>
          <w:szCs w:val="22"/>
          <w:lang w:val="en-IN"/>
        </w:rPr>
        <w:t xml:space="preserve">. The system starts switching to a mixed supply approach as photovoltaic generation reduces towards the evening (after 16:00 h). The grid again does its fair share in </w:t>
      </w:r>
      <w:r w:rsidR="00A93615">
        <w:rPr>
          <w:sz w:val="22"/>
          <w:szCs w:val="22"/>
          <w:lang w:val="en-IN"/>
        </w:rPr>
        <w:t>meeting demand,</w:t>
      </w:r>
      <w:r w:rsidRPr="00FF6D90">
        <w:rPr>
          <w:sz w:val="22"/>
          <w:szCs w:val="22"/>
          <w:lang w:val="en-IN"/>
        </w:rPr>
        <w:t xml:space="preserve"> as indicated by the rising grid power profile. The BESS is concurrently releasing </w:t>
      </w:r>
      <w:r w:rsidR="00A93615">
        <w:rPr>
          <w:sz w:val="22"/>
          <w:szCs w:val="22"/>
          <w:lang w:val="en-IN"/>
        </w:rPr>
        <w:t>stored energy to offset the deficit caused by</w:t>
      </w:r>
      <w:r w:rsidRPr="00FF6D90">
        <w:rPr>
          <w:sz w:val="22"/>
          <w:szCs w:val="22"/>
          <w:lang w:val="en-IN"/>
        </w:rPr>
        <w:t xml:space="preserve"> reduced solar power and unpredictable wind energy. The dispatch pattern attests to the coordinated role of the three elements of the supply in the microgrid. </w:t>
      </w:r>
      <w:r w:rsidR="00A93615">
        <w:rPr>
          <w:sz w:val="22"/>
          <w:szCs w:val="22"/>
          <w:lang w:val="en-IN"/>
        </w:rPr>
        <w:t>P</w:t>
      </w:r>
      <w:r w:rsidRPr="00FF6D90">
        <w:rPr>
          <w:sz w:val="22"/>
          <w:szCs w:val="22"/>
          <w:lang w:val="en-IN"/>
        </w:rPr>
        <w:t xml:space="preserve">hotovoltaic generation is the main source of power during the daytime; wind energy helps during </w:t>
      </w:r>
      <w:r w:rsidR="00A93615">
        <w:rPr>
          <w:sz w:val="22"/>
          <w:szCs w:val="22"/>
          <w:lang w:val="en-IN"/>
        </w:rPr>
        <w:t>non-solar periods, and the battery system helps bridge the gap between intermittent renewable sources and a</w:t>
      </w:r>
      <w:r w:rsidRPr="00FF6D90">
        <w:rPr>
          <w:sz w:val="22"/>
          <w:szCs w:val="22"/>
          <w:lang w:val="en-IN"/>
        </w:rPr>
        <w:t xml:space="preserve"> constant demand. The grid is a stabilizing tool </w:t>
      </w:r>
      <w:r w:rsidR="00A93615">
        <w:rPr>
          <w:sz w:val="22"/>
          <w:szCs w:val="22"/>
          <w:lang w:val="en-IN"/>
        </w:rPr>
        <w:t>that serves as an additional source of power when renewable energy is scarce and to absorb</w:t>
      </w:r>
      <w:r w:rsidRPr="00FF6D90">
        <w:rPr>
          <w:sz w:val="22"/>
          <w:szCs w:val="22"/>
          <w:lang w:val="en-IN"/>
        </w:rPr>
        <w:t xml:space="preserve"> system imbalances. According to </w:t>
      </w:r>
      <w:r w:rsidR="00A93615">
        <w:rPr>
          <w:sz w:val="22"/>
          <w:szCs w:val="22"/>
          <w:lang w:val="en-IN"/>
        </w:rPr>
        <w:t>the operational profile presented in Figure 5, the interaction among the renewable resources, BESS,</w:t>
      </w:r>
      <w:r w:rsidRPr="00FF6D90">
        <w:rPr>
          <w:sz w:val="22"/>
          <w:szCs w:val="22"/>
          <w:lang w:val="en-IN"/>
        </w:rPr>
        <w:t xml:space="preserve"> and controlled grid exchange makes the microgrid self-sufficient in terms of energy balance throughout the entire diurnal cycle</w:t>
      </w:r>
      <w:r w:rsidR="00A93615">
        <w:rPr>
          <w:sz w:val="22"/>
          <w:szCs w:val="22"/>
          <w:lang w:val="en-IN"/>
        </w:rPr>
        <w:t>. It</w:t>
      </w:r>
      <w:r w:rsidRPr="00FF6D90">
        <w:rPr>
          <w:sz w:val="22"/>
          <w:szCs w:val="22"/>
          <w:lang w:val="en-IN"/>
        </w:rPr>
        <w:t xml:space="preserve"> minimizes </w:t>
      </w:r>
      <w:r w:rsidR="00A93615">
        <w:rPr>
          <w:sz w:val="22"/>
          <w:szCs w:val="22"/>
          <w:lang w:val="en-IN"/>
        </w:rPr>
        <w:t>reliance on conventional grid electricity during peak periods of renewable energy</w:t>
      </w:r>
      <w:r w:rsidRPr="00FF6D90">
        <w:rPr>
          <w:sz w:val="22"/>
          <w:szCs w:val="22"/>
          <w:lang w:val="en-IN"/>
        </w:rPr>
        <w:t xml:space="preserve"> availability.</w:t>
      </w:r>
    </w:p>
    <w:p w14:paraId="5D8AF6DD" w14:textId="6C557C67" w:rsidR="0008078A" w:rsidRPr="00373A5F" w:rsidRDefault="004D29E9" w:rsidP="004D29E9">
      <w:pPr>
        <w:pStyle w:val="Rn2"/>
        <w:rPr>
          <w:lang w:val="en-US"/>
        </w:rPr>
      </w:pPr>
      <w:r w:rsidRPr="00373A5F">
        <w:rPr>
          <w:lang w:val="en-US"/>
        </w:rPr>
        <w:t xml:space="preserve">6.3. </w:t>
      </w:r>
      <w:r w:rsidR="0008078A" w:rsidRPr="00373A5F">
        <w:rPr>
          <w:lang w:val="en-US"/>
        </w:rPr>
        <w:t>Grid Import/Export Pattern</w:t>
      </w:r>
    </w:p>
    <w:p w14:paraId="4B667176" w14:textId="166FE14E" w:rsidR="00FB6CA4" w:rsidRDefault="0008078A" w:rsidP="004D29E9">
      <w:pPr>
        <w:widowControl w:val="0"/>
        <w:autoSpaceDE w:val="0"/>
        <w:autoSpaceDN w:val="0"/>
        <w:spacing w:after="0" w:line="240" w:lineRule="auto"/>
        <w:ind w:firstLine="284"/>
        <w:jc w:val="both"/>
        <w:rPr>
          <w:rFonts w:ascii="Times New Roman" w:eastAsia="Times New Roman" w:hAnsi="Times New Roman"/>
          <w:lang w:val="en-US"/>
        </w:rPr>
      </w:pPr>
      <w:r w:rsidRPr="00FF6D90">
        <w:rPr>
          <w:rFonts w:ascii="Times New Roman" w:eastAsia="Times New Roman" w:hAnsi="Times New Roman"/>
          <w:lang w:val="en-US"/>
        </w:rPr>
        <w:t xml:space="preserve">The grid import/export profile </w:t>
      </w:r>
      <w:r w:rsidR="00500490">
        <w:rPr>
          <w:rFonts w:ascii="Times New Roman" w:eastAsia="Times New Roman" w:hAnsi="Times New Roman"/>
          <w:lang w:val="en-US"/>
        </w:rPr>
        <w:t>shown in Figure 6 provides useful information on the extent of grid reliance during the microgrid's 24-hour operation</w:t>
      </w:r>
      <w:r w:rsidRPr="00FF6D90">
        <w:rPr>
          <w:rFonts w:ascii="Times New Roman" w:eastAsia="Times New Roman" w:hAnsi="Times New Roman"/>
          <w:lang w:val="en-US"/>
        </w:rPr>
        <w:t>. The system will have poor renewable generation in the first hours (00:00</w:t>
      </w:r>
      <w:r w:rsidR="00FA28CA">
        <w:rPr>
          <w:rFonts w:ascii="Times New Roman" w:eastAsia="Times New Roman" w:hAnsi="Times New Roman"/>
          <w:lang w:val="en-US"/>
        </w:rPr>
        <w:t>–</w:t>
      </w:r>
      <w:r w:rsidRPr="00FF6D90">
        <w:rPr>
          <w:rFonts w:ascii="Times New Roman" w:eastAsia="Times New Roman" w:hAnsi="Times New Roman"/>
          <w:lang w:val="en-US"/>
        </w:rPr>
        <w:t>05:00 h)</w:t>
      </w:r>
      <w:r w:rsidR="00500490">
        <w:rPr>
          <w:rFonts w:ascii="Times New Roman" w:eastAsia="Times New Roman" w:hAnsi="Times New Roman"/>
          <w:lang w:val="en-US"/>
        </w:rPr>
        <w:t>, since photovoltaic generation will be zero and wind will be low, leading to steady grid importation</w:t>
      </w:r>
      <w:r w:rsidRPr="00FF6D90">
        <w:rPr>
          <w:rFonts w:ascii="Times New Roman" w:eastAsia="Times New Roman" w:hAnsi="Times New Roman"/>
          <w:lang w:val="en-US"/>
        </w:rPr>
        <w:t xml:space="preserve"> of about 0.18</w:t>
      </w:r>
      <w:r w:rsidR="00FA28CA">
        <w:rPr>
          <w:rFonts w:ascii="Times New Roman" w:eastAsia="Times New Roman" w:hAnsi="Times New Roman"/>
          <w:lang w:val="en-US"/>
        </w:rPr>
        <w:t>–</w:t>
      </w:r>
      <w:r w:rsidRPr="00FF6D90">
        <w:rPr>
          <w:rFonts w:ascii="Times New Roman" w:eastAsia="Times New Roman" w:hAnsi="Times New Roman"/>
          <w:lang w:val="en-US"/>
        </w:rPr>
        <w:t xml:space="preserve">0.22 MW. As </w:t>
      </w:r>
      <w:r w:rsidR="00500490">
        <w:rPr>
          <w:rFonts w:ascii="Times New Roman" w:eastAsia="Times New Roman" w:hAnsi="Times New Roman"/>
          <w:lang w:val="en-US"/>
        </w:rPr>
        <w:t>photovoltaic power increases with solar irradiance after sunrise, solar irradiance rises with it, and when solar irradiance is combined with</w:t>
      </w:r>
      <w:r w:rsidRPr="00FF6D90">
        <w:rPr>
          <w:rFonts w:ascii="Times New Roman" w:eastAsia="Times New Roman" w:hAnsi="Times New Roman"/>
          <w:lang w:val="en-US"/>
        </w:rPr>
        <w:t xml:space="preserve"> moderate levels of wind power generation, the dependence on grid importation decreases. </w:t>
      </w:r>
      <w:r w:rsidR="00500490">
        <w:rPr>
          <w:rFonts w:ascii="Times New Roman" w:eastAsia="Times New Roman" w:hAnsi="Times New Roman"/>
          <w:lang w:val="en-US"/>
        </w:rPr>
        <w:t>Between 06:00 and 09:00 h, the renewable supply is comparable to the load demand, and the short transition period</w:t>
      </w:r>
      <w:r w:rsidRPr="00FF6D90">
        <w:rPr>
          <w:rFonts w:ascii="Times New Roman" w:eastAsia="Times New Roman" w:hAnsi="Times New Roman"/>
          <w:lang w:val="en-US"/>
        </w:rPr>
        <w:t xml:space="preserve"> between the net grid requirement is close to zero. Between 09:00 and 11:00 h, there is a s</w:t>
      </w:r>
      <w:r w:rsidR="00500490">
        <w:rPr>
          <w:rFonts w:ascii="Times New Roman" w:eastAsia="Times New Roman" w:hAnsi="Times New Roman"/>
          <w:lang w:val="en-US"/>
        </w:rPr>
        <w:t>mall surplus of renewable generation over local load</w:t>
      </w:r>
      <w:r w:rsidRPr="00FF6D90">
        <w:rPr>
          <w:rFonts w:ascii="Times New Roman" w:eastAsia="Times New Roman" w:hAnsi="Times New Roman"/>
          <w:lang w:val="en-US"/>
        </w:rPr>
        <w:t>. This is indicated by negative grid values (-0.10 to -0.20 MW)</w:t>
      </w:r>
      <w:r w:rsidR="00500490">
        <w:rPr>
          <w:rFonts w:ascii="Times New Roman" w:eastAsia="Times New Roman" w:hAnsi="Times New Roman"/>
          <w:lang w:val="en-US"/>
        </w:rPr>
        <w:t>, which indicate short periods of possible export or inability to draw from</w:t>
      </w:r>
      <w:r w:rsidRPr="00FF6D90">
        <w:rPr>
          <w:rFonts w:ascii="Times New Roman" w:eastAsia="Times New Roman" w:hAnsi="Times New Roman"/>
          <w:lang w:val="en-US"/>
        </w:rPr>
        <w:t xml:space="preserve"> the grid. The</w:t>
      </w:r>
      <w:r w:rsidR="00500490">
        <w:rPr>
          <w:rFonts w:ascii="Times New Roman" w:eastAsia="Times New Roman" w:hAnsi="Times New Roman"/>
          <w:lang w:val="en-US"/>
        </w:rPr>
        <w:t>se times also coincide with peak photovoltaic and wind generation, which improves</w:t>
      </w:r>
      <w:r w:rsidRPr="00FF6D90">
        <w:rPr>
          <w:rFonts w:ascii="Times New Roman" w:eastAsia="Times New Roman" w:hAnsi="Times New Roman"/>
          <w:lang w:val="en-US"/>
        </w:rPr>
        <w:t xml:space="preserve"> solar-to-renewable penetration in the microgrid. The grid depends on </w:t>
      </w:r>
      <w:r w:rsidR="00500490">
        <w:rPr>
          <w:rFonts w:ascii="Times New Roman" w:eastAsia="Times New Roman" w:hAnsi="Times New Roman"/>
          <w:lang w:val="en-US"/>
        </w:rPr>
        <w:t>the export phase, as the system is at peak load between 12:00 and 17:00 h, when demand exceeds</w:t>
      </w:r>
      <w:r w:rsidRPr="00FF6D90">
        <w:rPr>
          <w:rFonts w:ascii="Times New Roman" w:eastAsia="Times New Roman" w:hAnsi="Times New Roman"/>
          <w:lang w:val="en-US"/>
        </w:rPr>
        <w:t xml:space="preserve"> 2 MW. </w:t>
      </w:r>
      <w:r w:rsidR="00500490">
        <w:rPr>
          <w:rFonts w:ascii="Times New Roman" w:eastAsia="Times New Roman" w:hAnsi="Times New Roman"/>
          <w:lang w:val="en-US"/>
        </w:rPr>
        <w:t>Renewable generation cannot adequately meet the rising demand, despite robust solar generation</w:t>
      </w:r>
      <w:r w:rsidRPr="00FF6D90">
        <w:rPr>
          <w:rFonts w:ascii="Times New Roman" w:eastAsia="Times New Roman" w:hAnsi="Times New Roman"/>
          <w:lang w:val="en-US"/>
        </w:rPr>
        <w:t xml:space="preserve">. Therefore, </w:t>
      </w:r>
      <w:r w:rsidR="00500490">
        <w:rPr>
          <w:rFonts w:ascii="Times New Roman" w:eastAsia="Times New Roman" w:hAnsi="Times New Roman"/>
          <w:lang w:val="en-US"/>
        </w:rPr>
        <w:t>the microgrid imports 0.5-1.45 MW, which is one of the highest periods of import during</w:t>
      </w:r>
      <w:r w:rsidRPr="00FF6D90">
        <w:rPr>
          <w:rFonts w:ascii="Times New Roman" w:eastAsia="Times New Roman" w:hAnsi="Times New Roman"/>
          <w:lang w:val="en-US"/>
        </w:rPr>
        <w:t xml:space="preserve"> the day. This highlights the impacts of the midday commercial energy consumption pattern t</w:t>
      </w:r>
      <w:r w:rsidR="00500490">
        <w:rPr>
          <w:rFonts w:ascii="Times New Roman" w:eastAsia="Times New Roman" w:hAnsi="Times New Roman"/>
          <w:lang w:val="en-US"/>
        </w:rPr>
        <w:t>ypical of Bhopal's urban load centers</w:t>
      </w:r>
      <w:r w:rsidRPr="00FF6D90">
        <w:rPr>
          <w:rFonts w:ascii="Times New Roman" w:eastAsia="Times New Roman" w:hAnsi="Times New Roman"/>
          <w:lang w:val="en-US"/>
        </w:rPr>
        <w:t xml:space="preserve">. The contribution </w:t>
      </w:r>
      <w:r w:rsidR="00500490">
        <w:rPr>
          <w:rFonts w:ascii="Times New Roman" w:eastAsia="Times New Roman" w:hAnsi="Times New Roman"/>
          <w:lang w:val="en-US"/>
        </w:rPr>
        <w:t>from photovoltaic generation sharply declines after sunset, and the remaining contributors ar</w:t>
      </w:r>
      <w:r w:rsidRPr="00FF6D90">
        <w:rPr>
          <w:rFonts w:ascii="Times New Roman" w:eastAsia="Times New Roman" w:hAnsi="Times New Roman"/>
          <w:lang w:val="en-US"/>
        </w:rPr>
        <w:t>e wind and battery discharge.</w:t>
      </w:r>
    </w:p>
    <w:p w14:paraId="5CFB0BAF" w14:textId="77777777" w:rsidR="004D29E9" w:rsidRPr="00FF6D90" w:rsidRDefault="004D29E9" w:rsidP="004D29E9">
      <w:pPr>
        <w:widowControl w:val="0"/>
        <w:autoSpaceDE w:val="0"/>
        <w:autoSpaceDN w:val="0"/>
        <w:spacing w:after="0" w:line="240" w:lineRule="auto"/>
        <w:jc w:val="both"/>
        <w:rPr>
          <w:rFonts w:ascii="Times New Roman" w:eastAsia="Times New Roman" w:hAnsi="Times New Roman"/>
          <w:lang w:val="en-US"/>
        </w:rPr>
      </w:pPr>
    </w:p>
    <w:p w14:paraId="216D90E0" w14:textId="49CD9357" w:rsidR="00FB6CA4" w:rsidRPr="00FF6D90" w:rsidRDefault="00FB6CA4" w:rsidP="004D29E9">
      <w:pPr>
        <w:widowControl w:val="0"/>
        <w:autoSpaceDE w:val="0"/>
        <w:autoSpaceDN w:val="0"/>
        <w:spacing w:after="0" w:line="240" w:lineRule="auto"/>
        <w:jc w:val="center"/>
        <w:rPr>
          <w:rFonts w:ascii="Times New Roman" w:eastAsia="Times New Roman" w:hAnsi="Times New Roman"/>
          <w:lang w:val="en-US"/>
        </w:rPr>
      </w:pPr>
      <w:r w:rsidRPr="00FF6D90">
        <w:rPr>
          <w:noProof/>
        </w:rPr>
        <w:drawing>
          <wp:inline distT="0" distB="0" distL="0" distR="0" wp14:anchorId="4BC2F97A" wp14:editId="139CD526">
            <wp:extent cx="5731510" cy="3011805"/>
            <wp:effectExtent l="0" t="0" r="2540" b="0"/>
            <wp:docPr id="1316048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97471" name=""/>
                    <pic:cNvPicPr/>
                  </pic:nvPicPr>
                  <pic:blipFill>
                    <a:blip r:embed="rId19">
                      <a:extLst>
                        <a:ext uri="{28A0092B-C50C-407E-A947-70E740481C1C}">
                          <a14:useLocalDpi xmlns:a14="http://schemas.microsoft.com/office/drawing/2010/main" val="0"/>
                        </a:ext>
                      </a:extLst>
                    </a:blip>
                    <a:stretch>
                      <a:fillRect/>
                    </a:stretch>
                  </pic:blipFill>
                  <pic:spPr>
                    <a:xfrm>
                      <a:off x="0" y="0"/>
                      <a:ext cx="5731510" cy="3011805"/>
                    </a:xfrm>
                    <a:prstGeom prst="rect">
                      <a:avLst/>
                    </a:prstGeom>
                  </pic:spPr>
                </pic:pic>
              </a:graphicData>
            </a:graphic>
          </wp:inline>
        </w:drawing>
      </w:r>
    </w:p>
    <w:p w14:paraId="06F579B7" w14:textId="106EFE8E" w:rsidR="00FB6CA4" w:rsidRPr="00373A5F" w:rsidRDefault="00FB6CA4" w:rsidP="004D29E9">
      <w:pPr>
        <w:pStyle w:val="Rrys"/>
        <w:rPr>
          <w:b/>
          <w:bCs/>
          <w:lang w:val="en-US"/>
        </w:rPr>
      </w:pPr>
      <w:r w:rsidRPr="00373A5F">
        <w:rPr>
          <w:b/>
          <w:bCs/>
          <w:lang w:val="en-US"/>
        </w:rPr>
        <w:t>Fig</w:t>
      </w:r>
      <w:r w:rsidR="004D29E9" w:rsidRPr="00373A5F">
        <w:rPr>
          <w:b/>
          <w:bCs/>
          <w:lang w:val="en-US"/>
        </w:rPr>
        <w:t>.</w:t>
      </w:r>
      <w:r w:rsidRPr="00373A5F">
        <w:rPr>
          <w:b/>
          <w:bCs/>
          <w:lang w:val="en-US"/>
        </w:rPr>
        <w:t xml:space="preserve"> 6</w:t>
      </w:r>
      <w:r w:rsidR="004D29E9" w:rsidRPr="00373A5F">
        <w:rPr>
          <w:b/>
          <w:bCs/>
          <w:lang w:val="en-US"/>
        </w:rPr>
        <w:t>.</w:t>
      </w:r>
      <w:r w:rsidRPr="00373A5F">
        <w:rPr>
          <w:lang w:val="en-US"/>
        </w:rPr>
        <w:t xml:space="preserve"> Hourly grid power exchange of the microgrid under net metering operation</w:t>
      </w:r>
    </w:p>
    <w:p w14:paraId="0656217C" w14:textId="77777777" w:rsidR="00FB6CA4" w:rsidRPr="00FF6D90" w:rsidRDefault="00FB6CA4" w:rsidP="004D29E9">
      <w:pPr>
        <w:widowControl w:val="0"/>
        <w:autoSpaceDE w:val="0"/>
        <w:autoSpaceDN w:val="0"/>
        <w:spacing w:after="0" w:line="240" w:lineRule="auto"/>
        <w:jc w:val="both"/>
        <w:rPr>
          <w:rFonts w:ascii="Times New Roman" w:eastAsia="Times New Roman" w:hAnsi="Times New Roman"/>
          <w:lang w:val="en-US"/>
        </w:rPr>
      </w:pPr>
    </w:p>
    <w:p w14:paraId="5231C654" w14:textId="5FFC42AA" w:rsidR="0008078A" w:rsidRPr="00FF6D90" w:rsidRDefault="0008078A" w:rsidP="004D29E9">
      <w:pPr>
        <w:widowControl w:val="0"/>
        <w:autoSpaceDE w:val="0"/>
        <w:autoSpaceDN w:val="0"/>
        <w:spacing w:after="0" w:line="240" w:lineRule="auto"/>
        <w:ind w:firstLine="284"/>
        <w:jc w:val="both"/>
        <w:rPr>
          <w:rFonts w:ascii="Times New Roman" w:eastAsia="Times New Roman" w:hAnsi="Times New Roman"/>
          <w:lang w:val="en-US"/>
        </w:rPr>
      </w:pPr>
      <w:r w:rsidRPr="00FF6D90">
        <w:rPr>
          <w:rFonts w:ascii="Times New Roman" w:eastAsia="Times New Roman" w:hAnsi="Times New Roman"/>
          <w:lang w:val="en-US"/>
        </w:rPr>
        <w:lastRenderedPageBreak/>
        <w:t xml:space="preserve">Even though </w:t>
      </w:r>
      <w:r w:rsidR="00500490">
        <w:rPr>
          <w:rFonts w:ascii="Times New Roman" w:eastAsia="Times New Roman" w:hAnsi="Times New Roman"/>
          <w:lang w:val="en-US"/>
        </w:rPr>
        <w:t>wind production increases in the late evening, it is still insufficient to offset</w:t>
      </w:r>
      <w:r w:rsidRPr="00FF6D90">
        <w:rPr>
          <w:rFonts w:ascii="Times New Roman" w:eastAsia="Times New Roman" w:hAnsi="Times New Roman"/>
          <w:lang w:val="en-US"/>
        </w:rPr>
        <w:t xml:space="preserve"> the decline in solar power. As a result, the </w:t>
      </w:r>
      <w:r w:rsidR="00500490">
        <w:rPr>
          <w:rFonts w:ascii="Times New Roman" w:eastAsia="Times New Roman" w:hAnsi="Times New Roman"/>
          <w:lang w:val="en-US"/>
        </w:rPr>
        <w:t>grid import is moderate between 18:00–23:00 h and decreases slowly</w:t>
      </w:r>
      <w:r w:rsidRPr="00FF6D90">
        <w:rPr>
          <w:rFonts w:ascii="Times New Roman" w:eastAsia="Times New Roman" w:hAnsi="Times New Roman"/>
          <w:lang w:val="en-US"/>
        </w:rPr>
        <w:t xml:space="preserve"> to 0.35 MW. This trend </w:t>
      </w:r>
      <w:r w:rsidR="00500490">
        <w:rPr>
          <w:rFonts w:ascii="Times New Roman" w:eastAsia="Times New Roman" w:hAnsi="Times New Roman"/>
          <w:lang w:val="en-US"/>
        </w:rPr>
        <w:t>supports the hypothesis that the microgrid is more dependent on the grid in the evening, due to the concomitant drop in PV production and the rise in</w:t>
      </w:r>
      <w:r w:rsidRPr="00FF6D90">
        <w:rPr>
          <w:rFonts w:ascii="Times New Roman" w:eastAsia="Times New Roman" w:hAnsi="Times New Roman"/>
          <w:lang w:val="en-US"/>
        </w:rPr>
        <w:t xml:space="preserve"> domestic power consumption. In general, the grid import/export profile shows that the hybrid PV-Wind-BESS architecture can substantially </w:t>
      </w:r>
      <w:r w:rsidR="00500490">
        <w:rPr>
          <w:rFonts w:ascii="Times New Roman" w:eastAsia="Times New Roman" w:hAnsi="Times New Roman"/>
          <w:lang w:val="en-US"/>
        </w:rPr>
        <w:t>reduce grid reliance during a</w:t>
      </w:r>
      <w:r w:rsidR="00C73EBE">
        <w:rPr>
          <w:rFonts w:ascii="Times New Roman" w:eastAsia="Times New Roman" w:hAnsi="Times New Roman"/>
          <w:lang w:val="en-US"/>
        </w:rPr>
        <w:t> </w:t>
      </w:r>
      <w:r w:rsidR="00500490">
        <w:rPr>
          <w:rFonts w:ascii="Times New Roman" w:eastAsia="Times New Roman" w:hAnsi="Times New Roman"/>
          <w:lang w:val="en-US"/>
        </w:rPr>
        <w:t>renewable surge but still requires additional power during</w:t>
      </w:r>
      <w:r w:rsidRPr="00FF6D90">
        <w:rPr>
          <w:rFonts w:ascii="Times New Roman" w:eastAsia="Times New Roman" w:hAnsi="Times New Roman"/>
          <w:lang w:val="en-US"/>
        </w:rPr>
        <w:t xml:space="preserve"> extended high-demand events. The short export window shows that the system can </w:t>
      </w:r>
      <w:r w:rsidR="00500490">
        <w:rPr>
          <w:rFonts w:ascii="Times New Roman" w:eastAsia="Times New Roman" w:hAnsi="Times New Roman"/>
          <w:lang w:val="en-US"/>
        </w:rPr>
        <w:t>support the distribution network during periods of</w:t>
      </w:r>
      <w:r w:rsidRPr="00FF6D90">
        <w:rPr>
          <w:rFonts w:ascii="Times New Roman" w:eastAsia="Times New Roman" w:hAnsi="Times New Roman"/>
          <w:lang w:val="en-US"/>
        </w:rPr>
        <w:t xml:space="preserve"> renewable availability peaks. These findings reveal </w:t>
      </w:r>
      <w:r w:rsidR="00500490">
        <w:rPr>
          <w:rFonts w:ascii="Times New Roman" w:eastAsia="Times New Roman" w:hAnsi="Times New Roman"/>
          <w:lang w:val="en-US"/>
        </w:rPr>
        <w:t>the importance of energy storage in further reducing grid dependenc</w:t>
      </w:r>
      <w:r w:rsidRPr="00FF6D90">
        <w:rPr>
          <w:rFonts w:ascii="Times New Roman" w:eastAsia="Times New Roman" w:hAnsi="Times New Roman"/>
          <w:lang w:val="en-US"/>
        </w:rPr>
        <w:t>e and illustrate how hybrid renewable microgrids can operate in the Bhopal region.</w:t>
      </w:r>
    </w:p>
    <w:p w14:paraId="58835E32" w14:textId="31C9F1C7" w:rsidR="00040EA0" w:rsidRPr="00FF6D90" w:rsidRDefault="00040EA0" w:rsidP="00500490">
      <w:pPr>
        <w:widowControl w:val="0"/>
        <w:autoSpaceDE w:val="0"/>
        <w:autoSpaceDN w:val="0"/>
        <w:spacing w:after="0" w:line="240" w:lineRule="auto"/>
        <w:ind w:firstLine="284"/>
        <w:jc w:val="both"/>
        <w:rPr>
          <w:rFonts w:ascii="Times New Roman" w:eastAsia="Times New Roman" w:hAnsi="Times New Roman"/>
        </w:rPr>
      </w:pPr>
      <w:r w:rsidRPr="00FF6D90">
        <w:rPr>
          <w:rFonts w:ascii="Times New Roman" w:eastAsia="Times New Roman" w:hAnsi="Times New Roman"/>
        </w:rPr>
        <w:t>The optimization results are expected to vary with seasonal changes in solar irradiance and wind speed, as these directly influence renewable energy availability and battery utilization. Nevertheless, the proposed optimization framework remains applicable under different seasonal conditions by incorporating season-specific renewable resource and load profiles.</w:t>
      </w:r>
    </w:p>
    <w:p w14:paraId="615397DE" w14:textId="58D2EC7F" w:rsidR="0008078A" w:rsidRPr="00373A5F" w:rsidRDefault="004D29E9" w:rsidP="004D29E9">
      <w:pPr>
        <w:pStyle w:val="Rn2"/>
        <w:rPr>
          <w:lang w:val="en-US"/>
        </w:rPr>
      </w:pPr>
      <w:r w:rsidRPr="00373A5F">
        <w:rPr>
          <w:lang w:val="en-US"/>
        </w:rPr>
        <w:t xml:space="preserve">6.4. </w:t>
      </w:r>
      <w:r w:rsidR="00F903B5" w:rsidRPr="00373A5F">
        <w:rPr>
          <w:lang w:val="en-US"/>
        </w:rPr>
        <w:t>Optimization Convergence Analysis</w:t>
      </w:r>
    </w:p>
    <w:p w14:paraId="13DAF1EF" w14:textId="6B9669EB" w:rsidR="004D29E9" w:rsidRDefault="00F903B5" w:rsidP="00C73EBE">
      <w:pPr>
        <w:pStyle w:val="Tekstpodstawowy"/>
        <w:ind w:firstLine="284"/>
        <w:jc w:val="both"/>
        <w:rPr>
          <w:sz w:val="22"/>
          <w:szCs w:val="22"/>
        </w:rPr>
      </w:pPr>
      <w:r w:rsidRPr="00FF6D90">
        <w:rPr>
          <w:sz w:val="22"/>
          <w:szCs w:val="22"/>
        </w:rPr>
        <w:t>The convergence patterns of the three optimization methods</w:t>
      </w:r>
      <w:r w:rsidR="00500490">
        <w:rPr>
          <w:sz w:val="22"/>
          <w:szCs w:val="22"/>
        </w:rPr>
        <w:t>,</w:t>
      </w:r>
      <w:r w:rsidRPr="00FF6D90">
        <w:rPr>
          <w:sz w:val="22"/>
          <w:szCs w:val="22"/>
        </w:rPr>
        <w:t xml:space="preserve"> including particle swarm optimization (PSO), genetic algorithm (GA), and simulated annealing (SA)</w:t>
      </w:r>
      <w:r w:rsidR="00500490">
        <w:rPr>
          <w:sz w:val="22"/>
          <w:szCs w:val="22"/>
        </w:rPr>
        <w:t>,</w:t>
      </w:r>
      <w:r w:rsidRPr="00FF6D90">
        <w:rPr>
          <w:sz w:val="22"/>
          <w:szCs w:val="22"/>
        </w:rPr>
        <w:t xml:space="preserve"> have different search patterns and cost-reduction </w:t>
      </w:r>
      <w:r w:rsidRPr="004D29E9">
        <w:rPr>
          <w:sz w:val="22"/>
          <w:szCs w:val="22"/>
        </w:rPr>
        <w:t xml:space="preserve">effectiveness in solving the operational scheduling of the hybrid microgrid system </w:t>
      </w:r>
      <w:r w:rsidR="00500490">
        <w:rPr>
          <w:sz w:val="22"/>
          <w:szCs w:val="22"/>
        </w:rPr>
        <w:t>for</w:t>
      </w:r>
      <w:r w:rsidRPr="004D29E9">
        <w:rPr>
          <w:sz w:val="22"/>
          <w:szCs w:val="22"/>
        </w:rPr>
        <w:t xml:space="preserve"> day-to-day operation in the Bhopal case study are shown in Figure 7. The present value of the operational cost estimates at the initial iteration </w:t>
      </w:r>
      <w:r w:rsidR="00500490">
        <w:rPr>
          <w:sz w:val="22"/>
          <w:szCs w:val="22"/>
        </w:rPr>
        <w:t>is</w:t>
      </w:r>
      <w:r w:rsidRPr="004D29E9">
        <w:rPr>
          <w:sz w:val="22"/>
          <w:szCs w:val="22"/>
        </w:rPr>
        <w:t xml:space="preserve"> </w:t>
      </w:r>
      <w:r w:rsidRPr="004D29E9">
        <w:rPr>
          <w:sz w:val="22"/>
          <w:szCs w:val="22"/>
          <w:lang w:val="en-IN"/>
        </w:rPr>
        <w:t>₹</w:t>
      </w:r>
      <w:r w:rsidRPr="004D29E9">
        <w:rPr>
          <w:sz w:val="22"/>
          <w:szCs w:val="22"/>
        </w:rPr>
        <w:t xml:space="preserve">0.302 lakh/day, </w:t>
      </w:r>
      <w:r w:rsidRPr="004D29E9">
        <w:rPr>
          <w:sz w:val="22"/>
          <w:szCs w:val="22"/>
          <w:lang w:val="en-IN"/>
        </w:rPr>
        <w:t>₹</w:t>
      </w:r>
      <w:r w:rsidRPr="004D29E9">
        <w:rPr>
          <w:sz w:val="22"/>
          <w:szCs w:val="22"/>
        </w:rPr>
        <w:t>0.334 lakh/day</w:t>
      </w:r>
      <w:r w:rsidR="00500490">
        <w:rPr>
          <w:sz w:val="22"/>
          <w:szCs w:val="22"/>
        </w:rPr>
        <w:t>,</w:t>
      </w:r>
      <w:r w:rsidRPr="004D29E9">
        <w:rPr>
          <w:sz w:val="22"/>
          <w:szCs w:val="22"/>
        </w:rPr>
        <w:t xml:space="preserve"> and </w:t>
      </w:r>
      <w:r w:rsidRPr="004D29E9">
        <w:rPr>
          <w:sz w:val="22"/>
          <w:szCs w:val="22"/>
          <w:lang w:val="en-IN"/>
        </w:rPr>
        <w:t>₹</w:t>
      </w:r>
      <w:r w:rsidRPr="004D29E9">
        <w:rPr>
          <w:sz w:val="22"/>
          <w:szCs w:val="22"/>
        </w:rPr>
        <w:t>0.347 lakh/day</w:t>
      </w:r>
      <w:r w:rsidR="00500490">
        <w:rPr>
          <w:sz w:val="22"/>
          <w:szCs w:val="22"/>
        </w:rPr>
        <w:t>,</w:t>
      </w:r>
      <w:r w:rsidRPr="004D29E9">
        <w:rPr>
          <w:sz w:val="22"/>
          <w:szCs w:val="22"/>
        </w:rPr>
        <w:t xml:space="preserve"> representing the initial fitness values of the stochastic methods. The initial search phase (iterations 0</w:t>
      </w:r>
      <w:r w:rsidR="00FA28CA">
        <w:rPr>
          <w:sz w:val="22"/>
          <w:szCs w:val="22"/>
        </w:rPr>
        <w:t>–</w:t>
      </w:r>
      <w:r w:rsidRPr="004D29E9">
        <w:rPr>
          <w:sz w:val="22"/>
          <w:szCs w:val="22"/>
        </w:rPr>
        <w:t xml:space="preserve">10) </w:t>
      </w:r>
      <w:r w:rsidR="00500490">
        <w:rPr>
          <w:sz w:val="22"/>
          <w:szCs w:val="22"/>
        </w:rPr>
        <w:t>shows that GA is the most aggressive in cost reduction, reducing the cost from</w:t>
      </w:r>
      <w:r w:rsidRPr="004D29E9">
        <w:rPr>
          <w:sz w:val="22"/>
          <w:szCs w:val="22"/>
        </w:rPr>
        <w:t xml:space="preserve"> </w:t>
      </w:r>
      <w:r w:rsidRPr="004D29E9">
        <w:rPr>
          <w:sz w:val="22"/>
          <w:szCs w:val="22"/>
          <w:lang w:val="en-IN"/>
        </w:rPr>
        <w:t>₹</w:t>
      </w:r>
      <w:r w:rsidRPr="004D29E9">
        <w:rPr>
          <w:sz w:val="22"/>
          <w:szCs w:val="22"/>
        </w:rPr>
        <w:t xml:space="preserve">0.334 lakh/day to around </w:t>
      </w:r>
      <w:r w:rsidRPr="004D29E9">
        <w:rPr>
          <w:sz w:val="22"/>
          <w:szCs w:val="22"/>
          <w:lang w:val="en-IN"/>
        </w:rPr>
        <w:t>₹</w:t>
      </w:r>
      <w:r w:rsidRPr="004D29E9">
        <w:rPr>
          <w:sz w:val="22"/>
          <w:szCs w:val="22"/>
        </w:rPr>
        <w:t>0.309 lakh/day, a 7.5% reduction. This behavior is attributed to the exploration mechanism of GA</w:t>
      </w:r>
      <w:r w:rsidR="00500490">
        <w:rPr>
          <w:sz w:val="22"/>
          <w:szCs w:val="22"/>
        </w:rPr>
        <w:t>, whereby crossover-mutation diversity enables the algorithm to quickly discard</w:t>
      </w:r>
      <w:r w:rsidRPr="00FF6D90">
        <w:rPr>
          <w:sz w:val="22"/>
          <w:szCs w:val="22"/>
        </w:rPr>
        <w:t xml:space="preserve"> poor-quality initial solutions. On the other hand, the progression of PSO is steady and stable</w:t>
      </w:r>
      <w:r w:rsidR="00500490">
        <w:rPr>
          <w:sz w:val="22"/>
          <w:szCs w:val="22"/>
        </w:rPr>
        <w:t>, as the cost decreases from</w:t>
      </w:r>
      <w:r w:rsidRPr="00FF6D90">
        <w:rPr>
          <w:sz w:val="22"/>
          <w:szCs w:val="22"/>
        </w:rPr>
        <w:t xml:space="preserve"> </w:t>
      </w:r>
      <w:r w:rsidRPr="00FF6D90">
        <w:rPr>
          <w:sz w:val="22"/>
          <w:szCs w:val="22"/>
          <w:lang w:val="en-IN"/>
        </w:rPr>
        <w:t>₹</w:t>
      </w:r>
      <w:r w:rsidRPr="00FF6D90">
        <w:rPr>
          <w:sz w:val="22"/>
          <w:szCs w:val="22"/>
        </w:rPr>
        <w:t xml:space="preserve">0.302 lakh/day to </w:t>
      </w:r>
      <w:r w:rsidRPr="00FF6D90">
        <w:rPr>
          <w:sz w:val="22"/>
          <w:szCs w:val="22"/>
          <w:lang w:val="en-IN"/>
        </w:rPr>
        <w:t>₹</w:t>
      </w:r>
      <w:r w:rsidRPr="00FF6D90">
        <w:rPr>
          <w:sz w:val="22"/>
          <w:szCs w:val="22"/>
        </w:rPr>
        <w:t xml:space="preserve">0.299 lakh/day in iteration 12. The velocity-position update mechanism of PSO enables the swarm to gradually accumulate in </w:t>
      </w:r>
      <w:r w:rsidR="00500490">
        <w:rPr>
          <w:sz w:val="22"/>
          <w:szCs w:val="22"/>
        </w:rPr>
        <w:t>high-quality regions of the search space, thereby preventing</w:t>
      </w:r>
      <w:r w:rsidRPr="00FF6D90">
        <w:rPr>
          <w:sz w:val="22"/>
          <w:szCs w:val="22"/>
        </w:rPr>
        <w:t xml:space="preserve"> premature convergence. PSO finds a stabilizing minimum of about </w:t>
      </w:r>
      <w:r w:rsidRPr="00FF6D90">
        <w:rPr>
          <w:sz w:val="22"/>
          <w:szCs w:val="22"/>
          <w:lang w:val="en-IN"/>
        </w:rPr>
        <w:t>₹</w:t>
      </w:r>
      <w:r w:rsidRPr="00FF6D90">
        <w:rPr>
          <w:sz w:val="22"/>
          <w:szCs w:val="22"/>
        </w:rPr>
        <w:t xml:space="preserve">0.2985 lakh/day after iteration 15, which is the lowest operational cost </w:t>
      </w:r>
      <w:r w:rsidR="00500490">
        <w:rPr>
          <w:sz w:val="22"/>
          <w:szCs w:val="22"/>
        </w:rPr>
        <w:t>among</w:t>
      </w:r>
      <w:r w:rsidRPr="00FF6D90">
        <w:rPr>
          <w:sz w:val="22"/>
          <w:szCs w:val="22"/>
        </w:rPr>
        <w:t xml:space="preserve"> the three algorithms. The convergence plateau also shows that PSO is </w:t>
      </w:r>
      <w:r w:rsidR="00500490">
        <w:rPr>
          <w:sz w:val="22"/>
          <w:szCs w:val="22"/>
        </w:rPr>
        <w:t>well positioned to balance global and local search pressures, allowing the particles to fine-</w:t>
      </w:r>
      <w:r w:rsidRPr="00FF6D90">
        <w:rPr>
          <w:sz w:val="22"/>
          <w:szCs w:val="22"/>
        </w:rPr>
        <w:t xml:space="preserve">tune around the optimum without oscillations. Similarly, SA demonstrates the slowest convergence, reaching only ₹0.320 lakh/day after 25 iterations and stabilizing near ₹0.319–0.320 lakh/day for the remainder of the optimization. This outcome is anticipated, as the annealing schedule reduces the system </w:t>
      </w:r>
      <w:r w:rsidR="007E1AB9">
        <w:rPr>
          <w:sz w:val="22"/>
          <w:szCs w:val="22"/>
        </w:rPr>
        <w:t>"</w:t>
      </w:r>
      <w:r w:rsidRPr="00FF6D90">
        <w:rPr>
          <w:sz w:val="22"/>
          <w:szCs w:val="22"/>
        </w:rPr>
        <w:t>temperature</w:t>
      </w:r>
      <w:r w:rsidR="007E1AB9">
        <w:rPr>
          <w:sz w:val="22"/>
          <w:szCs w:val="22"/>
        </w:rPr>
        <w:t>"</w:t>
      </w:r>
      <w:r w:rsidRPr="00FF6D90">
        <w:rPr>
          <w:sz w:val="22"/>
          <w:szCs w:val="22"/>
        </w:rPr>
        <w:t xml:space="preserve"> gradually, prioritizing global exploration over rapid convergence. While SA is robust </w:t>
      </w:r>
      <w:r w:rsidR="00500490">
        <w:rPr>
          <w:sz w:val="22"/>
          <w:szCs w:val="22"/>
        </w:rPr>
        <w:t>against local minima, its convergence rat</w:t>
      </w:r>
      <w:r w:rsidRPr="00FF6D90">
        <w:rPr>
          <w:sz w:val="22"/>
          <w:szCs w:val="22"/>
        </w:rPr>
        <w:t>e is inherently slower, and its final operational cost remains approximately 7.2% higher than that of PSO.</w:t>
      </w:r>
    </w:p>
    <w:p w14:paraId="187A5160" w14:textId="78B3BC10" w:rsidR="004D29E9" w:rsidRPr="00FF6D90" w:rsidRDefault="004D29E9" w:rsidP="004D29E9">
      <w:pPr>
        <w:pStyle w:val="Tekstpodstawowy"/>
        <w:jc w:val="center"/>
        <w:rPr>
          <w:sz w:val="22"/>
          <w:szCs w:val="22"/>
        </w:rPr>
      </w:pPr>
      <w:r w:rsidRPr="00FF6D90">
        <w:rPr>
          <w:noProof/>
          <w:lang w:val="en-IN"/>
        </w:rPr>
        <w:drawing>
          <wp:inline distT="0" distB="0" distL="0" distR="0" wp14:anchorId="2242ACEC" wp14:editId="72F09DFE">
            <wp:extent cx="5730240" cy="2667000"/>
            <wp:effectExtent l="0" t="0" r="3810" b="0"/>
            <wp:docPr id="20974468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240" cy="2667000"/>
                    </a:xfrm>
                    <a:prstGeom prst="rect">
                      <a:avLst/>
                    </a:prstGeom>
                    <a:noFill/>
                    <a:ln>
                      <a:noFill/>
                    </a:ln>
                  </pic:spPr>
                </pic:pic>
              </a:graphicData>
            </a:graphic>
          </wp:inline>
        </w:drawing>
      </w:r>
    </w:p>
    <w:p w14:paraId="100B791D" w14:textId="7D29F7AB" w:rsidR="00F903B5" w:rsidRPr="00373A5F" w:rsidRDefault="00F903B5" w:rsidP="004D29E9">
      <w:pPr>
        <w:pStyle w:val="Rrys"/>
        <w:rPr>
          <w:lang w:val="en-US"/>
        </w:rPr>
      </w:pPr>
      <w:r w:rsidRPr="00373A5F">
        <w:rPr>
          <w:b/>
          <w:bCs/>
          <w:lang w:val="en-US"/>
        </w:rPr>
        <w:t>Fig</w:t>
      </w:r>
      <w:r w:rsidR="004D29E9" w:rsidRPr="00373A5F">
        <w:rPr>
          <w:b/>
          <w:bCs/>
          <w:lang w:val="en-US"/>
        </w:rPr>
        <w:t>.</w:t>
      </w:r>
      <w:r w:rsidRPr="00373A5F">
        <w:rPr>
          <w:b/>
          <w:bCs/>
          <w:lang w:val="en-US"/>
        </w:rPr>
        <w:t xml:space="preserve"> 7</w:t>
      </w:r>
      <w:r w:rsidR="004D29E9" w:rsidRPr="00373A5F">
        <w:rPr>
          <w:b/>
          <w:bCs/>
          <w:lang w:val="en-US"/>
        </w:rPr>
        <w:t>.</w:t>
      </w:r>
      <w:r w:rsidR="004D29E9" w:rsidRPr="00373A5F">
        <w:rPr>
          <w:lang w:val="en-US"/>
        </w:rPr>
        <w:t xml:space="preserve"> </w:t>
      </w:r>
      <w:r w:rsidRPr="00373A5F">
        <w:rPr>
          <w:lang w:val="en-US"/>
        </w:rPr>
        <w:t>Convergence behavior of PSO, GA, and SA algorithms for microgrid operational cost optimization</w:t>
      </w:r>
    </w:p>
    <w:p w14:paraId="2332158B" w14:textId="7420563F" w:rsidR="00F903B5" w:rsidRDefault="00F903B5" w:rsidP="004D29E9">
      <w:pPr>
        <w:pStyle w:val="Tekstpodstawowy"/>
        <w:jc w:val="both"/>
      </w:pPr>
    </w:p>
    <w:p w14:paraId="5FCAE061" w14:textId="4C06F332" w:rsidR="00500490" w:rsidRPr="00FF6D90" w:rsidRDefault="00500490" w:rsidP="00500490">
      <w:pPr>
        <w:spacing w:after="0" w:line="240" w:lineRule="auto"/>
        <w:ind w:firstLine="284"/>
        <w:jc w:val="both"/>
        <w:rPr>
          <w:rFonts w:ascii="Times New Roman" w:hAnsi="Times New Roman"/>
        </w:rPr>
      </w:pPr>
      <w:r w:rsidRPr="004D29E9">
        <w:rPr>
          <w:rFonts w:ascii="Times New Roman" w:hAnsi="Times New Roman"/>
        </w:rPr>
        <w:t xml:space="preserve">Table 3 presents a comparison that underscores </w:t>
      </w:r>
      <w:r>
        <w:rPr>
          <w:rFonts w:ascii="Times New Roman" w:hAnsi="Times New Roman"/>
        </w:rPr>
        <w:t>PSO's superiority</w:t>
      </w:r>
      <w:r w:rsidRPr="004D29E9">
        <w:rPr>
          <w:rFonts w:ascii="Times New Roman" w:hAnsi="Times New Roman"/>
        </w:rPr>
        <w:t xml:space="preserve"> in addressing this specific microgrid dispatch problem. The marginal difference between GA and PSO upon convergence (~₹0.0003–0.0005 lakh/day) suggests</w:t>
      </w:r>
      <w:r w:rsidRPr="00FF6D90">
        <w:rPr>
          <w:rFonts w:ascii="Times New Roman" w:hAnsi="Times New Roman"/>
        </w:rPr>
        <w:t xml:space="preserve"> that both algorithms can achieve near-optimal solutions. However, PSO reaches the </w:t>
      </w:r>
      <w:r w:rsidRPr="00FF6D90">
        <w:rPr>
          <w:rFonts w:ascii="Times New Roman" w:hAnsi="Times New Roman"/>
        </w:rPr>
        <w:lastRenderedPageBreak/>
        <w:t xml:space="preserve">optimum more swiftly and with smoother convergence, rendering it more suitable for real-time or iterative microgrid dispatch applications. Conversely, the slower decay curve of SA confirms its limited suitability for short-horizon operational scheduling, where rapid convergence is crucial. The overall convergence </w:t>
      </w:r>
      <w:proofErr w:type="spellStart"/>
      <w:r w:rsidRPr="00FF6D90">
        <w:rPr>
          <w:rFonts w:ascii="Times New Roman" w:hAnsi="Times New Roman"/>
        </w:rPr>
        <w:t>behavior</w:t>
      </w:r>
      <w:proofErr w:type="spellEnd"/>
      <w:r w:rsidRPr="00FF6D90">
        <w:rPr>
          <w:rFonts w:ascii="Times New Roman" w:hAnsi="Times New Roman"/>
        </w:rPr>
        <w:t xml:space="preserve"> substantiates the reliability of PSO-based cost minimization, demonstrating that </w:t>
      </w:r>
      <w:r>
        <w:rPr>
          <w:rFonts w:ascii="Times New Roman" w:hAnsi="Times New Roman"/>
        </w:rPr>
        <w:t>integrating</w:t>
      </w:r>
      <w:r w:rsidRPr="00FF6D90">
        <w:rPr>
          <w:rFonts w:ascii="Times New Roman" w:hAnsi="Times New Roman"/>
        </w:rPr>
        <w:t xml:space="preserve"> swarm intelligence and adaptive search dynamics is highly effective for mixed-integer, nonlinear microgrid optimization problems involving renewable variability, battery energy storage system scheduling, and grid interaction constraints.</w:t>
      </w:r>
    </w:p>
    <w:p w14:paraId="31DCE6D2" w14:textId="77777777" w:rsidR="00500490" w:rsidRPr="00FF6D90" w:rsidRDefault="00500490" w:rsidP="004D29E9">
      <w:pPr>
        <w:pStyle w:val="Tekstpodstawowy"/>
        <w:jc w:val="both"/>
      </w:pPr>
    </w:p>
    <w:p w14:paraId="53713E53" w14:textId="1CE1D8FD" w:rsidR="00F903B5" w:rsidRPr="00373A5F" w:rsidRDefault="00F903B5" w:rsidP="004D29E9">
      <w:pPr>
        <w:pStyle w:val="Rtab"/>
        <w:rPr>
          <w:lang w:val="en-US"/>
        </w:rPr>
      </w:pPr>
      <w:r w:rsidRPr="00373A5F">
        <w:rPr>
          <w:b/>
          <w:bCs/>
          <w:lang w:val="en-US"/>
        </w:rPr>
        <w:t>Table 3</w:t>
      </w:r>
      <w:r w:rsidR="004D29E9" w:rsidRPr="00373A5F">
        <w:rPr>
          <w:b/>
          <w:bCs/>
          <w:lang w:val="en-US"/>
        </w:rPr>
        <w:t>.</w:t>
      </w:r>
      <w:r w:rsidRPr="00373A5F">
        <w:rPr>
          <w:lang w:val="en-US"/>
        </w:rPr>
        <w:t xml:space="preserve"> Comparative performance of PSO, GA, and SA algorithms for microgrid operational cost optimization</w:t>
      </w:r>
    </w:p>
    <w:tbl>
      <w:tblPr>
        <w:tblStyle w:val="Tabl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995"/>
        <w:gridCol w:w="1259"/>
        <w:gridCol w:w="1999"/>
        <w:gridCol w:w="1417"/>
        <w:gridCol w:w="1701"/>
        <w:gridCol w:w="2122"/>
      </w:tblGrid>
      <w:tr w:rsidR="00F903B5" w:rsidRPr="00FF6D90" w14:paraId="0BD0E3EB" w14:textId="77777777" w:rsidTr="00822744">
        <w:trPr>
          <w:cnfStyle w:val="100000000000" w:firstRow="1" w:lastRow="0" w:firstColumn="0" w:lastColumn="0" w:oddVBand="0" w:evenVBand="0" w:oddHBand="0" w:evenHBand="0" w:firstRowFirstColumn="0" w:firstRowLastColumn="0" w:lastRowFirstColumn="0" w:lastRowLastColumn="0"/>
          <w:trHeight w:val="575"/>
          <w:tblHeader/>
        </w:trPr>
        <w:tc>
          <w:tcPr>
            <w:tcW w:w="0" w:type="auto"/>
            <w:tcBorders>
              <w:top w:val="single" w:sz="4" w:space="0" w:color="auto"/>
              <w:left w:val="nil"/>
              <w:bottom w:val="single" w:sz="4" w:space="0" w:color="auto"/>
              <w:right w:val="nil"/>
            </w:tcBorders>
            <w:vAlign w:val="center"/>
            <w:hideMark/>
          </w:tcPr>
          <w:p w14:paraId="3A70E546"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Algorithm</w:t>
            </w:r>
          </w:p>
        </w:tc>
        <w:tc>
          <w:tcPr>
            <w:tcW w:w="1259" w:type="dxa"/>
            <w:tcBorders>
              <w:top w:val="single" w:sz="4" w:space="0" w:color="auto"/>
              <w:left w:val="nil"/>
              <w:bottom w:val="single" w:sz="4" w:space="0" w:color="auto"/>
              <w:right w:val="nil"/>
            </w:tcBorders>
            <w:vAlign w:val="center"/>
            <w:hideMark/>
          </w:tcPr>
          <w:p w14:paraId="18187038" w14:textId="148C893B" w:rsidR="00F903B5" w:rsidRPr="004D29E9" w:rsidRDefault="00F903B5" w:rsidP="004D29E9">
            <w:pPr>
              <w:pStyle w:val="Compact"/>
              <w:spacing w:before="0" w:after="0"/>
              <w:jc w:val="center"/>
              <w:rPr>
                <w:sz w:val="20"/>
                <w:szCs w:val="20"/>
                <w:lang w:eastAsia="en-IN"/>
              </w:rPr>
            </w:pPr>
            <w:r w:rsidRPr="004D29E9">
              <w:rPr>
                <w:sz w:val="20"/>
                <w:szCs w:val="20"/>
                <w:lang w:eastAsia="en-IN"/>
              </w:rPr>
              <w:t xml:space="preserve">Initial Cost </w:t>
            </w:r>
            <w:r w:rsidR="007B3B88">
              <w:rPr>
                <w:sz w:val="20"/>
                <w:szCs w:val="20"/>
                <w:lang w:eastAsia="en-IN"/>
              </w:rPr>
              <w:br/>
            </w:r>
            <w:r w:rsidRPr="004D29E9">
              <w:rPr>
                <w:sz w:val="20"/>
                <w:szCs w:val="20"/>
                <w:lang w:eastAsia="en-IN"/>
              </w:rPr>
              <w:t>(₹ lakh/day)</w:t>
            </w:r>
          </w:p>
        </w:tc>
        <w:tc>
          <w:tcPr>
            <w:tcW w:w="1999" w:type="dxa"/>
            <w:tcBorders>
              <w:top w:val="single" w:sz="4" w:space="0" w:color="auto"/>
              <w:left w:val="nil"/>
              <w:bottom w:val="single" w:sz="4" w:space="0" w:color="auto"/>
              <w:right w:val="nil"/>
            </w:tcBorders>
            <w:vAlign w:val="center"/>
            <w:hideMark/>
          </w:tcPr>
          <w:p w14:paraId="7C95DA40" w14:textId="4C28E84A" w:rsidR="00F903B5" w:rsidRPr="004D29E9" w:rsidRDefault="00F903B5" w:rsidP="004D29E9">
            <w:pPr>
              <w:pStyle w:val="Compact"/>
              <w:spacing w:before="0" w:after="0"/>
              <w:jc w:val="center"/>
              <w:rPr>
                <w:sz w:val="20"/>
                <w:szCs w:val="20"/>
                <w:lang w:eastAsia="en-IN"/>
              </w:rPr>
            </w:pPr>
            <w:r w:rsidRPr="004D29E9">
              <w:rPr>
                <w:sz w:val="20"/>
                <w:szCs w:val="20"/>
                <w:lang w:eastAsia="en-IN"/>
              </w:rPr>
              <w:t xml:space="preserve">Final Cost </w:t>
            </w:r>
            <w:r w:rsidR="007B3B88">
              <w:rPr>
                <w:sz w:val="20"/>
                <w:szCs w:val="20"/>
                <w:lang w:eastAsia="en-IN"/>
              </w:rPr>
              <w:br/>
            </w:r>
            <w:r w:rsidRPr="004D29E9">
              <w:rPr>
                <w:sz w:val="20"/>
                <w:szCs w:val="20"/>
                <w:lang w:eastAsia="en-IN"/>
              </w:rPr>
              <w:t>(₹ lakh/day)</w:t>
            </w:r>
          </w:p>
        </w:tc>
        <w:tc>
          <w:tcPr>
            <w:tcW w:w="1417" w:type="dxa"/>
            <w:tcBorders>
              <w:top w:val="single" w:sz="4" w:space="0" w:color="auto"/>
              <w:left w:val="nil"/>
              <w:bottom w:val="single" w:sz="4" w:space="0" w:color="auto"/>
              <w:right w:val="nil"/>
            </w:tcBorders>
            <w:vAlign w:val="center"/>
            <w:hideMark/>
          </w:tcPr>
          <w:p w14:paraId="1BE2B526" w14:textId="5864356C" w:rsidR="00F903B5" w:rsidRPr="004D29E9" w:rsidRDefault="00F903B5" w:rsidP="004D29E9">
            <w:pPr>
              <w:pStyle w:val="Compact"/>
              <w:spacing w:before="0" w:after="0"/>
              <w:jc w:val="center"/>
              <w:rPr>
                <w:sz w:val="20"/>
                <w:szCs w:val="20"/>
                <w:lang w:eastAsia="en-IN"/>
              </w:rPr>
            </w:pPr>
            <w:r w:rsidRPr="004D29E9">
              <w:rPr>
                <w:sz w:val="20"/>
                <w:szCs w:val="20"/>
                <w:lang w:eastAsia="en-IN"/>
              </w:rPr>
              <w:t xml:space="preserve">Total </w:t>
            </w:r>
            <w:r w:rsidR="007B3B88">
              <w:rPr>
                <w:sz w:val="20"/>
                <w:szCs w:val="20"/>
                <w:lang w:eastAsia="en-IN"/>
              </w:rPr>
              <w:br/>
            </w:r>
            <w:r w:rsidRPr="004D29E9">
              <w:rPr>
                <w:sz w:val="20"/>
                <w:szCs w:val="20"/>
                <w:lang w:eastAsia="en-IN"/>
              </w:rPr>
              <w:t>Improvement</w:t>
            </w:r>
          </w:p>
        </w:tc>
        <w:tc>
          <w:tcPr>
            <w:tcW w:w="1701" w:type="dxa"/>
            <w:tcBorders>
              <w:top w:val="single" w:sz="4" w:space="0" w:color="auto"/>
              <w:left w:val="nil"/>
              <w:bottom w:val="single" w:sz="4" w:space="0" w:color="auto"/>
              <w:right w:val="nil"/>
            </w:tcBorders>
            <w:vAlign w:val="center"/>
            <w:hideMark/>
          </w:tcPr>
          <w:p w14:paraId="634C3BDC"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Convergence Speed</w:t>
            </w:r>
          </w:p>
        </w:tc>
        <w:tc>
          <w:tcPr>
            <w:tcW w:w="2122" w:type="dxa"/>
            <w:tcBorders>
              <w:top w:val="single" w:sz="4" w:space="0" w:color="auto"/>
              <w:left w:val="nil"/>
              <w:bottom w:val="single" w:sz="4" w:space="0" w:color="auto"/>
              <w:right w:val="nil"/>
            </w:tcBorders>
            <w:vAlign w:val="center"/>
            <w:hideMark/>
          </w:tcPr>
          <w:p w14:paraId="7EA14494"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Remarks</w:t>
            </w:r>
          </w:p>
        </w:tc>
      </w:tr>
      <w:tr w:rsidR="00F903B5" w:rsidRPr="00FF6D90" w14:paraId="19CC9EDA" w14:textId="77777777" w:rsidTr="00822744">
        <w:trPr>
          <w:trHeight w:val="509"/>
        </w:trPr>
        <w:tc>
          <w:tcPr>
            <w:tcW w:w="0" w:type="auto"/>
            <w:tcBorders>
              <w:top w:val="single" w:sz="4" w:space="0" w:color="auto"/>
              <w:left w:val="nil"/>
              <w:bottom w:val="single" w:sz="4" w:space="0" w:color="auto"/>
              <w:right w:val="nil"/>
            </w:tcBorders>
            <w:vAlign w:val="center"/>
            <w:hideMark/>
          </w:tcPr>
          <w:p w14:paraId="67C4757A"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PSO</w:t>
            </w:r>
          </w:p>
        </w:tc>
        <w:tc>
          <w:tcPr>
            <w:tcW w:w="1259" w:type="dxa"/>
            <w:tcBorders>
              <w:top w:val="single" w:sz="4" w:space="0" w:color="auto"/>
              <w:left w:val="nil"/>
              <w:bottom w:val="single" w:sz="4" w:space="0" w:color="auto"/>
              <w:right w:val="nil"/>
            </w:tcBorders>
            <w:vAlign w:val="center"/>
            <w:hideMark/>
          </w:tcPr>
          <w:p w14:paraId="76DBB19E"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~0.302</w:t>
            </w:r>
          </w:p>
        </w:tc>
        <w:tc>
          <w:tcPr>
            <w:tcW w:w="1999" w:type="dxa"/>
            <w:tcBorders>
              <w:top w:val="single" w:sz="4" w:space="0" w:color="auto"/>
              <w:left w:val="nil"/>
              <w:bottom w:val="single" w:sz="4" w:space="0" w:color="auto"/>
              <w:right w:val="nil"/>
            </w:tcBorders>
            <w:vAlign w:val="center"/>
            <w:hideMark/>
          </w:tcPr>
          <w:p w14:paraId="6539F49B"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0.298–0.299</w:t>
            </w:r>
          </w:p>
        </w:tc>
        <w:tc>
          <w:tcPr>
            <w:tcW w:w="1417" w:type="dxa"/>
            <w:tcBorders>
              <w:top w:val="single" w:sz="4" w:space="0" w:color="auto"/>
              <w:left w:val="nil"/>
              <w:bottom w:val="single" w:sz="4" w:space="0" w:color="auto"/>
              <w:right w:val="nil"/>
            </w:tcBorders>
            <w:vAlign w:val="center"/>
            <w:hideMark/>
          </w:tcPr>
          <w:p w14:paraId="7B69C209"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1.3%</w:t>
            </w:r>
          </w:p>
        </w:tc>
        <w:tc>
          <w:tcPr>
            <w:tcW w:w="1701" w:type="dxa"/>
            <w:tcBorders>
              <w:top w:val="single" w:sz="4" w:space="0" w:color="auto"/>
              <w:left w:val="nil"/>
              <w:bottom w:val="single" w:sz="4" w:space="0" w:color="auto"/>
              <w:right w:val="nil"/>
            </w:tcBorders>
            <w:vAlign w:val="center"/>
            <w:hideMark/>
          </w:tcPr>
          <w:p w14:paraId="2345CA68"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Fast and stable</w:t>
            </w:r>
          </w:p>
        </w:tc>
        <w:tc>
          <w:tcPr>
            <w:tcW w:w="2122" w:type="dxa"/>
            <w:tcBorders>
              <w:top w:val="single" w:sz="4" w:space="0" w:color="auto"/>
              <w:left w:val="nil"/>
              <w:bottom w:val="single" w:sz="4" w:space="0" w:color="auto"/>
              <w:right w:val="nil"/>
            </w:tcBorders>
            <w:vAlign w:val="center"/>
            <w:hideMark/>
          </w:tcPr>
          <w:p w14:paraId="4772CA6D"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Best overall performance; lowest cost</w:t>
            </w:r>
          </w:p>
        </w:tc>
      </w:tr>
      <w:tr w:rsidR="00F903B5" w:rsidRPr="00FF6D90" w14:paraId="3FDBE508" w14:textId="77777777" w:rsidTr="00822744">
        <w:trPr>
          <w:trHeight w:val="558"/>
        </w:trPr>
        <w:tc>
          <w:tcPr>
            <w:tcW w:w="0" w:type="auto"/>
            <w:tcBorders>
              <w:top w:val="single" w:sz="4" w:space="0" w:color="auto"/>
              <w:bottom w:val="single" w:sz="4" w:space="0" w:color="auto"/>
            </w:tcBorders>
            <w:vAlign w:val="center"/>
            <w:hideMark/>
          </w:tcPr>
          <w:p w14:paraId="59F6D035"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GA</w:t>
            </w:r>
          </w:p>
        </w:tc>
        <w:tc>
          <w:tcPr>
            <w:tcW w:w="1259" w:type="dxa"/>
            <w:tcBorders>
              <w:top w:val="single" w:sz="4" w:space="0" w:color="auto"/>
              <w:bottom w:val="single" w:sz="4" w:space="0" w:color="auto"/>
            </w:tcBorders>
            <w:vAlign w:val="center"/>
            <w:hideMark/>
          </w:tcPr>
          <w:p w14:paraId="6C9E783D"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~0.334</w:t>
            </w:r>
          </w:p>
        </w:tc>
        <w:tc>
          <w:tcPr>
            <w:tcW w:w="1999" w:type="dxa"/>
            <w:tcBorders>
              <w:top w:val="single" w:sz="4" w:space="0" w:color="auto"/>
              <w:bottom w:val="single" w:sz="4" w:space="0" w:color="auto"/>
            </w:tcBorders>
            <w:vAlign w:val="center"/>
            <w:hideMark/>
          </w:tcPr>
          <w:p w14:paraId="1677A716"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0.2988–0.2992</w:t>
            </w:r>
          </w:p>
        </w:tc>
        <w:tc>
          <w:tcPr>
            <w:tcW w:w="1417" w:type="dxa"/>
            <w:tcBorders>
              <w:top w:val="single" w:sz="4" w:space="0" w:color="auto"/>
              <w:bottom w:val="single" w:sz="4" w:space="0" w:color="auto"/>
            </w:tcBorders>
            <w:vAlign w:val="center"/>
            <w:hideMark/>
          </w:tcPr>
          <w:p w14:paraId="0751B244"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10.3%</w:t>
            </w:r>
          </w:p>
        </w:tc>
        <w:tc>
          <w:tcPr>
            <w:tcW w:w="1701" w:type="dxa"/>
            <w:tcBorders>
              <w:top w:val="single" w:sz="4" w:space="0" w:color="auto"/>
              <w:bottom w:val="single" w:sz="4" w:space="0" w:color="auto"/>
            </w:tcBorders>
            <w:vAlign w:val="center"/>
            <w:hideMark/>
          </w:tcPr>
          <w:p w14:paraId="643081D0" w14:textId="7489B3CC" w:rsidR="00F903B5" w:rsidRPr="004D29E9" w:rsidRDefault="00F903B5" w:rsidP="004D29E9">
            <w:pPr>
              <w:pStyle w:val="Compact"/>
              <w:spacing w:before="0" w:after="0"/>
              <w:jc w:val="center"/>
              <w:rPr>
                <w:sz w:val="20"/>
                <w:szCs w:val="20"/>
                <w:lang w:eastAsia="en-IN"/>
              </w:rPr>
            </w:pPr>
            <w:r w:rsidRPr="004D29E9">
              <w:rPr>
                <w:sz w:val="20"/>
                <w:szCs w:val="20"/>
                <w:lang w:eastAsia="en-IN"/>
              </w:rPr>
              <w:t xml:space="preserve">Fast initially, </w:t>
            </w:r>
            <w:r w:rsidR="007B3B88">
              <w:rPr>
                <w:sz w:val="20"/>
                <w:szCs w:val="20"/>
                <w:lang w:eastAsia="en-IN"/>
              </w:rPr>
              <w:br/>
            </w:r>
            <w:r w:rsidRPr="004D29E9">
              <w:rPr>
                <w:sz w:val="20"/>
                <w:szCs w:val="20"/>
                <w:lang w:eastAsia="en-IN"/>
              </w:rPr>
              <w:t>then stable</w:t>
            </w:r>
          </w:p>
        </w:tc>
        <w:tc>
          <w:tcPr>
            <w:tcW w:w="2122" w:type="dxa"/>
            <w:tcBorders>
              <w:top w:val="single" w:sz="4" w:space="0" w:color="auto"/>
              <w:bottom w:val="single" w:sz="4" w:space="0" w:color="auto"/>
            </w:tcBorders>
            <w:vAlign w:val="center"/>
            <w:hideMark/>
          </w:tcPr>
          <w:p w14:paraId="33F101B9"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Near optimal; slightly higher than PSO</w:t>
            </w:r>
          </w:p>
        </w:tc>
      </w:tr>
      <w:tr w:rsidR="00F903B5" w:rsidRPr="00FF6D90" w14:paraId="37DCC95D" w14:textId="77777777" w:rsidTr="00822744">
        <w:trPr>
          <w:trHeight w:val="552"/>
        </w:trPr>
        <w:tc>
          <w:tcPr>
            <w:tcW w:w="0" w:type="auto"/>
            <w:tcBorders>
              <w:top w:val="single" w:sz="4" w:space="0" w:color="auto"/>
              <w:left w:val="nil"/>
              <w:bottom w:val="single" w:sz="4" w:space="0" w:color="auto"/>
              <w:right w:val="nil"/>
            </w:tcBorders>
            <w:vAlign w:val="center"/>
            <w:hideMark/>
          </w:tcPr>
          <w:p w14:paraId="71EE410A"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SA</w:t>
            </w:r>
          </w:p>
        </w:tc>
        <w:tc>
          <w:tcPr>
            <w:tcW w:w="1259" w:type="dxa"/>
            <w:tcBorders>
              <w:top w:val="single" w:sz="4" w:space="0" w:color="auto"/>
              <w:left w:val="nil"/>
              <w:bottom w:val="single" w:sz="4" w:space="0" w:color="auto"/>
              <w:right w:val="nil"/>
            </w:tcBorders>
            <w:vAlign w:val="center"/>
            <w:hideMark/>
          </w:tcPr>
          <w:p w14:paraId="5C42145E"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~0.347</w:t>
            </w:r>
          </w:p>
        </w:tc>
        <w:tc>
          <w:tcPr>
            <w:tcW w:w="1999" w:type="dxa"/>
            <w:tcBorders>
              <w:top w:val="single" w:sz="4" w:space="0" w:color="auto"/>
              <w:left w:val="nil"/>
              <w:bottom w:val="single" w:sz="4" w:space="0" w:color="auto"/>
              <w:right w:val="nil"/>
            </w:tcBorders>
            <w:vAlign w:val="center"/>
            <w:hideMark/>
          </w:tcPr>
          <w:p w14:paraId="6E143E2D"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0.319–0.320</w:t>
            </w:r>
          </w:p>
        </w:tc>
        <w:tc>
          <w:tcPr>
            <w:tcW w:w="1417" w:type="dxa"/>
            <w:tcBorders>
              <w:top w:val="single" w:sz="4" w:space="0" w:color="auto"/>
              <w:left w:val="nil"/>
              <w:bottom w:val="single" w:sz="4" w:space="0" w:color="auto"/>
              <w:right w:val="nil"/>
            </w:tcBorders>
            <w:vAlign w:val="center"/>
            <w:hideMark/>
          </w:tcPr>
          <w:p w14:paraId="19A230FF"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8.0%</w:t>
            </w:r>
          </w:p>
        </w:tc>
        <w:tc>
          <w:tcPr>
            <w:tcW w:w="1701" w:type="dxa"/>
            <w:tcBorders>
              <w:top w:val="single" w:sz="4" w:space="0" w:color="auto"/>
              <w:left w:val="nil"/>
              <w:bottom w:val="single" w:sz="4" w:space="0" w:color="auto"/>
              <w:right w:val="nil"/>
            </w:tcBorders>
            <w:vAlign w:val="center"/>
            <w:hideMark/>
          </w:tcPr>
          <w:p w14:paraId="7E3E68CC"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Slow</w:t>
            </w:r>
          </w:p>
        </w:tc>
        <w:tc>
          <w:tcPr>
            <w:tcW w:w="2122" w:type="dxa"/>
            <w:tcBorders>
              <w:top w:val="single" w:sz="4" w:space="0" w:color="auto"/>
              <w:left w:val="nil"/>
              <w:bottom w:val="single" w:sz="4" w:space="0" w:color="auto"/>
              <w:right w:val="nil"/>
            </w:tcBorders>
            <w:vAlign w:val="center"/>
            <w:hideMark/>
          </w:tcPr>
          <w:p w14:paraId="3B4742DC" w14:textId="77777777" w:rsidR="00F903B5" w:rsidRPr="004D29E9" w:rsidRDefault="00F903B5" w:rsidP="004D29E9">
            <w:pPr>
              <w:pStyle w:val="Compact"/>
              <w:spacing w:before="0" w:after="0"/>
              <w:jc w:val="center"/>
              <w:rPr>
                <w:sz w:val="20"/>
                <w:szCs w:val="20"/>
                <w:lang w:eastAsia="en-IN"/>
              </w:rPr>
            </w:pPr>
            <w:r w:rsidRPr="004D29E9">
              <w:rPr>
                <w:sz w:val="20"/>
                <w:szCs w:val="20"/>
                <w:lang w:eastAsia="en-IN"/>
              </w:rPr>
              <w:t>Highest cost; slowest convergence</w:t>
            </w:r>
          </w:p>
        </w:tc>
      </w:tr>
    </w:tbl>
    <w:p w14:paraId="626CFEAF" w14:textId="52126D96" w:rsidR="00F903B5" w:rsidRPr="00373A5F" w:rsidRDefault="004D29E9" w:rsidP="004D29E9">
      <w:pPr>
        <w:pStyle w:val="Rn2"/>
        <w:rPr>
          <w:lang w:val="en-US"/>
        </w:rPr>
      </w:pPr>
      <w:r w:rsidRPr="00373A5F">
        <w:rPr>
          <w:lang w:val="en-US"/>
        </w:rPr>
        <w:t xml:space="preserve">6.5. </w:t>
      </w:r>
      <w:r w:rsidR="00CD7912" w:rsidRPr="00373A5F">
        <w:rPr>
          <w:lang w:val="en-US"/>
        </w:rPr>
        <w:t xml:space="preserve">Daily </w:t>
      </w:r>
      <w:r w:rsidR="005311B6">
        <w:rPr>
          <w:lang w:val="en-US"/>
        </w:rPr>
        <w:t>L</w:t>
      </w:r>
      <w:r w:rsidR="00CD7912" w:rsidRPr="00373A5F">
        <w:rPr>
          <w:lang w:val="en-US"/>
        </w:rPr>
        <w:t xml:space="preserve">oad and </w:t>
      </w:r>
      <w:r w:rsidR="005311B6">
        <w:rPr>
          <w:lang w:val="en-US"/>
        </w:rPr>
        <w:t>R</w:t>
      </w:r>
      <w:r w:rsidR="00CD7912" w:rsidRPr="00373A5F">
        <w:rPr>
          <w:lang w:val="en-US"/>
        </w:rPr>
        <w:t xml:space="preserve">enewable </w:t>
      </w:r>
      <w:r w:rsidR="005311B6">
        <w:rPr>
          <w:lang w:val="en-US"/>
        </w:rPr>
        <w:t>G</w:t>
      </w:r>
      <w:r w:rsidR="00CD7912" w:rsidRPr="00373A5F">
        <w:rPr>
          <w:lang w:val="en-US"/>
        </w:rPr>
        <w:t xml:space="preserve">eneration </w:t>
      </w:r>
      <w:r w:rsidR="005311B6">
        <w:rPr>
          <w:lang w:val="en-US"/>
        </w:rPr>
        <w:t>P</w:t>
      </w:r>
      <w:r w:rsidR="00CD7912" w:rsidRPr="00373A5F">
        <w:rPr>
          <w:lang w:val="en-US"/>
        </w:rPr>
        <w:t>rofile</w:t>
      </w:r>
    </w:p>
    <w:p w14:paraId="2DEE3D50" w14:textId="70A8A7F6" w:rsidR="00CD7912" w:rsidRDefault="00CD7912" w:rsidP="004D29E9">
      <w:pPr>
        <w:spacing w:after="0" w:line="240" w:lineRule="auto"/>
        <w:ind w:firstLine="284"/>
        <w:jc w:val="both"/>
        <w:rPr>
          <w:rFonts w:ascii="Times New Roman" w:hAnsi="Times New Roman"/>
        </w:rPr>
      </w:pPr>
      <w:r w:rsidRPr="004D29E9">
        <w:rPr>
          <w:rFonts w:ascii="Times New Roman" w:hAnsi="Times New Roman"/>
        </w:rPr>
        <w:t>Figure 8 shows the 24-hour working environment of the Bhopal hybrid microgrid, reflecting the time-varying fluctuation</w:t>
      </w:r>
      <w:r w:rsidR="00500490">
        <w:rPr>
          <w:rFonts w:ascii="Times New Roman" w:hAnsi="Times New Roman"/>
        </w:rPr>
        <w:t>s in demand and renewable energy supply, which serve as the basis for the optimization framework</w:t>
      </w:r>
      <w:r w:rsidRPr="004D29E9">
        <w:rPr>
          <w:rFonts w:ascii="Times New Roman" w:hAnsi="Times New Roman"/>
        </w:rPr>
        <w:t>. The load profile is recorded at a much higher rate</w:t>
      </w:r>
      <w:r w:rsidR="00500490">
        <w:rPr>
          <w:rFonts w:ascii="Times New Roman" w:hAnsi="Times New Roman"/>
        </w:rPr>
        <w:t>, around 0.8 MW. It is gradually rising towards a peak of nearly 2.5 MW between 12:00 and 14:00 in the morning,</w:t>
      </w:r>
      <w:r w:rsidRPr="004D29E9">
        <w:rPr>
          <w:rFonts w:ascii="Times New Roman" w:hAnsi="Times New Roman"/>
        </w:rPr>
        <w:t xml:space="preserve"> d</w:t>
      </w:r>
      <w:r w:rsidR="00500490">
        <w:rPr>
          <w:rFonts w:ascii="Times New Roman" w:hAnsi="Times New Roman"/>
        </w:rPr>
        <w:t>riven by increased commercial and residential activity</w:t>
      </w:r>
      <w:r w:rsidRPr="004D29E9">
        <w:rPr>
          <w:rFonts w:ascii="Times New Roman" w:hAnsi="Times New Roman"/>
        </w:rPr>
        <w:t xml:space="preserve">. PV power is zero </w:t>
      </w:r>
      <w:r w:rsidR="00500490">
        <w:rPr>
          <w:rFonts w:ascii="Times New Roman" w:hAnsi="Times New Roman"/>
        </w:rPr>
        <w:t>at night, reaches a peak just after sunrise (1.2 MW around noon), and drops to zero at 18:00,</w:t>
      </w:r>
      <w:r w:rsidRPr="00FF6D90">
        <w:rPr>
          <w:rFonts w:ascii="Times New Roman" w:hAnsi="Times New Roman"/>
        </w:rPr>
        <w:t xml:space="preserve"> following the irradiance pattern in the region. The production of wind power is more evenly spread across the day</w:t>
      </w:r>
      <w:r w:rsidR="00500490">
        <w:rPr>
          <w:rFonts w:ascii="Times New Roman" w:hAnsi="Times New Roman"/>
        </w:rPr>
        <w:t>, with slight depressions at sunrise and slight increases in the middle of the day due to</w:t>
      </w:r>
      <w:r w:rsidRPr="00FF6D90">
        <w:rPr>
          <w:rFonts w:ascii="Times New Roman" w:hAnsi="Times New Roman"/>
        </w:rPr>
        <w:t xml:space="preserve"> atmospheric mixing. The total renewable production is limited to about 1.8 MW between 10:00</w:t>
      </w:r>
      <w:r w:rsidR="00FA28CA">
        <w:rPr>
          <w:rFonts w:ascii="Times New Roman" w:hAnsi="Times New Roman"/>
        </w:rPr>
        <w:t>–</w:t>
      </w:r>
      <w:r w:rsidRPr="00FF6D90">
        <w:rPr>
          <w:rFonts w:ascii="Times New Roman" w:hAnsi="Times New Roman"/>
        </w:rPr>
        <w:t xml:space="preserve">14:00 and only </w:t>
      </w:r>
      <w:r w:rsidR="00C73EBE">
        <w:rPr>
          <w:rFonts w:ascii="Times New Roman" w:hAnsi="Times New Roman"/>
        </w:rPr>
        <w:br/>
      </w:r>
      <w:r w:rsidRPr="00FF6D90">
        <w:rPr>
          <w:rFonts w:ascii="Times New Roman" w:hAnsi="Times New Roman"/>
        </w:rPr>
        <w:t>0.6</w:t>
      </w:r>
      <w:r w:rsidR="00FA28CA">
        <w:rPr>
          <w:rFonts w:ascii="Times New Roman" w:hAnsi="Times New Roman"/>
        </w:rPr>
        <w:t>–</w:t>
      </w:r>
      <w:r w:rsidRPr="00FF6D90">
        <w:rPr>
          <w:rFonts w:ascii="Times New Roman" w:hAnsi="Times New Roman"/>
        </w:rPr>
        <w:t xml:space="preserve">0.7 MW in the evening leading to a large disparity between renewable energy supply and the load. Such mismatch is the reason why coordinated operation of battery energy storage and </w:t>
      </w:r>
      <w:r w:rsidR="00500490">
        <w:rPr>
          <w:rFonts w:ascii="Times New Roman" w:hAnsi="Times New Roman"/>
        </w:rPr>
        <w:t xml:space="preserve">the exchange of grid power is required, which is the primary motivation for the optimization model developed </w:t>
      </w:r>
      <w:r w:rsidRPr="00FF6D90">
        <w:rPr>
          <w:rFonts w:ascii="Times New Roman" w:hAnsi="Times New Roman"/>
        </w:rPr>
        <w:t>in this study.</w:t>
      </w:r>
    </w:p>
    <w:p w14:paraId="7073E7B0" w14:textId="77777777" w:rsidR="004D29E9" w:rsidRDefault="004D29E9" w:rsidP="004D29E9">
      <w:pPr>
        <w:spacing w:after="0" w:line="240" w:lineRule="auto"/>
        <w:jc w:val="both"/>
        <w:rPr>
          <w:rFonts w:ascii="Times New Roman" w:hAnsi="Times New Roman"/>
        </w:rPr>
      </w:pPr>
    </w:p>
    <w:p w14:paraId="3CE6AE16" w14:textId="4ED2CB65" w:rsidR="004D29E9" w:rsidRPr="00FF6D90" w:rsidRDefault="004D29E9" w:rsidP="004D29E9">
      <w:pPr>
        <w:spacing w:after="0" w:line="240" w:lineRule="auto"/>
        <w:jc w:val="center"/>
        <w:rPr>
          <w:rFonts w:ascii="Times New Roman" w:hAnsi="Times New Roman"/>
        </w:rPr>
      </w:pPr>
      <w:r w:rsidRPr="00FF6D90">
        <w:rPr>
          <w:rFonts w:ascii="Times New Roman" w:hAnsi="Times New Roman"/>
          <w:b/>
          <w:bCs/>
          <w:noProof/>
        </w:rPr>
        <w:drawing>
          <wp:inline distT="0" distB="0" distL="0" distR="0" wp14:anchorId="07D1BC6F" wp14:editId="0A3A7574">
            <wp:extent cx="6024260" cy="2753833"/>
            <wp:effectExtent l="0" t="0" r="0" b="8890"/>
            <wp:docPr id="1575245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45169" name=""/>
                    <pic:cNvPicPr/>
                  </pic:nvPicPr>
                  <pic:blipFill>
                    <a:blip r:embed="rId21">
                      <a:extLst>
                        <a:ext uri="{28A0092B-C50C-407E-A947-70E740481C1C}">
                          <a14:useLocalDpi xmlns:a14="http://schemas.microsoft.com/office/drawing/2010/main" val="0"/>
                        </a:ext>
                      </a:extLst>
                    </a:blip>
                    <a:stretch>
                      <a:fillRect/>
                    </a:stretch>
                  </pic:blipFill>
                  <pic:spPr>
                    <a:xfrm>
                      <a:off x="0" y="0"/>
                      <a:ext cx="6029561" cy="2756256"/>
                    </a:xfrm>
                    <a:prstGeom prst="rect">
                      <a:avLst/>
                    </a:prstGeom>
                  </pic:spPr>
                </pic:pic>
              </a:graphicData>
            </a:graphic>
          </wp:inline>
        </w:drawing>
      </w:r>
    </w:p>
    <w:p w14:paraId="27B2E6BA" w14:textId="1480D4AA" w:rsidR="00CD7912" w:rsidRPr="00373A5F" w:rsidRDefault="00CD7912" w:rsidP="004D29E9">
      <w:pPr>
        <w:pStyle w:val="Rrys"/>
        <w:rPr>
          <w:lang w:val="en-US"/>
        </w:rPr>
      </w:pPr>
      <w:r w:rsidRPr="00373A5F">
        <w:rPr>
          <w:b/>
          <w:bCs/>
          <w:lang w:val="en-US"/>
        </w:rPr>
        <w:t>Fig</w:t>
      </w:r>
      <w:r w:rsidR="004D29E9" w:rsidRPr="00373A5F">
        <w:rPr>
          <w:b/>
          <w:bCs/>
          <w:lang w:val="en-US"/>
        </w:rPr>
        <w:t>.</w:t>
      </w:r>
      <w:r w:rsidRPr="00373A5F">
        <w:rPr>
          <w:b/>
          <w:bCs/>
          <w:lang w:val="en-US"/>
        </w:rPr>
        <w:t xml:space="preserve"> 8</w:t>
      </w:r>
      <w:r w:rsidR="004D29E9" w:rsidRPr="00C73EBE">
        <w:rPr>
          <w:b/>
          <w:bCs/>
          <w:spacing w:val="-2"/>
          <w:lang w:val="en-US"/>
        </w:rPr>
        <w:t>.</w:t>
      </w:r>
      <w:r w:rsidRPr="00C73EBE">
        <w:rPr>
          <w:spacing w:val="-2"/>
          <w:lang w:val="en-US"/>
        </w:rPr>
        <w:t xml:space="preserve"> Twenty-four-hour load demand, PV generation, wind generation, and total renewable power profile of the Bhopal hybrid microgrid</w:t>
      </w:r>
    </w:p>
    <w:p w14:paraId="661B8372" w14:textId="77777777" w:rsidR="004D29E9" w:rsidRDefault="004D29E9" w:rsidP="004D29E9">
      <w:pPr>
        <w:spacing w:after="0" w:line="240" w:lineRule="auto"/>
        <w:ind w:firstLine="284"/>
        <w:jc w:val="both"/>
        <w:rPr>
          <w:rFonts w:ascii="Times New Roman" w:hAnsi="Times New Roman"/>
        </w:rPr>
      </w:pPr>
    </w:p>
    <w:p w14:paraId="65D86770" w14:textId="21A6EBA2" w:rsidR="00CD7912" w:rsidRPr="00FF6D90" w:rsidRDefault="00CD7912" w:rsidP="004D29E9">
      <w:pPr>
        <w:spacing w:after="0" w:line="240" w:lineRule="auto"/>
        <w:ind w:firstLine="284"/>
        <w:jc w:val="both"/>
        <w:rPr>
          <w:rFonts w:ascii="Times New Roman" w:hAnsi="Times New Roman"/>
        </w:rPr>
      </w:pPr>
      <w:r w:rsidRPr="00FF6D90">
        <w:rPr>
          <w:rFonts w:ascii="Times New Roman" w:hAnsi="Times New Roman"/>
        </w:rPr>
        <w:t xml:space="preserve">The </w:t>
      </w:r>
      <w:r w:rsidRPr="004D29E9">
        <w:rPr>
          <w:rFonts w:ascii="Times New Roman" w:hAnsi="Times New Roman"/>
        </w:rPr>
        <w:t>variability illustrated in Figure 8 directly</w:t>
      </w:r>
      <w:r w:rsidRPr="00FF6D90">
        <w:rPr>
          <w:rFonts w:ascii="Times New Roman" w:hAnsi="Times New Roman"/>
        </w:rPr>
        <w:t xml:space="preserve"> influences the optimization outcomes presented later in this study. The midday renewable surplus, coupled with a steep decline in PV output after 14:00, creates a critical requirement for BESS charging during surplus hours and BESS/grid support during evening deficits. This temporal imbalance shapes the operational constraints and cost structure encountered by the optimization algorithms (PSO, GA, and SA). The convergence trends shown in subsequent figures are therefore a direct </w:t>
      </w:r>
      <w:r w:rsidRPr="00FF6D90">
        <w:rPr>
          <w:rFonts w:ascii="Times New Roman" w:hAnsi="Times New Roman"/>
        </w:rPr>
        <w:lastRenderedPageBreak/>
        <w:t>consequence of these fluctuating resource conditions, as the optimization must continuously adjust dispatch schedules to minimize operational cost</w:t>
      </w:r>
      <w:r w:rsidR="00500490">
        <w:rPr>
          <w:rFonts w:ascii="Times New Roman" w:hAnsi="Times New Roman"/>
        </w:rPr>
        <w:t>s while maintaining supply-</w:t>
      </w:r>
      <w:r w:rsidRPr="00FF6D90">
        <w:rPr>
          <w:rFonts w:ascii="Times New Roman" w:hAnsi="Times New Roman"/>
        </w:rPr>
        <w:t>demand balance under highly time-dependent renewable inputs.</w:t>
      </w:r>
    </w:p>
    <w:p w14:paraId="701857E0" w14:textId="1DB58BE1" w:rsidR="00CD7912" w:rsidRPr="00373A5F" w:rsidRDefault="004D29E9" w:rsidP="004D29E9">
      <w:pPr>
        <w:pStyle w:val="Rn2"/>
        <w:rPr>
          <w:lang w:val="en-US"/>
        </w:rPr>
      </w:pPr>
      <w:r w:rsidRPr="00373A5F">
        <w:rPr>
          <w:lang w:val="en-US"/>
        </w:rPr>
        <w:t xml:space="preserve">6.6. </w:t>
      </w:r>
      <w:r w:rsidR="00CD7912" w:rsidRPr="00373A5F">
        <w:rPr>
          <w:lang w:val="en-US"/>
        </w:rPr>
        <w:t>Cost Analysis</w:t>
      </w:r>
    </w:p>
    <w:p w14:paraId="3A432AB5" w14:textId="22F6DD05" w:rsidR="00CD7912" w:rsidRDefault="00CD7912" w:rsidP="004D29E9">
      <w:pPr>
        <w:spacing w:after="0" w:line="240" w:lineRule="auto"/>
        <w:ind w:firstLine="284"/>
        <w:jc w:val="both"/>
        <w:rPr>
          <w:rFonts w:ascii="Times New Roman" w:hAnsi="Times New Roman"/>
        </w:rPr>
      </w:pPr>
      <w:r w:rsidRPr="00FF6D90">
        <w:rPr>
          <w:rFonts w:ascii="Times New Roman" w:hAnsi="Times New Roman"/>
        </w:rPr>
        <w:t xml:space="preserve">The comparison of </w:t>
      </w:r>
      <w:r w:rsidR="00500490">
        <w:rPr>
          <w:rFonts w:ascii="Times New Roman" w:hAnsi="Times New Roman"/>
        </w:rPr>
        <w:t>costs, justified by the operational share shown in Figure 9, places the three optimization frameworks in a clear hierarchy of</w:t>
      </w:r>
      <w:r w:rsidRPr="004D29E9">
        <w:rPr>
          <w:rFonts w:ascii="Times New Roman" w:hAnsi="Times New Roman"/>
        </w:rPr>
        <w:t xml:space="preserve"> performance. The lowest </w:t>
      </w:r>
      <w:r w:rsidR="00500490">
        <w:rPr>
          <w:rFonts w:ascii="Times New Roman" w:hAnsi="Times New Roman"/>
        </w:rPr>
        <w:t>operating cost is ₹0.298 lakh/day for PSO-based dispatch, with an operational share of 32.5% among all optimization methods</w:t>
      </w:r>
      <w:r w:rsidRPr="00FF6D90">
        <w:rPr>
          <w:rFonts w:ascii="Times New Roman" w:hAnsi="Times New Roman"/>
        </w:rPr>
        <w:t>. This high performance is directly connected to the swarm-coordinated exploration by PSO</w:t>
      </w:r>
      <w:r w:rsidR="00500490">
        <w:rPr>
          <w:rFonts w:ascii="Times New Roman" w:hAnsi="Times New Roman"/>
        </w:rPr>
        <w:t>, which quickly moves it to the global minimum while preserving exploitation</w:t>
      </w:r>
      <w:r w:rsidRPr="00FF6D90">
        <w:rPr>
          <w:rFonts w:ascii="Times New Roman" w:hAnsi="Times New Roman"/>
        </w:rPr>
        <w:t xml:space="preserve">. It is worth noting that PSO has the highest renewable penetration of 42%, </w:t>
      </w:r>
      <w:r w:rsidR="00500490">
        <w:rPr>
          <w:rFonts w:ascii="Times New Roman" w:hAnsi="Times New Roman"/>
        </w:rPr>
        <w:t>demonstrating its ability to optimally combine PV, wind, and BESS to limit grid power use and level</w:t>
      </w:r>
      <w:r w:rsidRPr="00FF6D90">
        <w:rPr>
          <w:rFonts w:ascii="Times New Roman" w:hAnsi="Times New Roman"/>
        </w:rPr>
        <w:t xml:space="preserve"> cost peaks. </w:t>
      </w:r>
      <w:r w:rsidR="00500490">
        <w:rPr>
          <w:rFonts w:ascii="Times New Roman" w:hAnsi="Times New Roman"/>
        </w:rPr>
        <w:t>The Genetic Algorithm (GA), with a daily price of ₹0.2985 lakh/day and a cost share of 32.6, is competent,</w:t>
      </w:r>
      <w:r w:rsidRPr="00FF6D90">
        <w:rPr>
          <w:rFonts w:ascii="Times New Roman" w:hAnsi="Times New Roman"/>
        </w:rPr>
        <w:t xml:space="preserve"> although not as efficient as PSO. This minor variation, about 0.17% more expensive, can be explained by the very nature of GA, which adds some randomness</w:t>
      </w:r>
      <w:r w:rsidR="00500490">
        <w:rPr>
          <w:rFonts w:ascii="Times New Roman" w:hAnsi="Times New Roman"/>
        </w:rPr>
        <w:t xml:space="preserve"> through crossover and mutation and may temporarily send the search off track in</w:t>
      </w:r>
      <w:r w:rsidRPr="00FF6D90">
        <w:rPr>
          <w:rFonts w:ascii="Times New Roman" w:hAnsi="Times New Roman"/>
        </w:rPr>
        <w:t xml:space="preserve"> potentially good areas. The GA has a renewable penetration of 40%, slightly lower than the PSO, indicating that it has a less accurate match</w:t>
      </w:r>
      <w:r w:rsidR="00500490">
        <w:rPr>
          <w:rFonts w:ascii="Times New Roman" w:hAnsi="Times New Roman"/>
        </w:rPr>
        <w:t xml:space="preserve"> between renewable availability and the</w:t>
      </w:r>
      <w:r w:rsidRPr="00FF6D90">
        <w:rPr>
          <w:rFonts w:ascii="Times New Roman" w:hAnsi="Times New Roman"/>
        </w:rPr>
        <w:t xml:space="preserve"> battery energy storage system (BESS) dispatch strategy.</w:t>
      </w:r>
    </w:p>
    <w:p w14:paraId="224E97AD" w14:textId="77777777" w:rsidR="004D29E9" w:rsidRPr="00FF6D90" w:rsidRDefault="004D29E9" w:rsidP="004D29E9">
      <w:pPr>
        <w:spacing w:after="0" w:line="240" w:lineRule="auto"/>
        <w:jc w:val="both"/>
        <w:rPr>
          <w:rFonts w:ascii="Times New Roman" w:hAnsi="Times New Roman"/>
          <w:noProof/>
        </w:rPr>
      </w:pPr>
    </w:p>
    <w:p w14:paraId="4E1B9D75" w14:textId="0BE435C7" w:rsidR="00CD7912" w:rsidRPr="00373A5F" w:rsidRDefault="00CD7912" w:rsidP="004D29E9">
      <w:pPr>
        <w:pStyle w:val="Rrys"/>
        <w:rPr>
          <w:noProof/>
          <w:lang w:val="en-US"/>
        </w:rPr>
      </w:pPr>
      <w:r w:rsidRPr="00FF6D90">
        <w:rPr>
          <w:rFonts w:asciiTheme="minorHAnsi" w:hAnsiTheme="minorHAnsi" w:cstheme="minorBidi"/>
          <w:noProof/>
        </w:rPr>
        <w:drawing>
          <wp:anchor distT="0" distB="0" distL="114300" distR="114300" simplePos="0" relativeHeight="251702784" behindDoc="1" locked="0" layoutInCell="1" allowOverlap="1" wp14:anchorId="286668F3" wp14:editId="4CF80E7B">
            <wp:simplePos x="0" y="0"/>
            <wp:positionH relativeFrom="column">
              <wp:posOffset>958850</wp:posOffset>
            </wp:positionH>
            <wp:positionV relativeFrom="paragraph">
              <wp:posOffset>20320</wp:posOffset>
            </wp:positionV>
            <wp:extent cx="4010660" cy="3782695"/>
            <wp:effectExtent l="19050" t="19050" r="27940" b="27305"/>
            <wp:wrapTopAndBottom/>
            <wp:docPr id="10358462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0660" cy="3782695"/>
                    </a:xfrm>
                    <a:prstGeom prst="rect">
                      <a:avLst/>
                    </a:prstGeom>
                    <a:noFill/>
                    <a:ln w="9525">
                      <a:solidFill>
                        <a:schemeClr val="tx1">
                          <a:lumMod val="100000"/>
                          <a:lumOff val="0"/>
                        </a:schemeClr>
                      </a:solidFill>
                      <a:prstDash val="dash"/>
                      <a:miter lim="800000"/>
                      <a:headEnd/>
                      <a:tailEnd/>
                    </a:ln>
                  </pic:spPr>
                </pic:pic>
              </a:graphicData>
            </a:graphic>
            <wp14:sizeRelH relativeFrom="page">
              <wp14:pctWidth>0</wp14:pctWidth>
            </wp14:sizeRelH>
            <wp14:sizeRelV relativeFrom="page">
              <wp14:pctHeight>0</wp14:pctHeight>
            </wp14:sizeRelV>
          </wp:anchor>
        </w:drawing>
      </w:r>
      <w:r w:rsidRPr="00373A5F">
        <w:rPr>
          <w:b/>
          <w:bCs/>
          <w:lang w:val="en-US"/>
        </w:rPr>
        <w:t>Fig</w:t>
      </w:r>
      <w:r w:rsidR="004D29E9" w:rsidRPr="00373A5F">
        <w:rPr>
          <w:b/>
          <w:bCs/>
          <w:lang w:val="en-US"/>
        </w:rPr>
        <w:t>.</w:t>
      </w:r>
      <w:r w:rsidRPr="00373A5F">
        <w:rPr>
          <w:b/>
          <w:bCs/>
          <w:lang w:val="en-US"/>
        </w:rPr>
        <w:t xml:space="preserve"> 9</w:t>
      </w:r>
      <w:r w:rsidR="004D29E9" w:rsidRPr="00373A5F">
        <w:rPr>
          <w:b/>
          <w:bCs/>
          <w:lang w:val="en-US"/>
        </w:rPr>
        <w:t>.</w:t>
      </w:r>
      <w:r w:rsidRPr="00373A5F">
        <w:rPr>
          <w:lang w:val="en-US"/>
        </w:rPr>
        <w:t xml:space="preserve"> Comparison of renewable energy penetration achieved using PSO, GA, and SA optimization methods</w:t>
      </w:r>
    </w:p>
    <w:p w14:paraId="58765DBD" w14:textId="77777777" w:rsidR="004D29E9" w:rsidRDefault="004D29E9" w:rsidP="004D29E9">
      <w:pPr>
        <w:spacing w:after="0" w:line="240" w:lineRule="auto"/>
        <w:ind w:firstLine="284"/>
        <w:jc w:val="both"/>
        <w:rPr>
          <w:rFonts w:ascii="Times New Roman" w:hAnsi="Times New Roman"/>
        </w:rPr>
      </w:pPr>
    </w:p>
    <w:p w14:paraId="3136BC8E" w14:textId="068AB51A" w:rsidR="0019319C" w:rsidRPr="00FF6D90" w:rsidRDefault="00CD7912" w:rsidP="004D29E9">
      <w:pPr>
        <w:spacing w:after="0" w:line="240" w:lineRule="auto"/>
        <w:ind w:firstLine="284"/>
        <w:jc w:val="both"/>
        <w:rPr>
          <w:rFonts w:ascii="Times New Roman" w:hAnsi="Times New Roman"/>
        </w:rPr>
      </w:pPr>
      <w:r w:rsidRPr="00FF6D90">
        <w:rPr>
          <w:rFonts w:ascii="Times New Roman" w:hAnsi="Times New Roman"/>
        </w:rPr>
        <w:t xml:space="preserve">Simulated Annealing (SA) </w:t>
      </w:r>
      <w:r w:rsidR="00500490">
        <w:rPr>
          <w:rFonts w:ascii="Times New Roman" w:hAnsi="Times New Roman"/>
        </w:rPr>
        <w:t>yields the least favourable outcome, with an operational cost of ₹0.320 lakh/day and a 34.9% cost share</w:t>
      </w:r>
      <w:r w:rsidRPr="00FF6D90">
        <w:rPr>
          <w:rFonts w:ascii="Times New Roman" w:hAnsi="Times New Roman"/>
        </w:rPr>
        <w:t>, representing a 7.38% increase relative to PSO. SA</w:t>
      </w:r>
      <w:r w:rsidR="007E1AB9">
        <w:rPr>
          <w:rFonts w:ascii="Times New Roman" w:hAnsi="Times New Roman"/>
        </w:rPr>
        <w:t>'</w:t>
      </w:r>
      <w:r w:rsidRPr="00FF6D90">
        <w:rPr>
          <w:rFonts w:ascii="Times New Roman" w:hAnsi="Times New Roman"/>
        </w:rPr>
        <w:t>s single-solution search mechanism and temperature-driven perturbation process limit its ability to escape local minima in the microgrid</w:t>
      </w:r>
      <w:r w:rsidR="007E1AB9">
        <w:rPr>
          <w:rFonts w:ascii="Times New Roman" w:hAnsi="Times New Roman"/>
        </w:rPr>
        <w:t>'</w:t>
      </w:r>
      <w:r w:rsidRPr="00FF6D90">
        <w:rPr>
          <w:rFonts w:ascii="Times New Roman" w:hAnsi="Times New Roman"/>
        </w:rPr>
        <w:t>s complex, time-dependent optimization landscape. This limitation also manifests in its lower renewable penetration of 38%, indicating reduced utilization of available clean energy and a heavier reliance on grid import</w:t>
      </w:r>
      <w:r w:rsidR="007E1AB9">
        <w:rPr>
          <w:rFonts w:ascii="Times New Roman" w:hAnsi="Times New Roman"/>
        </w:rPr>
        <w:t>s</w:t>
      </w:r>
      <w:r w:rsidRPr="00FF6D90">
        <w:rPr>
          <w:rFonts w:ascii="Times New Roman" w:hAnsi="Times New Roman"/>
        </w:rPr>
        <w:t xml:space="preserve"> during high-load intervals. Overall, the operational share analysis combined with renewable penetration metrics clearly demonstrates that PSO simultaneously minimizes costs and maximizes renewable integration, validating its suitability as the preferred optimization engine for the Bhopal microgrid case study. GA provides moderately strong performance, whereas SA</w:t>
      </w:r>
      <w:r w:rsidR="007E1AB9">
        <w:rPr>
          <w:rFonts w:ascii="Times New Roman" w:hAnsi="Times New Roman"/>
        </w:rPr>
        <w:t>'</w:t>
      </w:r>
      <w:r w:rsidRPr="00FF6D90">
        <w:rPr>
          <w:rFonts w:ascii="Times New Roman" w:hAnsi="Times New Roman"/>
        </w:rPr>
        <w:t>s slower convergence and reduced renewable utilization reinforce its relative inefficiency for high-resolution microgrid scheduling.</w:t>
      </w:r>
    </w:p>
    <w:p w14:paraId="7D367A0F" w14:textId="77777777" w:rsidR="00500490" w:rsidRDefault="00500490" w:rsidP="004D29E9">
      <w:pPr>
        <w:pStyle w:val="Rn1"/>
        <w:rPr>
          <w:lang w:val="en-US"/>
        </w:rPr>
      </w:pPr>
    </w:p>
    <w:p w14:paraId="476A07E9" w14:textId="12525FEB" w:rsidR="00895ECA" w:rsidRPr="00373A5F" w:rsidRDefault="0019319C" w:rsidP="004D29E9">
      <w:pPr>
        <w:pStyle w:val="Rn1"/>
        <w:rPr>
          <w:lang w:val="en-US"/>
        </w:rPr>
      </w:pPr>
      <w:r w:rsidRPr="00373A5F">
        <w:rPr>
          <w:lang w:val="en-US"/>
        </w:rPr>
        <w:lastRenderedPageBreak/>
        <w:t xml:space="preserve">7. </w:t>
      </w:r>
      <w:r w:rsidR="0052565E" w:rsidRPr="00373A5F">
        <w:rPr>
          <w:lang w:val="en-US"/>
        </w:rPr>
        <w:t>Conclusion</w:t>
      </w:r>
    </w:p>
    <w:p w14:paraId="78E40938" w14:textId="11E33F6C" w:rsidR="0052565E" w:rsidRDefault="0052565E" w:rsidP="004D29E9">
      <w:pPr>
        <w:spacing w:after="0" w:line="240" w:lineRule="auto"/>
        <w:ind w:firstLine="284"/>
        <w:jc w:val="both"/>
        <w:rPr>
          <w:rFonts w:ascii="Times New Roman" w:hAnsi="Times New Roman"/>
        </w:rPr>
      </w:pPr>
      <w:r w:rsidRPr="00C73EBE">
        <w:rPr>
          <w:rFonts w:ascii="Times New Roman" w:hAnsi="Times New Roman"/>
          <w:spacing w:val="-2"/>
        </w:rPr>
        <w:t>This study presents the development and evaluation of an optimized energy-management framework for a</w:t>
      </w:r>
      <w:r w:rsidR="00C73EBE">
        <w:rPr>
          <w:rFonts w:ascii="Times New Roman" w:hAnsi="Times New Roman"/>
          <w:spacing w:val="-2"/>
        </w:rPr>
        <w:t> </w:t>
      </w:r>
      <w:r w:rsidRPr="00C73EBE">
        <w:rPr>
          <w:rFonts w:ascii="Times New Roman" w:hAnsi="Times New Roman"/>
          <w:spacing w:val="-2"/>
        </w:rPr>
        <w:t>grid-connected microgrid in Bhopal, incorporating photovoltaic (PV), wind, and battery energy storage system (BESS) resources under realistic load and renewable conditions. The findings indicate that the proposed optimization approach effectively reduces operational costs while enhancing the utilization of renewable energy. Among the three algorithms assessed, particle swarm optimization (PSO) achieved the most cost-effective dispatch with a daily operational cost of ₹0.298 lakh/day, surpassing the genetic algorithm (GA) at ₹0.2985 lakh/day and simulated annealing (SA) at ₹0.320 lakh/day. The higher renewable penetration observed with PSO (42%) compared to GA (40%) and SA (38%) suggests that PSO more efficiently aligns storage charging and discharging cycles with renewable availability.</w:t>
      </w:r>
      <w:r w:rsidRPr="00FF6D90">
        <w:rPr>
          <w:rFonts w:ascii="Times New Roman" w:hAnsi="Times New Roman"/>
        </w:rPr>
        <w:t xml:space="preserve"> The operational profiles further confirm stable load tracking, effective BESS support, and reduced reliance on grid imports during peak solar hours. This study contributes to microgrid scheduling research by providing a comparative assessment of widely used optimization algorithms within a</w:t>
      </w:r>
      <w:r w:rsidR="00C73EBE">
        <w:rPr>
          <w:rFonts w:ascii="Times New Roman" w:hAnsi="Times New Roman"/>
        </w:rPr>
        <w:t> </w:t>
      </w:r>
      <w:r w:rsidRPr="00FF6D90">
        <w:rPr>
          <w:rFonts w:ascii="Times New Roman" w:hAnsi="Times New Roman"/>
        </w:rPr>
        <w:t>unified test system and by quantifying their impact on operational costs and renewable penetration.</w:t>
      </w:r>
      <w:r w:rsidR="00E47F83" w:rsidRPr="00FF6D90">
        <w:rPr>
          <w:rFonts w:ascii="Times New Roman" w:hAnsi="Times New Roman"/>
        </w:rPr>
        <w:t xml:space="preserve"> Although developed for Bhopal, the proposed optimization framework can be readily adapted to other Indian cities by incorporating site-specific renewable resource profiles, load characteristics, and tariff structures, enabling its application under diverse climatic conditions.</w:t>
      </w:r>
      <w:r w:rsidRPr="00FF6D90">
        <w:rPr>
          <w:rFonts w:ascii="Times New Roman" w:hAnsi="Times New Roman"/>
        </w:rPr>
        <w:t xml:space="preserve"> However, the analysis is limited to a single-day horizon, a fixed tariff structure, and deterministic renewable profiles. These assumptions constrain the generalizability of the results to systems with high uncertainty or dynamic pricing. </w:t>
      </w:r>
      <w:r w:rsidR="00FB12CE" w:rsidRPr="00FF6D90">
        <w:rPr>
          <w:rFonts w:ascii="Times New Roman" w:hAnsi="Times New Roman"/>
        </w:rPr>
        <w:t xml:space="preserve">Practical implementation of the proposed framework in real-world microgrids may encounter several challenges, including the availability of high-resolution meteorological and load data, communication delays </w:t>
      </w:r>
      <w:r w:rsidR="007E1AB9">
        <w:rPr>
          <w:rFonts w:ascii="Times New Roman" w:hAnsi="Times New Roman"/>
        </w:rPr>
        <w:t>among distributed energy resources, battery degradation over long-term operation, and uncertainties in</w:t>
      </w:r>
      <w:r w:rsidR="00FB12CE" w:rsidRPr="00FF6D90">
        <w:rPr>
          <w:rFonts w:ascii="Times New Roman" w:hAnsi="Times New Roman"/>
        </w:rPr>
        <w:t xml:space="preserve"> renewable generation forecasts. Furthermore, successful deployment requires reliable energy management systems, advanced metering infrastructure, and compliance with local grid codes and net-metering regulations. Addressing these practical aspects is essential for the effective deployment of optimization-based microgrid energy management systems</w:t>
      </w:r>
      <w:r w:rsidRPr="00FF6D90">
        <w:rPr>
          <w:rFonts w:ascii="Times New Roman" w:hAnsi="Times New Roman"/>
        </w:rPr>
        <w:t>.</w:t>
      </w:r>
    </w:p>
    <w:p w14:paraId="1312AAA8" w14:textId="77777777" w:rsidR="005311B6" w:rsidRPr="00FF6D90" w:rsidRDefault="005311B6" w:rsidP="004D29E9">
      <w:pPr>
        <w:spacing w:after="0" w:line="240" w:lineRule="auto"/>
        <w:ind w:firstLine="284"/>
        <w:jc w:val="both"/>
        <w:rPr>
          <w:rFonts w:ascii="Times New Roman" w:hAnsi="Times New Roman"/>
        </w:rPr>
      </w:pPr>
    </w:p>
    <w:p w14:paraId="5F429743" w14:textId="77777777" w:rsidR="0052565E" w:rsidRPr="004D29E9" w:rsidRDefault="0052565E" w:rsidP="0052565E">
      <w:pPr>
        <w:spacing w:line="228" w:lineRule="auto"/>
        <w:jc w:val="both"/>
        <w:rPr>
          <w:rFonts w:ascii="Times New Roman" w:hAnsi="Times New Roman"/>
        </w:rPr>
      </w:pPr>
      <w:r w:rsidRPr="004D29E9">
        <w:rPr>
          <w:rFonts w:ascii="Times New Roman" w:hAnsi="Times New Roman"/>
          <w:b/>
          <w:bCs/>
        </w:rPr>
        <w:t xml:space="preserve">Data Availability Section: </w:t>
      </w:r>
      <w:r w:rsidRPr="004D29E9">
        <w:rPr>
          <w:rFonts w:ascii="Times New Roman" w:hAnsi="Times New Roman"/>
        </w:rPr>
        <w:t>The datasets used and/or analysed during the work are available with the corresponding author on reasonable request.</w:t>
      </w:r>
    </w:p>
    <w:p w14:paraId="18B1D12A" w14:textId="77777777" w:rsidR="0052565E" w:rsidRPr="00FF6D90" w:rsidRDefault="0052565E" w:rsidP="0052565E">
      <w:pPr>
        <w:spacing w:line="228" w:lineRule="auto"/>
        <w:jc w:val="both"/>
        <w:rPr>
          <w:rFonts w:ascii="Times New Roman" w:hAnsi="Times New Roman"/>
        </w:rPr>
      </w:pPr>
      <w:r w:rsidRPr="00FF6D90">
        <w:rPr>
          <w:rFonts w:ascii="Times New Roman" w:hAnsi="Times New Roman"/>
          <w:b/>
          <w:bCs/>
        </w:rPr>
        <w:t>Funding</w:t>
      </w:r>
      <w:r w:rsidRPr="00FF6D90">
        <w:rPr>
          <w:rFonts w:ascii="Times New Roman" w:hAnsi="Times New Roman"/>
        </w:rPr>
        <w:t xml:space="preserve">: No Funding is claimed </w:t>
      </w:r>
    </w:p>
    <w:p w14:paraId="78B1FA57" w14:textId="77777777" w:rsidR="0052565E" w:rsidRPr="00FF6D90" w:rsidRDefault="0052565E" w:rsidP="0052565E">
      <w:pPr>
        <w:spacing w:line="228" w:lineRule="auto"/>
        <w:jc w:val="both"/>
        <w:rPr>
          <w:rFonts w:ascii="Times New Roman" w:hAnsi="Times New Roman"/>
        </w:rPr>
      </w:pPr>
      <w:r w:rsidRPr="00FF6D90">
        <w:rPr>
          <w:rFonts w:ascii="Times New Roman" w:hAnsi="Times New Roman"/>
          <w:b/>
          <w:bCs/>
        </w:rPr>
        <w:t>Competing interests</w:t>
      </w:r>
      <w:r w:rsidRPr="00FF6D90">
        <w:rPr>
          <w:rFonts w:ascii="Times New Roman" w:hAnsi="Times New Roman"/>
        </w:rPr>
        <w:t>: Not Applicable</w:t>
      </w:r>
    </w:p>
    <w:p w14:paraId="5EDDE3C0" w14:textId="77777777" w:rsidR="0052565E" w:rsidRPr="00373A5F" w:rsidRDefault="0052565E" w:rsidP="00FA4967">
      <w:pPr>
        <w:pStyle w:val="Rn2"/>
        <w:rPr>
          <w:lang w:val="en-US"/>
        </w:rPr>
      </w:pPr>
      <w:r w:rsidRPr="00373A5F">
        <w:rPr>
          <w:lang w:val="en-US"/>
        </w:rPr>
        <w:t>Authors' contributions</w:t>
      </w:r>
    </w:p>
    <w:p w14:paraId="0177183E" w14:textId="1B5C8DB4" w:rsidR="0052565E" w:rsidRPr="00FF6D90" w:rsidRDefault="0052565E" w:rsidP="004D29E9">
      <w:pPr>
        <w:spacing w:after="0" w:line="240" w:lineRule="auto"/>
        <w:jc w:val="both"/>
        <w:rPr>
          <w:rFonts w:ascii="Times New Roman" w:hAnsi="Times New Roman"/>
        </w:rPr>
      </w:pPr>
      <w:r w:rsidRPr="00FF6D90">
        <w:rPr>
          <w:rFonts w:ascii="Times New Roman" w:hAnsi="Times New Roman"/>
          <w:b/>
          <w:bCs/>
        </w:rPr>
        <w:t>N.N.</w:t>
      </w:r>
      <w:r w:rsidR="00FB6CA4" w:rsidRPr="00FF6D90">
        <w:rPr>
          <w:rFonts w:ascii="Times New Roman" w:hAnsi="Times New Roman"/>
          <w:b/>
          <w:bCs/>
        </w:rPr>
        <w:t>A</w:t>
      </w:r>
      <w:r w:rsidRPr="00FF6D90">
        <w:rPr>
          <w:rFonts w:ascii="Times New Roman" w:hAnsi="Times New Roman"/>
          <w:b/>
          <w:bCs/>
        </w:rPr>
        <w:t>.</w:t>
      </w:r>
      <w:r w:rsidRPr="00FF6D90">
        <w:t xml:space="preserve"> </w:t>
      </w:r>
      <w:r w:rsidRPr="00FF6D90">
        <w:rPr>
          <w:rFonts w:ascii="Times New Roman" w:hAnsi="Times New Roman"/>
        </w:rPr>
        <w:t xml:space="preserve">Conceptualization, Formal analysis, Methodology, Supervision, Visualization, Writing – original draft, Writing – review &amp; editing </w:t>
      </w:r>
    </w:p>
    <w:p w14:paraId="50E9ADAE" w14:textId="3726CC4F" w:rsidR="0052565E" w:rsidRPr="00FF6D90" w:rsidRDefault="0052565E" w:rsidP="0052565E">
      <w:pPr>
        <w:spacing w:line="228" w:lineRule="auto"/>
        <w:jc w:val="both"/>
        <w:rPr>
          <w:rFonts w:ascii="Times New Roman" w:hAnsi="Times New Roman"/>
        </w:rPr>
      </w:pPr>
      <w:r w:rsidRPr="00FF6D90">
        <w:rPr>
          <w:rFonts w:ascii="Times New Roman" w:hAnsi="Times New Roman"/>
          <w:b/>
          <w:bCs/>
        </w:rPr>
        <w:t>S.J.</w:t>
      </w:r>
      <w:r w:rsidRPr="00FF6D90">
        <w:rPr>
          <w:rFonts w:ascii="Times New Roman" w:hAnsi="Times New Roman"/>
        </w:rPr>
        <w:t xml:space="preserve"> Conceptualization, Formal analysis, Methodology, Supervision, Visualization, Writing – review &amp; editing </w:t>
      </w:r>
    </w:p>
    <w:p w14:paraId="2FB8DE08" w14:textId="41F2EED0" w:rsidR="0052565E" w:rsidRPr="00373A5F" w:rsidRDefault="0052565E" w:rsidP="00FA4967">
      <w:pPr>
        <w:pStyle w:val="Rn2"/>
        <w:rPr>
          <w:lang w:val="en-US"/>
        </w:rPr>
      </w:pPr>
      <w:r w:rsidRPr="00373A5F">
        <w:rPr>
          <w:lang w:val="en-US"/>
        </w:rPr>
        <w:t>Acknowledgements</w:t>
      </w:r>
    </w:p>
    <w:p w14:paraId="168ECF4F" w14:textId="3217384C" w:rsidR="0052565E" w:rsidRPr="00FF6D90" w:rsidRDefault="0052565E" w:rsidP="0052565E">
      <w:pPr>
        <w:spacing w:line="228" w:lineRule="auto"/>
        <w:jc w:val="both"/>
        <w:rPr>
          <w:rFonts w:ascii="Times New Roman" w:hAnsi="Times New Roman"/>
        </w:rPr>
      </w:pPr>
      <w:r w:rsidRPr="00FF6D90">
        <w:rPr>
          <w:rFonts w:ascii="Times New Roman" w:hAnsi="Times New Roman"/>
        </w:rPr>
        <w:t xml:space="preserve">The authors would like to thank </w:t>
      </w:r>
      <w:r w:rsidR="007E1AB9">
        <w:rPr>
          <w:rFonts w:ascii="Times New Roman" w:hAnsi="Times New Roman"/>
        </w:rPr>
        <w:t>the Department of Electrical Engineering, RKDF University, Bhopal, India, for conducting the research</w:t>
      </w:r>
      <w:r w:rsidR="00FA4967">
        <w:rPr>
          <w:rFonts w:ascii="Times New Roman" w:hAnsi="Times New Roman"/>
        </w:rPr>
        <w:t>.</w:t>
      </w:r>
    </w:p>
    <w:p w14:paraId="7FB3CC02" w14:textId="4E29B83C" w:rsidR="0052565E" w:rsidRPr="00FF6D90" w:rsidRDefault="0052565E" w:rsidP="0052565E">
      <w:pPr>
        <w:spacing w:line="228" w:lineRule="auto"/>
        <w:jc w:val="both"/>
        <w:rPr>
          <w:rFonts w:ascii="Times New Roman" w:hAnsi="Times New Roman"/>
          <w:b/>
          <w:bCs/>
        </w:rPr>
      </w:pPr>
      <w:r w:rsidRPr="00FF6D90">
        <w:rPr>
          <w:rFonts w:ascii="Times New Roman" w:hAnsi="Times New Roman"/>
          <w:b/>
          <w:bCs/>
        </w:rPr>
        <w:t>References</w:t>
      </w:r>
    </w:p>
    <w:p w14:paraId="2FA65F6A" w14:textId="4FA213D2" w:rsidR="0052565E" w:rsidRPr="001B36DF" w:rsidRDefault="0052565E" w:rsidP="007E1AB9">
      <w:pPr>
        <w:pStyle w:val="Rlit"/>
        <w:jc w:val="left"/>
        <w:rPr>
          <w:noProof/>
        </w:rPr>
      </w:pPr>
      <w:r w:rsidRPr="001B36DF">
        <w:rPr>
          <w:rFonts w:eastAsia="Calibri"/>
          <w:b/>
          <w:bCs/>
          <w:lang w:val="en-IN" w:eastAsia="en-US"/>
        </w:rPr>
        <w:fldChar w:fldCharType="begin" w:fldLock="1"/>
      </w:r>
      <w:r w:rsidRPr="001B36DF">
        <w:rPr>
          <w:b/>
          <w:bCs/>
          <w:lang w:val="en-IN"/>
        </w:rPr>
        <w:instrText xml:space="preserve">ADDIN Mendeley Bibliography CSL_BIBLIOGRAPHY </w:instrText>
      </w:r>
      <w:r w:rsidRPr="001B36DF">
        <w:rPr>
          <w:rFonts w:eastAsia="Calibri"/>
          <w:b/>
          <w:bCs/>
          <w:lang w:val="en-IN" w:eastAsia="en-US"/>
        </w:rPr>
        <w:fldChar w:fldCharType="separate"/>
      </w:r>
      <w:r w:rsidRPr="001B36DF">
        <w:rPr>
          <w:noProof/>
          <w:lang w:val="en-IN"/>
        </w:rPr>
        <w:t xml:space="preserve">Agupugo, C.P., Kehinde, H.M., &amp; Manuel, H.N.N. (2024). </w:t>
      </w:r>
      <w:r w:rsidRPr="001B36DF">
        <w:rPr>
          <w:noProof/>
        </w:rPr>
        <w:t xml:space="preserve">Optimization of microgrid operations using renewable energy sources. </w:t>
      </w:r>
      <w:r w:rsidRPr="001B36DF">
        <w:rPr>
          <w:i/>
          <w:iCs/>
          <w:noProof/>
        </w:rPr>
        <w:t>Engineering Science &amp; Tec</w:t>
      </w:r>
      <w:r w:rsidR="007E1AB9">
        <w:rPr>
          <w:i/>
          <w:iCs/>
          <w:noProof/>
        </w:rPr>
        <w:t>h</w:t>
      </w:r>
      <w:r w:rsidRPr="001B36DF">
        <w:rPr>
          <w:i/>
          <w:iCs/>
          <w:noProof/>
        </w:rPr>
        <w:t>nology Journal</w:t>
      </w:r>
      <w:r w:rsidRPr="001B36DF">
        <w:rPr>
          <w:noProof/>
        </w:rPr>
        <w:t>, 5(7), 2379–2401. https://doi.org/10.51594/estj.v5i7.1360</w:t>
      </w:r>
    </w:p>
    <w:p w14:paraId="1CA7348F" w14:textId="4817CAE9" w:rsidR="0052565E" w:rsidRPr="001B36DF" w:rsidRDefault="0052565E" w:rsidP="007E1AB9">
      <w:pPr>
        <w:pStyle w:val="Rlit"/>
        <w:jc w:val="left"/>
        <w:rPr>
          <w:noProof/>
        </w:rPr>
      </w:pPr>
      <w:r w:rsidRPr="001B36DF">
        <w:rPr>
          <w:noProof/>
        </w:rPr>
        <w:t xml:space="preserve">Ahmad, F., &amp; Alshatti, A.H. (2024). Design and Development of Hybrid Microgrid Control System for Renewable Energy Generation. </w:t>
      </w:r>
      <w:r w:rsidRPr="001B36DF">
        <w:rPr>
          <w:i/>
          <w:iCs/>
          <w:noProof/>
        </w:rPr>
        <w:t>International Journal of Advances in Scientific Research and Engineering</w:t>
      </w:r>
      <w:r w:rsidRPr="001B36DF">
        <w:rPr>
          <w:noProof/>
        </w:rPr>
        <w:t xml:space="preserve">, </w:t>
      </w:r>
      <w:r w:rsidRPr="001B36DF">
        <w:rPr>
          <w:i/>
          <w:iCs/>
          <w:noProof/>
        </w:rPr>
        <w:t>10</w:t>
      </w:r>
      <w:r w:rsidRPr="001B36DF">
        <w:rPr>
          <w:noProof/>
        </w:rPr>
        <w:t>(04), 13–22. https://doi.org/10.31695/ijasre.2024.4.2</w:t>
      </w:r>
    </w:p>
    <w:p w14:paraId="55981DA0" w14:textId="53D02848" w:rsidR="0052565E" w:rsidRPr="001B36DF" w:rsidRDefault="0052565E" w:rsidP="007E1AB9">
      <w:pPr>
        <w:pStyle w:val="Rlit"/>
        <w:jc w:val="left"/>
        <w:rPr>
          <w:noProof/>
        </w:rPr>
      </w:pPr>
      <w:r w:rsidRPr="001B36DF">
        <w:rPr>
          <w:noProof/>
        </w:rPr>
        <w:t xml:space="preserve">Akram, N., Khan, L., Agha, S., &amp; Hafeez, K. (2022). Global Maximum Power Point Tracking of Partially Shaded PV System Using Advanced Optimization Techniques. </w:t>
      </w:r>
      <w:r w:rsidRPr="001B36DF">
        <w:rPr>
          <w:i/>
          <w:iCs/>
          <w:noProof/>
        </w:rPr>
        <w:t>Energies</w:t>
      </w:r>
      <w:r w:rsidRPr="001B36DF">
        <w:rPr>
          <w:noProof/>
        </w:rPr>
        <w:t xml:space="preserve">, </w:t>
      </w:r>
      <w:r w:rsidRPr="001B36DF">
        <w:rPr>
          <w:i/>
          <w:iCs/>
          <w:noProof/>
        </w:rPr>
        <w:t>15</w:t>
      </w:r>
      <w:r w:rsidRPr="001B36DF">
        <w:rPr>
          <w:noProof/>
        </w:rPr>
        <w:t>(11), 4055. https://doi.org/10.3390/en15114055</w:t>
      </w:r>
    </w:p>
    <w:p w14:paraId="47B56E7F" w14:textId="73A6319D" w:rsidR="0052565E" w:rsidRPr="001B36DF" w:rsidRDefault="0052565E" w:rsidP="007E1AB9">
      <w:pPr>
        <w:pStyle w:val="Rlit"/>
        <w:jc w:val="left"/>
        <w:rPr>
          <w:noProof/>
        </w:rPr>
      </w:pPr>
      <w:r w:rsidRPr="001B36DF">
        <w:rPr>
          <w:noProof/>
        </w:rPr>
        <w:t xml:space="preserve">Alshammari, N., &amp; Asumadu, J. (2020). Comparative Analysis of Meta-Heuristic Algorithms for Optimal Sizing of Hybrid Renewable Energy System. </w:t>
      </w:r>
      <w:r w:rsidRPr="001B36DF">
        <w:rPr>
          <w:i/>
          <w:iCs/>
          <w:noProof/>
        </w:rPr>
        <w:t>Electro/Information Technology</w:t>
      </w:r>
      <w:r w:rsidRPr="001B36DF">
        <w:rPr>
          <w:noProof/>
        </w:rPr>
        <w:t>, 648–654. https://doi.org/10.1109/EIT48999.2020.9208343</w:t>
      </w:r>
    </w:p>
    <w:p w14:paraId="165CE325" w14:textId="6EAA60F6" w:rsidR="0052565E" w:rsidRPr="001B36DF" w:rsidRDefault="0052565E" w:rsidP="007E1AB9">
      <w:pPr>
        <w:pStyle w:val="Rlit"/>
        <w:jc w:val="left"/>
        <w:rPr>
          <w:noProof/>
        </w:rPr>
      </w:pPr>
      <w:r w:rsidRPr="001B36DF">
        <w:rPr>
          <w:noProof/>
        </w:rPr>
        <w:t xml:space="preserve">Belrzaeg, M., Sif, M.A., Almabsout, E., &amp; Benisheikh, U.A. (2023). Distributed generation for Microgrid technology. </w:t>
      </w:r>
      <w:r w:rsidRPr="001B36DF">
        <w:rPr>
          <w:i/>
          <w:iCs/>
          <w:noProof/>
        </w:rPr>
        <w:t>International Journal of Scientific Research Updates</w:t>
      </w:r>
      <w:r w:rsidRPr="001B36DF">
        <w:rPr>
          <w:noProof/>
        </w:rPr>
        <w:t>. Retrieved from https://doi.org/10.53430/ijsru.2023.6.1.0062</w:t>
      </w:r>
    </w:p>
    <w:p w14:paraId="0482B03A" w14:textId="1956AEA9" w:rsidR="0052565E" w:rsidRPr="001B36DF" w:rsidRDefault="0052565E" w:rsidP="007E1AB9">
      <w:pPr>
        <w:pStyle w:val="Rlit"/>
        <w:jc w:val="left"/>
        <w:rPr>
          <w:noProof/>
        </w:rPr>
      </w:pPr>
      <w:r w:rsidRPr="001B36DF">
        <w:rPr>
          <w:noProof/>
        </w:rPr>
        <w:t>Bie, Z., &amp; Bian, Y. (2024). Microgrids Resilience: Definition, Measures, and Algorithms, 197–218. https://doi.org/10.1002/9781119890881.ch10</w:t>
      </w:r>
    </w:p>
    <w:p w14:paraId="24AF53E0" w14:textId="2D775573" w:rsidR="0052565E" w:rsidRPr="001B36DF" w:rsidRDefault="0052565E" w:rsidP="007E1AB9">
      <w:pPr>
        <w:pStyle w:val="Rlit"/>
        <w:jc w:val="left"/>
        <w:rPr>
          <w:noProof/>
        </w:rPr>
      </w:pPr>
      <w:r w:rsidRPr="001B36DF">
        <w:rPr>
          <w:noProof/>
        </w:rPr>
        <w:lastRenderedPageBreak/>
        <w:t xml:space="preserve">Bouaouda, A., &amp; Sayouti, Y. (2022). Hybrid Meta-Heuristic Algorithms for Optimal Sizing of Hybrid Renewable Energy System: A Review of the State-of-the-Art. </w:t>
      </w:r>
      <w:r w:rsidRPr="001B36DF">
        <w:rPr>
          <w:i/>
          <w:iCs/>
          <w:noProof/>
        </w:rPr>
        <w:t>Archives of Computational Methods in Engineering</w:t>
      </w:r>
      <w:r w:rsidRPr="001B36DF">
        <w:rPr>
          <w:noProof/>
        </w:rPr>
        <w:t xml:space="preserve">, </w:t>
      </w:r>
      <w:r w:rsidRPr="001B36DF">
        <w:rPr>
          <w:i/>
          <w:iCs/>
          <w:noProof/>
        </w:rPr>
        <w:t>29</w:t>
      </w:r>
      <w:r w:rsidRPr="001B36DF">
        <w:rPr>
          <w:noProof/>
        </w:rPr>
        <w:t>(6), 4049–4083. https://doi.org/10.1007/s11831-022-09730-x</w:t>
      </w:r>
    </w:p>
    <w:p w14:paraId="753171B1" w14:textId="299EAACA" w:rsidR="0052565E" w:rsidRPr="001B36DF" w:rsidRDefault="0052565E" w:rsidP="0078126A">
      <w:pPr>
        <w:pStyle w:val="Rlit"/>
        <w:rPr>
          <w:noProof/>
        </w:rPr>
      </w:pPr>
      <w:r w:rsidRPr="001B36DF">
        <w:rPr>
          <w:noProof/>
        </w:rPr>
        <w:t>Calloquispe-Huallpa, R., Huaman-Rivera, A., Ordoñez-Benavides, A.F., Garcia-Garcia, Y.V, Andrade, F., Aponte-Bezares, E.E., &amp; Irizarry-Rivera, A. (2023). A Comparison Between Genetic Algorithm and Particle Swarm Optimization for Economic Dispatch in a Microgrid. https://doi.org/10.1109/isgt-la56058.2023.10328280</w:t>
      </w:r>
    </w:p>
    <w:p w14:paraId="04E391C9" w14:textId="6A6491F9" w:rsidR="0052565E" w:rsidRPr="001B36DF" w:rsidRDefault="0052565E" w:rsidP="007E1AB9">
      <w:pPr>
        <w:pStyle w:val="Rlit"/>
        <w:jc w:val="left"/>
        <w:rPr>
          <w:noProof/>
        </w:rPr>
      </w:pPr>
      <w:r w:rsidRPr="001B36DF">
        <w:rPr>
          <w:noProof/>
          <w:spacing w:val="-4"/>
          <w:lang w:val="de-DE"/>
        </w:rPr>
        <w:t xml:space="preserve">Chauhan, S.K., &amp; Chauhan, V.S. (2024). </w:t>
      </w:r>
      <w:r w:rsidRPr="001B36DF">
        <w:rPr>
          <w:noProof/>
          <w:spacing w:val="-4"/>
        </w:rPr>
        <w:t xml:space="preserve">Meta-Heuristic Algorithms for Optimal Sizing of Hybrid Renewable Energy Systems. </w:t>
      </w:r>
      <w:r w:rsidRPr="001B36DF">
        <w:rPr>
          <w:i/>
          <w:iCs/>
          <w:noProof/>
          <w:spacing w:val="-4"/>
        </w:rPr>
        <w:t>Advances in Systems Analysis, Software Engineering, and High Performance Computing Book Series</w:t>
      </w:r>
      <w:r w:rsidRPr="001B36DF">
        <w:rPr>
          <w:noProof/>
          <w:spacing w:val="-4"/>
        </w:rPr>
        <w:t xml:space="preserve">, </w:t>
      </w:r>
      <w:r w:rsidR="0078126A">
        <w:rPr>
          <w:noProof/>
          <w:spacing w:val="-4"/>
        </w:rPr>
        <w:br/>
      </w:r>
      <w:r w:rsidRPr="001B36DF">
        <w:rPr>
          <w:noProof/>
          <w:spacing w:val="-4"/>
        </w:rPr>
        <w:t>184–200.</w:t>
      </w:r>
      <w:r w:rsidRPr="001B36DF">
        <w:rPr>
          <w:noProof/>
        </w:rPr>
        <w:t xml:space="preserve"> https://doi.org/10.4018/979-8-3693-7842-7.ch010</w:t>
      </w:r>
    </w:p>
    <w:p w14:paraId="295C7083" w14:textId="0AEE7180" w:rsidR="0052565E" w:rsidRPr="001B36DF" w:rsidRDefault="0052565E" w:rsidP="007E1AB9">
      <w:pPr>
        <w:pStyle w:val="Rlit"/>
        <w:jc w:val="left"/>
        <w:rPr>
          <w:noProof/>
        </w:rPr>
      </w:pPr>
      <w:r w:rsidRPr="001B36DF">
        <w:rPr>
          <w:noProof/>
        </w:rPr>
        <w:t>Chouhan, J.B., Ojha, A., &amp; Swarnkar, P. (2022). PSO-Based Distributed Generation Planning, 1–4. https://doi.org/10.1109/iSSSC56467.2022.10051441</w:t>
      </w:r>
    </w:p>
    <w:p w14:paraId="5A5516AC" w14:textId="3E8FF26F" w:rsidR="0052565E" w:rsidRPr="0078126A" w:rsidRDefault="0052565E" w:rsidP="0078126A">
      <w:pPr>
        <w:pStyle w:val="Rlit"/>
        <w:rPr>
          <w:noProof/>
          <w:spacing w:val="-2"/>
        </w:rPr>
      </w:pPr>
      <w:r w:rsidRPr="0078126A">
        <w:rPr>
          <w:noProof/>
          <w:spacing w:val="-2"/>
          <w:lang w:val="pl-PL"/>
        </w:rPr>
        <w:t xml:space="preserve">Chudasama, P. P., &amp; Kotwal, C. D. (2019). </w:t>
      </w:r>
      <w:r w:rsidRPr="0078126A">
        <w:rPr>
          <w:noProof/>
          <w:spacing w:val="-2"/>
        </w:rPr>
        <w:t>Feasibility Assessment of a Standalone Hybrid Rural Microgrid Using a</w:t>
      </w:r>
      <w:r w:rsidR="00D1544D" w:rsidRPr="0078126A">
        <w:rPr>
          <w:noProof/>
          <w:spacing w:val="-2"/>
        </w:rPr>
        <w:t> </w:t>
      </w:r>
      <w:r w:rsidRPr="0078126A">
        <w:rPr>
          <w:noProof/>
          <w:spacing w:val="-2"/>
        </w:rPr>
        <w:t xml:space="preserve">Load Following Dispatched Strategy. </w:t>
      </w:r>
      <w:r w:rsidRPr="0078126A">
        <w:rPr>
          <w:i/>
          <w:iCs/>
          <w:noProof/>
          <w:spacing w:val="-2"/>
        </w:rPr>
        <w:t>International Journal of Scientific Research in Science, Engineering and Technology</w:t>
      </w:r>
      <w:r w:rsidRPr="0078126A">
        <w:rPr>
          <w:noProof/>
          <w:spacing w:val="-2"/>
        </w:rPr>
        <w:t>. https://doi.org/10.32628/ijsrset2182136</w:t>
      </w:r>
    </w:p>
    <w:p w14:paraId="0D53B076" w14:textId="66EB71A3" w:rsidR="0052565E" w:rsidRPr="001B36DF" w:rsidRDefault="0052565E" w:rsidP="0078126A">
      <w:pPr>
        <w:pStyle w:val="Rlit"/>
        <w:rPr>
          <w:noProof/>
        </w:rPr>
      </w:pPr>
      <w:r w:rsidRPr="001B36DF">
        <w:rPr>
          <w:noProof/>
        </w:rPr>
        <w:t xml:space="preserve">de Cerqueira Lima e Penalva Santos, D., Ihler, J.B., Soares, L.O., Alves, Y.A., Souza, C.G., &amp; Boloy, R.A.M. (2022). Global Trends and Opportunities in Hybrid Microgrid Systems Using Renewable Energies. </w:t>
      </w:r>
      <w:r w:rsidRPr="001B36DF">
        <w:rPr>
          <w:i/>
          <w:iCs/>
          <w:noProof/>
        </w:rPr>
        <w:t>International Journal of Energy Economics and Policy</w:t>
      </w:r>
      <w:r w:rsidRPr="001B36DF">
        <w:rPr>
          <w:noProof/>
        </w:rPr>
        <w:t xml:space="preserve">, </w:t>
      </w:r>
      <w:r w:rsidRPr="001B36DF">
        <w:rPr>
          <w:i/>
          <w:iCs/>
          <w:noProof/>
        </w:rPr>
        <w:t>12</w:t>
      </w:r>
      <w:r w:rsidRPr="001B36DF">
        <w:rPr>
          <w:noProof/>
        </w:rPr>
        <w:t>(4), 263–273. https://doi.org/10.32479/ijeep.13175</w:t>
      </w:r>
    </w:p>
    <w:p w14:paraId="5EA54887" w14:textId="5EF410BA" w:rsidR="0052565E" w:rsidRPr="001B36DF" w:rsidRDefault="0052565E" w:rsidP="007E1AB9">
      <w:pPr>
        <w:pStyle w:val="Rlit"/>
        <w:jc w:val="left"/>
        <w:rPr>
          <w:noProof/>
        </w:rPr>
      </w:pPr>
      <w:r w:rsidRPr="001B36DF">
        <w:rPr>
          <w:noProof/>
          <w:lang w:val="de-DE"/>
        </w:rPr>
        <w:t xml:space="preserve">Ghosh, S., Nandanwar, S., &amp; Pandey, G. (2024). </w:t>
      </w:r>
      <w:r w:rsidRPr="001B36DF">
        <w:rPr>
          <w:i/>
          <w:iCs/>
          <w:noProof/>
        </w:rPr>
        <w:t>Cost-Effective and Sustainable Microgrid System for Reliable Energy Supply in Remote and Rural Communities: A Case Study in Bhopal, Madhya Pradesh</w:t>
      </w:r>
      <w:r w:rsidR="00D1544D" w:rsidRPr="001B36DF">
        <w:rPr>
          <w:i/>
          <w:iCs/>
          <w:noProof/>
        </w:rPr>
        <w:t>.</w:t>
      </w:r>
      <w:r w:rsidR="00D1544D" w:rsidRPr="001B36DF">
        <w:rPr>
          <w:noProof/>
        </w:rPr>
        <w:t xml:space="preserve"> 2024 IEEE 3rd International Conference on Electrical Power and Energy Systems (ICEPES), Bhopal, India, pp. 1–7</w:t>
      </w:r>
      <w:r w:rsidRPr="001B36DF">
        <w:rPr>
          <w:noProof/>
        </w:rPr>
        <w:t>. https://doi.org/10.1109/icepes60647.2024.10653587</w:t>
      </w:r>
    </w:p>
    <w:p w14:paraId="05DC3C96" w14:textId="4BF7CEF4" w:rsidR="0052565E" w:rsidRPr="001B36DF" w:rsidRDefault="0052565E" w:rsidP="007E1AB9">
      <w:pPr>
        <w:pStyle w:val="Rlit"/>
        <w:jc w:val="left"/>
        <w:rPr>
          <w:noProof/>
        </w:rPr>
      </w:pPr>
      <w:r w:rsidRPr="001B36DF">
        <w:rPr>
          <w:noProof/>
        </w:rPr>
        <w:t xml:space="preserve">Hadi, M., Elbouchikhi, E., Zhou, Z., &amp; Saim, A. (2025). </w:t>
      </w:r>
      <w:r w:rsidRPr="001B36DF">
        <w:rPr>
          <w:i/>
          <w:iCs/>
          <w:noProof/>
        </w:rPr>
        <w:t>Optimal Sizing and Energy Management for Multi-Energy Microgrids Integrated with Combined Heat and Power Unit</w:t>
      </w:r>
      <w:r w:rsidR="00C74230" w:rsidRPr="001B36DF">
        <w:rPr>
          <w:noProof/>
        </w:rPr>
        <w:t>.</w:t>
      </w:r>
      <w:r w:rsidRPr="001B36DF">
        <w:rPr>
          <w:noProof/>
        </w:rPr>
        <w:t xml:space="preserve"> </w:t>
      </w:r>
      <w:r w:rsidR="00C74230" w:rsidRPr="001B36DF">
        <w:rPr>
          <w:noProof/>
        </w:rPr>
        <w:t>2025 International Conference on Control, Automation and Diagnosis (ICCAD), Barcelona, Spain, 2025, pp. 1–6</w:t>
      </w:r>
      <w:r w:rsidRPr="001B36DF">
        <w:rPr>
          <w:noProof/>
        </w:rPr>
        <w:t>. https://doi.org/10.1109/iccad64771.2025.11099312</w:t>
      </w:r>
    </w:p>
    <w:p w14:paraId="6D0CFC4A" w14:textId="661C01BA" w:rsidR="0052565E" w:rsidRPr="001B36DF" w:rsidRDefault="0052565E" w:rsidP="007E1AB9">
      <w:pPr>
        <w:pStyle w:val="Rlit"/>
        <w:jc w:val="left"/>
        <w:rPr>
          <w:noProof/>
        </w:rPr>
      </w:pPr>
      <w:r w:rsidRPr="001B36DF">
        <w:rPr>
          <w:noProof/>
        </w:rPr>
        <w:t>Hassan, H., Habbi, H.M.D., &amp; Abbood, A. (2023). Hybrid Metaheuristic Algorithms Mppt under Partial Shading Condition.</w:t>
      </w:r>
      <w:r w:rsidR="00C74230" w:rsidRPr="001B36DF">
        <w:rPr>
          <w:noProof/>
        </w:rPr>
        <w:t xml:space="preserve"> </w:t>
      </w:r>
      <w:r w:rsidR="00C74230" w:rsidRPr="001B36DF">
        <w:rPr>
          <w:i/>
          <w:iCs/>
          <w:noProof/>
        </w:rPr>
        <w:t>The Journal of The University of Duhok</w:t>
      </w:r>
      <w:r w:rsidR="00C74230" w:rsidRPr="001B36DF">
        <w:rPr>
          <w:noProof/>
        </w:rPr>
        <w:t xml:space="preserve">, </w:t>
      </w:r>
      <w:r w:rsidR="00C74230" w:rsidRPr="001B36DF">
        <w:rPr>
          <w:i/>
          <w:iCs/>
          <w:noProof/>
        </w:rPr>
        <w:t>26</w:t>
      </w:r>
      <w:r w:rsidR="00C74230" w:rsidRPr="001B36DF">
        <w:rPr>
          <w:noProof/>
        </w:rPr>
        <w:t xml:space="preserve">(2). 390–399. </w:t>
      </w:r>
      <w:r w:rsidRPr="001B36DF">
        <w:rPr>
          <w:noProof/>
        </w:rPr>
        <w:t>https://doi.org/10.26682/csjuod.2023.26.2.36</w:t>
      </w:r>
    </w:p>
    <w:p w14:paraId="26378CC2" w14:textId="5B7B2A1D" w:rsidR="0052565E" w:rsidRPr="001B36DF" w:rsidRDefault="0052565E" w:rsidP="007E1AB9">
      <w:pPr>
        <w:pStyle w:val="Rlit"/>
        <w:jc w:val="left"/>
        <w:rPr>
          <w:noProof/>
        </w:rPr>
      </w:pPr>
      <w:r w:rsidRPr="00D20231">
        <w:rPr>
          <w:noProof/>
          <w:lang w:val="de-DE"/>
        </w:rPr>
        <w:t xml:space="preserve">Jia, H., Xu, X., Jin, X., &amp; Wu, J. (2024). </w:t>
      </w:r>
      <w:r w:rsidRPr="001B36DF">
        <w:rPr>
          <w:noProof/>
        </w:rPr>
        <w:t>Modeling of integrated energy systems, 7–35. https://doi.org/10.1049/pbpo149e_ch1</w:t>
      </w:r>
    </w:p>
    <w:p w14:paraId="3C1FBB47" w14:textId="110818FB" w:rsidR="0052565E" w:rsidRPr="001B36DF" w:rsidRDefault="0052565E" w:rsidP="007E1AB9">
      <w:pPr>
        <w:pStyle w:val="Rlit"/>
        <w:jc w:val="left"/>
        <w:rPr>
          <w:noProof/>
        </w:rPr>
      </w:pPr>
      <w:r w:rsidRPr="001B36DF">
        <w:rPr>
          <w:noProof/>
          <w:spacing w:val="-2"/>
        </w:rPr>
        <w:t xml:space="preserve">Khan, I.R., Rukh, G., &amp; Ullah, M.F. (2023). A multi-objective strategy for cost-effective microgrid solutions based on renewable energy sources. </w:t>
      </w:r>
      <w:r w:rsidRPr="001B36DF">
        <w:rPr>
          <w:i/>
          <w:iCs/>
          <w:noProof/>
          <w:spacing w:val="-2"/>
        </w:rPr>
        <w:t>International Conference on Applied Engineering and Natural Sciences</w:t>
      </w:r>
      <w:r w:rsidRPr="001B36DF">
        <w:rPr>
          <w:noProof/>
          <w:spacing w:val="-2"/>
        </w:rPr>
        <w:t xml:space="preserve">, </w:t>
      </w:r>
      <w:r w:rsidRPr="001B36DF">
        <w:rPr>
          <w:i/>
          <w:iCs/>
          <w:noProof/>
          <w:spacing w:val="-2"/>
        </w:rPr>
        <w:t>1</w:t>
      </w:r>
      <w:r w:rsidRPr="001B36DF">
        <w:rPr>
          <w:noProof/>
          <w:spacing w:val="-2"/>
        </w:rPr>
        <w:t>(1), 1057–1061.</w:t>
      </w:r>
      <w:r w:rsidRPr="001B36DF">
        <w:rPr>
          <w:noProof/>
        </w:rPr>
        <w:t xml:space="preserve"> https://doi.org/10.59287/icaens.1128</w:t>
      </w:r>
    </w:p>
    <w:p w14:paraId="2860739A" w14:textId="7EB31B76" w:rsidR="0052565E" w:rsidRPr="001B36DF" w:rsidRDefault="0052565E" w:rsidP="007E1AB9">
      <w:pPr>
        <w:pStyle w:val="Rlit"/>
        <w:jc w:val="left"/>
        <w:rPr>
          <w:noProof/>
        </w:rPr>
      </w:pPr>
      <w:r w:rsidRPr="001B36DF">
        <w:rPr>
          <w:noProof/>
        </w:rPr>
        <w:t>Khanna, P., &amp; Chanana, S. (2024). Optimizing the Energy and Operational Management of Microgrids, 1–6. https://doi.org/10.1109/sces61914.2024.10652565</w:t>
      </w:r>
    </w:p>
    <w:p w14:paraId="173FA880" w14:textId="38318C9B" w:rsidR="0052565E" w:rsidRPr="001B36DF" w:rsidRDefault="0052565E" w:rsidP="007E1AB9">
      <w:pPr>
        <w:pStyle w:val="Rlit"/>
        <w:jc w:val="left"/>
        <w:rPr>
          <w:noProof/>
        </w:rPr>
      </w:pPr>
      <w:r w:rsidRPr="001B36DF">
        <w:rPr>
          <w:noProof/>
        </w:rPr>
        <w:t xml:space="preserve">Kirmani, S., &amp; Shadab, M. (2015). Techno-Economic Feasibility Analysis of Hybrid Systems for Decentralized Power Generation in India. </w:t>
      </w:r>
      <w:r w:rsidRPr="001B36DF">
        <w:rPr>
          <w:i/>
          <w:iCs/>
          <w:noProof/>
        </w:rPr>
        <w:t>International Journal of Energy and Power Engineering</w:t>
      </w:r>
      <w:r w:rsidRPr="001B36DF">
        <w:rPr>
          <w:noProof/>
        </w:rPr>
        <w:t xml:space="preserve">, </w:t>
      </w:r>
      <w:r w:rsidRPr="001B36DF">
        <w:rPr>
          <w:i/>
          <w:iCs/>
          <w:noProof/>
        </w:rPr>
        <w:t>4</w:t>
      </w:r>
      <w:r w:rsidRPr="001B36DF">
        <w:rPr>
          <w:noProof/>
        </w:rPr>
        <w:t>(2), 103. https://doi.org/10.11648/J.IJEPE.20150402.21</w:t>
      </w:r>
    </w:p>
    <w:p w14:paraId="002FE9E8" w14:textId="7990F1AA" w:rsidR="0052565E" w:rsidRPr="001B36DF" w:rsidRDefault="0052565E" w:rsidP="007E1AB9">
      <w:pPr>
        <w:pStyle w:val="Rlit"/>
        <w:jc w:val="left"/>
        <w:rPr>
          <w:noProof/>
        </w:rPr>
      </w:pPr>
      <w:r w:rsidRPr="00D20231">
        <w:rPr>
          <w:noProof/>
        </w:rPr>
        <w:t xml:space="preserve">Kumar, T.S., &amp; Venkatesan, T. (2023). </w:t>
      </w:r>
      <w:r w:rsidRPr="001B36DF">
        <w:rPr>
          <w:noProof/>
        </w:rPr>
        <w:t xml:space="preserve">A Techno-Economic Optimal Evaluation and Feasibility Analysis of Hybrid Microgrid Electrification for Smart Cities in Tamil Nadu. </w:t>
      </w:r>
      <w:r w:rsidRPr="001B36DF">
        <w:rPr>
          <w:i/>
          <w:iCs/>
          <w:noProof/>
        </w:rPr>
        <w:t>Electric Power Components and Systems</w:t>
      </w:r>
      <w:r w:rsidRPr="001B36DF">
        <w:rPr>
          <w:noProof/>
        </w:rPr>
        <w:t>. https://doi.org/10.1080/15325008.2023.2249883</w:t>
      </w:r>
    </w:p>
    <w:p w14:paraId="492D0D9F" w14:textId="4893F32E" w:rsidR="0052565E" w:rsidRPr="001B36DF" w:rsidRDefault="0052565E" w:rsidP="007E1AB9">
      <w:pPr>
        <w:pStyle w:val="Rlit"/>
        <w:jc w:val="left"/>
        <w:rPr>
          <w:noProof/>
        </w:rPr>
      </w:pPr>
      <w:r w:rsidRPr="001B36DF">
        <w:rPr>
          <w:noProof/>
        </w:rPr>
        <w:t xml:space="preserve">Lyden, S., Galligan, H., &amp; Haque, E. (2021). A Hybrid Simulated Annealing and Perturb and Observe Maximum Power Point Tracking Method. </w:t>
      </w:r>
      <w:r w:rsidRPr="001B36DF">
        <w:rPr>
          <w:i/>
          <w:iCs/>
          <w:noProof/>
        </w:rPr>
        <w:t>IEEE Systems Journal</w:t>
      </w:r>
      <w:r w:rsidRPr="001B36DF">
        <w:rPr>
          <w:noProof/>
        </w:rPr>
        <w:t xml:space="preserve">, </w:t>
      </w:r>
      <w:r w:rsidRPr="001B36DF">
        <w:rPr>
          <w:i/>
          <w:iCs/>
          <w:noProof/>
        </w:rPr>
        <w:t>15</w:t>
      </w:r>
      <w:r w:rsidRPr="001B36DF">
        <w:rPr>
          <w:noProof/>
        </w:rPr>
        <w:t>(3), 4325–4333. https://doi.org/10.1109/JSYST.2020.3021379</w:t>
      </w:r>
    </w:p>
    <w:p w14:paraId="60706A46" w14:textId="62214EC2" w:rsidR="0052565E" w:rsidRPr="001B36DF" w:rsidRDefault="0052565E" w:rsidP="007E1AB9">
      <w:pPr>
        <w:pStyle w:val="Rlit"/>
        <w:jc w:val="left"/>
        <w:rPr>
          <w:noProof/>
        </w:rPr>
      </w:pPr>
      <w:r w:rsidRPr="001B36DF">
        <w:rPr>
          <w:noProof/>
        </w:rPr>
        <w:t xml:space="preserve">Naderi, E., Narimani, H., Pourakbari-Kasmaei, M., Cerna, F.V, Marzband, M., &amp; Lehtonen, M. (n.d.). State-of-the-Art of Optimal Active and Reactive Power Flow: A Comprehensive Review from Various Standpoints, </w:t>
      </w:r>
      <w:r w:rsidRPr="001B36DF">
        <w:rPr>
          <w:i/>
          <w:iCs/>
          <w:noProof/>
        </w:rPr>
        <w:t>9</w:t>
      </w:r>
      <w:r w:rsidRPr="001B36DF">
        <w:rPr>
          <w:noProof/>
        </w:rPr>
        <w:t>(8), 1319. https://doi.org/10.3390/PR9081319</w:t>
      </w:r>
    </w:p>
    <w:p w14:paraId="53A9DBAA" w14:textId="2E6FBA99" w:rsidR="0052565E" w:rsidRPr="001B36DF" w:rsidRDefault="0052565E" w:rsidP="007E1AB9">
      <w:pPr>
        <w:pStyle w:val="Rlit"/>
        <w:jc w:val="left"/>
        <w:rPr>
          <w:noProof/>
        </w:rPr>
      </w:pPr>
      <w:r w:rsidRPr="001B36DF">
        <w:rPr>
          <w:noProof/>
        </w:rPr>
        <w:t xml:space="preserve">Oviedo-Carranza, S., Artal-Sevil, J.S., &amp; Domínguez-Navarro, J.A. (2022). Optimal Operation of a Distributed Generation Microgrid based on the Multi-Objective Genetic Algorithms. </w:t>
      </w:r>
      <w:r w:rsidRPr="001B36DF">
        <w:rPr>
          <w:i/>
          <w:iCs/>
          <w:noProof/>
        </w:rPr>
        <w:t>Renewable Energy &amp; Power Quality Journal</w:t>
      </w:r>
      <w:r w:rsidRPr="001B36DF">
        <w:rPr>
          <w:noProof/>
        </w:rPr>
        <w:t xml:space="preserve">, </w:t>
      </w:r>
      <w:r w:rsidRPr="001B36DF">
        <w:rPr>
          <w:i/>
          <w:iCs/>
          <w:noProof/>
        </w:rPr>
        <w:t>20</w:t>
      </w:r>
      <w:r w:rsidRPr="001B36DF">
        <w:rPr>
          <w:noProof/>
        </w:rPr>
        <w:t>, 789–794. https://doi.org/10.24084/repqj20.436</w:t>
      </w:r>
    </w:p>
    <w:p w14:paraId="365CF99A" w14:textId="6175538A" w:rsidR="0052565E" w:rsidRPr="001B36DF" w:rsidRDefault="0052565E" w:rsidP="007E1AB9">
      <w:pPr>
        <w:pStyle w:val="Rlit"/>
        <w:jc w:val="left"/>
        <w:rPr>
          <w:noProof/>
        </w:rPr>
      </w:pPr>
      <w:r w:rsidRPr="001B36DF">
        <w:rPr>
          <w:noProof/>
        </w:rPr>
        <w:t xml:space="preserve">Pulluri, H., Basetti, V., Goud, B.S., &amp; Kalyan, C.N.S. (2024). Exploring Evolutionary Algorithms for Optimal Power Flow: A Comprehensive Review and Analysis. </w:t>
      </w:r>
      <w:r w:rsidRPr="001B36DF">
        <w:rPr>
          <w:i/>
          <w:iCs/>
          <w:noProof/>
        </w:rPr>
        <w:t>Electricity</w:t>
      </w:r>
      <w:r w:rsidRPr="001B36DF">
        <w:rPr>
          <w:noProof/>
        </w:rPr>
        <w:t xml:space="preserve">, </w:t>
      </w:r>
      <w:r w:rsidRPr="001B36DF">
        <w:rPr>
          <w:i/>
          <w:iCs/>
          <w:noProof/>
        </w:rPr>
        <w:t>5</w:t>
      </w:r>
      <w:r w:rsidRPr="001B36DF">
        <w:rPr>
          <w:noProof/>
        </w:rPr>
        <w:t>(4), 712–733. https://doi.org/10.3390/electricity5040035</w:t>
      </w:r>
    </w:p>
    <w:p w14:paraId="27E0518D" w14:textId="154BD283" w:rsidR="0052565E" w:rsidRPr="001B36DF" w:rsidRDefault="0052565E" w:rsidP="007E1AB9">
      <w:pPr>
        <w:pStyle w:val="Rlit"/>
        <w:jc w:val="left"/>
        <w:rPr>
          <w:noProof/>
        </w:rPr>
      </w:pPr>
      <w:r w:rsidRPr="001B36DF">
        <w:rPr>
          <w:noProof/>
        </w:rPr>
        <w:t>Queen, H.J., Jayakumar, J., &amp; Deepika, T.J. (2022). Operating Cost Analysis of Microgrid Including Renewable Energy Sources and a Battery Under Dynamic Pricing, 291–302. https://doi.org/10.1007/978-981-16-4943-1_27</w:t>
      </w:r>
    </w:p>
    <w:p w14:paraId="63A5686F" w14:textId="26AFD64D" w:rsidR="0052565E" w:rsidRPr="001B36DF" w:rsidRDefault="0052565E" w:rsidP="007E1AB9">
      <w:pPr>
        <w:pStyle w:val="Rlit"/>
        <w:jc w:val="left"/>
        <w:rPr>
          <w:noProof/>
        </w:rPr>
      </w:pPr>
      <w:r w:rsidRPr="001B36DF">
        <w:rPr>
          <w:noProof/>
        </w:rPr>
        <w:t xml:space="preserve">Rajesh, L.V. (2024). Energy management system of microgrid with renewable energy sources. </w:t>
      </w:r>
      <w:r w:rsidRPr="001B36DF">
        <w:rPr>
          <w:i/>
          <w:iCs/>
          <w:noProof/>
        </w:rPr>
        <w:t>Indian Scientific Journal Of Research In Engineering And Management</w:t>
      </w:r>
      <w:r w:rsidRPr="001B36DF">
        <w:rPr>
          <w:noProof/>
        </w:rPr>
        <w:t xml:space="preserve">, </w:t>
      </w:r>
      <w:r w:rsidRPr="001B36DF">
        <w:rPr>
          <w:i/>
          <w:iCs/>
          <w:noProof/>
        </w:rPr>
        <w:t>08</w:t>
      </w:r>
      <w:r w:rsidRPr="001B36DF">
        <w:rPr>
          <w:noProof/>
        </w:rPr>
        <w:t>(05), 1–5. https://doi.org/10.55041/ijsrem35375</w:t>
      </w:r>
    </w:p>
    <w:p w14:paraId="5BA45ED6" w14:textId="1C4A5326" w:rsidR="0052565E" w:rsidRPr="001B36DF" w:rsidRDefault="0052565E" w:rsidP="007E1AB9">
      <w:pPr>
        <w:pStyle w:val="Rlit"/>
        <w:jc w:val="left"/>
        <w:rPr>
          <w:noProof/>
        </w:rPr>
      </w:pPr>
      <w:r w:rsidRPr="001B36DF">
        <w:rPr>
          <w:noProof/>
        </w:rPr>
        <w:t xml:space="preserve">Rashwan, A., Faragalla, A.M., Abo-Zahhad, E.M., El-Dein, A.Z., Liu, Y., Chen, Y., &amp; Abdelhameed, E.H. (2024). Techno-economic Optimization of Isolated Hybrid Microgrids for Remote Areas Electrification: Aswan city </w:t>
      </w:r>
      <w:r w:rsidR="0078126A">
        <w:rPr>
          <w:noProof/>
        </w:rPr>
        <w:br/>
      </w:r>
      <w:r w:rsidRPr="001B36DF">
        <w:rPr>
          <w:noProof/>
        </w:rPr>
        <w:t>as a Case Study. https://doi.org/10.1007/s40866-024-00200-w</w:t>
      </w:r>
    </w:p>
    <w:p w14:paraId="4BD722E4" w14:textId="56CDE063" w:rsidR="0052565E" w:rsidRPr="001B36DF" w:rsidRDefault="0052565E" w:rsidP="007E1AB9">
      <w:pPr>
        <w:pStyle w:val="Rlit"/>
        <w:jc w:val="left"/>
        <w:rPr>
          <w:noProof/>
        </w:rPr>
      </w:pPr>
      <w:r w:rsidRPr="001B36DF">
        <w:rPr>
          <w:noProof/>
        </w:rPr>
        <w:t xml:space="preserve">Rathore, A.S., Kumar, A., &amp; Patidar, N.P. (2023). Techno-Socio-Economic and sensitivity analysis of Standalone Micro-Grid located in Central India. </w:t>
      </w:r>
      <w:r w:rsidRPr="001B36DF">
        <w:rPr>
          <w:i/>
          <w:iCs/>
          <w:noProof/>
        </w:rPr>
        <w:t>International Journal of Ambient Energy</w:t>
      </w:r>
      <w:r w:rsidRPr="001B36DF">
        <w:rPr>
          <w:noProof/>
        </w:rPr>
        <w:t xml:space="preserve">, </w:t>
      </w:r>
      <w:r w:rsidRPr="001B36DF">
        <w:rPr>
          <w:i/>
          <w:iCs/>
          <w:noProof/>
        </w:rPr>
        <w:t>44</w:t>
      </w:r>
      <w:r w:rsidRPr="001B36DF">
        <w:rPr>
          <w:noProof/>
        </w:rPr>
        <w:t>(1), 1490–1511. https://doi.org/10.1080/01430750.2023.2176922</w:t>
      </w:r>
    </w:p>
    <w:p w14:paraId="176254EE" w14:textId="19779D86" w:rsidR="0052565E" w:rsidRPr="001B36DF" w:rsidRDefault="0052565E" w:rsidP="007E1AB9">
      <w:pPr>
        <w:pStyle w:val="Rlit"/>
        <w:jc w:val="left"/>
        <w:rPr>
          <w:noProof/>
        </w:rPr>
      </w:pPr>
      <w:r w:rsidRPr="001B36DF">
        <w:rPr>
          <w:noProof/>
        </w:rPr>
        <w:lastRenderedPageBreak/>
        <w:t>Roy, A., Olivier, J.-C., Auger, F., Auvity, B., Schaeffer, E., Bourguet, S., … Perret, J. (2021). A combined optimization of the sizing and the energy management of an industrial multi-energy microgrid: Application to a harbour area</w:t>
      </w:r>
      <w:r w:rsidR="00C74230" w:rsidRPr="001B36DF">
        <w:rPr>
          <w:noProof/>
        </w:rPr>
        <w:t>.</w:t>
      </w:r>
      <w:r w:rsidRPr="001B36DF">
        <w:rPr>
          <w:noProof/>
        </w:rPr>
        <w:t xml:space="preserve"> </w:t>
      </w:r>
      <w:r w:rsidR="00C74230" w:rsidRPr="001B36DF">
        <w:rPr>
          <w:i/>
          <w:iCs/>
          <w:noProof/>
        </w:rPr>
        <w:t>Energy Conversion and Management: X</w:t>
      </w:r>
      <w:r w:rsidR="00C74230" w:rsidRPr="001B36DF">
        <w:rPr>
          <w:noProof/>
        </w:rPr>
        <w:t xml:space="preserve">, </w:t>
      </w:r>
      <w:r w:rsidRPr="001B36DF">
        <w:rPr>
          <w:i/>
          <w:iCs/>
          <w:noProof/>
        </w:rPr>
        <w:t>12</w:t>
      </w:r>
      <w:r w:rsidRPr="001B36DF">
        <w:rPr>
          <w:noProof/>
        </w:rPr>
        <w:t>, 100107. https://doi.org/10.1016/J.ECMX.2021.100107</w:t>
      </w:r>
    </w:p>
    <w:p w14:paraId="3260E89B" w14:textId="4F80AB09" w:rsidR="0052565E" w:rsidRPr="001B36DF" w:rsidRDefault="0052565E" w:rsidP="007E1AB9">
      <w:pPr>
        <w:pStyle w:val="Rlit"/>
        <w:jc w:val="left"/>
        <w:rPr>
          <w:noProof/>
        </w:rPr>
      </w:pPr>
      <w:r w:rsidRPr="001B36DF">
        <w:rPr>
          <w:noProof/>
        </w:rPr>
        <w:t xml:space="preserve">Samir, A., Mostafa, M., Ashraf, A., &amp; Hafez, A. (2025). Techno-Economic Assessment of Renewable Energy-Based Microgrids: A Case Study for Building in El Gouna, Egypt. </w:t>
      </w:r>
      <w:r w:rsidRPr="001B36DF">
        <w:rPr>
          <w:i/>
          <w:iCs/>
          <w:noProof/>
        </w:rPr>
        <w:t>Advanced Sciences and Technology Journal</w:t>
      </w:r>
      <w:r w:rsidRPr="001B36DF">
        <w:rPr>
          <w:noProof/>
        </w:rPr>
        <w:t>, 0(0), 0. https://doi.org/10.21608/astj.2025.387829.1061</w:t>
      </w:r>
    </w:p>
    <w:p w14:paraId="4AC85A59" w14:textId="5CAA1948" w:rsidR="0052565E" w:rsidRPr="00D20231" w:rsidRDefault="0052565E" w:rsidP="007E1AB9">
      <w:pPr>
        <w:pStyle w:val="Rlit"/>
        <w:jc w:val="left"/>
        <w:rPr>
          <w:noProof/>
        </w:rPr>
      </w:pPr>
      <w:r w:rsidRPr="001B36DF">
        <w:rPr>
          <w:noProof/>
        </w:rPr>
        <w:t xml:space="preserve">Vinothine, S., Arachchige, L.N.W., Rajapakse, A., &amp; Kaluthanthrige, R. (2022). Microgrid Energy Management and Methods for Managing Forecast Uncertainties. </w:t>
      </w:r>
      <w:r w:rsidRPr="00D20231">
        <w:rPr>
          <w:i/>
          <w:iCs/>
          <w:noProof/>
        </w:rPr>
        <w:t>Energies</w:t>
      </w:r>
      <w:r w:rsidRPr="00D20231">
        <w:rPr>
          <w:noProof/>
        </w:rPr>
        <w:t xml:space="preserve">, </w:t>
      </w:r>
      <w:r w:rsidRPr="00D20231">
        <w:rPr>
          <w:i/>
          <w:iCs/>
          <w:noProof/>
        </w:rPr>
        <w:t>15</w:t>
      </w:r>
      <w:r w:rsidRPr="00D20231">
        <w:rPr>
          <w:noProof/>
        </w:rPr>
        <w:t>(22), 8525. https://doi.org/10.3390/en15228525</w:t>
      </w:r>
    </w:p>
    <w:p w14:paraId="033EF296" w14:textId="76AF6A3F" w:rsidR="0052565E" w:rsidRPr="001B36DF" w:rsidRDefault="0052565E" w:rsidP="007E1AB9">
      <w:pPr>
        <w:pStyle w:val="Rlit"/>
        <w:jc w:val="left"/>
        <w:rPr>
          <w:noProof/>
        </w:rPr>
      </w:pPr>
      <w:r w:rsidRPr="00D20231">
        <w:rPr>
          <w:noProof/>
        </w:rPr>
        <w:t xml:space="preserve">Vishwakarma, K.K., &amp; Dubey, H.M. (2012). </w:t>
      </w:r>
      <w:r w:rsidRPr="001B36DF">
        <w:rPr>
          <w:noProof/>
        </w:rPr>
        <w:t xml:space="preserve">Simulated Annealing Based Optimization for Solving Large Scale Economic Load Dispatch Problems. </w:t>
      </w:r>
      <w:r w:rsidRPr="001B36DF">
        <w:rPr>
          <w:i/>
          <w:iCs/>
          <w:noProof/>
        </w:rPr>
        <w:t>International Journal of Engineering Research and Technology</w:t>
      </w:r>
      <w:r w:rsidRPr="001B36DF">
        <w:rPr>
          <w:noProof/>
        </w:rPr>
        <w:t xml:space="preserve">, </w:t>
      </w:r>
      <w:r w:rsidRPr="001B36DF">
        <w:rPr>
          <w:i/>
          <w:iCs/>
          <w:noProof/>
        </w:rPr>
        <w:t>1</w:t>
      </w:r>
      <w:r w:rsidRPr="001B36DF">
        <w:rPr>
          <w:noProof/>
        </w:rPr>
        <w:t>(3). Retrieved from https://www.ijert.org/research/simulated-annealing-based-optimization-for-solving-large-scale-economic-load-dispatch-problems-IJERTV1IS3126.pdf</w:t>
      </w:r>
    </w:p>
    <w:p w14:paraId="20ED0756" w14:textId="1420DA7D" w:rsidR="0052565E" w:rsidRPr="001B36DF" w:rsidRDefault="0052565E" w:rsidP="007E1AB9">
      <w:pPr>
        <w:pStyle w:val="Rlit"/>
        <w:jc w:val="left"/>
        <w:rPr>
          <w:noProof/>
        </w:rPr>
      </w:pPr>
      <w:r w:rsidRPr="001B36DF">
        <w:rPr>
          <w:noProof/>
        </w:rPr>
        <w:t xml:space="preserve">Zheng, X., Li, Q., Li, P., &amp; Ding, D. (2014). Cooperative Optimal Control Strategy for Microgrid under Grid-Connected and Islanded Modes. </w:t>
      </w:r>
      <w:r w:rsidRPr="001B36DF">
        <w:rPr>
          <w:i/>
          <w:iCs/>
          <w:noProof/>
        </w:rPr>
        <w:t>International Journal of Photoenergy</w:t>
      </w:r>
      <w:r w:rsidRPr="001B36DF">
        <w:rPr>
          <w:noProof/>
        </w:rPr>
        <w:t xml:space="preserve">, </w:t>
      </w:r>
      <w:r w:rsidRPr="005D1582">
        <w:rPr>
          <w:i/>
          <w:iCs/>
          <w:noProof/>
        </w:rPr>
        <w:t>2014</w:t>
      </w:r>
      <w:r w:rsidRPr="001B36DF">
        <w:rPr>
          <w:noProof/>
        </w:rPr>
        <w:t>, 1–11. https://doi.org/10.1155/2014/361519</w:t>
      </w:r>
    </w:p>
    <w:p w14:paraId="403F337B" w14:textId="23601976" w:rsidR="0052565E" w:rsidRPr="001B36DF" w:rsidRDefault="0052565E" w:rsidP="007E1AB9">
      <w:pPr>
        <w:pStyle w:val="Rlit"/>
        <w:jc w:val="left"/>
        <w:rPr>
          <w:noProof/>
        </w:rPr>
      </w:pPr>
      <w:r w:rsidRPr="001B36DF">
        <w:rPr>
          <w:noProof/>
        </w:rPr>
        <w:t xml:space="preserve">Zhou, X., Guo, T., &amp; Youjie, M. (2017). An Overview on Operation and Control of Microgrid. </w:t>
      </w:r>
      <w:r w:rsidRPr="001B36DF">
        <w:rPr>
          <w:i/>
          <w:iCs/>
          <w:noProof/>
        </w:rPr>
        <w:t>DEStech Transactions on Engineering and Technology Research</w:t>
      </w:r>
      <w:r w:rsidRPr="001B36DF">
        <w:rPr>
          <w:noProof/>
        </w:rPr>
        <w:t>. https://doi.org/10.12783/DTETR/MCEE2016/6412</w:t>
      </w:r>
    </w:p>
    <w:p w14:paraId="7A7E22C6" w14:textId="6C27DF4B" w:rsidR="00F443FD" w:rsidRPr="00C73EBE" w:rsidRDefault="0052565E" w:rsidP="007E1AB9">
      <w:pPr>
        <w:pStyle w:val="Rlit"/>
        <w:jc w:val="left"/>
      </w:pPr>
      <w:r w:rsidRPr="001B36DF">
        <w:rPr>
          <w:b/>
          <w:bCs/>
        </w:rPr>
        <w:fldChar w:fldCharType="end"/>
      </w:r>
    </w:p>
    <w:sectPr w:rsidR="00F443FD" w:rsidRPr="00C73EBE" w:rsidSect="00896AEB">
      <w:headerReference w:type="even" r:id="rId23"/>
      <w:headerReference w:type="default" r:id="rId24"/>
      <w:footerReference w:type="first" r:id="rId25"/>
      <w:pgSz w:w="11906" w:h="16838" w:code="9"/>
      <w:pgMar w:top="1134" w:right="1134" w:bottom="1134" w:left="1134" w:header="567" w:footer="567" w:gutter="0"/>
      <w:pgNumType w:start="60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856B" w14:textId="77777777" w:rsidR="008C08F5" w:rsidRDefault="008C08F5" w:rsidP="00CA4C57">
      <w:pPr>
        <w:spacing w:after="0" w:line="240" w:lineRule="auto"/>
      </w:pPr>
      <w:r>
        <w:separator/>
      </w:r>
    </w:p>
  </w:endnote>
  <w:endnote w:type="continuationSeparator" w:id="0">
    <w:p w14:paraId="2614BCDA" w14:textId="77777777" w:rsidR="008C08F5" w:rsidRDefault="008C08F5" w:rsidP="00CA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C35CBE" w:rsidRPr="00C35CBE" w14:paraId="6B84B150" w14:textId="77777777" w:rsidTr="003C1263">
      <w:trPr>
        <w:trHeight w:val="198"/>
      </w:trPr>
      <w:tc>
        <w:tcPr>
          <w:tcW w:w="1384" w:type="dxa"/>
          <w:vAlign w:val="center"/>
        </w:tcPr>
        <w:p w14:paraId="7629B8E8" w14:textId="77777777" w:rsidR="00C35CBE" w:rsidRPr="00C35CBE" w:rsidRDefault="00C35CBE" w:rsidP="00C35CBE">
          <w:pPr>
            <w:spacing w:after="0" w:line="240" w:lineRule="auto"/>
            <w:ind w:left="-98"/>
            <w:rPr>
              <w:rFonts w:ascii="Times New Roman" w:hAnsi="Times New Roman"/>
            </w:rPr>
          </w:pPr>
          <w:bookmarkStart w:id="5" w:name="_Hlk104286226"/>
          <w:bookmarkStart w:id="6" w:name="_Hlk104286227"/>
          <w:bookmarkStart w:id="7" w:name="_Hlk154270864"/>
          <w:bookmarkStart w:id="8" w:name="_Hlk154270865"/>
          <w:r w:rsidRPr="00C35CBE">
            <w:rPr>
              <w:rFonts w:ascii="Times New Roman" w:hAnsi="Times New Roman"/>
              <w:noProof/>
            </w:rPr>
            <w:drawing>
              <wp:inline distT="0" distB="0" distL="0" distR="0" wp14:anchorId="16D4A436" wp14:editId="76AC78CA">
                <wp:extent cx="688975" cy="237490"/>
                <wp:effectExtent l="0" t="0" r="0" b="0"/>
                <wp:docPr id="86986040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39A78ACD" w14:textId="77777777" w:rsidR="00C35CBE" w:rsidRPr="00C35CBE" w:rsidRDefault="00C35CBE" w:rsidP="00C35CBE">
          <w:pPr>
            <w:suppressAutoHyphens/>
            <w:spacing w:after="0" w:line="240" w:lineRule="auto"/>
            <w:ind w:left="-96"/>
            <w:rPr>
              <w:rFonts w:ascii="Times New Roman" w:hAnsi="Times New Roman"/>
              <w:sz w:val="18"/>
              <w:szCs w:val="18"/>
              <w:lang w:val="en-US"/>
            </w:rPr>
          </w:pPr>
          <w:r w:rsidRPr="00C35CBE">
            <w:rPr>
              <w:rFonts w:ascii="Times New Roman" w:hAnsi="Times New Roman"/>
              <w:sz w:val="18"/>
              <w:szCs w:val="18"/>
              <w:lang w:val="en-US"/>
            </w:rPr>
            <w:t>© 2026. Author(s). This work is licensed under a Creative Commons Attribution 4.0 International License (CC BY-SA)</w:t>
          </w:r>
        </w:p>
      </w:tc>
    </w:tr>
    <w:bookmarkEnd w:id="5"/>
    <w:bookmarkEnd w:id="6"/>
    <w:bookmarkEnd w:id="7"/>
    <w:bookmarkEnd w:id="8"/>
  </w:tbl>
  <w:p w14:paraId="5C9337E8" w14:textId="77777777" w:rsidR="00C35CBE" w:rsidRPr="00C35CBE" w:rsidRDefault="00C35CBE" w:rsidP="00C35CBE">
    <w:pPr>
      <w:pStyle w:val="Stopka"/>
      <w:spacing w:after="0" w:line="240" w:lineRule="auto"/>
      <w:rPr>
        <w:rFonts w:ascii="Times New Roman" w:hAnsi="Times New Roman"/>
        <w:sz w:val="8"/>
        <w:szCs w:val="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D484" w14:textId="77777777" w:rsidR="008C08F5" w:rsidRDefault="008C08F5" w:rsidP="00CA4C57">
      <w:pPr>
        <w:spacing w:after="0" w:line="240" w:lineRule="auto"/>
      </w:pPr>
      <w:r>
        <w:separator/>
      </w:r>
    </w:p>
  </w:footnote>
  <w:footnote w:type="continuationSeparator" w:id="0">
    <w:p w14:paraId="7FB69D47" w14:textId="77777777" w:rsidR="008C08F5" w:rsidRDefault="008C08F5" w:rsidP="00CA4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C35CBE" w:rsidRPr="00076630" w14:paraId="6705A130" w14:textId="77777777" w:rsidTr="003C1263">
      <w:trPr>
        <w:trHeight w:hRule="exact" w:val="284"/>
      </w:trPr>
      <w:tc>
        <w:tcPr>
          <w:tcW w:w="397" w:type="dxa"/>
          <w:vAlign w:val="center"/>
        </w:tcPr>
        <w:p w14:paraId="0F0B7ED5" w14:textId="77777777" w:rsidR="00C35CBE" w:rsidRPr="00076630" w:rsidRDefault="00C35CBE" w:rsidP="00C35CBE">
          <w:pPr>
            <w:pStyle w:val="Nagwek"/>
            <w:spacing w:after="0" w:line="240" w:lineRule="auto"/>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470D5F16" w14:textId="76937DE7" w:rsidR="00C35CBE" w:rsidRPr="00076630" w:rsidRDefault="00C35CBE" w:rsidP="00C35CBE">
          <w:pPr>
            <w:pStyle w:val="Nagwek"/>
            <w:spacing w:after="0" w:line="240" w:lineRule="auto"/>
            <w:jc w:val="center"/>
            <w:rPr>
              <w:rFonts w:ascii="Arial" w:hAnsi="Arial" w:cs="Arial"/>
              <w:i/>
              <w:sz w:val="20"/>
              <w:szCs w:val="20"/>
            </w:rPr>
          </w:pPr>
          <w:r w:rsidRPr="00C35CBE">
            <w:rPr>
              <w:rFonts w:ascii="Arial" w:hAnsi="Arial" w:cs="Arial"/>
              <w:i/>
              <w:sz w:val="20"/>
              <w:szCs w:val="20"/>
            </w:rPr>
            <w:t>Najma Nasreen Ansari</w:t>
          </w:r>
          <w:r>
            <w:rPr>
              <w:rFonts w:ascii="Arial" w:hAnsi="Arial" w:cs="Arial"/>
              <w:i/>
              <w:sz w:val="20"/>
              <w:szCs w:val="20"/>
            </w:rPr>
            <w:t xml:space="preserve"> &amp;</w:t>
          </w:r>
          <w:r w:rsidRPr="00C35CBE">
            <w:rPr>
              <w:rFonts w:ascii="Arial" w:hAnsi="Arial" w:cs="Arial"/>
              <w:i/>
              <w:sz w:val="20"/>
              <w:szCs w:val="20"/>
            </w:rPr>
            <w:t xml:space="preserve"> Sanjay Jain</w:t>
          </w:r>
        </w:p>
      </w:tc>
    </w:tr>
  </w:tbl>
  <w:p w14:paraId="5E05923E" w14:textId="77777777" w:rsidR="00C35CBE" w:rsidRPr="005265A7" w:rsidRDefault="00C35CBE" w:rsidP="00C35CBE">
    <w:pPr>
      <w:pStyle w:val="Nagwek"/>
      <w:spacing w:after="0" w:line="240" w:lineRule="auto"/>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C35CBE" w:rsidRPr="00C54BFB" w14:paraId="1410E40D" w14:textId="77777777" w:rsidTr="003C1263">
      <w:trPr>
        <w:trHeight w:hRule="exact" w:val="284"/>
        <w:jc w:val="right"/>
      </w:trPr>
      <w:tc>
        <w:tcPr>
          <w:tcW w:w="9243" w:type="dxa"/>
          <w:vAlign w:val="center"/>
        </w:tcPr>
        <w:p w14:paraId="14CAF766" w14:textId="3FE267C0" w:rsidR="00C35CBE" w:rsidRPr="00C54BFB" w:rsidRDefault="00E42691" w:rsidP="00C35CBE">
          <w:pPr>
            <w:pStyle w:val="Nagwek"/>
            <w:spacing w:after="0" w:line="240" w:lineRule="auto"/>
            <w:jc w:val="center"/>
            <w:rPr>
              <w:rFonts w:ascii="Arial" w:hAnsi="Arial" w:cs="Arial"/>
              <w:i/>
              <w:sz w:val="20"/>
              <w:szCs w:val="12"/>
            </w:rPr>
          </w:pPr>
          <w:r w:rsidRPr="00E42691">
            <w:rPr>
              <w:rFonts w:ascii="Arial" w:hAnsi="Arial" w:cs="Arial"/>
              <w:i/>
              <w:sz w:val="20"/>
              <w:szCs w:val="12"/>
            </w:rPr>
            <w:t>Renewable Penetration Energy on Cost-Optimal Dispatch of PV–Wind–BESS Microgrids</w:t>
          </w:r>
          <w:r>
            <w:rPr>
              <w:rFonts w:ascii="Arial" w:hAnsi="Arial" w:cs="Arial"/>
              <w:i/>
              <w:sz w:val="20"/>
              <w:szCs w:val="12"/>
            </w:rPr>
            <w:t>…</w:t>
          </w:r>
        </w:p>
      </w:tc>
      <w:tc>
        <w:tcPr>
          <w:tcW w:w="397" w:type="dxa"/>
          <w:vAlign w:val="center"/>
        </w:tcPr>
        <w:p w14:paraId="4981CFE2" w14:textId="77777777" w:rsidR="00C35CBE" w:rsidRPr="00C54BFB" w:rsidRDefault="00C35CBE" w:rsidP="00C35CBE">
          <w:pPr>
            <w:pStyle w:val="Nagwek"/>
            <w:spacing w:after="0" w:line="240" w:lineRule="auto"/>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67097D1E" w14:textId="77777777" w:rsidR="00C35CBE" w:rsidRPr="00584564" w:rsidRDefault="00C35CBE" w:rsidP="00C35CBE">
    <w:pPr>
      <w:pStyle w:val="Nagwek"/>
      <w:spacing w:after="0" w:line="240" w:lineRule="auto"/>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14FA"/>
    <w:multiLevelType w:val="multilevel"/>
    <w:tmpl w:val="6B12E95A"/>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3B7D24"/>
    <w:multiLevelType w:val="hybridMultilevel"/>
    <w:tmpl w:val="BCBC1D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D26C5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821FF"/>
    <w:multiLevelType w:val="multilevel"/>
    <w:tmpl w:val="72F0F36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A632F8"/>
    <w:multiLevelType w:val="hybridMultilevel"/>
    <w:tmpl w:val="3828C0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ADB6C02"/>
    <w:multiLevelType w:val="hybridMultilevel"/>
    <w:tmpl w:val="9EC2FA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F5B2E95"/>
    <w:multiLevelType w:val="multilevel"/>
    <w:tmpl w:val="FADEABC6"/>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222BE7"/>
    <w:multiLevelType w:val="hybridMultilevel"/>
    <w:tmpl w:val="0AA810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C03CFA"/>
    <w:multiLevelType w:val="hybridMultilevel"/>
    <w:tmpl w:val="0F14E25E"/>
    <w:lvl w:ilvl="0" w:tplc="DD581A0C">
      <w:start w:val="1"/>
      <w:numFmt w:val="lowerLetter"/>
      <w:lvlText w:val="(%1)"/>
      <w:lvlJc w:val="left"/>
      <w:pPr>
        <w:ind w:left="2486" w:hanging="360"/>
      </w:pPr>
      <w:rPr>
        <w:rFonts w:ascii="Times New Roman" w:hAnsi="Times New Roman" w:cs="Times New Roman" w:hint="default"/>
        <w:b/>
        <w:bCs/>
        <w:sz w:val="24"/>
        <w:szCs w:val="24"/>
      </w:rPr>
    </w:lvl>
    <w:lvl w:ilvl="1" w:tplc="40090019" w:tentative="1">
      <w:start w:val="1"/>
      <w:numFmt w:val="lowerLetter"/>
      <w:lvlText w:val="%2."/>
      <w:lvlJc w:val="left"/>
      <w:pPr>
        <w:ind w:left="3206" w:hanging="360"/>
      </w:pPr>
    </w:lvl>
    <w:lvl w:ilvl="2" w:tplc="4009001B" w:tentative="1">
      <w:start w:val="1"/>
      <w:numFmt w:val="lowerRoman"/>
      <w:lvlText w:val="%3."/>
      <w:lvlJc w:val="right"/>
      <w:pPr>
        <w:ind w:left="3926" w:hanging="180"/>
      </w:pPr>
    </w:lvl>
    <w:lvl w:ilvl="3" w:tplc="4009000F" w:tentative="1">
      <w:start w:val="1"/>
      <w:numFmt w:val="decimal"/>
      <w:lvlText w:val="%4."/>
      <w:lvlJc w:val="left"/>
      <w:pPr>
        <w:ind w:left="4646" w:hanging="360"/>
      </w:pPr>
    </w:lvl>
    <w:lvl w:ilvl="4" w:tplc="40090019" w:tentative="1">
      <w:start w:val="1"/>
      <w:numFmt w:val="lowerLetter"/>
      <w:lvlText w:val="%5."/>
      <w:lvlJc w:val="left"/>
      <w:pPr>
        <w:ind w:left="5366" w:hanging="360"/>
      </w:pPr>
    </w:lvl>
    <w:lvl w:ilvl="5" w:tplc="4009001B" w:tentative="1">
      <w:start w:val="1"/>
      <w:numFmt w:val="lowerRoman"/>
      <w:lvlText w:val="%6."/>
      <w:lvlJc w:val="right"/>
      <w:pPr>
        <w:ind w:left="6086" w:hanging="180"/>
      </w:pPr>
    </w:lvl>
    <w:lvl w:ilvl="6" w:tplc="4009000F" w:tentative="1">
      <w:start w:val="1"/>
      <w:numFmt w:val="decimal"/>
      <w:lvlText w:val="%7."/>
      <w:lvlJc w:val="left"/>
      <w:pPr>
        <w:ind w:left="6806" w:hanging="360"/>
      </w:pPr>
    </w:lvl>
    <w:lvl w:ilvl="7" w:tplc="40090019" w:tentative="1">
      <w:start w:val="1"/>
      <w:numFmt w:val="lowerLetter"/>
      <w:lvlText w:val="%8."/>
      <w:lvlJc w:val="left"/>
      <w:pPr>
        <w:ind w:left="7526" w:hanging="360"/>
      </w:pPr>
    </w:lvl>
    <w:lvl w:ilvl="8" w:tplc="4009001B" w:tentative="1">
      <w:start w:val="1"/>
      <w:numFmt w:val="lowerRoman"/>
      <w:lvlText w:val="%9."/>
      <w:lvlJc w:val="right"/>
      <w:pPr>
        <w:ind w:left="8246" w:hanging="180"/>
      </w:pPr>
    </w:lvl>
  </w:abstractNum>
  <w:abstractNum w:abstractNumId="9" w15:restartNumberingAfterBreak="0">
    <w:nsid w:val="2629227A"/>
    <w:multiLevelType w:val="multilevel"/>
    <w:tmpl w:val="5844AEE0"/>
    <w:lvl w:ilvl="0">
      <w:start w:val="1"/>
      <w:numFmt w:val="decimal"/>
      <w:lvlText w:val="%1."/>
      <w:lvlJc w:val="left"/>
      <w:pPr>
        <w:ind w:left="360" w:hanging="360"/>
      </w:pPr>
      <w:rPr>
        <w:b/>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5335F"/>
    <w:multiLevelType w:val="hybridMultilevel"/>
    <w:tmpl w:val="23C47B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37C5848"/>
    <w:multiLevelType w:val="hybridMultilevel"/>
    <w:tmpl w:val="624203F8"/>
    <w:lvl w:ilvl="0" w:tplc="B3ECEEBA">
      <w:start w:val="3"/>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33C247DA"/>
    <w:multiLevelType w:val="multilevel"/>
    <w:tmpl w:val="E4F64A68"/>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2C660C"/>
    <w:multiLevelType w:val="hybridMultilevel"/>
    <w:tmpl w:val="C3680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C340D"/>
    <w:multiLevelType w:val="hybridMultilevel"/>
    <w:tmpl w:val="725C9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B86"/>
    <w:multiLevelType w:val="multilevel"/>
    <w:tmpl w:val="361407BC"/>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5A467B"/>
    <w:multiLevelType w:val="hybridMultilevel"/>
    <w:tmpl w:val="B0A41EB6"/>
    <w:lvl w:ilvl="0" w:tplc="3692E7CA">
      <w:start w:val="1"/>
      <w:numFmt w:val="decimal"/>
      <w:lvlText w:val="%1"/>
      <w:lvlJc w:val="left"/>
      <w:pPr>
        <w:ind w:left="2968" w:hanging="360"/>
      </w:pPr>
      <w:rPr>
        <w:rFonts w:hint="default"/>
        <w:color w:val="000000"/>
      </w:rPr>
    </w:lvl>
    <w:lvl w:ilvl="1" w:tplc="40090019" w:tentative="1">
      <w:start w:val="1"/>
      <w:numFmt w:val="lowerLetter"/>
      <w:lvlText w:val="%2."/>
      <w:lvlJc w:val="left"/>
      <w:pPr>
        <w:ind w:left="3688" w:hanging="360"/>
      </w:pPr>
    </w:lvl>
    <w:lvl w:ilvl="2" w:tplc="4009001B" w:tentative="1">
      <w:start w:val="1"/>
      <w:numFmt w:val="lowerRoman"/>
      <w:lvlText w:val="%3."/>
      <w:lvlJc w:val="right"/>
      <w:pPr>
        <w:ind w:left="4408" w:hanging="180"/>
      </w:pPr>
    </w:lvl>
    <w:lvl w:ilvl="3" w:tplc="4009000F" w:tentative="1">
      <w:start w:val="1"/>
      <w:numFmt w:val="decimal"/>
      <w:lvlText w:val="%4."/>
      <w:lvlJc w:val="left"/>
      <w:pPr>
        <w:ind w:left="5128" w:hanging="360"/>
      </w:pPr>
    </w:lvl>
    <w:lvl w:ilvl="4" w:tplc="40090019" w:tentative="1">
      <w:start w:val="1"/>
      <w:numFmt w:val="lowerLetter"/>
      <w:lvlText w:val="%5."/>
      <w:lvlJc w:val="left"/>
      <w:pPr>
        <w:ind w:left="5848" w:hanging="360"/>
      </w:pPr>
    </w:lvl>
    <w:lvl w:ilvl="5" w:tplc="4009001B" w:tentative="1">
      <w:start w:val="1"/>
      <w:numFmt w:val="lowerRoman"/>
      <w:lvlText w:val="%6."/>
      <w:lvlJc w:val="right"/>
      <w:pPr>
        <w:ind w:left="6568" w:hanging="180"/>
      </w:pPr>
    </w:lvl>
    <w:lvl w:ilvl="6" w:tplc="4009000F" w:tentative="1">
      <w:start w:val="1"/>
      <w:numFmt w:val="decimal"/>
      <w:lvlText w:val="%7."/>
      <w:lvlJc w:val="left"/>
      <w:pPr>
        <w:ind w:left="7288" w:hanging="360"/>
      </w:pPr>
    </w:lvl>
    <w:lvl w:ilvl="7" w:tplc="40090019" w:tentative="1">
      <w:start w:val="1"/>
      <w:numFmt w:val="lowerLetter"/>
      <w:lvlText w:val="%8."/>
      <w:lvlJc w:val="left"/>
      <w:pPr>
        <w:ind w:left="8008" w:hanging="360"/>
      </w:pPr>
    </w:lvl>
    <w:lvl w:ilvl="8" w:tplc="4009001B" w:tentative="1">
      <w:start w:val="1"/>
      <w:numFmt w:val="lowerRoman"/>
      <w:lvlText w:val="%9."/>
      <w:lvlJc w:val="right"/>
      <w:pPr>
        <w:ind w:left="8728" w:hanging="180"/>
      </w:pPr>
    </w:lvl>
  </w:abstractNum>
  <w:abstractNum w:abstractNumId="17" w15:restartNumberingAfterBreak="0">
    <w:nsid w:val="54601D50"/>
    <w:multiLevelType w:val="hybridMultilevel"/>
    <w:tmpl w:val="B4B895D6"/>
    <w:lvl w:ilvl="0" w:tplc="97204E8A">
      <w:start w:val="1"/>
      <w:numFmt w:val="lowerLetter"/>
      <w:lvlText w:val="(%1)"/>
      <w:lvlJc w:val="left"/>
      <w:pPr>
        <w:ind w:left="2520" w:hanging="360"/>
      </w:pPr>
      <w:rPr>
        <w:rFonts w:hint="default"/>
        <w:b/>
        <w:bCs/>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8" w15:restartNumberingAfterBreak="0">
    <w:nsid w:val="568B6588"/>
    <w:multiLevelType w:val="hybridMultilevel"/>
    <w:tmpl w:val="E89058F4"/>
    <w:lvl w:ilvl="0" w:tplc="E2D24814">
      <w:start w:val="1"/>
      <w:numFmt w:val="lowerLetter"/>
      <w:lvlText w:val="(%1)"/>
      <w:lvlJc w:val="left"/>
      <w:pPr>
        <w:ind w:left="1919" w:hanging="360"/>
      </w:pPr>
      <w:rPr>
        <w:rFonts w:hint="default"/>
        <w:b/>
        <w:bCs/>
      </w:rPr>
    </w:lvl>
    <w:lvl w:ilvl="1" w:tplc="40090019" w:tentative="1">
      <w:start w:val="1"/>
      <w:numFmt w:val="lowerLetter"/>
      <w:lvlText w:val="%2."/>
      <w:lvlJc w:val="left"/>
      <w:pPr>
        <w:ind w:left="2639" w:hanging="360"/>
      </w:pPr>
    </w:lvl>
    <w:lvl w:ilvl="2" w:tplc="4009001B" w:tentative="1">
      <w:start w:val="1"/>
      <w:numFmt w:val="lowerRoman"/>
      <w:lvlText w:val="%3."/>
      <w:lvlJc w:val="right"/>
      <w:pPr>
        <w:ind w:left="3359" w:hanging="180"/>
      </w:pPr>
    </w:lvl>
    <w:lvl w:ilvl="3" w:tplc="4009000F" w:tentative="1">
      <w:start w:val="1"/>
      <w:numFmt w:val="decimal"/>
      <w:lvlText w:val="%4."/>
      <w:lvlJc w:val="left"/>
      <w:pPr>
        <w:ind w:left="4079" w:hanging="360"/>
      </w:pPr>
    </w:lvl>
    <w:lvl w:ilvl="4" w:tplc="40090019" w:tentative="1">
      <w:start w:val="1"/>
      <w:numFmt w:val="lowerLetter"/>
      <w:lvlText w:val="%5."/>
      <w:lvlJc w:val="left"/>
      <w:pPr>
        <w:ind w:left="4799" w:hanging="360"/>
      </w:pPr>
    </w:lvl>
    <w:lvl w:ilvl="5" w:tplc="4009001B" w:tentative="1">
      <w:start w:val="1"/>
      <w:numFmt w:val="lowerRoman"/>
      <w:lvlText w:val="%6."/>
      <w:lvlJc w:val="right"/>
      <w:pPr>
        <w:ind w:left="5519" w:hanging="180"/>
      </w:pPr>
    </w:lvl>
    <w:lvl w:ilvl="6" w:tplc="4009000F" w:tentative="1">
      <w:start w:val="1"/>
      <w:numFmt w:val="decimal"/>
      <w:lvlText w:val="%7."/>
      <w:lvlJc w:val="left"/>
      <w:pPr>
        <w:ind w:left="6239" w:hanging="360"/>
      </w:pPr>
    </w:lvl>
    <w:lvl w:ilvl="7" w:tplc="40090019" w:tentative="1">
      <w:start w:val="1"/>
      <w:numFmt w:val="lowerLetter"/>
      <w:lvlText w:val="%8."/>
      <w:lvlJc w:val="left"/>
      <w:pPr>
        <w:ind w:left="6959" w:hanging="360"/>
      </w:pPr>
    </w:lvl>
    <w:lvl w:ilvl="8" w:tplc="4009001B" w:tentative="1">
      <w:start w:val="1"/>
      <w:numFmt w:val="lowerRoman"/>
      <w:lvlText w:val="%9."/>
      <w:lvlJc w:val="right"/>
      <w:pPr>
        <w:ind w:left="7679" w:hanging="180"/>
      </w:pPr>
    </w:lvl>
  </w:abstractNum>
  <w:abstractNum w:abstractNumId="19" w15:restartNumberingAfterBreak="0">
    <w:nsid w:val="66180477"/>
    <w:multiLevelType w:val="hybridMultilevel"/>
    <w:tmpl w:val="15862D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69F33EE"/>
    <w:multiLevelType w:val="multilevel"/>
    <w:tmpl w:val="86980ACC"/>
    <w:lvl w:ilvl="0">
      <w:start w:val="1"/>
      <w:numFmt w:val="decimal"/>
      <w:lvlText w:val="%1."/>
      <w:lvlJc w:val="left"/>
      <w:pPr>
        <w:ind w:left="360" w:hanging="360"/>
      </w:pPr>
    </w:lvl>
    <w:lvl w:ilvl="1">
      <w:start w:val="1"/>
      <w:numFmt w:val="decimal"/>
      <w:lvlText w:val="%1.%2."/>
      <w:lvlJc w:val="left"/>
      <w:pPr>
        <w:ind w:left="432" w:hanging="432"/>
      </w:pPr>
      <w:rPr>
        <w:b/>
        <w:bCs/>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8D148B"/>
    <w:multiLevelType w:val="multilevel"/>
    <w:tmpl w:val="465A5218"/>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790434"/>
    <w:multiLevelType w:val="multilevel"/>
    <w:tmpl w:val="CC9056DC"/>
    <w:lvl w:ilvl="0">
      <w:start w:val="1"/>
      <w:numFmt w:val="decimal"/>
      <w:lvlText w:val="%1."/>
      <w:lvlJc w:val="left"/>
      <w:pPr>
        <w:ind w:left="360" w:hanging="360"/>
      </w:pPr>
      <w:rPr>
        <w:b/>
        <w:bCs/>
      </w:rPr>
    </w:lvl>
    <w:lvl w:ilvl="1">
      <w:start w:val="1"/>
      <w:numFmt w:val="decimal"/>
      <w:lvlText w:val="%1.%2."/>
      <w:lvlJc w:val="left"/>
      <w:pPr>
        <w:ind w:left="43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067688"/>
    <w:multiLevelType w:val="multilevel"/>
    <w:tmpl w:val="3D1001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CE3BC7"/>
    <w:multiLevelType w:val="multilevel"/>
    <w:tmpl w:val="FB908B0E"/>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107F8C"/>
    <w:multiLevelType w:val="hybridMultilevel"/>
    <w:tmpl w:val="C1486D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B966E60"/>
    <w:multiLevelType w:val="hybridMultilevel"/>
    <w:tmpl w:val="E7BE103E"/>
    <w:lvl w:ilvl="0" w:tplc="A93ABA92">
      <w:start w:val="1"/>
      <w:numFmt w:val="lowerLetter"/>
      <w:lvlText w:val="(%1)"/>
      <w:lvlJc w:val="left"/>
      <w:pPr>
        <w:ind w:left="2160" w:hanging="360"/>
      </w:pPr>
      <w:rPr>
        <w:rFonts w:hint="default"/>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7" w15:restartNumberingAfterBreak="0">
    <w:nsid w:val="7DC3029F"/>
    <w:multiLevelType w:val="hybridMultilevel"/>
    <w:tmpl w:val="50764284"/>
    <w:lvl w:ilvl="0" w:tplc="479238E0">
      <w:start w:val="1"/>
      <w:numFmt w:val="lowerLetter"/>
      <w:lvlText w:val="(%1)"/>
      <w:lvlJc w:val="left"/>
      <w:pPr>
        <w:ind w:left="1230" w:hanging="360"/>
      </w:pPr>
      <w:rPr>
        <w:rFonts w:hint="default"/>
      </w:rPr>
    </w:lvl>
    <w:lvl w:ilvl="1" w:tplc="40090019" w:tentative="1">
      <w:start w:val="1"/>
      <w:numFmt w:val="lowerLetter"/>
      <w:lvlText w:val="%2."/>
      <w:lvlJc w:val="left"/>
      <w:pPr>
        <w:ind w:left="1950" w:hanging="360"/>
      </w:pPr>
    </w:lvl>
    <w:lvl w:ilvl="2" w:tplc="4009001B" w:tentative="1">
      <w:start w:val="1"/>
      <w:numFmt w:val="lowerRoman"/>
      <w:lvlText w:val="%3."/>
      <w:lvlJc w:val="right"/>
      <w:pPr>
        <w:ind w:left="2670" w:hanging="180"/>
      </w:pPr>
    </w:lvl>
    <w:lvl w:ilvl="3" w:tplc="4009000F" w:tentative="1">
      <w:start w:val="1"/>
      <w:numFmt w:val="decimal"/>
      <w:lvlText w:val="%4."/>
      <w:lvlJc w:val="left"/>
      <w:pPr>
        <w:ind w:left="3390" w:hanging="360"/>
      </w:pPr>
    </w:lvl>
    <w:lvl w:ilvl="4" w:tplc="40090019" w:tentative="1">
      <w:start w:val="1"/>
      <w:numFmt w:val="lowerLetter"/>
      <w:lvlText w:val="%5."/>
      <w:lvlJc w:val="left"/>
      <w:pPr>
        <w:ind w:left="4110" w:hanging="360"/>
      </w:pPr>
    </w:lvl>
    <w:lvl w:ilvl="5" w:tplc="4009001B" w:tentative="1">
      <w:start w:val="1"/>
      <w:numFmt w:val="lowerRoman"/>
      <w:lvlText w:val="%6."/>
      <w:lvlJc w:val="right"/>
      <w:pPr>
        <w:ind w:left="4830" w:hanging="180"/>
      </w:pPr>
    </w:lvl>
    <w:lvl w:ilvl="6" w:tplc="4009000F" w:tentative="1">
      <w:start w:val="1"/>
      <w:numFmt w:val="decimal"/>
      <w:lvlText w:val="%7."/>
      <w:lvlJc w:val="left"/>
      <w:pPr>
        <w:ind w:left="5550" w:hanging="360"/>
      </w:pPr>
    </w:lvl>
    <w:lvl w:ilvl="7" w:tplc="40090019" w:tentative="1">
      <w:start w:val="1"/>
      <w:numFmt w:val="lowerLetter"/>
      <w:lvlText w:val="%8."/>
      <w:lvlJc w:val="left"/>
      <w:pPr>
        <w:ind w:left="6270" w:hanging="360"/>
      </w:pPr>
    </w:lvl>
    <w:lvl w:ilvl="8" w:tplc="4009001B" w:tentative="1">
      <w:start w:val="1"/>
      <w:numFmt w:val="lowerRoman"/>
      <w:lvlText w:val="%9."/>
      <w:lvlJc w:val="right"/>
      <w:pPr>
        <w:ind w:left="6990" w:hanging="180"/>
      </w:pPr>
    </w:lvl>
  </w:abstractNum>
  <w:num w:numId="1" w16cid:durableId="835002598">
    <w:abstractNumId w:val="25"/>
  </w:num>
  <w:num w:numId="2" w16cid:durableId="1210800771">
    <w:abstractNumId w:val="7"/>
  </w:num>
  <w:num w:numId="3" w16cid:durableId="404182652">
    <w:abstractNumId w:val="10"/>
  </w:num>
  <w:num w:numId="4" w16cid:durableId="631134052">
    <w:abstractNumId w:val="18"/>
  </w:num>
  <w:num w:numId="5" w16cid:durableId="384842820">
    <w:abstractNumId w:val="19"/>
  </w:num>
  <w:num w:numId="6" w16cid:durableId="617833151">
    <w:abstractNumId w:val="8"/>
  </w:num>
  <w:num w:numId="7" w16cid:durableId="1653097735">
    <w:abstractNumId w:val="26"/>
  </w:num>
  <w:num w:numId="8" w16cid:durableId="838422516">
    <w:abstractNumId w:val="17"/>
  </w:num>
  <w:num w:numId="9" w16cid:durableId="1086075605">
    <w:abstractNumId w:val="27"/>
  </w:num>
  <w:num w:numId="10" w16cid:durableId="1683894756">
    <w:abstractNumId w:val="4"/>
  </w:num>
  <w:num w:numId="11" w16cid:durableId="1278487161">
    <w:abstractNumId w:val="5"/>
  </w:num>
  <w:num w:numId="12" w16cid:durableId="2062361255">
    <w:abstractNumId w:val="14"/>
  </w:num>
  <w:num w:numId="13" w16cid:durableId="725764136">
    <w:abstractNumId w:val="13"/>
  </w:num>
  <w:num w:numId="14" w16cid:durableId="1007555927">
    <w:abstractNumId w:val="1"/>
  </w:num>
  <w:num w:numId="15" w16cid:durableId="1015229044">
    <w:abstractNumId w:val="23"/>
  </w:num>
  <w:num w:numId="16" w16cid:durableId="801532497">
    <w:abstractNumId w:val="16"/>
  </w:num>
  <w:num w:numId="17" w16cid:durableId="2048991192">
    <w:abstractNumId w:val="11"/>
  </w:num>
  <w:num w:numId="18" w16cid:durableId="2144955978">
    <w:abstractNumId w:val="24"/>
  </w:num>
  <w:num w:numId="19" w16cid:durableId="646907260">
    <w:abstractNumId w:val="20"/>
  </w:num>
  <w:num w:numId="20" w16cid:durableId="1334064460">
    <w:abstractNumId w:val="22"/>
  </w:num>
  <w:num w:numId="21" w16cid:durableId="1670132152">
    <w:abstractNumId w:val="0"/>
  </w:num>
  <w:num w:numId="22" w16cid:durableId="189074183">
    <w:abstractNumId w:val="6"/>
  </w:num>
  <w:num w:numId="23" w16cid:durableId="1987316612">
    <w:abstractNumId w:val="3"/>
  </w:num>
  <w:num w:numId="24" w16cid:durableId="2047673958">
    <w:abstractNumId w:val="2"/>
  </w:num>
  <w:num w:numId="25" w16cid:durableId="1043092105">
    <w:abstractNumId w:val="9"/>
  </w:num>
  <w:num w:numId="26" w16cid:durableId="1621912509">
    <w:abstractNumId w:val="15"/>
  </w:num>
  <w:num w:numId="27" w16cid:durableId="420101139">
    <w:abstractNumId w:val="21"/>
  </w:num>
  <w:num w:numId="28" w16cid:durableId="254169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hideSpellingErrors/>
  <w:hideGrammaticalErrors/>
  <w:proofState w:spelling="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S2MLcwtbAwNjM1MDNV0lEKTi0uzszPAykwrgUAKkK8oSwAAAA="/>
  </w:docVars>
  <w:rsids>
    <w:rsidRoot w:val="00510D6B"/>
    <w:rsid w:val="000056FC"/>
    <w:rsid w:val="00013083"/>
    <w:rsid w:val="0002126A"/>
    <w:rsid w:val="000230ED"/>
    <w:rsid w:val="00023D18"/>
    <w:rsid w:val="000301D7"/>
    <w:rsid w:val="00030D1B"/>
    <w:rsid w:val="000312B1"/>
    <w:rsid w:val="00035837"/>
    <w:rsid w:val="0003609F"/>
    <w:rsid w:val="00037513"/>
    <w:rsid w:val="00040EA0"/>
    <w:rsid w:val="00041CE4"/>
    <w:rsid w:val="00041F92"/>
    <w:rsid w:val="0004214B"/>
    <w:rsid w:val="000425A5"/>
    <w:rsid w:val="00044071"/>
    <w:rsid w:val="00044E60"/>
    <w:rsid w:val="000473F5"/>
    <w:rsid w:val="00047736"/>
    <w:rsid w:val="00047F98"/>
    <w:rsid w:val="00052E45"/>
    <w:rsid w:val="00064A4C"/>
    <w:rsid w:val="000741AC"/>
    <w:rsid w:val="00075BE5"/>
    <w:rsid w:val="00076CDD"/>
    <w:rsid w:val="00077051"/>
    <w:rsid w:val="0008078A"/>
    <w:rsid w:val="00082160"/>
    <w:rsid w:val="00085E29"/>
    <w:rsid w:val="00090294"/>
    <w:rsid w:val="00090B38"/>
    <w:rsid w:val="00091FF0"/>
    <w:rsid w:val="000924FC"/>
    <w:rsid w:val="00094AB1"/>
    <w:rsid w:val="00094EC2"/>
    <w:rsid w:val="0009664B"/>
    <w:rsid w:val="000A10CA"/>
    <w:rsid w:val="000A115C"/>
    <w:rsid w:val="000A27B3"/>
    <w:rsid w:val="000A291B"/>
    <w:rsid w:val="000A586C"/>
    <w:rsid w:val="000B013F"/>
    <w:rsid w:val="000B100A"/>
    <w:rsid w:val="000B24B4"/>
    <w:rsid w:val="000B6FFE"/>
    <w:rsid w:val="000C1356"/>
    <w:rsid w:val="000C3C2A"/>
    <w:rsid w:val="000C4F03"/>
    <w:rsid w:val="000C7204"/>
    <w:rsid w:val="000C79F7"/>
    <w:rsid w:val="000D27DD"/>
    <w:rsid w:val="000D3449"/>
    <w:rsid w:val="000D490F"/>
    <w:rsid w:val="000D4BCD"/>
    <w:rsid w:val="000D7EA6"/>
    <w:rsid w:val="000E0D6C"/>
    <w:rsid w:val="000E2E8B"/>
    <w:rsid w:val="000E4932"/>
    <w:rsid w:val="000E5D95"/>
    <w:rsid w:val="000E746E"/>
    <w:rsid w:val="000F178C"/>
    <w:rsid w:val="000F4E80"/>
    <w:rsid w:val="000F4F75"/>
    <w:rsid w:val="000F6F76"/>
    <w:rsid w:val="0010222A"/>
    <w:rsid w:val="00106D7C"/>
    <w:rsid w:val="0011181D"/>
    <w:rsid w:val="00113E98"/>
    <w:rsid w:val="00115C79"/>
    <w:rsid w:val="001170D9"/>
    <w:rsid w:val="00117211"/>
    <w:rsid w:val="00123E8D"/>
    <w:rsid w:val="00124383"/>
    <w:rsid w:val="00126535"/>
    <w:rsid w:val="00132D12"/>
    <w:rsid w:val="0013407F"/>
    <w:rsid w:val="00134660"/>
    <w:rsid w:val="00134779"/>
    <w:rsid w:val="00136995"/>
    <w:rsid w:val="00137247"/>
    <w:rsid w:val="00143482"/>
    <w:rsid w:val="001505FD"/>
    <w:rsid w:val="00151236"/>
    <w:rsid w:val="00156201"/>
    <w:rsid w:val="00156224"/>
    <w:rsid w:val="001617D5"/>
    <w:rsid w:val="00162429"/>
    <w:rsid w:val="00165F1C"/>
    <w:rsid w:val="001670E8"/>
    <w:rsid w:val="00170581"/>
    <w:rsid w:val="00174DD4"/>
    <w:rsid w:val="0018044B"/>
    <w:rsid w:val="00182B1F"/>
    <w:rsid w:val="00184F80"/>
    <w:rsid w:val="0018538F"/>
    <w:rsid w:val="00186C26"/>
    <w:rsid w:val="0019088B"/>
    <w:rsid w:val="00191DD6"/>
    <w:rsid w:val="0019319C"/>
    <w:rsid w:val="00193F1B"/>
    <w:rsid w:val="001979B1"/>
    <w:rsid w:val="001A025F"/>
    <w:rsid w:val="001A4A58"/>
    <w:rsid w:val="001A7D39"/>
    <w:rsid w:val="001B18BD"/>
    <w:rsid w:val="001B36DF"/>
    <w:rsid w:val="001B4129"/>
    <w:rsid w:val="001B4D74"/>
    <w:rsid w:val="001B7DC7"/>
    <w:rsid w:val="001C0FF1"/>
    <w:rsid w:val="001C3167"/>
    <w:rsid w:val="001C3A57"/>
    <w:rsid w:val="001D19A3"/>
    <w:rsid w:val="001D5FE9"/>
    <w:rsid w:val="001D6791"/>
    <w:rsid w:val="001E0736"/>
    <w:rsid w:val="001E0F24"/>
    <w:rsid w:val="001E5A27"/>
    <w:rsid w:val="001E637A"/>
    <w:rsid w:val="001E6A3B"/>
    <w:rsid w:val="001F127B"/>
    <w:rsid w:val="001F1E08"/>
    <w:rsid w:val="001F20F1"/>
    <w:rsid w:val="001F5BE9"/>
    <w:rsid w:val="001F5CCF"/>
    <w:rsid w:val="001F7F95"/>
    <w:rsid w:val="00201A9E"/>
    <w:rsid w:val="00206048"/>
    <w:rsid w:val="00206739"/>
    <w:rsid w:val="00211160"/>
    <w:rsid w:val="00211653"/>
    <w:rsid w:val="00211AE1"/>
    <w:rsid w:val="00211E0F"/>
    <w:rsid w:val="002155BB"/>
    <w:rsid w:val="002156B4"/>
    <w:rsid w:val="00217125"/>
    <w:rsid w:val="00217AC5"/>
    <w:rsid w:val="00221FAA"/>
    <w:rsid w:val="002255A1"/>
    <w:rsid w:val="002271AB"/>
    <w:rsid w:val="00230430"/>
    <w:rsid w:val="00237BD9"/>
    <w:rsid w:val="00237E6B"/>
    <w:rsid w:val="00240345"/>
    <w:rsid w:val="00240A3C"/>
    <w:rsid w:val="00241A98"/>
    <w:rsid w:val="00241CFF"/>
    <w:rsid w:val="00241E5E"/>
    <w:rsid w:val="00245847"/>
    <w:rsid w:val="00246558"/>
    <w:rsid w:val="00252140"/>
    <w:rsid w:val="00252985"/>
    <w:rsid w:val="00253956"/>
    <w:rsid w:val="0025437D"/>
    <w:rsid w:val="0025695F"/>
    <w:rsid w:val="00257558"/>
    <w:rsid w:val="00257891"/>
    <w:rsid w:val="002609D5"/>
    <w:rsid w:val="00261BC6"/>
    <w:rsid w:val="002677D3"/>
    <w:rsid w:val="00267B92"/>
    <w:rsid w:val="002704C7"/>
    <w:rsid w:val="00273E90"/>
    <w:rsid w:val="00276C3C"/>
    <w:rsid w:val="00281EFB"/>
    <w:rsid w:val="002844D6"/>
    <w:rsid w:val="00286134"/>
    <w:rsid w:val="002868A4"/>
    <w:rsid w:val="00287754"/>
    <w:rsid w:val="00292D03"/>
    <w:rsid w:val="002939C1"/>
    <w:rsid w:val="00294CB5"/>
    <w:rsid w:val="00295830"/>
    <w:rsid w:val="002A1DD5"/>
    <w:rsid w:val="002A356A"/>
    <w:rsid w:val="002A53FB"/>
    <w:rsid w:val="002A6776"/>
    <w:rsid w:val="002A71EC"/>
    <w:rsid w:val="002A7AE1"/>
    <w:rsid w:val="002B0DAB"/>
    <w:rsid w:val="002B1262"/>
    <w:rsid w:val="002B302A"/>
    <w:rsid w:val="002B668A"/>
    <w:rsid w:val="002C508D"/>
    <w:rsid w:val="002D03AE"/>
    <w:rsid w:val="002D132A"/>
    <w:rsid w:val="002D1DA0"/>
    <w:rsid w:val="002D2964"/>
    <w:rsid w:val="002D38EF"/>
    <w:rsid w:val="002D557F"/>
    <w:rsid w:val="002E0D6E"/>
    <w:rsid w:val="002E1C65"/>
    <w:rsid w:val="002E2BAF"/>
    <w:rsid w:val="002E6D1B"/>
    <w:rsid w:val="002E7041"/>
    <w:rsid w:val="002F2785"/>
    <w:rsid w:val="002F28B3"/>
    <w:rsid w:val="002F28D4"/>
    <w:rsid w:val="002F77F8"/>
    <w:rsid w:val="00304FA0"/>
    <w:rsid w:val="00306790"/>
    <w:rsid w:val="003074C7"/>
    <w:rsid w:val="00307E00"/>
    <w:rsid w:val="00307EC0"/>
    <w:rsid w:val="00311CE9"/>
    <w:rsid w:val="00313EFB"/>
    <w:rsid w:val="003153BE"/>
    <w:rsid w:val="00315DA3"/>
    <w:rsid w:val="0031658B"/>
    <w:rsid w:val="00317633"/>
    <w:rsid w:val="00321884"/>
    <w:rsid w:val="00322D5D"/>
    <w:rsid w:val="00322DF9"/>
    <w:rsid w:val="00322EBD"/>
    <w:rsid w:val="0032353E"/>
    <w:rsid w:val="0032420A"/>
    <w:rsid w:val="00324721"/>
    <w:rsid w:val="00324C4F"/>
    <w:rsid w:val="003257F9"/>
    <w:rsid w:val="00330A1C"/>
    <w:rsid w:val="00334489"/>
    <w:rsid w:val="00334B7F"/>
    <w:rsid w:val="00336417"/>
    <w:rsid w:val="003379CF"/>
    <w:rsid w:val="00342210"/>
    <w:rsid w:val="00342536"/>
    <w:rsid w:val="00343FE7"/>
    <w:rsid w:val="0034781A"/>
    <w:rsid w:val="003512C0"/>
    <w:rsid w:val="00351ACE"/>
    <w:rsid w:val="00353A1E"/>
    <w:rsid w:val="00355732"/>
    <w:rsid w:val="003557D4"/>
    <w:rsid w:val="00361507"/>
    <w:rsid w:val="00361FF4"/>
    <w:rsid w:val="0036261A"/>
    <w:rsid w:val="003638C2"/>
    <w:rsid w:val="003705CC"/>
    <w:rsid w:val="003720A0"/>
    <w:rsid w:val="00373806"/>
    <w:rsid w:val="00373A5F"/>
    <w:rsid w:val="0037424D"/>
    <w:rsid w:val="00374543"/>
    <w:rsid w:val="0037462A"/>
    <w:rsid w:val="00374E03"/>
    <w:rsid w:val="0037614B"/>
    <w:rsid w:val="003801D1"/>
    <w:rsid w:val="00380250"/>
    <w:rsid w:val="003804DF"/>
    <w:rsid w:val="00382C2C"/>
    <w:rsid w:val="00383C4A"/>
    <w:rsid w:val="0038514B"/>
    <w:rsid w:val="00385932"/>
    <w:rsid w:val="00387026"/>
    <w:rsid w:val="00390C6D"/>
    <w:rsid w:val="00391DBE"/>
    <w:rsid w:val="00391E65"/>
    <w:rsid w:val="003A4A5D"/>
    <w:rsid w:val="003A4CCC"/>
    <w:rsid w:val="003A7269"/>
    <w:rsid w:val="003A745E"/>
    <w:rsid w:val="003A77F3"/>
    <w:rsid w:val="003A7CD4"/>
    <w:rsid w:val="003B08B9"/>
    <w:rsid w:val="003B0F0D"/>
    <w:rsid w:val="003B137C"/>
    <w:rsid w:val="003B298E"/>
    <w:rsid w:val="003B48D0"/>
    <w:rsid w:val="003B5F5F"/>
    <w:rsid w:val="003C6618"/>
    <w:rsid w:val="003C6A20"/>
    <w:rsid w:val="003C6B7C"/>
    <w:rsid w:val="003C7113"/>
    <w:rsid w:val="003D0830"/>
    <w:rsid w:val="003D15F7"/>
    <w:rsid w:val="003D2250"/>
    <w:rsid w:val="003D22BD"/>
    <w:rsid w:val="003D2614"/>
    <w:rsid w:val="003D3151"/>
    <w:rsid w:val="003D563C"/>
    <w:rsid w:val="003E0E6E"/>
    <w:rsid w:val="003E5D52"/>
    <w:rsid w:val="003E6B9F"/>
    <w:rsid w:val="003F1F46"/>
    <w:rsid w:val="003F2AD8"/>
    <w:rsid w:val="003F6DB8"/>
    <w:rsid w:val="00400450"/>
    <w:rsid w:val="00403839"/>
    <w:rsid w:val="00406979"/>
    <w:rsid w:val="00406CD8"/>
    <w:rsid w:val="00407FAA"/>
    <w:rsid w:val="00414FFB"/>
    <w:rsid w:val="00420288"/>
    <w:rsid w:val="00420940"/>
    <w:rsid w:val="00421BF8"/>
    <w:rsid w:val="00423BAF"/>
    <w:rsid w:val="00424621"/>
    <w:rsid w:val="00424817"/>
    <w:rsid w:val="0043042B"/>
    <w:rsid w:val="00432065"/>
    <w:rsid w:val="00432901"/>
    <w:rsid w:val="00434F16"/>
    <w:rsid w:val="004360B3"/>
    <w:rsid w:val="00437908"/>
    <w:rsid w:val="00442D50"/>
    <w:rsid w:val="00444B9F"/>
    <w:rsid w:val="00445582"/>
    <w:rsid w:val="00451672"/>
    <w:rsid w:val="00452828"/>
    <w:rsid w:val="00453418"/>
    <w:rsid w:val="0045343C"/>
    <w:rsid w:val="00453D90"/>
    <w:rsid w:val="0045488E"/>
    <w:rsid w:val="0045540A"/>
    <w:rsid w:val="0046313B"/>
    <w:rsid w:val="004634AA"/>
    <w:rsid w:val="00464A08"/>
    <w:rsid w:val="00465B7C"/>
    <w:rsid w:val="0046669E"/>
    <w:rsid w:val="004668A0"/>
    <w:rsid w:val="00467ED7"/>
    <w:rsid w:val="004711CA"/>
    <w:rsid w:val="00474953"/>
    <w:rsid w:val="00476B6D"/>
    <w:rsid w:val="0048037A"/>
    <w:rsid w:val="00480AE8"/>
    <w:rsid w:val="004876EC"/>
    <w:rsid w:val="00492396"/>
    <w:rsid w:val="004938A3"/>
    <w:rsid w:val="0049410D"/>
    <w:rsid w:val="004976C1"/>
    <w:rsid w:val="004A0AF6"/>
    <w:rsid w:val="004A2844"/>
    <w:rsid w:val="004A3568"/>
    <w:rsid w:val="004A3BAC"/>
    <w:rsid w:val="004A57A2"/>
    <w:rsid w:val="004A5D10"/>
    <w:rsid w:val="004A66BB"/>
    <w:rsid w:val="004B0DA9"/>
    <w:rsid w:val="004B6D1E"/>
    <w:rsid w:val="004C38AA"/>
    <w:rsid w:val="004C4624"/>
    <w:rsid w:val="004C575B"/>
    <w:rsid w:val="004D0FDB"/>
    <w:rsid w:val="004D29E9"/>
    <w:rsid w:val="004D3986"/>
    <w:rsid w:val="004D5547"/>
    <w:rsid w:val="004D5A13"/>
    <w:rsid w:val="004D5DE5"/>
    <w:rsid w:val="004D660A"/>
    <w:rsid w:val="004E0548"/>
    <w:rsid w:val="004E4E09"/>
    <w:rsid w:val="004E53A0"/>
    <w:rsid w:val="004E5D0C"/>
    <w:rsid w:val="004F170B"/>
    <w:rsid w:val="004F1BC6"/>
    <w:rsid w:val="004F25D7"/>
    <w:rsid w:val="004F70BB"/>
    <w:rsid w:val="00500490"/>
    <w:rsid w:val="00500CF7"/>
    <w:rsid w:val="00502980"/>
    <w:rsid w:val="005031CB"/>
    <w:rsid w:val="0050435E"/>
    <w:rsid w:val="005046D6"/>
    <w:rsid w:val="0050544A"/>
    <w:rsid w:val="00505502"/>
    <w:rsid w:val="0050642A"/>
    <w:rsid w:val="00507417"/>
    <w:rsid w:val="005101F8"/>
    <w:rsid w:val="00510D6B"/>
    <w:rsid w:val="00513C07"/>
    <w:rsid w:val="00514389"/>
    <w:rsid w:val="00514E2C"/>
    <w:rsid w:val="0051633D"/>
    <w:rsid w:val="00516AE3"/>
    <w:rsid w:val="005178BD"/>
    <w:rsid w:val="00521525"/>
    <w:rsid w:val="00521A0B"/>
    <w:rsid w:val="0052351F"/>
    <w:rsid w:val="0052565E"/>
    <w:rsid w:val="00526C48"/>
    <w:rsid w:val="00530868"/>
    <w:rsid w:val="005311B6"/>
    <w:rsid w:val="00531F40"/>
    <w:rsid w:val="00533E83"/>
    <w:rsid w:val="0053463A"/>
    <w:rsid w:val="0053534E"/>
    <w:rsid w:val="00543DF2"/>
    <w:rsid w:val="00545CFB"/>
    <w:rsid w:val="00545FA0"/>
    <w:rsid w:val="00550BEC"/>
    <w:rsid w:val="00550D63"/>
    <w:rsid w:val="00551CAA"/>
    <w:rsid w:val="00552A2F"/>
    <w:rsid w:val="00552CBE"/>
    <w:rsid w:val="005530A1"/>
    <w:rsid w:val="00553DEE"/>
    <w:rsid w:val="005572C1"/>
    <w:rsid w:val="005625D6"/>
    <w:rsid w:val="00570C33"/>
    <w:rsid w:val="005715D2"/>
    <w:rsid w:val="00572A45"/>
    <w:rsid w:val="005806DA"/>
    <w:rsid w:val="0058311F"/>
    <w:rsid w:val="00585311"/>
    <w:rsid w:val="0058710B"/>
    <w:rsid w:val="00591C47"/>
    <w:rsid w:val="0059210B"/>
    <w:rsid w:val="00592D3E"/>
    <w:rsid w:val="005A0FEE"/>
    <w:rsid w:val="005A4064"/>
    <w:rsid w:val="005A671D"/>
    <w:rsid w:val="005A7A6E"/>
    <w:rsid w:val="005A7B5E"/>
    <w:rsid w:val="005B1B9A"/>
    <w:rsid w:val="005B33BE"/>
    <w:rsid w:val="005B33C4"/>
    <w:rsid w:val="005B365F"/>
    <w:rsid w:val="005B3EDD"/>
    <w:rsid w:val="005B5C78"/>
    <w:rsid w:val="005B6266"/>
    <w:rsid w:val="005C3BF5"/>
    <w:rsid w:val="005C6507"/>
    <w:rsid w:val="005D0009"/>
    <w:rsid w:val="005D12F3"/>
    <w:rsid w:val="005D1582"/>
    <w:rsid w:val="005D26E5"/>
    <w:rsid w:val="005D3019"/>
    <w:rsid w:val="005D3CA0"/>
    <w:rsid w:val="005D4826"/>
    <w:rsid w:val="005D544A"/>
    <w:rsid w:val="005D566A"/>
    <w:rsid w:val="005E2040"/>
    <w:rsid w:val="005E213E"/>
    <w:rsid w:val="005E440C"/>
    <w:rsid w:val="005E5349"/>
    <w:rsid w:val="005E7BC6"/>
    <w:rsid w:val="005F1989"/>
    <w:rsid w:val="005F2A60"/>
    <w:rsid w:val="005F64CD"/>
    <w:rsid w:val="005F7E1C"/>
    <w:rsid w:val="006008EE"/>
    <w:rsid w:val="00605462"/>
    <w:rsid w:val="00606C23"/>
    <w:rsid w:val="00612905"/>
    <w:rsid w:val="006134A0"/>
    <w:rsid w:val="00613AFF"/>
    <w:rsid w:val="00613C8C"/>
    <w:rsid w:val="006153D0"/>
    <w:rsid w:val="00615E49"/>
    <w:rsid w:val="00617589"/>
    <w:rsid w:val="0061791A"/>
    <w:rsid w:val="00620D79"/>
    <w:rsid w:val="0062381C"/>
    <w:rsid w:val="00623C6F"/>
    <w:rsid w:val="006264F2"/>
    <w:rsid w:val="00626716"/>
    <w:rsid w:val="00630CD9"/>
    <w:rsid w:val="006310B2"/>
    <w:rsid w:val="00631306"/>
    <w:rsid w:val="006324D1"/>
    <w:rsid w:val="006329AC"/>
    <w:rsid w:val="00633194"/>
    <w:rsid w:val="006335B4"/>
    <w:rsid w:val="00633D7C"/>
    <w:rsid w:val="00636C65"/>
    <w:rsid w:val="00636F81"/>
    <w:rsid w:val="00637F3A"/>
    <w:rsid w:val="00641931"/>
    <w:rsid w:val="00641FFF"/>
    <w:rsid w:val="00642E87"/>
    <w:rsid w:val="00644491"/>
    <w:rsid w:val="006506C2"/>
    <w:rsid w:val="00651632"/>
    <w:rsid w:val="0065209B"/>
    <w:rsid w:val="00653D4B"/>
    <w:rsid w:val="00657D26"/>
    <w:rsid w:val="00662E18"/>
    <w:rsid w:val="006647FE"/>
    <w:rsid w:val="00664ED6"/>
    <w:rsid w:val="006670E7"/>
    <w:rsid w:val="006754D1"/>
    <w:rsid w:val="00675E76"/>
    <w:rsid w:val="006778EB"/>
    <w:rsid w:val="0068022A"/>
    <w:rsid w:val="0068079C"/>
    <w:rsid w:val="00681BB3"/>
    <w:rsid w:val="0068239C"/>
    <w:rsid w:val="00682C4F"/>
    <w:rsid w:val="00683644"/>
    <w:rsid w:val="00683DBD"/>
    <w:rsid w:val="006841FF"/>
    <w:rsid w:val="00687022"/>
    <w:rsid w:val="0068736F"/>
    <w:rsid w:val="006873B2"/>
    <w:rsid w:val="0069090A"/>
    <w:rsid w:val="00691D71"/>
    <w:rsid w:val="00694F6B"/>
    <w:rsid w:val="00694F82"/>
    <w:rsid w:val="00696CAE"/>
    <w:rsid w:val="00696E0F"/>
    <w:rsid w:val="006A0650"/>
    <w:rsid w:val="006A1CE2"/>
    <w:rsid w:val="006A4A5A"/>
    <w:rsid w:val="006A5078"/>
    <w:rsid w:val="006A54BA"/>
    <w:rsid w:val="006B2358"/>
    <w:rsid w:val="006B2680"/>
    <w:rsid w:val="006B2C41"/>
    <w:rsid w:val="006B62E6"/>
    <w:rsid w:val="006C341B"/>
    <w:rsid w:val="006C664F"/>
    <w:rsid w:val="006C7202"/>
    <w:rsid w:val="006D11F6"/>
    <w:rsid w:val="006D15BB"/>
    <w:rsid w:val="006D3772"/>
    <w:rsid w:val="006D508D"/>
    <w:rsid w:val="006D5140"/>
    <w:rsid w:val="006D64BA"/>
    <w:rsid w:val="006D7C03"/>
    <w:rsid w:val="006E2158"/>
    <w:rsid w:val="006F0D97"/>
    <w:rsid w:val="006F1034"/>
    <w:rsid w:val="006F3062"/>
    <w:rsid w:val="006F307E"/>
    <w:rsid w:val="006F39D2"/>
    <w:rsid w:val="006F4075"/>
    <w:rsid w:val="006F6F98"/>
    <w:rsid w:val="006F6F9A"/>
    <w:rsid w:val="00704323"/>
    <w:rsid w:val="00706BE3"/>
    <w:rsid w:val="00712885"/>
    <w:rsid w:val="007136C1"/>
    <w:rsid w:val="00713FA2"/>
    <w:rsid w:val="007212DB"/>
    <w:rsid w:val="007213D7"/>
    <w:rsid w:val="00722077"/>
    <w:rsid w:val="00723FD3"/>
    <w:rsid w:val="00724254"/>
    <w:rsid w:val="007244F1"/>
    <w:rsid w:val="00725F04"/>
    <w:rsid w:val="00725F90"/>
    <w:rsid w:val="00726637"/>
    <w:rsid w:val="0073321C"/>
    <w:rsid w:val="00733F36"/>
    <w:rsid w:val="00736314"/>
    <w:rsid w:val="007367DA"/>
    <w:rsid w:val="007368E1"/>
    <w:rsid w:val="00736A8B"/>
    <w:rsid w:val="007404B8"/>
    <w:rsid w:val="00742704"/>
    <w:rsid w:val="00742811"/>
    <w:rsid w:val="007446AC"/>
    <w:rsid w:val="007477C8"/>
    <w:rsid w:val="00750672"/>
    <w:rsid w:val="00750ED1"/>
    <w:rsid w:val="00754CDA"/>
    <w:rsid w:val="00755D66"/>
    <w:rsid w:val="007562D3"/>
    <w:rsid w:val="0075744A"/>
    <w:rsid w:val="00760839"/>
    <w:rsid w:val="0076112B"/>
    <w:rsid w:val="0076112C"/>
    <w:rsid w:val="007636BC"/>
    <w:rsid w:val="0076596D"/>
    <w:rsid w:val="007668B0"/>
    <w:rsid w:val="00767E6B"/>
    <w:rsid w:val="007751BB"/>
    <w:rsid w:val="007757B6"/>
    <w:rsid w:val="00775C19"/>
    <w:rsid w:val="00776130"/>
    <w:rsid w:val="00776B21"/>
    <w:rsid w:val="00777319"/>
    <w:rsid w:val="00780EFD"/>
    <w:rsid w:val="0078126A"/>
    <w:rsid w:val="00781A2C"/>
    <w:rsid w:val="00786575"/>
    <w:rsid w:val="00787AC7"/>
    <w:rsid w:val="00790555"/>
    <w:rsid w:val="00790A32"/>
    <w:rsid w:val="00794085"/>
    <w:rsid w:val="007A0CEE"/>
    <w:rsid w:val="007A1B82"/>
    <w:rsid w:val="007A3105"/>
    <w:rsid w:val="007A42BA"/>
    <w:rsid w:val="007B3189"/>
    <w:rsid w:val="007B3B88"/>
    <w:rsid w:val="007B6261"/>
    <w:rsid w:val="007B7A8D"/>
    <w:rsid w:val="007C0071"/>
    <w:rsid w:val="007C03A0"/>
    <w:rsid w:val="007C0512"/>
    <w:rsid w:val="007C0BC6"/>
    <w:rsid w:val="007C10B0"/>
    <w:rsid w:val="007C226E"/>
    <w:rsid w:val="007C7399"/>
    <w:rsid w:val="007D40C3"/>
    <w:rsid w:val="007D60D4"/>
    <w:rsid w:val="007D6544"/>
    <w:rsid w:val="007D6E89"/>
    <w:rsid w:val="007D716A"/>
    <w:rsid w:val="007E1AB9"/>
    <w:rsid w:val="007E64D2"/>
    <w:rsid w:val="007E7E5B"/>
    <w:rsid w:val="007F183A"/>
    <w:rsid w:val="007F31F0"/>
    <w:rsid w:val="007F74B0"/>
    <w:rsid w:val="007F7950"/>
    <w:rsid w:val="008022F8"/>
    <w:rsid w:val="008023B5"/>
    <w:rsid w:val="00802F62"/>
    <w:rsid w:val="008030C6"/>
    <w:rsid w:val="0080341B"/>
    <w:rsid w:val="00806E1F"/>
    <w:rsid w:val="00810DD5"/>
    <w:rsid w:val="00813069"/>
    <w:rsid w:val="00815B28"/>
    <w:rsid w:val="00820F5F"/>
    <w:rsid w:val="008214DA"/>
    <w:rsid w:val="00821907"/>
    <w:rsid w:val="00822744"/>
    <w:rsid w:val="00822FC2"/>
    <w:rsid w:val="008249CB"/>
    <w:rsid w:val="00830700"/>
    <w:rsid w:val="00834162"/>
    <w:rsid w:val="0083452E"/>
    <w:rsid w:val="008350BC"/>
    <w:rsid w:val="008356D4"/>
    <w:rsid w:val="0083613F"/>
    <w:rsid w:val="00840D16"/>
    <w:rsid w:val="00841B7A"/>
    <w:rsid w:val="0084347C"/>
    <w:rsid w:val="00843C9E"/>
    <w:rsid w:val="00843F49"/>
    <w:rsid w:val="00846327"/>
    <w:rsid w:val="00846F8E"/>
    <w:rsid w:val="0085205B"/>
    <w:rsid w:val="00855506"/>
    <w:rsid w:val="008561BE"/>
    <w:rsid w:val="00856938"/>
    <w:rsid w:val="00857AA0"/>
    <w:rsid w:val="008604FD"/>
    <w:rsid w:val="00863F15"/>
    <w:rsid w:val="008678D5"/>
    <w:rsid w:val="008702EC"/>
    <w:rsid w:val="00870B47"/>
    <w:rsid w:val="008733FC"/>
    <w:rsid w:val="008805EA"/>
    <w:rsid w:val="00886DFC"/>
    <w:rsid w:val="00887033"/>
    <w:rsid w:val="00887A03"/>
    <w:rsid w:val="00887CD8"/>
    <w:rsid w:val="00890C4F"/>
    <w:rsid w:val="0089374A"/>
    <w:rsid w:val="00893A93"/>
    <w:rsid w:val="00893B21"/>
    <w:rsid w:val="00895ECA"/>
    <w:rsid w:val="0089656A"/>
    <w:rsid w:val="008968C3"/>
    <w:rsid w:val="00896AEB"/>
    <w:rsid w:val="008A13AB"/>
    <w:rsid w:val="008A29CB"/>
    <w:rsid w:val="008A3539"/>
    <w:rsid w:val="008A367A"/>
    <w:rsid w:val="008A7DD2"/>
    <w:rsid w:val="008B05F3"/>
    <w:rsid w:val="008B378B"/>
    <w:rsid w:val="008B5C02"/>
    <w:rsid w:val="008C08F5"/>
    <w:rsid w:val="008C1FBE"/>
    <w:rsid w:val="008C2235"/>
    <w:rsid w:val="008C750B"/>
    <w:rsid w:val="008D2985"/>
    <w:rsid w:val="008D301B"/>
    <w:rsid w:val="008D31C1"/>
    <w:rsid w:val="008D43E3"/>
    <w:rsid w:val="008D4EB0"/>
    <w:rsid w:val="008D6161"/>
    <w:rsid w:val="008D6382"/>
    <w:rsid w:val="008E2560"/>
    <w:rsid w:val="008E369D"/>
    <w:rsid w:val="008E4184"/>
    <w:rsid w:val="008E5360"/>
    <w:rsid w:val="008E5F66"/>
    <w:rsid w:val="008E68A4"/>
    <w:rsid w:val="008E7144"/>
    <w:rsid w:val="008E76EE"/>
    <w:rsid w:val="008F0C41"/>
    <w:rsid w:val="008F0DF3"/>
    <w:rsid w:val="008F1A4B"/>
    <w:rsid w:val="008F2662"/>
    <w:rsid w:val="008F60B4"/>
    <w:rsid w:val="008F747C"/>
    <w:rsid w:val="00905638"/>
    <w:rsid w:val="00905823"/>
    <w:rsid w:val="00905D45"/>
    <w:rsid w:val="0090721A"/>
    <w:rsid w:val="00910025"/>
    <w:rsid w:val="009109F2"/>
    <w:rsid w:val="0091333A"/>
    <w:rsid w:val="0092168F"/>
    <w:rsid w:val="0092241B"/>
    <w:rsid w:val="00927FBD"/>
    <w:rsid w:val="009327DA"/>
    <w:rsid w:val="009328EB"/>
    <w:rsid w:val="0093364E"/>
    <w:rsid w:val="009367F6"/>
    <w:rsid w:val="009458AB"/>
    <w:rsid w:val="0094642E"/>
    <w:rsid w:val="00950B49"/>
    <w:rsid w:val="00951C45"/>
    <w:rsid w:val="00952857"/>
    <w:rsid w:val="0095292E"/>
    <w:rsid w:val="00952B44"/>
    <w:rsid w:val="00953D2D"/>
    <w:rsid w:val="00953DE6"/>
    <w:rsid w:val="009548AA"/>
    <w:rsid w:val="009606AF"/>
    <w:rsid w:val="009646E3"/>
    <w:rsid w:val="00965A8F"/>
    <w:rsid w:val="00974914"/>
    <w:rsid w:val="0097539A"/>
    <w:rsid w:val="009771B1"/>
    <w:rsid w:val="00977EB6"/>
    <w:rsid w:val="009853CC"/>
    <w:rsid w:val="00987385"/>
    <w:rsid w:val="00987F02"/>
    <w:rsid w:val="00990683"/>
    <w:rsid w:val="009909D7"/>
    <w:rsid w:val="0099128E"/>
    <w:rsid w:val="0099301F"/>
    <w:rsid w:val="00997777"/>
    <w:rsid w:val="009A0289"/>
    <w:rsid w:val="009A1334"/>
    <w:rsid w:val="009A2DA0"/>
    <w:rsid w:val="009A5B36"/>
    <w:rsid w:val="009B10E1"/>
    <w:rsid w:val="009B2CB6"/>
    <w:rsid w:val="009B3E17"/>
    <w:rsid w:val="009B548C"/>
    <w:rsid w:val="009B5B57"/>
    <w:rsid w:val="009B746C"/>
    <w:rsid w:val="009C2C64"/>
    <w:rsid w:val="009C3754"/>
    <w:rsid w:val="009C5551"/>
    <w:rsid w:val="009C74F0"/>
    <w:rsid w:val="009C7848"/>
    <w:rsid w:val="009D1F26"/>
    <w:rsid w:val="009D4A9A"/>
    <w:rsid w:val="009D67B6"/>
    <w:rsid w:val="009E3D77"/>
    <w:rsid w:val="009E5C64"/>
    <w:rsid w:val="009E664A"/>
    <w:rsid w:val="009E6B6B"/>
    <w:rsid w:val="009F103B"/>
    <w:rsid w:val="009F13AB"/>
    <w:rsid w:val="009F1A7E"/>
    <w:rsid w:val="009F6C4B"/>
    <w:rsid w:val="009F7CDB"/>
    <w:rsid w:val="00A002AD"/>
    <w:rsid w:val="00A11B01"/>
    <w:rsid w:val="00A11B48"/>
    <w:rsid w:val="00A12463"/>
    <w:rsid w:val="00A1336B"/>
    <w:rsid w:val="00A143DF"/>
    <w:rsid w:val="00A144CA"/>
    <w:rsid w:val="00A178CB"/>
    <w:rsid w:val="00A244A7"/>
    <w:rsid w:val="00A24740"/>
    <w:rsid w:val="00A25E70"/>
    <w:rsid w:val="00A30291"/>
    <w:rsid w:val="00A32074"/>
    <w:rsid w:val="00A334D8"/>
    <w:rsid w:val="00A345B1"/>
    <w:rsid w:val="00A37D15"/>
    <w:rsid w:val="00A4145C"/>
    <w:rsid w:val="00A41DEB"/>
    <w:rsid w:val="00A42509"/>
    <w:rsid w:val="00A43E98"/>
    <w:rsid w:val="00A44205"/>
    <w:rsid w:val="00A458B0"/>
    <w:rsid w:val="00A51C4F"/>
    <w:rsid w:val="00A533C6"/>
    <w:rsid w:val="00A552A2"/>
    <w:rsid w:val="00A56081"/>
    <w:rsid w:val="00A566D8"/>
    <w:rsid w:val="00A57A6A"/>
    <w:rsid w:val="00A600E0"/>
    <w:rsid w:val="00A619E6"/>
    <w:rsid w:val="00A7150C"/>
    <w:rsid w:val="00A72DAC"/>
    <w:rsid w:val="00A7300E"/>
    <w:rsid w:val="00A73BD4"/>
    <w:rsid w:val="00A749EA"/>
    <w:rsid w:val="00A74B75"/>
    <w:rsid w:val="00A761CA"/>
    <w:rsid w:val="00A7748E"/>
    <w:rsid w:val="00A84F38"/>
    <w:rsid w:val="00A8705F"/>
    <w:rsid w:val="00A90D4C"/>
    <w:rsid w:val="00A918C9"/>
    <w:rsid w:val="00A91EE4"/>
    <w:rsid w:val="00A91FA4"/>
    <w:rsid w:val="00A9231E"/>
    <w:rsid w:val="00A92D94"/>
    <w:rsid w:val="00A93615"/>
    <w:rsid w:val="00A94276"/>
    <w:rsid w:val="00A94EE1"/>
    <w:rsid w:val="00A955B0"/>
    <w:rsid w:val="00A959B6"/>
    <w:rsid w:val="00A95D34"/>
    <w:rsid w:val="00A9647E"/>
    <w:rsid w:val="00AA0266"/>
    <w:rsid w:val="00AA2958"/>
    <w:rsid w:val="00AA43C4"/>
    <w:rsid w:val="00AB180B"/>
    <w:rsid w:val="00AB1CC4"/>
    <w:rsid w:val="00AB39BA"/>
    <w:rsid w:val="00AB7088"/>
    <w:rsid w:val="00AB72D5"/>
    <w:rsid w:val="00AB7ACF"/>
    <w:rsid w:val="00AC0865"/>
    <w:rsid w:val="00AC2972"/>
    <w:rsid w:val="00AC2AB1"/>
    <w:rsid w:val="00AC3441"/>
    <w:rsid w:val="00AC3737"/>
    <w:rsid w:val="00AC3874"/>
    <w:rsid w:val="00AC3F06"/>
    <w:rsid w:val="00AC4024"/>
    <w:rsid w:val="00AC4743"/>
    <w:rsid w:val="00AC4AE3"/>
    <w:rsid w:val="00AC5E12"/>
    <w:rsid w:val="00AC718F"/>
    <w:rsid w:val="00AD1841"/>
    <w:rsid w:val="00AD1DD2"/>
    <w:rsid w:val="00AD5627"/>
    <w:rsid w:val="00AD7935"/>
    <w:rsid w:val="00AE1CC5"/>
    <w:rsid w:val="00AE253B"/>
    <w:rsid w:val="00AE4595"/>
    <w:rsid w:val="00AE4DAC"/>
    <w:rsid w:val="00AF3B81"/>
    <w:rsid w:val="00AF664F"/>
    <w:rsid w:val="00AF7BA6"/>
    <w:rsid w:val="00B00CB3"/>
    <w:rsid w:val="00B01C22"/>
    <w:rsid w:val="00B04BB2"/>
    <w:rsid w:val="00B050E2"/>
    <w:rsid w:val="00B146C3"/>
    <w:rsid w:val="00B15141"/>
    <w:rsid w:val="00B20679"/>
    <w:rsid w:val="00B214FC"/>
    <w:rsid w:val="00B2406E"/>
    <w:rsid w:val="00B25B2C"/>
    <w:rsid w:val="00B304C6"/>
    <w:rsid w:val="00B323B4"/>
    <w:rsid w:val="00B346F9"/>
    <w:rsid w:val="00B35E1A"/>
    <w:rsid w:val="00B366B2"/>
    <w:rsid w:val="00B37170"/>
    <w:rsid w:val="00B442BB"/>
    <w:rsid w:val="00B44A29"/>
    <w:rsid w:val="00B44A7E"/>
    <w:rsid w:val="00B44EB5"/>
    <w:rsid w:val="00B4534F"/>
    <w:rsid w:val="00B51550"/>
    <w:rsid w:val="00B51977"/>
    <w:rsid w:val="00B51D09"/>
    <w:rsid w:val="00B52384"/>
    <w:rsid w:val="00B52710"/>
    <w:rsid w:val="00B5404F"/>
    <w:rsid w:val="00B549AE"/>
    <w:rsid w:val="00B568BB"/>
    <w:rsid w:val="00B5728D"/>
    <w:rsid w:val="00B5787B"/>
    <w:rsid w:val="00B6671E"/>
    <w:rsid w:val="00B7043E"/>
    <w:rsid w:val="00B73975"/>
    <w:rsid w:val="00B73A42"/>
    <w:rsid w:val="00B73C20"/>
    <w:rsid w:val="00B746EB"/>
    <w:rsid w:val="00B7521B"/>
    <w:rsid w:val="00B77095"/>
    <w:rsid w:val="00B808C8"/>
    <w:rsid w:val="00B8250B"/>
    <w:rsid w:val="00B825B1"/>
    <w:rsid w:val="00B82A4B"/>
    <w:rsid w:val="00B83572"/>
    <w:rsid w:val="00B84ED5"/>
    <w:rsid w:val="00B85A07"/>
    <w:rsid w:val="00B863A8"/>
    <w:rsid w:val="00B86D19"/>
    <w:rsid w:val="00B93849"/>
    <w:rsid w:val="00BA0CE9"/>
    <w:rsid w:val="00BA3315"/>
    <w:rsid w:val="00BA397E"/>
    <w:rsid w:val="00BA557B"/>
    <w:rsid w:val="00BA568F"/>
    <w:rsid w:val="00BA724C"/>
    <w:rsid w:val="00BB0543"/>
    <w:rsid w:val="00BB0A79"/>
    <w:rsid w:val="00BB78BD"/>
    <w:rsid w:val="00BC15F6"/>
    <w:rsid w:val="00BC2F61"/>
    <w:rsid w:val="00BC36DA"/>
    <w:rsid w:val="00BC408B"/>
    <w:rsid w:val="00BC488C"/>
    <w:rsid w:val="00BC4E92"/>
    <w:rsid w:val="00BC766E"/>
    <w:rsid w:val="00BD6993"/>
    <w:rsid w:val="00BD6AAB"/>
    <w:rsid w:val="00BD7E0E"/>
    <w:rsid w:val="00BE136C"/>
    <w:rsid w:val="00BE3EF4"/>
    <w:rsid w:val="00BE4076"/>
    <w:rsid w:val="00BE582E"/>
    <w:rsid w:val="00BE627E"/>
    <w:rsid w:val="00BF1571"/>
    <w:rsid w:val="00BF2400"/>
    <w:rsid w:val="00BF2DCB"/>
    <w:rsid w:val="00BF44C1"/>
    <w:rsid w:val="00BF468A"/>
    <w:rsid w:val="00BF471A"/>
    <w:rsid w:val="00BF6561"/>
    <w:rsid w:val="00BF6A96"/>
    <w:rsid w:val="00C00380"/>
    <w:rsid w:val="00C01E5E"/>
    <w:rsid w:val="00C01EFA"/>
    <w:rsid w:val="00C0384E"/>
    <w:rsid w:val="00C05415"/>
    <w:rsid w:val="00C061D7"/>
    <w:rsid w:val="00C11518"/>
    <w:rsid w:val="00C15279"/>
    <w:rsid w:val="00C15A45"/>
    <w:rsid w:val="00C1654D"/>
    <w:rsid w:val="00C17962"/>
    <w:rsid w:val="00C22E0D"/>
    <w:rsid w:val="00C23C57"/>
    <w:rsid w:val="00C24A8A"/>
    <w:rsid w:val="00C278E1"/>
    <w:rsid w:val="00C30BC4"/>
    <w:rsid w:val="00C30D78"/>
    <w:rsid w:val="00C312A7"/>
    <w:rsid w:val="00C33305"/>
    <w:rsid w:val="00C34C8F"/>
    <w:rsid w:val="00C3502A"/>
    <w:rsid w:val="00C35CBE"/>
    <w:rsid w:val="00C40533"/>
    <w:rsid w:val="00C40D09"/>
    <w:rsid w:val="00C41C24"/>
    <w:rsid w:val="00C41E3D"/>
    <w:rsid w:val="00C4436F"/>
    <w:rsid w:val="00C5185C"/>
    <w:rsid w:val="00C53DB1"/>
    <w:rsid w:val="00C5409B"/>
    <w:rsid w:val="00C56749"/>
    <w:rsid w:val="00C57E60"/>
    <w:rsid w:val="00C60A65"/>
    <w:rsid w:val="00C60BAC"/>
    <w:rsid w:val="00C61AAF"/>
    <w:rsid w:val="00C61FE3"/>
    <w:rsid w:val="00C635DF"/>
    <w:rsid w:val="00C63F59"/>
    <w:rsid w:val="00C65605"/>
    <w:rsid w:val="00C6576D"/>
    <w:rsid w:val="00C65C63"/>
    <w:rsid w:val="00C679F3"/>
    <w:rsid w:val="00C71E6C"/>
    <w:rsid w:val="00C73302"/>
    <w:rsid w:val="00C73EBE"/>
    <w:rsid w:val="00C74230"/>
    <w:rsid w:val="00C75734"/>
    <w:rsid w:val="00C82AAA"/>
    <w:rsid w:val="00C82E90"/>
    <w:rsid w:val="00C84086"/>
    <w:rsid w:val="00C84CC2"/>
    <w:rsid w:val="00C84F97"/>
    <w:rsid w:val="00C87B86"/>
    <w:rsid w:val="00C9174E"/>
    <w:rsid w:val="00C9493B"/>
    <w:rsid w:val="00C94E72"/>
    <w:rsid w:val="00C961A2"/>
    <w:rsid w:val="00CA1734"/>
    <w:rsid w:val="00CA189B"/>
    <w:rsid w:val="00CA4C57"/>
    <w:rsid w:val="00CA5C78"/>
    <w:rsid w:val="00CA66D5"/>
    <w:rsid w:val="00CA67EE"/>
    <w:rsid w:val="00CA69ED"/>
    <w:rsid w:val="00CA78B6"/>
    <w:rsid w:val="00CB2C61"/>
    <w:rsid w:val="00CB3329"/>
    <w:rsid w:val="00CB402B"/>
    <w:rsid w:val="00CC0E50"/>
    <w:rsid w:val="00CC13A4"/>
    <w:rsid w:val="00CC191A"/>
    <w:rsid w:val="00CC31DE"/>
    <w:rsid w:val="00CC36E9"/>
    <w:rsid w:val="00CC3D0F"/>
    <w:rsid w:val="00CC517B"/>
    <w:rsid w:val="00CC5554"/>
    <w:rsid w:val="00CD24E9"/>
    <w:rsid w:val="00CD36DC"/>
    <w:rsid w:val="00CD4F82"/>
    <w:rsid w:val="00CD5276"/>
    <w:rsid w:val="00CD7912"/>
    <w:rsid w:val="00CD7941"/>
    <w:rsid w:val="00CE2168"/>
    <w:rsid w:val="00CE297E"/>
    <w:rsid w:val="00CE4C48"/>
    <w:rsid w:val="00CF06D1"/>
    <w:rsid w:val="00CF0C09"/>
    <w:rsid w:val="00CF2244"/>
    <w:rsid w:val="00CF26FB"/>
    <w:rsid w:val="00CF3D85"/>
    <w:rsid w:val="00CF56C6"/>
    <w:rsid w:val="00CF5A9D"/>
    <w:rsid w:val="00CF63B3"/>
    <w:rsid w:val="00D0062B"/>
    <w:rsid w:val="00D036CE"/>
    <w:rsid w:val="00D03869"/>
    <w:rsid w:val="00D0546A"/>
    <w:rsid w:val="00D05A8A"/>
    <w:rsid w:val="00D06A8B"/>
    <w:rsid w:val="00D06C7F"/>
    <w:rsid w:val="00D1544D"/>
    <w:rsid w:val="00D15927"/>
    <w:rsid w:val="00D15EF2"/>
    <w:rsid w:val="00D17966"/>
    <w:rsid w:val="00D20080"/>
    <w:rsid w:val="00D20231"/>
    <w:rsid w:val="00D212E9"/>
    <w:rsid w:val="00D253D5"/>
    <w:rsid w:val="00D263CC"/>
    <w:rsid w:val="00D30933"/>
    <w:rsid w:val="00D30AAC"/>
    <w:rsid w:val="00D31103"/>
    <w:rsid w:val="00D313CA"/>
    <w:rsid w:val="00D34614"/>
    <w:rsid w:val="00D36985"/>
    <w:rsid w:val="00D40951"/>
    <w:rsid w:val="00D420F7"/>
    <w:rsid w:val="00D43212"/>
    <w:rsid w:val="00D461D2"/>
    <w:rsid w:val="00D472E3"/>
    <w:rsid w:val="00D475E9"/>
    <w:rsid w:val="00D4762C"/>
    <w:rsid w:val="00D47B6C"/>
    <w:rsid w:val="00D50BBD"/>
    <w:rsid w:val="00D52DEA"/>
    <w:rsid w:val="00D53AE3"/>
    <w:rsid w:val="00D54806"/>
    <w:rsid w:val="00D54CEF"/>
    <w:rsid w:val="00D55BA8"/>
    <w:rsid w:val="00D56489"/>
    <w:rsid w:val="00D574E5"/>
    <w:rsid w:val="00D57C51"/>
    <w:rsid w:val="00D60124"/>
    <w:rsid w:val="00D60336"/>
    <w:rsid w:val="00D62D79"/>
    <w:rsid w:val="00D659F5"/>
    <w:rsid w:val="00D66983"/>
    <w:rsid w:val="00D674B9"/>
    <w:rsid w:val="00D70A06"/>
    <w:rsid w:val="00D72D6C"/>
    <w:rsid w:val="00D753A2"/>
    <w:rsid w:val="00D76631"/>
    <w:rsid w:val="00D778A8"/>
    <w:rsid w:val="00D82A78"/>
    <w:rsid w:val="00D82D9D"/>
    <w:rsid w:val="00D83918"/>
    <w:rsid w:val="00D870E3"/>
    <w:rsid w:val="00D872E5"/>
    <w:rsid w:val="00D91F82"/>
    <w:rsid w:val="00D93887"/>
    <w:rsid w:val="00D958A7"/>
    <w:rsid w:val="00D96226"/>
    <w:rsid w:val="00DA225F"/>
    <w:rsid w:val="00DA4A94"/>
    <w:rsid w:val="00DB4B48"/>
    <w:rsid w:val="00DB57E3"/>
    <w:rsid w:val="00DB5EB5"/>
    <w:rsid w:val="00DB5FB7"/>
    <w:rsid w:val="00DC114C"/>
    <w:rsid w:val="00DC343F"/>
    <w:rsid w:val="00DC4B82"/>
    <w:rsid w:val="00DC4CA1"/>
    <w:rsid w:val="00DC529F"/>
    <w:rsid w:val="00DC6F63"/>
    <w:rsid w:val="00DD0B67"/>
    <w:rsid w:val="00DD1015"/>
    <w:rsid w:val="00DD3FB9"/>
    <w:rsid w:val="00DD5DBB"/>
    <w:rsid w:val="00DD6071"/>
    <w:rsid w:val="00DE306F"/>
    <w:rsid w:val="00DE3A95"/>
    <w:rsid w:val="00DE4A57"/>
    <w:rsid w:val="00DF523B"/>
    <w:rsid w:val="00DF6578"/>
    <w:rsid w:val="00DF66EE"/>
    <w:rsid w:val="00DF6969"/>
    <w:rsid w:val="00DF7564"/>
    <w:rsid w:val="00DF763A"/>
    <w:rsid w:val="00E01AE2"/>
    <w:rsid w:val="00E01D66"/>
    <w:rsid w:val="00E02AC5"/>
    <w:rsid w:val="00E04225"/>
    <w:rsid w:val="00E07E78"/>
    <w:rsid w:val="00E10AC0"/>
    <w:rsid w:val="00E10AC7"/>
    <w:rsid w:val="00E14265"/>
    <w:rsid w:val="00E16995"/>
    <w:rsid w:val="00E20DF9"/>
    <w:rsid w:val="00E22ECE"/>
    <w:rsid w:val="00E23673"/>
    <w:rsid w:val="00E238E0"/>
    <w:rsid w:val="00E25D68"/>
    <w:rsid w:val="00E26745"/>
    <w:rsid w:val="00E27229"/>
    <w:rsid w:val="00E30C1B"/>
    <w:rsid w:val="00E32EDE"/>
    <w:rsid w:val="00E32EFD"/>
    <w:rsid w:val="00E37911"/>
    <w:rsid w:val="00E40504"/>
    <w:rsid w:val="00E414E6"/>
    <w:rsid w:val="00E4231D"/>
    <w:rsid w:val="00E42691"/>
    <w:rsid w:val="00E44620"/>
    <w:rsid w:val="00E471DA"/>
    <w:rsid w:val="00E4759B"/>
    <w:rsid w:val="00E47F83"/>
    <w:rsid w:val="00E5366B"/>
    <w:rsid w:val="00E5636B"/>
    <w:rsid w:val="00E6404D"/>
    <w:rsid w:val="00E64497"/>
    <w:rsid w:val="00E64D72"/>
    <w:rsid w:val="00E666FE"/>
    <w:rsid w:val="00E66F6C"/>
    <w:rsid w:val="00E705DC"/>
    <w:rsid w:val="00E7158C"/>
    <w:rsid w:val="00E71CC5"/>
    <w:rsid w:val="00E72C31"/>
    <w:rsid w:val="00E72E27"/>
    <w:rsid w:val="00E7329C"/>
    <w:rsid w:val="00E76762"/>
    <w:rsid w:val="00E76D95"/>
    <w:rsid w:val="00E8006C"/>
    <w:rsid w:val="00E8240B"/>
    <w:rsid w:val="00E82CA7"/>
    <w:rsid w:val="00E8516A"/>
    <w:rsid w:val="00E90381"/>
    <w:rsid w:val="00E90EF4"/>
    <w:rsid w:val="00E93B88"/>
    <w:rsid w:val="00E9426A"/>
    <w:rsid w:val="00EA0636"/>
    <w:rsid w:val="00EA4819"/>
    <w:rsid w:val="00EA5491"/>
    <w:rsid w:val="00EA6A18"/>
    <w:rsid w:val="00EA72F8"/>
    <w:rsid w:val="00EA7827"/>
    <w:rsid w:val="00EB4D93"/>
    <w:rsid w:val="00EB5174"/>
    <w:rsid w:val="00EB6DCF"/>
    <w:rsid w:val="00EB7337"/>
    <w:rsid w:val="00EC05BE"/>
    <w:rsid w:val="00EC3ABC"/>
    <w:rsid w:val="00EC5A3C"/>
    <w:rsid w:val="00EC6F0E"/>
    <w:rsid w:val="00ED18EF"/>
    <w:rsid w:val="00ED2DF3"/>
    <w:rsid w:val="00ED5D7D"/>
    <w:rsid w:val="00ED61A6"/>
    <w:rsid w:val="00ED674E"/>
    <w:rsid w:val="00ED6D52"/>
    <w:rsid w:val="00EE00C2"/>
    <w:rsid w:val="00EE0DD4"/>
    <w:rsid w:val="00EE1F59"/>
    <w:rsid w:val="00EE2853"/>
    <w:rsid w:val="00EE2A85"/>
    <w:rsid w:val="00EE4BBE"/>
    <w:rsid w:val="00EE6BFB"/>
    <w:rsid w:val="00EF1EEF"/>
    <w:rsid w:val="00EF4F3E"/>
    <w:rsid w:val="00EF64D9"/>
    <w:rsid w:val="00F00B16"/>
    <w:rsid w:val="00F01119"/>
    <w:rsid w:val="00F019E1"/>
    <w:rsid w:val="00F0439D"/>
    <w:rsid w:val="00F04BC2"/>
    <w:rsid w:val="00F04C47"/>
    <w:rsid w:val="00F051C0"/>
    <w:rsid w:val="00F0588A"/>
    <w:rsid w:val="00F05E96"/>
    <w:rsid w:val="00F05F21"/>
    <w:rsid w:val="00F06368"/>
    <w:rsid w:val="00F068AF"/>
    <w:rsid w:val="00F06D61"/>
    <w:rsid w:val="00F07DE6"/>
    <w:rsid w:val="00F11785"/>
    <w:rsid w:val="00F118EA"/>
    <w:rsid w:val="00F12CA7"/>
    <w:rsid w:val="00F13172"/>
    <w:rsid w:val="00F15317"/>
    <w:rsid w:val="00F170E8"/>
    <w:rsid w:val="00F17694"/>
    <w:rsid w:val="00F176E5"/>
    <w:rsid w:val="00F17D93"/>
    <w:rsid w:val="00F26734"/>
    <w:rsid w:val="00F2726C"/>
    <w:rsid w:val="00F3040C"/>
    <w:rsid w:val="00F32C23"/>
    <w:rsid w:val="00F40961"/>
    <w:rsid w:val="00F416DF"/>
    <w:rsid w:val="00F41A13"/>
    <w:rsid w:val="00F4235B"/>
    <w:rsid w:val="00F42F0B"/>
    <w:rsid w:val="00F443FD"/>
    <w:rsid w:val="00F46A94"/>
    <w:rsid w:val="00F47A0E"/>
    <w:rsid w:val="00F47FAF"/>
    <w:rsid w:val="00F5182F"/>
    <w:rsid w:val="00F525ED"/>
    <w:rsid w:val="00F52943"/>
    <w:rsid w:val="00F537DE"/>
    <w:rsid w:val="00F55056"/>
    <w:rsid w:val="00F5771D"/>
    <w:rsid w:val="00F61CE1"/>
    <w:rsid w:val="00F643F0"/>
    <w:rsid w:val="00F66E82"/>
    <w:rsid w:val="00F67673"/>
    <w:rsid w:val="00F713D5"/>
    <w:rsid w:val="00F7283A"/>
    <w:rsid w:val="00F733D0"/>
    <w:rsid w:val="00F73A1F"/>
    <w:rsid w:val="00F73CA9"/>
    <w:rsid w:val="00F743F6"/>
    <w:rsid w:val="00F752E2"/>
    <w:rsid w:val="00F759AD"/>
    <w:rsid w:val="00F81190"/>
    <w:rsid w:val="00F820D3"/>
    <w:rsid w:val="00F86782"/>
    <w:rsid w:val="00F86C2E"/>
    <w:rsid w:val="00F86C7F"/>
    <w:rsid w:val="00F903B5"/>
    <w:rsid w:val="00F90637"/>
    <w:rsid w:val="00F912B6"/>
    <w:rsid w:val="00F91DE6"/>
    <w:rsid w:val="00F958B4"/>
    <w:rsid w:val="00FA264B"/>
    <w:rsid w:val="00FA28CA"/>
    <w:rsid w:val="00FA4967"/>
    <w:rsid w:val="00FA5928"/>
    <w:rsid w:val="00FA631A"/>
    <w:rsid w:val="00FB12CE"/>
    <w:rsid w:val="00FB130E"/>
    <w:rsid w:val="00FB3F0C"/>
    <w:rsid w:val="00FB4D45"/>
    <w:rsid w:val="00FB6CA4"/>
    <w:rsid w:val="00FB77C5"/>
    <w:rsid w:val="00FC19C2"/>
    <w:rsid w:val="00FC19F2"/>
    <w:rsid w:val="00FC2ACE"/>
    <w:rsid w:val="00FC30B4"/>
    <w:rsid w:val="00FC31AE"/>
    <w:rsid w:val="00FC4946"/>
    <w:rsid w:val="00FC5350"/>
    <w:rsid w:val="00FC62BE"/>
    <w:rsid w:val="00FD2948"/>
    <w:rsid w:val="00FD3613"/>
    <w:rsid w:val="00FD49E6"/>
    <w:rsid w:val="00FD5915"/>
    <w:rsid w:val="00FE2284"/>
    <w:rsid w:val="00FE2C14"/>
    <w:rsid w:val="00FE4B4E"/>
    <w:rsid w:val="00FE697D"/>
    <w:rsid w:val="00FF0D60"/>
    <w:rsid w:val="00FF28F6"/>
    <w:rsid w:val="00FF4EC9"/>
    <w:rsid w:val="00FF56A0"/>
    <w:rsid w:val="00FF6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AABC7"/>
  <w15:chartTrackingRefBased/>
  <w15:docId w15:val="{F363053A-B918-4FB2-8E9B-AB4AEB3F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4F16"/>
    <w:pPr>
      <w:spacing w:after="160" w:line="259" w:lineRule="auto"/>
    </w:pPr>
    <w:rPr>
      <w:sz w:val="22"/>
      <w:szCs w:val="22"/>
      <w:lang w:eastAsia="en-US"/>
    </w:rPr>
  </w:style>
  <w:style w:type="paragraph" w:styleId="Nagwek1">
    <w:name w:val="heading 1"/>
    <w:basedOn w:val="Normalny"/>
    <w:link w:val="Nagwek1Znak"/>
    <w:uiPriority w:val="9"/>
    <w:qFormat/>
    <w:rsid w:val="000C3C2A"/>
    <w:pPr>
      <w:spacing w:before="100" w:beforeAutospacing="1" w:after="100" w:afterAutospacing="1" w:line="240" w:lineRule="auto"/>
      <w:outlineLvl w:val="0"/>
    </w:pPr>
    <w:rPr>
      <w:rFonts w:ascii="Times New Roman" w:eastAsia="Times New Roman" w:hAnsi="Times New Roman"/>
      <w:b/>
      <w:bCs/>
      <w:kern w:val="36"/>
      <w:sz w:val="48"/>
      <w:szCs w:val="48"/>
      <w:lang w:eastAsia="en-IN"/>
    </w:rPr>
  </w:style>
  <w:style w:type="paragraph" w:styleId="Nagwek3">
    <w:name w:val="heading 3"/>
    <w:basedOn w:val="Normalny"/>
    <w:next w:val="Normalny"/>
    <w:link w:val="Nagwek3Znak"/>
    <w:uiPriority w:val="9"/>
    <w:unhideWhenUsed/>
    <w:qFormat/>
    <w:rsid w:val="007F183A"/>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47FAF"/>
    <w:pPr>
      <w:ind w:left="720"/>
      <w:contextualSpacing/>
    </w:pPr>
  </w:style>
  <w:style w:type="paragraph" w:styleId="Tekstprzypisudolnego">
    <w:name w:val="footnote text"/>
    <w:basedOn w:val="Normalny"/>
    <w:link w:val="TekstprzypisudolnegoZnak"/>
    <w:uiPriority w:val="99"/>
    <w:semiHidden/>
    <w:unhideWhenUsed/>
    <w:rsid w:val="00CA4C57"/>
    <w:rPr>
      <w:sz w:val="20"/>
      <w:szCs w:val="20"/>
    </w:rPr>
  </w:style>
  <w:style w:type="character" w:customStyle="1" w:styleId="TekstprzypisudolnegoZnak">
    <w:name w:val="Tekst przypisu dolnego Znak"/>
    <w:link w:val="Tekstprzypisudolnego"/>
    <w:uiPriority w:val="99"/>
    <w:semiHidden/>
    <w:rsid w:val="00CA4C57"/>
    <w:rPr>
      <w:lang w:eastAsia="en-US"/>
    </w:rPr>
  </w:style>
  <w:style w:type="character" w:styleId="Odwoanieprzypisudolnego">
    <w:name w:val="footnote reference"/>
    <w:uiPriority w:val="99"/>
    <w:semiHidden/>
    <w:unhideWhenUsed/>
    <w:rsid w:val="00CA4C57"/>
    <w:rPr>
      <w:vertAlign w:val="superscript"/>
    </w:rPr>
  </w:style>
  <w:style w:type="character" w:customStyle="1" w:styleId="Nagwek1Znak">
    <w:name w:val="Nagłówek 1 Znak"/>
    <w:link w:val="Nagwek1"/>
    <w:uiPriority w:val="9"/>
    <w:rsid w:val="000C3C2A"/>
    <w:rPr>
      <w:rFonts w:ascii="Times New Roman" w:eastAsia="Times New Roman" w:hAnsi="Times New Roman"/>
      <w:b/>
      <w:bCs/>
      <w:kern w:val="36"/>
      <w:sz w:val="48"/>
      <w:szCs w:val="48"/>
    </w:rPr>
  </w:style>
  <w:style w:type="character" w:styleId="Uwydatnienie">
    <w:name w:val="Emphasis"/>
    <w:uiPriority w:val="20"/>
    <w:qFormat/>
    <w:rsid w:val="000C3C2A"/>
    <w:rPr>
      <w:i/>
      <w:iCs/>
    </w:rPr>
  </w:style>
  <w:style w:type="character" w:styleId="Hipercze">
    <w:name w:val="Hyperlink"/>
    <w:uiPriority w:val="99"/>
    <w:unhideWhenUsed/>
    <w:rsid w:val="000C3C2A"/>
    <w:rPr>
      <w:color w:val="0563C1"/>
      <w:u w:val="single"/>
    </w:rPr>
  </w:style>
  <w:style w:type="character" w:styleId="Nierozpoznanawzmianka">
    <w:name w:val="Unresolved Mention"/>
    <w:uiPriority w:val="99"/>
    <w:semiHidden/>
    <w:unhideWhenUsed/>
    <w:rsid w:val="000C3C2A"/>
    <w:rPr>
      <w:color w:val="605E5C"/>
      <w:shd w:val="clear" w:color="auto" w:fill="E1DFDD"/>
    </w:rPr>
  </w:style>
  <w:style w:type="table" w:styleId="Tabela-Siatka">
    <w:name w:val="Table Grid"/>
    <w:basedOn w:val="Standardowy"/>
    <w:uiPriority w:val="59"/>
    <w:rsid w:val="000C3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C3C2A"/>
    <w:pPr>
      <w:tabs>
        <w:tab w:val="center" w:pos="4513"/>
        <w:tab w:val="right" w:pos="9026"/>
      </w:tabs>
    </w:pPr>
  </w:style>
  <w:style w:type="character" w:customStyle="1" w:styleId="NagwekZnak">
    <w:name w:val="Nagłówek Znak"/>
    <w:link w:val="Nagwek"/>
    <w:uiPriority w:val="99"/>
    <w:rsid w:val="000C3C2A"/>
    <w:rPr>
      <w:sz w:val="22"/>
      <w:szCs w:val="22"/>
      <w:lang w:eastAsia="en-US"/>
    </w:rPr>
  </w:style>
  <w:style w:type="paragraph" w:styleId="Stopka">
    <w:name w:val="footer"/>
    <w:basedOn w:val="Normalny"/>
    <w:link w:val="StopkaZnak"/>
    <w:uiPriority w:val="99"/>
    <w:unhideWhenUsed/>
    <w:rsid w:val="000C3C2A"/>
    <w:pPr>
      <w:tabs>
        <w:tab w:val="center" w:pos="4513"/>
        <w:tab w:val="right" w:pos="9026"/>
      </w:tabs>
    </w:pPr>
  </w:style>
  <w:style w:type="character" w:customStyle="1" w:styleId="StopkaZnak">
    <w:name w:val="Stopka Znak"/>
    <w:link w:val="Stopka"/>
    <w:uiPriority w:val="99"/>
    <w:rsid w:val="000C3C2A"/>
    <w:rPr>
      <w:sz w:val="22"/>
      <w:szCs w:val="22"/>
      <w:lang w:eastAsia="en-US"/>
    </w:rPr>
  </w:style>
  <w:style w:type="paragraph" w:customStyle="1" w:styleId="MDPI31text">
    <w:name w:val="MDPI_3.1_text"/>
    <w:rsid w:val="009548AA"/>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table" w:customStyle="1" w:styleId="PlainTable23">
    <w:name w:val="Plain Table 23"/>
    <w:basedOn w:val="Standardowy"/>
    <w:next w:val="Zwykatabela2"/>
    <w:uiPriority w:val="42"/>
    <w:rsid w:val="009548AA"/>
    <w:rPr>
      <w:rFonts w:eastAsia="SimSu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Zwykatabela2">
    <w:name w:val="Plain Table 2"/>
    <w:basedOn w:val="Standardowy"/>
    <w:uiPriority w:val="42"/>
    <w:rsid w:val="009548A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agwek3Znak">
    <w:name w:val="Nagłówek 3 Znak"/>
    <w:link w:val="Nagwek3"/>
    <w:uiPriority w:val="9"/>
    <w:rsid w:val="007F183A"/>
    <w:rPr>
      <w:rFonts w:ascii="Calibri Light" w:eastAsia="Times New Roman" w:hAnsi="Calibri Light" w:cs="Times New Roman"/>
      <w:b/>
      <w:bCs/>
      <w:sz w:val="26"/>
      <w:szCs w:val="26"/>
      <w:lang w:eastAsia="en-US"/>
    </w:rPr>
  </w:style>
  <w:style w:type="paragraph" w:styleId="NormalnyWeb">
    <w:name w:val="Normal (Web)"/>
    <w:basedOn w:val="Normalny"/>
    <w:uiPriority w:val="99"/>
    <w:unhideWhenUsed/>
    <w:rsid w:val="007F183A"/>
    <w:pPr>
      <w:spacing w:before="100" w:beforeAutospacing="1" w:after="100" w:afterAutospacing="1" w:line="240" w:lineRule="auto"/>
    </w:pPr>
    <w:rPr>
      <w:rFonts w:ascii="Times New Roman" w:eastAsia="Times New Roman" w:hAnsi="Times New Roman"/>
      <w:sz w:val="24"/>
      <w:szCs w:val="24"/>
      <w:lang w:eastAsia="en-IN"/>
    </w:rPr>
  </w:style>
  <w:style w:type="character" w:styleId="Pogrubienie">
    <w:name w:val="Strong"/>
    <w:uiPriority w:val="22"/>
    <w:qFormat/>
    <w:rsid w:val="004A0AF6"/>
    <w:rPr>
      <w:b/>
      <w:bCs/>
    </w:rPr>
  </w:style>
  <w:style w:type="character" w:customStyle="1" w:styleId="mord">
    <w:name w:val="mord"/>
    <w:basedOn w:val="Domylnaczcionkaakapitu"/>
    <w:rsid w:val="00A12463"/>
  </w:style>
  <w:style w:type="character" w:customStyle="1" w:styleId="mrel">
    <w:name w:val="mrel"/>
    <w:basedOn w:val="Domylnaczcionkaakapitu"/>
    <w:rsid w:val="00A12463"/>
  </w:style>
  <w:style w:type="character" w:customStyle="1" w:styleId="vlist-s">
    <w:name w:val="vlist-s"/>
    <w:basedOn w:val="Domylnaczcionkaakapitu"/>
    <w:rsid w:val="00A12463"/>
  </w:style>
  <w:style w:type="character" w:customStyle="1" w:styleId="mbin">
    <w:name w:val="mbin"/>
    <w:basedOn w:val="Domylnaczcionkaakapitu"/>
    <w:rsid w:val="00A12463"/>
  </w:style>
  <w:style w:type="character" w:customStyle="1" w:styleId="mop">
    <w:name w:val="mop"/>
    <w:basedOn w:val="Domylnaczcionkaakapitu"/>
    <w:rsid w:val="00A12463"/>
  </w:style>
  <w:style w:type="paragraph" w:styleId="Poprawka">
    <w:name w:val="Revision"/>
    <w:hidden/>
    <w:uiPriority w:val="99"/>
    <w:semiHidden/>
    <w:rsid w:val="009C74F0"/>
    <w:rPr>
      <w:sz w:val="22"/>
      <w:szCs w:val="22"/>
      <w:lang w:eastAsia="en-US"/>
    </w:rPr>
  </w:style>
  <w:style w:type="character" w:styleId="Numerwiersza">
    <w:name w:val="line number"/>
    <w:basedOn w:val="Domylnaczcionkaakapitu"/>
    <w:uiPriority w:val="99"/>
    <w:semiHidden/>
    <w:unhideWhenUsed/>
    <w:rsid w:val="00FC19F2"/>
  </w:style>
  <w:style w:type="paragraph" w:styleId="Tekstpodstawowy">
    <w:name w:val="Body Text"/>
    <w:basedOn w:val="Normalny"/>
    <w:link w:val="TekstpodstawowyZnak"/>
    <w:uiPriority w:val="1"/>
    <w:qFormat/>
    <w:rsid w:val="00E90EF4"/>
    <w:pPr>
      <w:widowControl w:val="0"/>
      <w:autoSpaceDE w:val="0"/>
      <w:autoSpaceDN w:val="0"/>
      <w:spacing w:after="0" w:line="240" w:lineRule="auto"/>
    </w:pPr>
    <w:rPr>
      <w:rFonts w:ascii="Times New Roman" w:eastAsia="Times New Roman" w:hAnsi="Times New Roman"/>
      <w:sz w:val="20"/>
      <w:szCs w:val="20"/>
      <w:lang w:val="en-US"/>
    </w:rPr>
  </w:style>
  <w:style w:type="character" w:customStyle="1" w:styleId="TekstpodstawowyZnak">
    <w:name w:val="Tekst podstawowy Znak"/>
    <w:link w:val="Tekstpodstawowy"/>
    <w:uiPriority w:val="1"/>
    <w:rsid w:val="00E90EF4"/>
    <w:rPr>
      <w:rFonts w:ascii="Times New Roman" w:eastAsia="Times New Roman" w:hAnsi="Times New Roman"/>
      <w:lang w:val="en-US" w:eastAsia="en-US"/>
    </w:rPr>
  </w:style>
  <w:style w:type="paragraph" w:customStyle="1" w:styleId="MainText">
    <w:name w:val="MainText"/>
    <w:aliases w:val="MT"/>
    <w:basedOn w:val="FirstPara"/>
    <w:rsid w:val="00E64D72"/>
    <w:pPr>
      <w:spacing w:before="0"/>
      <w:ind w:firstLine="300"/>
    </w:pPr>
  </w:style>
  <w:style w:type="paragraph" w:customStyle="1" w:styleId="FirstPara">
    <w:name w:val="FirstPara"/>
    <w:aliases w:val="FP"/>
    <w:basedOn w:val="Normalny"/>
    <w:next w:val="MainText"/>
    <w:rsid w:val="00E64D72"/>
    <w:pPr>
      <w:spacing w:before="120" w:after="0" w:line="240" w:lineRule="atLeast"/>
      <w:jc w:val="both"/>
    </w:pPr>
    <w:rPr>
      <w:rFonts w:ascii="Times New Roman" w:eastAsia="Times New Roman" w:hAnsi="Times New Roman"/>
      <w:sz w:val="20"/>
      <w:szCs w:val="20"/>
      <w:lang w:val="en-GB"/>
    </w:rPr>
  </w:style>
  <w:style w:type="character" w:styleId="Odwoaniedokomentarza">
    <w:name w:val="annotation reference"/>
    <w:uiPriority w:val="99"/>
    <w:semiHidden/>
    <w:unhideWhenUsed/>
    <w:rsid w:val="00E64D72"/>
    <w:rPr>
      <w:sz w:val="16"/>
      <w:szCs w:val="16"/>
    </w:rPr>
  </w:style>
  <w:style w:type="paragraph" w:styleId="Tekstkomentarza">
    <w:name w:val="annotation text"/>
    <w:basedOn w:val="Normalny"/>
    <w:link w:val="TekstkomentarzaZnak"/>
    <w:uiPriority w:val="99"/>
    <w:unhideWhenUsed/>
    <w:rsid w:val="00E64D72"/>
    <w:rPr>
      <w:sz w:val="20"/>
      <w:szCs w:val="20"/>
    </w:rPr>
  </w:style>
  <w:style w:type="character" w:customStyle="1" w:styleId="TekstkomentarzaZnak">
    <w:name w:val="Tekst komentarza Znak"/>
    <w:link w:val="Tekstkomentarza"/>
    <w:uiPriority w:val="99"/>
    <w:rsid w:val="00E64D72"/>
    <w:rPr>
      <w:lang w:eastAsia="en-US"/>
    </w:rPr>
  </w:style>
  <w:style w:type="paragraph" w:styleId="Tematkomentarza">
    <w:name w:val="annotation subject"/>
    <w:basedOn w:val="Tekstkomentarza"/>
    <w:next w:val="Tekstkomentarza"/>
    <w:link w:val="TematkomentarzaZnak"/>
    <w:uiPriority w:val="99"/>
    <w:semiHidden/>
    <w:unhideWhenUsed/>
    <w:rsid w:val="00E64D72"/>
    <w:rPr>
      <w:b/>
      <w:bCs/>
    </w:rPr>
  </w:style>
  <w:style w:type="character" w:customStyle="1" w:styleId="TematkomentarzaZnak">
    <w:name w:val="Temat komentarza Znak"/>
    <w:link w:val="Tematkomentarza"/>
    <w:uiPriority w:val="99"/>
    <w:semiHidden/>
    <w:rsid w:val="00E64D72"/>
    <w:rPr>
      <w:b/>
      <w:bCs/>
      <w:lang w:eastAsia="en-US"/>
    </w:rPr>
  </w:style>
  <w:style w:type="paragraph" w:styleId="Tekstdymka">
    <w:name w:val="Balloon Text"/>
    <w:basedOn w:val="Normalny"/>
    <w:link w:val="TekstdymkaZnak"/>
    <w:uiPriority w:val="99"/>
    <w:semiHidden/>
    <w:unhideWhenUsed/>
    <w:rsid w:val="00843C9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43C9E"/>
    <w:rPr>
      <w:rFonts w:ascii="Tahoma" w:hAnsi="Tahoma" w:cs="Tahoma"/>
      <w:sz w:val="16"/>
      <w:szCs w:val="16"/>
      <w:lang w:val="en-IN"/>
    </w:rPr>
  </w:style>
  <w:style w:type="paragraph" w:customStyle="1" w:styleId="TableParagraph">
    <w:name w:val="Table Paragraph"/>
    <w:basedOn w:val="Normalny"/>
    <w:uiPriority w:val="1"/>
    <w:qFormat/>
    <w:rsid w:val="00442D50"/>
    <w:pPr>
      <w:widowControl w:val="0"/>
      <w:autoSpaceDE w:val="0"/>
      <w:autoSpaceDN w:val="0"/>
      <w:spacing w:after="0" w:line="210" w:lineRule="exact"/>
      <w:ind w:left="550" w:right="129"/>
      <w:jc w:val="center"/>
    </w:pPr>
    <w:rPr>
      <w:rFonts w:ascii="Times New Roman" w:eastAsia="Times New Roman" w:hAnsi="Times New Roman"/>
      <w:lang w:val="en-US"/>
    </w:rPr>
  </w:style>
  <w:style w:type="paragraph" w:customStyle="1" w:styleId="MDPI13authornames">
    <w:name w:val="MDPI_1.3_authornames"/>
    <w:next w:val="Normalny"/>
    <w:rsid w:val="00950B49"/>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6affiliation">
    <w:name w:val="MDPI_1.6_affiliation"/>
    <w:rsid w:val="00950B49"/>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39equation">
    <w:name w:val="MDPI_3.9_equation"/>
    <w:rsid w:val="00806E1F"/>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FirstParagraph">
    <w:name w:val="First Paragraph"/>
    <w:basedOn w:val="Tekstpodstawowy"/>
    <w:next w:val="Tekstpodstawowy"/>
    <w:rsid w:val="00806E1F"/>
    <w:pPr>
      <w:widowControl/>
      <w:autoSpaceDE/>
      <w:autoSpaceDN/>
      <w:spacing w:before="180" w:after="180"/>
    </w:pPr>
    <w:rPr>
      <w:rFonts w:eastAsiaTheme="minorHAnsi" w:cstheme="minorBidi"/>
      <w:sz w:val="24"/>
      <w:szCs w:val="24"/>
    </w:rPr>
  </w:style>
  <w:style w:type="paragraph" w:customStyle="1" w:styleId="MDPI81theorem">
    <w:name w:val="MDPI_8.1_theorem"/>
    <w:rsid w:val="00F443FD"/>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rsid w:val="00F443FD"/>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Compact">
    <w:name w:val="Compact"/>
    <w:basedOn w:val="Tekstpodstawowy"/>
    <w:rsid w:val="00F443FD"/>
    <w:pPr>
      <w:widowControl/>
      <w:autoSpaceDE/>
      <w:autoSpaceDN/>
      <w:spacing w:before="36" w:after="36"/>
    </w:pPr>
    <w:rPr>
      <w:rFonts w:eastAsiaTheme="minorHAnsi" w:cstheme="minorBidi"/>
      <w:sz w:val="24"/>
      <w:szCs w:val="24"/>
    </w:rPr>
  </w:style>
  <w:style w:type="table" w:customStyle="1" w:styleId="Table">
    <w:name w:val="Table"/>
    <w:semiHidden/>
    <w:unhideWhenUsed/>
    <w:qFormat/>
    <w:rsid w:val="00F443FD"/>
    <w:pPr>
      <w:spacing w:after="200"/>
    </w:pPr>
    <w:rPr>
      <w:rFonts w:asciiTheme="minorHAnsi" w:eastAsiaTheme="minorHAnsi" w:hAnsiTheme="minorHAnsi" w:cstheme="minorBidi"/>
      <w:sz w:val="24"/>
      <w:szCs w:val="24"/>
      <w:lang w:val="pl-PL"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MDPI62BackMatter">
    <w:name w:val="MDPI_6.2_BackMatter"/>
    <w:rsid w:val="0019319C"/>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Rab1">
    <w:name w:val="R_ab1"/>
    <w:next w:val="Normalny"/>
    <w:autoRedefine/>
    <w:qFormat/>
    <w:rsid w:val="00FA4967"/>
    <w:pPr>
      <w:suppressAutoHyphens/>
      <w:spacing w:before="120"/>
      <w:ind w:left="567" w:right="567"/>
      <w:jc w:val="both"/>
    </w:pPr>
    <w:rPr>
      <w:rFonts w:ascii="Times New Roman" w:eastAsia="SimSun" w:hAnsi="Times New Roman"/>
      <w:kern w:val="2"/>
      <w:sz w:val="18"/>
      <w:lang w:val="en-GB" w:eastAsia="pl-PL"/>
      <w14:ligatures w14:val="standardContextual"/>
    </w:rPr>
  </w:style>
  <w:style w:type="paragraph" w:customStyle="1" w:styleId="Rab2">
    <w:name w:val="R_ab2"/>
    <w:basedOn w:val="Rab1"/>
    <w:next w:val="Normalny"/>
    <w:autoRedefine/>
    <w:qFormat/>
    <w:rsid w:val="00091FF0"/>
    <w:pPr>
      <w:spacing w:before="60"/>
      <w:jc w:val="left"/>
    </w:pPr>
  </w:style>
  <w:style w:type="paragraph" w:customStyle="1" w:styleId="Rafiliacja">
    <w:name w:val="R_afiliacja"/>
    <w:basedOn w:val="Normalny"/>
    <w:link w:val="RafiliacjaZnak"/>
    <w:qFormat/>
    <w:rsid w:val="00FA4967"/>
    <w:pPr>
      <w:suppressAutoHyphens/>
      <w:spacing w:after="0" w:line="240" w:lineRule="auto"/>
      <w:jc w:val="center"/>
    </w:pPr>
    <w:rPr>
      <w:rFonts w:ascii="Times New Roman" w:eastAsiaTheme="minorHAnsi" w:hAnsi="Times New Roman"/>
      <w:i/>
      <w:kern w:val="2"/>
      <w:sz w:val="20"/>
      <w:szCs w:val="28"/>
      <w:lang w:val="pl-PL"/>
      <w14:ligatures w14:val="standardContextual"/>
    </w:rPr>
  </w:style>
  <w:style w:type="character" w:customStyle="1" w:styleId="RafiliacjaZnak">
    <w:name w:val="R_afiliacja Znak"/>
    <w:basedOn w:val="Domylnaczcionkaakapitu"/>
    <w:link w:val="Rafiliacja"/>
    <w:rsid w:val="00FA4967"/>
    <w:rPr>
      <w:rFonts w:ascii="Times New Roman" w:eastAsiaTheme="minorHAnsi" w:hAnsi="Times New Roman"/>
      <w:i/>
      <w:kern w:val="2"/>
      <w:szCs w:val="28"/>
      <w:lang w:val="pl-PL" w:eastAsia="en-US"/>
      <w14:ligatures w14:val="standardContextual"/>
    </w:rPr>
  </w:style>
  <w:style w:type="paragraph" w:customStyle="1" w:styleId="Rauco">
    <w:name w:val="R_au_co"/>
    <w:basedOn w:val="Rafiliacja"/>
    <w:autoRedefine/>
    <w:qFormat/>
    <w:rsid w:val="00FA4967"/>
    <w:pPr>
      <w:spacing w:before="120"/>
    </w:pPr>
    <w:rPr>
      <w:lang w:val="en-GB"/>
    </w:rPr>
  </w:style>
  <w:style w:type="paragraph" w:customStyle="1" w:styleId="Rn1">
    <w:name w:val="R_n1"/>
    <w:basedOn w:val="Normalny"/>
    <w:link w:val="Rn1Znak"/>
    <w:qFormat/>
    <w:rsid w:val="00FA4967"/>
    <w:pPr>
      <w:suppressAutoHyphens/>
      <w:spacing w:before="240" w:after="120" w:line="240" w:lineRule="auto"/>
      <w:jc w:val="both"/>
    </w:pPr>
    <w:rPr>
      <w:rFonts w:ascii="Times New Roman" w:eastAsiaTheme="minorHAnsi" w:hAnsi="Times New Roman" w:cstheme="minorBidi"/>
      <w:b/>
      <w:kern w:val="2"/>
      <w:sz w:val="24"/>
      <w:lang w:val="pl-PL"/>
      <w14:ligatures w14:val="standardContextual"/>
    </w:rPr>
  </w:style>
  <w:style w:type="character" w:customStyle="1" w:styleId="Rn1Znak">
    <w:name w:val="R_n1 Znak"/>
    <w:basedOn w:val="Domylnaczcionkaakapitu"/>
    <w:link w:val="Rn1"/>
    <w:rsid w:val="00FA4967"/>
    <w:rPr>
      <w:rFonts w:ascii="Times New Roman" w:eastAsiaTheme="minorHAnsi" w:hAnsi="Times New Roman" w:cstheme="minorBidi"/>
      <w:b/>
      <w:kern w:val="2"/>
      <w:sz w:val="24"/>
      <w:szCs w:val="22"/>
      <w:lang w:val="pl-PL" w:eastAsia="en-US"/>
      <w14:ligatures w14:val="standardContextual"/>
    </w:rPr>
  </w:style>
  <w:style w:type="paragraph" w:customStyle="1" w:styleId="Rn2">
    <w:name w:val="R_n2"/>
    <w:basedOn w:val="Rn1"/>
    <w:link w:val="Rn2Znak"/>
    <w:qFormat/>
    <w:rsid w:val="00FA4967"/>
    <w:pPr>
      <w:spacing w:before="120"/>
      <w:jc w:val="left"/>
    </w:pPr>
    <w:rPr>
      <w:sz w:val="22"/>
    </w:rPr>
  </w:style>
  <w:style w:type="character" w:customStyle="1" w:styleId="Rn2Znak">
    <w:name w:val="R_n2 Znak"/>
    <w:link w:val="Rn2"/>
    <w:rsid w:val="00FA4967"/>
    <w:rPr>
      <w:rFonts w:ascii="Times New Roman" w:eastAsiaTheme="minorHAnsi" w:hAnsi="Times New Roman" w:cstheme="minorBidi"/>
      <w:b/>
      <w:kern w:val="2"/>
      <w:sz w:val="22"/>
      <w:szCs w:val="22"/>
      <w:lang w:val="pl-PL" w:eastAsia="en-US"/>
      <w14:ligatures w14:val="standardContextual"/>
    </w:rPr>
  </w:style>
  <w:style w:type="paragraph" w:customStyle="1" w:styleId="Rtytu">
    <w:name w:val="R_tytuł"/>
    <w:basedOn w:val="Rn2"/>
    <w:link w:val="RtytuZnak"/>
    <w:autoRedefine/>
    <w:qFormat/>
    <w:rsid w:val="00FA4967"/>
    <w:pPr>
      <w:spacing w:before="240" w:after="0"/>
      <w:jc w:val="center"/>
    </w:pPr>
    <w:rPr>
      <w:sz w:val="24"/>
      <w:szCs w:val="28"/>
    </w:rPr>
  </w:style>
  <w:style w:type="character" w:customStyle="1" w:styleId="RtytuZnak">
    <w:name w:val="R_tytuł Znak"/>
    <w:basedOn w:val="Rn2Znak"/>
    <w:link w:val="Rtytu"/>
    <w:rsid w:val="00FA4967"/>
    <w:rPr>
      <w:rFonts w:ascii="Times New Roman" w:eastAsiaTheme="minorHAnsi" w:hAnsi="Times New Roman" w:cstheme="minorBidi"/>
      <w:b/>
      <w:kern w:val="2"/>
      <w:sz w:val="24"/>
      <w:szCs w:val="28"/>
      <w:lang w:val="pl-PL" w:eastAsia="en-US"/>
      <w14:ligatures w14:val="standardContextual"/>
    </w:rPr>
  </w:style>
  <w:style w:type="paragraph" w:customStyle="1" w:styleId="Rautor">
    <w:name w:val="R_autor"/>
    <w:basedOn w:val="Rtytu"/>
    <w:link w:val="RautorZnak"/>
    <w:autoRedefine/>
    <w:qFormat/>
    <w:rsid w:val="00FA4967"/>
    <w:pPr>
      <w:spacing w:before="120"/>
    </w:pPr>
    <w:rPr>
      <w:rFonts w:eastAsia="Calibri" w:cs="Times New Roman"/>
      <w:b w:val="0"/>
      <w:i/>
    </w:rPr>
  </w:style>
  <w:style w:type="character" w:customStyle="1" w:styleId="RautorZnak">
    <w:name w:val="R_autor Znak"/>
    <w:link w:val="Rautor"/>
    <w:rsid w:val="00FA4967"/>
    <w:rPr>
      <w:rFonts w:ascii="Times New Roman" w:hAnsi="Times New Roman"/>
      <w:i/>
      <w:kern w:val="2"/>
      <w:sz w:val="24"/>
      <w:szCs w:val="28"/>
      <w:lang w:val="pl-PL" w:eastAsia="en-US"/>
      <w14:ligatures w14:val="standardContextual"/>
    </w:rPr>
  </w:style>
  <w:style w:type="paragraph" w:customStyle="1" w:styleId="Rlit">
    <w:name w:val="R_lit"/>
    <w:basedOn w:val="Normalny"/>
    <w:link w:val="RlitZnak"/>
    <w:qFormat/>
    <w:rsid w:val="00FA4967"/>
    <w:pPr>
      <w:spacing w:after="0" w:line="240" w:lineRule="auto"/>
      <w:ind w:left="425" w:hanging="425"/>
      <w:jc w:val="both"/>
    </w:pPr>
    <w:rPr>
      <w:rFonts w:ascii="Times New Roman" w:eastAsia="Times New Roman" w:hAnsi="Times New Roman"/>
      <w:kern w:val="2"/>
      <w:sz w:val="20"/>
      <w:szCs w:val="20"/>
      <w:lang w:val="en-US" w:eastAsia="pl-PL"/>
      <w14:ligatures w14:val="standardContextual"/>
    </w:rPr>
  </w:style>
  <w:style w:type="character" w:customStyle="1" w:styleId="RlitZnak">
    <w:name w:val="R_lit Znak"/>
    <w:basedOn w:val="Domylnaczcionkaakapitu"/>
    <w:link w:val="Rlit"/>
    <w:rsid w:val="00FA4967"/>
    <w:rPr>
      <w:rFonts w:ascii="Times New Roman" w:eastAsia="Times New Roman" w:hAnsi="Times New Roman"/>
      <w:kern w:val="2"/>
      <w:lang w:val="en-US" w:eastAsia="pl-PL"/>
      <w14:ligatures w14:val="standardContextual"/>
    </w:rPr>
  </w:style>
  <w:style w:type="paragraph" w:customStyle="1" w:styleId="Rtab">
    <w:name w:val="R_tab"/>
    <w:basedOn w:val="Normalny"/>
    <w:link w:val="RtabZnak"/>
    <w:qFormat/>
    <w:rsid w:val="00FA4967"/>
    <w:pPr>
      <w:suppressAutoHyphens/>
      <w:spacing w:after="120" w:line="240" w:lineRule="auto"/>
    </w:pPr>
    <w:rPr>
      <w:rFonts w:ascii="Times New Roman" w:eastAsiaTheme="minorHAnsi" w:hAnsi="Times New Roman" w:cstheme="minorBidi"/>
      <w:kern w:val="2"/>
      <w:sz w:val="20"/>
      <w:lang w:val="pl-PL"/>
      <w14:ligatures w14:val="standardContextual"/>
    </w:rPr>
  </w:style>
  <w:style w:type="character" w:customStyle="1" w:styleId="RtabZnak">
    <w:name w:val="R_tab Znak"/>
    <w:basedOn w:val="Domylnaczcionkaakapitu"/>
    <w:link w:val="Rtab"/>
    <w:rsid w:val="00FA4967"/>
    <w:rPr>
      <w:rFonts w:ascii="Times New Roman" w:eastAsiaTheme="minorHAnsi" w:hAnsi="Times New Roman" w:cstheme="minorBidi"/>
      <w:kern w:val="2"/>
      <w:szCs w:val="22"/>
      <w:lang w:val="pl-PL" w:eastAsia="en-US"/>
      <w14:ligatures w14:val="standardContextual"/>
    </w:rPr>
  </w:style>
  <w:style w:type="paragraph" w:customStyle="1" w:styleId="Rn3">
    <w:name w:val="R_n3"/>
    <w:basedOn w:val="Rtab"/>
    <w:link w:val="Rn3Znak"/>
    <w:autoRedefine/>
    <w:qFormat/>
    <w:rsid w:val="00FA4967"/>
    <w:pPr>
      <w:spacing w:before="120"/>
      <w:jc w:val="both"/>
    </w:pPr>
    <w:rPr>
      <w:i/>
    </w:rPr>
  </w:style>
  <w:style w:type="character" w:customStyle="1" w:styleId="Rn3Znak">
    <w:name w:val="R_n3 Znak"/>
    <w:basedOn w:val="RtabZnak"/>
    <w:link w:val="Rn3"/>
    <w:rsid w:val="00FA4967"/>
    <w:rPr>
      <w:rFonts w:ascii="Times New Roman" w:eastAsiaTheme="minorHAnsi" w:hAnsi="Times New Roman" w:cstheme="minorBidi"/>
      <w:i/>
      <w:kern w:val="2"/>
      <w:szCs w:val="22"/>
      <w:lang w:val="pl-PL" w:eastAsia="en-US"/>
      <w14:ligatures w14:val="standardContextual"/>
    </w:rPr>
  </w:style>
  <w:style w:type="paragraph" w:customStyle="1" w:styleId="Rrys">
    <w:name w:val="R_rys"/>
    <w:basedOn w:val="Rafiliacja"/>
    <w:link w:val="RrysZnak"/>
    <w:qFormat/>
    <w:rsid w:val="00FA4967"/>
    <w:pPr>
      <w:spacing w:before="120"/>
      <w:jc w:val="left"/>
    </w:pPr>
    <w:rPr>
      <w:i w:val="0"/>
    </w:rPr>
  </w:style>
  <w:style w:type="character" w:customStyle="1" w:styleId="RrysZnak">
    <w:name w:val="R_rys Znak"/>
    <w:basedOn w:val="RafiliacjaZnak"/>
    <w:link w:val="Rrys"/>
    <w:rsid w:val="00FA4967"/>
    <w:rPr>
      <w:rFonts w:ascii="Times New Roman" w:eastAsiaTheme="minorHAnsi" w:hAnsi="Times New Roman"/>
      <w:i w:val="0"/>
      <w:kern w:val="2"/>
      <w:szCs w:val="28"/>
      <w:lang w:val="pl-PL"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7324">
      <w:bodyDiv w:val="1"/>
      <w:marLeft w:val="0"/>
      <w:marRight w:val="0"/>
      <w:marTop w:val="0"/>
      <w:marBottom w:val="0"/>
      <w:divBdr>
        <w:top w:val="none" w:sz="0" w:space="0" w:color="auto"/>
        <w:left w:val="none" w:sz="0" w:space="0" w:color="auto"/>
        <w:bottom w:val="none" w:sz="0" w:space="0" w:color="auto"/>
        <w:right w:val="none" w:sz="0" w:space="0" w:color="auto"/>
      </w:divBdr>
    </w:div>
    <w:div w:id="82532582">
      <w:bodyDiv w:val="1"/>
      <w:marLeft w:val="0"/>
      <w:marRight w:val="0"/>
      <w:marTop w:val="0"/>
      <w:marBottom w:val="0"/>
      <w:divBdr>
        <w:top w:val="none" w:sz="0" w:space="0" w:color="auto"/>
        <w:left w:val="none" w:sz="0" w:space="0" w:color="auto"/>
        <w:bottom w:val="none" w:sz="0" w:space="0" w:color="auto"/>
        <w:right w:val="none" w:sz="0" w:space="0" w:color="auto"/>
      </w:divBdr>
    </w:div>
    <w:div w:id="140931047">
      <w:bodyDiv w:val="1"/>
      <w:marLeft w:val="0"/>
      <w:marRight w:val="0"/>
      <w:marTop w:val="0"/>
      <w:marBottom w:val="0"/>
      <w:divBdr>
        <w:top w:val="none" w:sz="0" w:space="0" w:color="auto"/>
        <w:left w:val="none" w:sz="0" w:space="0" w:color="auto"/>
        <w:bottom w:val="none" w:sz="0" w:space="0" w:color="auto"/>
        <w:right w:val="none" w:sz="0" w:space="0" w:color="auto"/>
      </w:divBdr>
      <w:divsChild>
        <w:div w:id="299384303">
          <w:marLeft w:val="0"/>
          <w:marRight w:val="0"/>
          <w:marTop w:val="0"/>
          <w:marBottom w:val="0"/>
          <w:divBdr>
            <w:top w:val="none" w:sz="0" w:space="0" w:color="auto"/>
            <w:left w:val="none" w:sz="0" w:space="0" w:color="auto"/>
            <w:bottom w:val="none" w:sz="0" w:space="0" w:color="auto"/>
            <w:right w:val="none" w:sz="0" w:space="0" w:color="auto"/>
          </w:divBdr>
        </w:div>
      </w:divsChild>
    </w:div>
    <w:div w:id="216669216">
      <w:bodyDiv w:val="1"/>
      <w:marLeft w:val="0"/>
      <w:marRight w:val="0"/>
      <w:marTop w:val="0"/>
      <w:marBottom w:val="0"/>
      <w:divBdr>
        <w:top w:val="none" w:sz="0" w:space="0" w:color="auto"/>
        <w:left w:val="none" w:sz="0" w:space="0" w:color="auto"/>
        <w:bottom w:val="none" w:sz="0" w:space="0" w:color="auto"/>
        <w:right w:val="none" w:sz="0" w:space="0" w:color="auto"/>
      </w:divBdr>
    </w:div>
    <w:div w:id="242034181">
      <w:bodyDiv w:val="1"/>
      <w:marLeft w:val="0"/>
      <w:marRight w:val="0"/>
      <w:marTop w:val="0"/>
      <w:marBottom w:val="0"/>
      <w:divBdr>
        <w:top w:val="none" w:sz="0" w:space="0" w:color="auto"/>
        <w:left w:val="none" w:sz="0" w:space="0" w:color="auto"/>
        <w:bottom w:val="none" w:sz="0" w:space="0" w:color="auto"/>
        <w:right w:val="none" w:sz="0" w:space="0" w:color="auto"/>
      </w:divBdr>
    </w:div>
    <w:div w:id="290063368">
      <w:bodyDiv w:val="1"/>
      <w:marLeft w:val="0"/>
      <w:marRight w:val="0"/>
      <w:marTop w:val="0"/>
      <w:marBottom w:val="0"/>
      <w:divBdr>
        <w:top w:val="none" w:sz="0" w:space="0" w:color="auto"/>
        <w:left w:val="none" w:sz="0" w:space="0" w:color="auto"/>
        <w:bottom w:val="none" w:sz="0" w:space="0" w:color="auto"/>
        <w:right w:val="none" w:sz="0" w:space="0" w:color="auto"/>
      </w:divBdr>
    </w:div>
    <w:div w:id="294484229">
      <w:bodyDiv w:val="1"/>
      <w:marLeft w:val="0"/>
      <w:marRight w:val="0"/>
      <w:marTop w:val="0"/>
      <w:marBottom w:val="0"/>
      <w:divBdr>
        <w:top w:val="none" w:sz="0" w:space="0" w:color="auto"/>
        <w:left w:val="none" w:sz="0" w:space="0" w:color="auto"/>
        <w:bottom w:val="none" w:sz="0" w:space="0" w:color="auto"/>
        <w:right w:val="none" w:sz="0" w:space="0" w:color="auto"/>
      </w:divBdr>
    </w:div>
    <w:div w:id="300964498">
      <w:bodyDiv w:val="1"/>
      <w:marLeft w:val="0"/>
      <w:marRight w:val="0"/>
      <w:marTop w:val="0"/>
      <w:marBottom w:val="0"/>
      <w:divBdr>
        <w:top w:val="none" w:sz="0" w:space="0" w:color="auto"/>
        <w:left w:val="none" w:sz="0" w:space="0" w:color="auto"/>
        <w:bottom w:val="none" w:sz="0" w:space="0" w:color="auto"/>
        <w:right w:val="none" w:sz="0" w:space="0" w:color="auto"/>
      </w:divBdr>
      <w:divsChild>
        <w:div w:id="1823505574">
          <w:marLeft w:val="0"/>
          <w:marRight w:val="0"/>
          <w:marTop w:val="0"/>
          <w:marBottom w:val="0"/>
          <w:divBdr>
            <w:top w:val="none" w:sz="0" w:space="0" w:color="auto"/>
            <w:left w:val="none" w:sz="0" w:space="0" w:color="auto"/>
            <w:bottom w:val="none" w:sz="0" w:space="0" w:color="auto"/>
            <w:right w:val="none" w:sz="0" w:space="0" w:color="auto"/>
          </w:divBdr>
          <w:divsChild>
            <w:div w:id="1549338130">
              <w:marLeft w:val="0"/>
              <w:marRight w:val="0"/>
              <w:marTop w:val="0"/>
              <w:marBottom w:val="0"/>
              <w:divBdr>
                <w:top w:val="none" w:sz="0" w:space="0" w:color="auto"/>
                <w:left w:val="none" w:sz="0" w:space="0" w:color="auto"/>
                <w:bottom w:val="none" w:sz="0" w:space="0" w:color="auto"/>
                <w:right w:val="none" w:sz="0" w:space="0" w:color="auto"/>
              </w:divBdr>
              <w:divsChild>
                <w:div w:id="1179807023">
                  <w:marLeft w:val="0"/>
                  <w:marRight w:val="0"/>
                  <w:marTop w:val="0"/>
                  <w:marBottom w:val="0"/>
                  <w:divBdr>
                    <w:top w:val="none" w:sz="0" w:space="0" w:color="auto"/>
                    <w:left w:val="none" w:sz="0" w:space="0" w:color="auto"/>
                    <w:bottom w:val="none" w:sz="0" w:space="0" w:color="auto"/>
                    <w:right w:val="none" w:sz="0" w:space="0" w:color="auto"/>
                  </w:divBdr>
                  <w:divsChild>
                    <w:div w:id="163520379">
                      <w:marLeft w:val="0"/>
                      <w:marRight w:val="0"/>
                      <w:marTop w:val="0"/>
                      <w:marBottom w:val="0"/>
                      <w:divBdr>
                        <w:top w:val="none" w:sz="0" w:space="0" w:color="auto"/>
                        <w:left w:val="none" w:sz="0" w:space="0" w:color="auto"/>
                        <w:bottom w:val="none" w:sz="0" w:space="0" w:color="auto"/>
                        <w:right w:val="none" w:sz="0" w:space="0" w:color="auto"/>
                      </w:divBdr>
                      <w:divsChild>
                        <w:div w:id="1913931221">
                          <w:marLeft w:val="0"/>
                          <w:marRight w:val="0"/>
                          <w:marTop w:val="0"/>
                          <w:marBottom w:val="0"/>
                          <w:divBdr>
                            <w:top w:val="none" w:sz="0" w:space="0" w:color="auto"/>
                            <w:left w:val="none" w:sz="0" w:space="0" w:color="auto"/>
                            <w:bottom w:val="none" w:sz="0" w:space="0" w:color="auto"/>
                            <w:right w:val="none" w:sz="0" w:space="0" w:color="auto"/>
                          </w:divBdr>
                          <w:divsChild>
                            <w:div w:id="7219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848160">
      <w:bodyDiv w:val="1"/>
      <w:marLeft w:val="0"/>
      <w:marRight w:val="0"/>
      <w:marTop w:val="0"/>
      <w:marBottom w:val="0"/>
      <w:divBdr>
        <w:top w:val="none" w:sz="0" w:space="0" w:color="auto"/>
        <w:left w:val="none" w:sz="0" w:space="0" w:color="auto"/>
        <w:bottom w:val="none" w:sz="0" w:space="0" w:color="auto"/>
        <w:right w:val="none" w:sz="0" w:space="0" w:color="auto"/>
      </w:divBdr>
      <w:divsChild>
        <w:div w:id="686097966">
          <w:marLeft w:val="0"/>
          <w:marRight w:val="0"/>
          <w:marTop w:val="0"/>
          <w:marBottom w:val="0"/>
          <w:divBdr>
            <w:top w:val="none" w:sz="0" w:space="0" w:color="auto"/>
            <w:left w:val="none" w:sz="0" w:space="0" w:color="auto"/>
            <w:bottom w:val="none" w:sz="0" w:space="0" w:color="auto"/>
            <w:right w:val="none" w:sz="0" w:space="0" w:color="auto"/>
          </w:divBdr>
        </w:div>
      </w:divsChild>
    </w:div>
    <w:div w:id="406655145">
      <w:bodyDiv w:val="1"/>
      <w:marLeft w:val="0"/>
      <w:marRight w:val="0"/>
      <w:marTop w:val="0"/>
      <w:marBottom w:val="0"/>
      <w:divBdr>
        <w:top w:val="none" w:sz="0" w:space="0" w:color="auto"/>
        <w:left w:val="none" w:sz="0" w:space="0" w:color="auto"/>
        <w:bottom w:val="none" w:sz="0" w:space="0" w:color="auto"/>
        <w:right w:val="none" w:sz="0" w:space="0" w:color="auto"/>
      </w:divBdr>
    </w:div>
    <w:div w:id="426776659">
      <w:bodyDiv w:val="1"/>
      <w:marLeft w:val="0"/>
      <w:marRight w:val="0"/>
      <w:marTop w:val="0"/>
      <w:marBottom w:val="0"/>
      <w:divBdr>
        <w:top w:val="none" w:sz="0" w:space="0" w:color="auto"/>
        <w:left w:val="none" w:sz="0" w:space="0" w:color="auto"/>
        <w:bottom w:val="none" w:sz="0" w:space="0" w:color="auto"/>
        <w:right w:val="none" w:sz="0" w:space="0" w:color="auto"/>
      </w:divBdr>
    </w:div>
    <w:div w:id="466944220">
      <w:bodyDiv w:val="1"/>
      <w:marLeft w:val="0"/>
      <w:marRight w:val="0"/>
      <w:marTop w:val="0"/>
      <w:marBottom w:val="0"/>
      <w:divBdr>
        <w:top w:val="none" w:sz="0" w:space="0" w:color="auto"/>
        <w:left w:val="none" w:sz="0" w:space="0" w:color="auto"/>
        <w:bottom w:val="none" w:sz="0" w:space="0" w:color="auto"/>
        <w:right w:val="none" w:sz="0" w:space="0" w:color="auto"/>
      </w:divBdr>
    </w:div>
    <w:div w:id="483280835">
      <w:bodyDiv w:val="1"/>
      <w:marLeft w:val="0"/>
      <w:marRight w:val="0"/>
      <w:marTop w:val="0"/>
      <w:marBottom w:val="0"/>
      <w:divBdr>
        <w:top w:val="none" w:sz="0" w:space="0" w:color="auto"/>
        <w:left w:val="none" w:sz="0" w:space="0" w:color="auto"/>
        <w:bottom w:val="none" w:sz="0" w:space="0" w:color="auto"/>
        <w:right w:val="none" w:sz="0" w:space="0" w:color="auto"/>
      </w:divBdr>
    </w:div>
    <w:div w:id="519859033">
      <w:bodyDiv w:val="1"/>
      <w:marLeft w:val="0"/>
      <w:marRight w:val="0"/>
      <w:marTop w:val="0"/>
      <w:marBottom w:val="0"/>
      <w:divBdr>
        <w:top w:val="none" w:sz="0" w:space="0" w:color="auto"/>
        <w:left w:val="none" w:sz="0" w:space="0" w:color="auto"/>
        <w:bottom w:val="none" w:sz="0" w:space="0" w:color="auto"/>
        <w:right w:val="none" w:sz="0" w:space="0" w:color="auto"/>
      </w:divBdr>
    </w:div>
    <w:div w:id="560285339">
      <w:bodyDiv w:val="1"/>
      <w:marLeft w:val="0"/>
      <w:marRight w:val="0"/>
      <w:marTop w:val="0"/>
      <w:marBottom w:val="0"/>
      <w:divBdr>
        <w:top w:val="none" w:sz="0" w:space="0" w:color="auto"/>
        <w:left w:val="none" w:sz="0" w:space="0" w:color="auto"/>
        <w:bottom w:val="none" w:sz="0" w:space="0" w:color="auto"/>
        <w:right w:val="none" w:sz="0" w:space="0" w:color="auto"/>
      </w:divBdr>
    </w:div>
    <w:div w:id="573053397">
      <w:bodyDiv w:val="1"/>
      <w:marLeft w:val="0"/>
      <w:marRight w:val="0"/>
      <w:marTop w:val="0"/>
      <w:marBottom w:val="0"/>
      <w:divBdr>
        <w:top w:val="none" w:sz="0" w:space="0" w:color="auto"/>
        <w:left w:val="none" w:sz="0" w:space="0" w:color="auto"/>
        <w:bottom w:val="none" w:sz="0" w:space="0" w:color="auto"/>
        <w:right w:val="none" w:sz="0" w:space="0" w:color="auto"/>
      </w:divBdr>
    </w:div>
    <w:div w:id="595820217">
      <w:bodyDiv w:val="1"/>
      <w:marLeft w:val="0"/>
      <w:marRight w:val="0"/>
      <w:marTop w:val="0"/>
      <w:marBottom w:val="0"/>
      <w:divBdr>
        <w:top w:val="none" w:sz="0" w:space="0" w:color="auto"/>
        <w:left w:val="none" w:sz="0" w:space="0" w:color="auto"/>
        <w:bottom w:val="none" w:sz="0" w:space="0" w:color="auto"/>
        <w:right w:val="none" w:sz="0" w:space="0" w:color="auto"/>
      </w:divBdr>
    </w:div>
    <w:div w:id="645209041">
      <w:bodyDiv w:val="1"/>
      <w:marLeft w:val="0"/>
      <w:marRight w:val="0"/>
      <w:marTop w:val="0"/>
      <w:marBottom w:val="0"/>
      <w:divBdr>
        <w:top w:val="none" w:sz="0" w:space="0" w:color="auto"/>
        <w:left w:val="none" w:sz="0" w:space="0" w:color="auto"/>
        <w:bottom w:val="none" w:sz="0" w:space="0" w:color="auto"/>
        <w:right w:val="none" w:sz="0" w:space="0" w:color="auto"/>
      </w:divBdr>
    </w:div>
    <w:div w:id="672882202">
      <w:bodyDiv w:val="1"/>
      <w:marLeft w:val="0"/>
      <w:marRight w:val="0"/>
      <w:marTop w:val="0"/>
      <w:marBottom w:val="0"/>
      <w:divBdr>
        <w:top w:val="none" w:sz="0" w:space="0" w:color="auto"/>
        <w:left w:val="none" w:sz="0" w:space="0" w:color="auto"/>
        <w:bottom w:val="none" w:sz="0" w:space="0" w:color="auto"/>
        <w:right w:val="none" w:sz="0" w:space="0" w:color="auto"/>
      </w:divBdr>
    </w:div>
    <w:div w:id="685639789">
      <w:bodyDiv w:val="1"/>
      <w:marLeft w:val="0"/>
      <w:marRight w:val="0"/>
      <w:marTop w:val="0"/>
      <w:marBottom w:val="0"/>
      <w:divBdr>
        <w:top w:val="none" w:sz="0" w:space="0" w:color="auto"/>
        <w:left w:val="none" w:sz="0" w:space="0" w:color="auto"/>
        <w:bottom w:val="none" w:sz="0" w:space="0" w:color="auto"/>
        <w:right w:val="none" w:sz="0" w:space="0" w:color="auto"/>
      </w:divBdr>
    </w:div>
    <w:div w:id="687367991">
      <w:bodyDiv w:val="1"/>
      <w:marLeft w:val="0"/>
      <w:marRight w:val="0"/>
      <w:marTop w:val="0"/>
      <w:marBottom w:val="0"/>
      <w:divBdr>
        <w:top w:val="none" w:sz="0" w:space="0" w:color="auto"/>
        <w:left w:val="none" w:sz="0" w:space="0" w:color="auto"/>
        <w:bottom w:val="none" w:sz="0" w:space="0" w:color="auto"/>
        <w:right w:val="none" w:sz="0" w:space="0" w:color="auto"/>
      </w:divBdr>
      <w:divsChild>
        <w:div w:id="705302056">
          <w:marLeft w:val="0"/>
          <w:marRight w:val="0"/>
          <w:marTop w:val="0"/>
          <w:marBottom w:val="0"/>
          <w:divBdr>
            <w:top w:val="none" w:sz="0" w:space="0" w:color="auto"/>
            <w:left w:val="none" w:sz="0" w:space="0" w:color="auto"/>
            <w:bottom w:val="none" w:sz="0" w:space="0" w:color="auto"/>
            <w:right w:val="none" w:sz="0" w:space="0" w:color="auto"/>
          </w:divBdr>
        </w:div>
      </w:divsChild>
    </w:div>
    <w:div w:id="790587047">
      <w:bodyDiv w:val="1"/>
      <w:marLeft w:val="0"/>
      <w:marRight w:val="0"/>
      <w:marTop w:val="0"/>
      <w:marBottom w:val="0"/>
      <w:divBdr>
        <w:top w:val="none" w:sz="0" w:space="0" w:color="auto"/>
        <w:left w:val="none" w:sz="0" w:space="0" w:color="auto"/>
        <w:bottom w:val="none" w:sz="0" w:space="0" w:color="auto"/>
        <w:right w:val="none" w:sz="0" w:space="0" w:color="auto"/>
      </w:divBdr>
    </w:div>
    <w:div w:id="791941468">
      <w:bodyDiv w:val="1"/>
      <w:marLeft w:val="0"/>
      <w:marRight w:val="0"/>
      <w:marTop w:val="0"/>
      <w:marBottom w:val="0"/>
      <w:divBdr>
        <w:top w:val="none" w:sz="0" w:space="0" w:color="auto"/>
        <w:left w:val="none" w:sz="0" w:space="0" w:color="auto"/>
        <w:bottom w:val="none" w:sz="0" w:space="0" w:color="auto"/>
        <w:right w:val="none" w:sz="0" w:space="0" w:color="auto"/>
      </w:divBdr>
    </w:div>
    <w:div w:id="832180425">
      <w:bodyDiv w:val="1"/>
      <w:marLeft w:val="0"/>
      <w:marRight w:val="0"/>
      <w:marTop w:val="0"/>
      <w:marBottom w:val="0"/>
      <w:divBdr>
        <w:top w:val="none" w:sz="0" w:space="0" w:color="auto"/>
        <w:left w:val="none" w:sz="0" w:space="0" w:color="auto"/>
        <w:bottom w:val="none" w:sz="0" w:space="0" w:color="auto"/>
        <w:right w:val="none" w:sz="0" w:space="0" w:color="auto"/>
      </w:divBdr>
    </w:div>
    <w:div w:id="884946005">
      <w:bodyDiv w:val="1"/>
      <w:marLeft w:val="0"/>
      <w:marRight w:val="0"/>
      <w:marTop w:val="0"/>
      <w:marBottom w:val="0"/>
      <w:divBdr>
        <w:top w:val="none" w:sz="0" w:space="0" w:color="auto"/>
        <w:left w:val="none" w:sz="0" w:space="0" w:color="auto"/>
        <w:bottom w:val="none" w:sz="0" w:space="0" w:color="auto"/>
        <w:right w:val="none" w:sz="0" w:space="0" w:color="auto"/>
      </w:divBdr>
      <w:divsChild>
        <w:div w:id="1242448258">
          <w:marLeft w:val="0"/>
          <w:marRight w:val="0"/>
          <w:marTop w:val="0"/>
          <w:marBottom w:val="0"/>
          <w:divBdr>
            <w:top w:val="none" w:sz="0" w:space="0" w:color="auto"/>
            <w:left w:val="none" w:sz="0" w:space="0" w:color="auto"/>
            <w:bottom w:val="none" w:sz="0" w:space="0" w:color="auto"/>
            <w:right w:val="none" w:sz="0" w:space="0" w:color="auto"/>
          </w:divBdr>
        </w:div>
      </w:divsChild>
    </w:div>
    <w:div w:id="903563725">
      <w:bodyDiv w:val="1"/>
      <w:marLeft w:val="0"/>
      <w:marRight w:val="0"/>
      <w:marTop w:val="0"/>
      <w:marBottom w:val="0"/>
      <w:divBdr>
        <w:top w:val="none" w:sz="0" w:space="0" w:color="auto"/>
        <w:left w:val="none" w:sz="0" w:space="0" w:color="auto"/>
        <w:bottom w:val="none" w:sz="0" w:space="0" w:color="auto"/>
        <w:right w:val="none" w:sz="0" w:space="0" w:color="auto"/>
      </w:divBdr>
    </w:div>
    <w:div w:id="924068633">
      <w:bodyDiv w:val="1"/>
      <w:marLeft w:val="0"/>
      <w:marRight w:val="0"/>
      <w:marTop w:val="0"/>
      <w:marBottom w:val="0"/>
      <w:divBdr>
        <w:top w:val="none" w:sz="0" w:space="0" w:color="auto"/>
        <w:left w:val="none" w:sz="0" w:space="0" w:color="auto"/>
        <w:bottom w:val="none" w:sz="0" w:space="0" w:color="auto"/>
        <w:right w:val="none" w:sz="0" w:space="0" w:color="auto"/>
      </w:divBdr>
    </w:div>
    <w:div w:id="926034003">
      <w:bodyDiv w:val="1"/>
      <w:marLeft w:val="0"/>
      <w:marRight w:val="0"/>
      <w:marTop w:val="0"/>
      <w:marBottom w:val="0"/>
      <w:divBdr>
        <w:top w:val="none" w:sz="0" w:space="0" w:color="auto"/>
        <w:left w:val="none" w:sz="0" w:space="0" w:color="auto"/>
        <w:bottom w:val="none" w:sz="0" w:space="0" w:color="auto"/>
        <w:right w:val="none" w:sz="0" w:space="0" w:color="auto"/>
      </w:divBdr>
      <w:divsChild>
        <w:div w:id="554581888">
          <w:marLeft w:val="0"/>
          <w:marRight w:val="0"/>
          <w:marTop w:val="0"/>
          <w:marBottom w:val="0"/>
          <w:divBdr>
            <w:top w:val="none" w:sz="0" w:space="0" w:color="auto"/>
            <w:left w:val="none" w:sz="0" w:space="0" w:color="auto"/>
            <w:bottom w:val="none" w:sz="0" w:space="0" w:color="auto"/>
            <w:right w:val="none" w:sz="0" w:space="0" w:color="auto"/>
          </w:divBdr>
          <w:divsChild>
            <w:div w:id="59330413">
              <w:marLeft w:val="0"/>
              <w:marRight w:val="0"/>
              <w:marTop w:val="0"/>
              <w:marBottom w:val="0"/>
              <w:divBdr>
                <w:top w:val="none" w:sz="0" w:space="0" w:color="auto"/>
                <w:left w:val="none" w:sz="0" w:space="0" w:color="auto"/>
                <w:bottom w:val="none" w:sz="0" w:space="0" w:color="auto"/>
                <w:right w:val="none" w:sz="0" w:space="0" w:color="auto"/>
              </w:divBdr>
              <w:divsChild>
                <w:div w:id="1915893877">
                  <w:marLeft w:val="0"/>
                  <w:marRight w:val="0"/>
                  <w:marTop w:val="0"/>
                  <w:marBottom w:val="0"/>
                  <w:divBdr>
                    <w:top w:val="none" w:sz="0" w:space="0" w:color="auto"/>
                    <w:left w:val="none" w:sz="0" w:space="0" w:color="auto"/>
                    <w:bottom w:val="none" w:sz="0" w:space="0" w:color="auto"/>
                    <w:right w:val="none" w:sz="0" w:space="0" w:color="auto"/>
                  </w:divBdr>
                  <w:divsChild>
                    <w:div w:id="1644390153">
                      <w:marLeft w:val="0"/>
                      <w:marRight w:val="0"/>
                      <w:marTop w:val="0"/>
                      <w:marBottom w:val="0"/>
                      <w:divBdr>
                        <w:top w:val="none" w:sz="0" w:space="0" w:color="auto"/>
                        <w:left w:val="none" w:sz="0" w:space="0" w:color="auto"/>
                        <w:bottom w:val="none" w:sz="0" w:space="0" w:color="auto"/>
                        <w:right w:val="none" w:sz="0" w:space="0" w:color="auto"/>
                      </w:divBdr>
                      <w:divsChild>
                        <w:div w:id="711268256">
                          <w:marLeft w:val="0"/>
                          <w:marRight w:val="0"/>
                          <w:marTop w:val="0"/>
                          <w:marBottom w:val="0"/>
                          <w:divBdr>
                            <w:top w:val="none" w:sz="0" w:space="0" w:color="auto"/>
                            <w:left w:val="none" w:sz="0" w:space="0" w:color="auto"/>
                            <w:bottom w:val="none" w:sz="0" w:space="0" w:color="auto"/>
                            <w:right w:val="none" w:sz="0" w:space="0" w:color="auto"/>
                          </w:divBdr>
                          <w:divsChild>
                            <w:div w:id="4375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341772">
      <w:bodyDiv w:val="1"/>
      <w:marLeft w:val="0"/>
      <w:marRight w:val="0"/>
      <w:marTop w:val="0"/>
      <w:marBottom w:val="0"/>
      <w:divBdr>
        <w:top w:val="none" w:sz="0" w:space="0" w:color="auto"/>
        <w:left w:val="none" w:sz="0" w:space="0" w:color="auto"/>
        <w:bottom w:val="none" w:sz="0" w:space="0" w:color="auto"/>
        <w:right w:val="none" w:sz="0" w:space="0" w:color="auto"/>
      </w:divBdr>
    </w:div>
    <w:div w:id="1042246959">
      <w:bodyDiv w:val="1"/>
      <w:marLeft w:val="0"/>
      <w:marRight w:val="0"/>
      <w:marTop w:val="0"/>
      <w:marBottom w:val="0"/>
      <w:divBdr>
        <w:top w:val="none" w:sz="0" w:space="0" w:color="auto"/>
        <w:left w:val="none" w:sz="0" w:space="0" w:color="auto"/>
        <w:bottom w:val="none" w:sz="0" w:space="0" w:color="auto"/>
        <w:right w:val="none" w:sz="0" w:space="0" w:color="auto"/>
      </w:divBdr>
    </w:div>
    <w:div w:id="1086078105">
      <w:bodyDiv w:val="1"/>
      <w:marLeft w:val="0"/>
      <w:marRight w:val="0"/>
      <w:marTop w:val="0"/>
      <w:marBottom w:val="0"/>
      <w:divBdr>
        <w:top w:val="none" w:sz="0" w:space="0" w:color="auto"/>
        <w:left w:val="none" w:sz="0" w:space="0" w:color="auto"/>
        <w:bottom w:val="none" w:sz="0" w:space="0" w:color="auto"/>
        <w:right w:val="none" w:sz="0" w:space="0" w:color="auto"/>
      </w:divBdr>
    </w:div>
    <w:div w:id="1101341141">
      <w:bodyDiv w:val="1"/>
      <w:marLeft w:val="0"/>
      <w:marRight w:val="0"/>
      <w:marTop w:val="0"/>
      <w:marBottom w:val="0"/>
      <w:divBdr>
        <w:top w:val="none" w:sz="0" w:space="0" w:color="auto"/>
        <w:left w:val="none" w:sz="0" w:space="0" w:color="auto"/>
        <w:bottom w:val="none" w:sz="0" w:space="0" w:color="auto"/>
        <w:right w:val="none" w:sz="0" w:space="0" w:color="auto"/>
      </w:divBdr>
    </w:div>
    <w:div w:id="1208182020">
      <w:bodyDiv w:val="1"/>
      <w:marLeft w:val="0"/>
      <w:marRight w:val="0"/>
      <w:marTop w:val="0"/>
      <w:marBottom w:val="0"/>
      <w:divBdr>
        <w:top w:val="none" w:sz="0" w:space="0" w:color="auto"/>
        <w:left w:val="none" w:sz="0" w:space="0" w:color="auto"/>
        <w:bottom w:val="none" w:sz="0" w:space="0" w:color="auto"/>
        <w:right w:val="none" w:sz="0" w:space="0" w:color="auto"/>
      </w:divBdr>
      <w:divsChild>
        <w:div w:id="492574617">
          <w:marLeft w:val="0"/>
          <w:marRight w:val="0"/>
          <w:marTop w:val="0"/>
          <w:marBottom w:val="0"/>
          <w:divBdr>
            <w:top w:val="none" w:sz="0" w:space="0" w:color="auto"/>
            <w:left w:val="none" w:sz="0" w:space="0" w:color="auto"/>
            <w:bottom w:val="none" w:sz="0" w:space="0" w:color="auto"/>
            <w:right w:val="none" w:sz="0" w:space="0" w:color="auto"/>
          </w:divBdr>
          <w:divsChild>
            <w:div w:id="259070415">
              <w:marLeft w:val="0"/>
              <w:marRight w:val="0"/>
              <w:marTop w:val="0"/>
              <w:marBottom w:val="0"/>
              <w:divBdr>
                <w:top w:val="none" w:sz="0" w:space="0" w:color="auto"/>
                <w:left w:val="none" w:sz="0" w:space="0" w:color="auto"/>
                <w:bottom w:val="none" w:sz="0" w:space="0" w:color="auto"/>
                <w:right w:val="none" w:sz="0" w:space="0" w:color="auto"/>
              </w:divBdr>
              <w:divsChild>
                <w:div w:id="1209338434">
                  <w:marLeft w:val="0"/>
                  <w:marRight w:val="0"/>
                  <w:marTop w:val="0"/>
                  <w:marBottom w:val="0"/>
                  <w:divBdr>
                    <w:top w:val="none" w:sz="0" w:space="0" w:color="auto"/>
                    <w:left w:val="none" w:sz="0" w:space="0" w:color="auto"/>
                    <w:bottom w:val="none" w:sz="0" w:space="0" w:color="auto"/>
                    <w:right w:val="none" w:sz="0" w:space="0" w:color="auto"/>
                  </w:divBdr>
                  <w:divsChild>
                    <w:div w:id="332683799">
                      <w:marLeft w:val="0"/>
                      <w:marRight w:val="0"/>
                      <w:marTop w:val="0"/>
                      <w:marBottom w:val="0"/>
                      <w:divBdr>
                        <w:top w:val="none" w:sz="0" w:space="0" w:color="auto"/>
                        <w:left w:val="none" w:sz="0" w:space="0" w:color="auto"/>
                        <w:bottom w:val="none" w:sz="0" w:space="0" w:color="auto"/>
                        <w:right w:val="none" w:sz="0" w:space="0" w:color="auto"/>
                      </w:divBdr>
                      <w:divsChild>
                        <w:div w:id="678509976">
                          <w:marLeft w:val="0"/>
                          <w:marRight w:val="0"/>
                          <w:marTop w:val="0"/>
                          <w:marBottom w:val="0"/>
                          <w:divBdr>
                            <w:top w:val="none" w:sz="0" w:space="0" w:color="auto"/>
                            <w:left w:val="none" w:sz="0" w:space="0" w:color="auto"/>
                            <w:bottom w:val="none" w:sz="0" w:space="0" w:color="auto"/>
                            <w:right w:val="none" w:sz="0" w:space="0" w:color="auto"/>
                          </w:divBdr>
                          <w:divsChild>
                            <w:div w:id="12864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90285">
      <w:bodyDiv w:val="1"/>
      <w:marLeft w:val="0"/>
      <w:marRight w:val="0"/>
      <w:marTop w:val="0"/>
      <w:marBottom w:val="0"/>
      <w:divBdr>
        <w:top w:val="none" w:sz="0" w:space="0" w:color="auto"/>
        <w:left w:val="none" w:sz="0" w:space="0" w:color="auto"/>
        <w:bottom w:val="none" w:sz="0" w:space="0" w:color="auto"/>
        <w:right w:val="none" w:sz="0" w:space="0" w:color="auto"/>
      </w:divBdr>
    </w:div>
    <w:div w:id="1301425553">
      <w:bodyDiv w:val="1"/>
      <w:marLeft w:val="0"/>
      <w:marRight w:val="0"/>
      <w:marTop w:val="0"/>
      <w:marBottom w:val="0"/>
      <w:divBdr>
        <w:top w:val="none" w:sz="0" w:space="0" w:color="auto"/>
        <w:left w:val="none" w:sz="0" w:space="0" w:color="auto"/>
        <w:bottom w:val="none" w:sz="0" w:space="0" w:color="auto"/>
        <w:right w:val="none" w:sz="0" w:space="0" w:color="auto"/>
      </w:divBdr>
      <w:divsChild>
        <w:div w:id="1125388675">
          <w:marLeft w:val="0"/>
          <w:marRight w:val="0"/>
          <w:marTop w:val="0"/>
          <w:marBottom w:val="0"/>
          <w:divBdr>
            <w:top w:val="none" w:sz="0" w:space="0" w:color="auto"/>
            <w:left w:val="none" w:sz="0" w:space="0" w:color="auto"/>
            <w:bottom w:val="none" w:sz="0" w:space="0" w:color="auto"/>
            <w:right w:val="none" w:sz="0" w:space="0" w:color="auto"/>
          </w:divBdr>
        </w:div>
      </w:divsChild>
    </w:div>
    <w:div w:id="1331062014">
      <w:bodyDiv w:val="1"/>
      <w:marLeft w:val="0"/>
      <w:marRight w:val="0"/>
      <w:marTop w:val="0"/>
      <w:marBottom w:val="0"/>
      <w:divBdr>
        <w:top w:val="none" w:sz="0" w:space="0" w:color="auto"/>
        <w:left w:val="none" w:sz="0" w:space="0" w:color="auto"/>
        <w:bottom w:val="none" w:sz="0" w:space="0" w:color="auto"/>
        <w:right w:val="none" w:sz="0" w:space="0" w:color="auto"/>
      </w:divBdr>
    </w:div>
    <w:div w:id="1337227503">
      <w:bodyDiv w:val="1"/>
      <w:marLeft w:val="0"/>
      <w:marRight w:val="0"/>
      <w:marTop w:val="0"/>
      <w:marBottom w:val="0"/>
      <w:divBdr>
        <w:top w:val="none" w:sz="0" w:space="0" w:color="auto"/>
        <w:left w:val="none" w:sz="0" w:space="0" w:color="auto"/>
        <w:bottom w:val="none" w:sz="0" w:space="0" w:color="auto"/>
        <w:right w:val="none" w:sz="0" w:space="0" w:color="auto"/>
      </w:divBdr>
    </w:div>
    <w:div w:id="1447388312">
      <w:bodyDiv w:val="1"/>
      <w:marLeft w:val="0"/>
      <w:marRight w:val="0"/>
      <w:marTop w:val="0"/>
      <w:marBottom w:val="0"/>
      <w:divBdr>
        <w:top w:val="none" w:sz="0" w:space="0" w:color="auto"/>
        <w:left w:val="none" w:sz="0" w:space="0" w:color="auto"/>
        <w:bottom w:val="none" w:sz="0" w:space="0" w:color="auto"/>
        <w:right w:val="none" w:sz="0" w:space="0" w:color="auto"/>
      </w:divBdr>
    </w:div>
    <w:div w:id="1488325393">
      <w:bodyDiv w:val="1"/>
      <w:marLeft w:val="0"/>
      <w:marRight w:val="0"/>
      <w:marTop w:val="0"/>
      <w:marBottom w:val="0"/>
      <w:divBdr>
        <w:top w:val="none" w:sz="0" w:space="0" w:color="auto"/>
        <w:left w:val="none" w:sz="0" w:space="0" w:color="auto"/>
        <w:bottom w:val="none" w:sz="0" w:space="0" w:color="auto"/>
        <w:right w:val="none" w:sz="0" w:space="0" w:color="auto"/>
      </w:divBdr>
    </w:div>
    <w:div w:id="1490053191">
      <w:bodyDiv w:val="1"/>
      <w:marLeft w:val="0"/>
      <w:marRight w:val="0"/>
      <w:marTop w:val="0"/>
      <w:marBottom w:val="0"/>
      <w:divBdr>
        <w:top w:val="none" w:sz="0" w:space="0" w:color="auto"/>
        <w:left w:val="none" w:sz="0" w:space="0" w:color="auto"/>
        <w:bottom w:val="none" w:sz="0" w:space="0" w:color="auto"/>
        <w:right w:val="none" w:sz="0" w:space="0" w:color="auto"/>
      </w:divBdr>
    </w:div>
    <w:div w:id="1564827652">
      <w:bodyDiv w:val="1"/>
      <w:marLeft w:val="0"/>
      <w:marRight w:val="0"/>
      <w:marTop w:val="0"/>
      <w:marBottom w:val="0"/>
      <w:divBdr>
        <w:top w:val="none" w:sz="0" w:space="0" w:color="auto"/>
        <w:left w:val="none" w:sz="0" w:space="0" w:color="auto"/>
        <w:bottom w:val="none" w:sz="0" w:space="0" w:color="auto"/>
        <w:right w:val="none" w:sz="0" w:space="0" w:color="auto"/>
      </w:divBdr>
      <w:divsChild>
        <w:div w:id="888304734">
          <w:marLeft w:val="0"/>
          <w:marRight w:val="0"/>
          <w:marTop w:val="0"/>
          <w:marBottom w:val="0"/>
          <w:divBdr>
            <w:top w:val="none" w:sz="0" w:space="0" w:color="auto"/>
            <w:left w:val="none" w:sz="0" w:space="0" w:color="auto"/>
            <w:bottom w:val="none" w:sz="0" w:space="0" w:color="auto"/>
            <w:right w:val="none" w:sz="0" w:space="0" w:color="auto"/>
          </w:divBdr>
          <w:divsChild>
            <w:div w:id="1585603929">
              <w:marLeft w:val="0"/>
              <w:marRight w:val="0"/>
              <w:marTop w:val="0"/>
              <w:marBottom w:val="0"/>
              <w:divBdr>
                <w:top w:val="none" w:sz="0" w:space="0" w:color="auto"/>
                <w:left w:val="none" w:sz="0" w:space="0" w:color="auto"/>
                <w:bottom w:val="none" w:sz="0" w:space="0" w:color="auto"/>
                <w:right w:val="none" w:sz="0" w:space="0" w:color="auto"/>
              </w:divBdr>
              <w:divsChild>
                <w:div w:id="2000307044">
                  <w:marLeft w:val="0"/>
                  <w:marRight w:val="0"/>
                  <w:marTop w:val="0"/>
                  <w:marBottom w:val="0"/>
                  <w:divBdr>
                    <w:top w:val="none" w:sz="0" w:space="0" w:color="auto"/>
                    <w:left w:val="none" w:sz="0" w:space="0" w:color="auto"/>
                    <w:bottom w:val="none" w:sz="0" w:space="0" w:color="auto"/>
                    <w:right w:val="none" w:sz="0" w:space="0" w:color="auto"/>
                  </w:divBdr>
                  <w:divsChild>
                    <w:div w:id="353455850">
                      <w:marLeft w:val="0"/>
                      <w:marRight w:val="0"/>
                      <w:marTop w:val="0"/>
                      <w:marBottom w:val="0"/>
                      <w:divBdr>
                        <w:top w:val="none" w:sz="0" w:space="0" w:color="auto"/>
                        <w:left w:val="none" w:sz="0" w:space="0" w:color="auto"/>
                        <w:bottom w:val="none" w:sz="0" w:space="0" w:color="auto"/>
                        <w:right w:val="none" w:sz="0" w:space="0" w:color="auto"/>
                      </w:divBdr>
                      <w:divsChild>
                        <w:div w:id="1058474549">
                          <w:marLeft w:val="0"/>
                          <w:marRight w:val="0"/>
                          <w:marTop w:val="0"/>
                          <w:marBottom w:val="0"/>
                          <w:divBdr>
                            <w:top w:val="none" w:sz="0" w:space="0" w:color="auto"/>
                            <w:left w:val="none" w:sz="0" w:space="0" w:color="auto"/>
                            <w:bottom w:val="none" w:sz="0" w:space="0" w:color="auto"/>
                            <w:right w:val="none" w:sz="0" w:space="0" w:color="auto"/>
                          </w:divBdr>
                          <w:divsChild>
                            <w:div w:id="6018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09792">
      <w:bodyDiv w:val="1"/>
      <w:marLeft w:val="0"/>
      <w:marRight w:val="0"/>
      <w:marTop w:val="0"/>
      <w:marBottom w:val="0"/>
      <w:divBdr>
        <w:top w:val="none" w:sz="0" w:space="0" w:color="auto"/>
        <w:left w:val="none" w:sz="0" w:space="0" w:color="auto"/>
        <w:bottom w:val="none" w:sz="0" w:space="0" w:color="auto"/>
        <w:right w:val="none" w:sz="0" w:space="0" w:color="auto"/>
      </w:divBdr>
    </w:div>
    <w:div w:id="1654799070">
      <w:bodyDiv w:val="1"/>
      <w:marLeft w:val="0"/>
      <w:marRight w:val="0"/>
      <w:marTop w:val="0"/>
      <w:marBottom w:val="0"/>
      <w:divBdr>
        <w:top w:val="none" w:sz="0" w:space="0" w:color="auto"/>
        <w:left w:val="none" w:sz="0" w:space="0" w:color="auto"/>
        <w:bottom w:val="none" w:sz="0" w:space="0" w:color="auto"/>
        <w:right w:val="none" w:sz="0" w:space="0" w:color="auto"/>
      </w:divBdr>
    </w:div>
    <w:div w:id="1716274070">
      <w:bodyDiv w:val="1"/>
      <w:marLeft w:val="0"/>
      <w:marRight w:val="0"/>
      <w:marTop w:val="0"/>
      <w:marBottom w:val="0"/>
      <w:divBdr>
        <w:top w:val="none" w:sz="0" w:space="0" w:color="auto"/>
        <w:left w:val="none" w:sz="0" w:space="0" w:color="auto"/>
        <w:bottom w:val="none" w:sz="0" w:space="0" w:color="auto"/>
        <w:right w:val="none" w:sz="0" w:space="0" w:color="auto"/>
      </w:divBdr>
    </w:div>
    <w:div w:id="1719818844">
      <w:bodyDiv w:val="1"/>
      <w:marLeft w:val="0"/>
      <w:marRight w:val="0"/>
      <w:marTop w:val="0"/>
      <w:marBottom w:val="0"/>
      <w:divBdr>
        <w:top w:val="none" w:sz="0" w:space="0" w:color="auto"/>
        <w:left w:val="none" w:sz="0" w:space="0" w:color="auto"/>
        <w:bottom w:val="none" w:sz="0" w:space="0" w:color="auto"/>
        <w:right w:val="none" w:sz="0" w:space="0" w:color="auto"/>
      </w:divBdr>
      <w:divsChild>
        <w:div w:id="873007194">
          <w:marLeft w:val="0"/>
          <w:marRight w:val="0"/>
          <w:marTop w:val="0"/>
          <w:marBottom w:val="0"/>
          <w:divBdr>
            <w:top w:val="none" w:sz="0" w:space="0" w:color="auto"/>
            <w:left w:val="none" w:sz="0" w:space="0" w:color="auto"/>
            <w:bottom w:val="none" w:sz="0" w:space="0" w:color="auto"/>
            <w:right w:val="none" w:sz="0" w:space="0" w:color="auto"/>
          </w:divBdr>
        </w:div>
      </w:divsChild>
    </w:div>
    <w:div w:id="1739942496">
      <w:bodyDiv w:val="1"/>
      <w:marLeft w:val="0"/>
      <w:marRight w:val="0"/>
      <w:marTop w:val="0"/>
      <w:marBottom w:val="0"/>
      <w:divBdr>
        <w:top w:val="none" w:sz="0" w:space="0" w:color="auto"/>
        <w:left w:val="none" w:sz="0" w:space="0" w:color="auto"/>
        <w:bottom w:val="none" w:sz="0" w:space="0" w:color="auto"/>
        <w:right w:val="none" w:sz="0" w:space="0" w:color="auto"/>
      </w:divBdr>
    </w:div>
    <w:div w:id="1767772746">
      <w:bodyDiv w:val="1"/>
      <w:marLeft w:val="0"/>
      <w:marRight w:val="0"/>
      <w:marTop w:val="0"/>
      <w:marBottom w:val="0"/>
      <w:divBdr>
        <w:top w:val="none" w:sz="0" w:space="0" w:color="auto"/>
        <w:left w:val="none" w:sz="0" w:space="0" w:color="auto"/>
        <w:bottom w:val="none" w:sz="0" w:space="0" w:color="auto"/>
        <w:right w:val="none" w:sz="0" w:space="0" w:color="auto"/>
      </w:divBdr>
    </w:div>
    <w:div w:id="1798377979">
      <w:bodyDiv w:val="1"/>
      <w:marLeft w:val="0"/>
      <w:marRight w:val="0"/>
      <w:marTop w:val="0"/>
      <w:marBottom w:val="0"/>
      <w:divBdr>
        <w:top w:val="none" w:sz="0" w:space="0" w:color="auto"/>
        <w:left w:val="none" w:sz="0" w:space="0" w:color="auto"/>
        <w:bottom w:val="none" w:sz="0" w:space="0" w:color="auto"/>
        <w:right w:val="none" w:sz="0" w:space="0" w:color="auto"/>
      </w:divBdr>
    </w:div>
    <w:div w:id="1972512357">
      <w:bodyDiv w:val="1"/>
      <w:marLeft w:val="0"/>
      <w:marRight w:val="0"/>
      <w:marTop w:val="0"/>
      <w:marBottom w:val="0"/>
      <w:divBdr>
        <w:top w:val="none" w:sz="0" w:space="0" w:color="auto"/>
        <w:left w:val="none" w:sz="0" w:space="0" w:color="auto"/>
        <w:bottom w:val="none" w:sz="0" w:space="0" w:color="auto"/>
        <w:right w:val="none" w:sz="0" w:space="0" w:color="auto"/>
      </w:divBdr>
    </w:div>
    <w:div w:id="1999570323">
      <w:bodyDiv w:val="1"/>
      <w:marLeft w:val="0"/>
      <w:marRight w:val="0"/>
      <w:marTop w:val="0"/>
      <w:marBottom w:val="0"/>
      <w:divBdr>
        <w:top w:val="none" w:sz="0" w:space="0" w:color="auto"/>
        <w:left w:val="none" w:sz="0" w:space="0" w:color="auto"/>
        <w:bottom w:val="none" w:sz="0" w:space="0" w:color="auto"/>
        <w:right w:val="none" w:sz="0" w:space="0" w:color="auto"/>
      </w:divBdr>
    </w:div>
    <w:div w:id="2073120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hyperlink" Target="mailto:nazmas@anjumanengg.edu.in"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orcid.org/0009-0006-9740-5259"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BBB2-F546-4029-9116-B328EC5E1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18</Pages>
  <Words>19963</Words>
  <Characters>119781</Characters>
  <Application>Microsoft Office Word</Application>
  <DocSecurity>0</DocSecurity>
  <Lines>998</Lines>
  <Paragraphs>278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139466</CharactersWithSpaces>
  <SharedDoc>false</SharedDoc>
  <HLinks>
    <vt:vector size="6" baseType="variant">
      <vt:variant>
        <vt:i4>4128783</vt:i4>
      </vt:variant>
      <vt:variant>
        <vt:i4>0</vt:i4>
      </vt:variant>
      <vt:variant>
        <vt:i4>0</vt:i4>
      </vt:variant>
      <vt:variant>
        <vt:i4>5</vt:i4>
      </vt:variant>
      <vt:variant>
        <vt:lpwstr>mailto:ksansari@ycce.edu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cswaghmare@ycce.edu</dc:creator>
  <cp:keywords/>
  <dc:description/>
  <cp:lastModifiedBy>Janusz Dabrowski NA</cp:lastModifiedBy>
  <cp:revision>30</cp:revision>
  <cp:lastPrinted>2026-07-28T08:05:00Z</cp:lastPrinted>
  <dcterms:created xsi:type="dcterms:W3CDTF">2026-06-30T10:02:00Z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6f5f48c9abb483e90c8439eaa7c5011a56d0ed19bb1cbdfdf488de9ffa3ff01c</vt:lpwstr>
  </property>
  <property fmtid="{D5CDD505-2E9C-101B-9397-08002B2CF9AE}" pid="3" name="Mendeley Document_1">
    <vt:lpwstr>True</vt:lpwstr>
  </property>
  <property fmtid="{D5CDD505-2E9C-101B-9397-08002B2CF9AE}" pid="4" name="Mendeley Unique User Id_1">
    <vt:lpwstr>2e2a271f-0cdb-3aa8-869f-aadd892cd33e</vt:lpwstr>
  </property>
  <property fmtid="{D5CDD505-2E9C-101B-9397-08002B2CF9AE}" pid="5" name="Mendeley Citation Style_1">
    <vt:lpwstr>http://www.zotero.org/styles/university-of-york-apa</vt:lpwstr>
  </property>
  <property fmtid="{D5CDD505-2E9C-101B-9397-08002B2CF9AE}" pid="6" name="Mendeley Recent Style Id 0_1">
    <vt:lpwstr>http://www.zotero.org/styles/adsorption</vt:lpwstr>
  </property>
  <property fmtid="{D5CDD505-2E9C-101B-9397-08002B2CF9AE}" pid="7" name="Mendeley Recent Style Name 0_1">
    <vt:lpwstr>Adsorption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http://www.zotero.org/styles/environmental-science-and-pollution-research</vt:lpwstr>
  </property>
  <property fmtid="{D5CDD505-2E9C-101B-9397-08002B2CF9AE}" pid="13" name="Mendeley Recent Style Name 3_1">
    <vt:lpwstr>Environmental Science and Pollution Research</vt:lpwstr>
  </property>
  <property fmtid="{D5CDD505-2E9C-101B-9397-08002B2CF9AE}" pid="14" name="Mendeley Recent Style Id 4_1">
    <vt:lpwstr>http://www.zotero.org/styles/ieee</vt:lpwstr>
  </property>
  <property fmtid="{D5CDD505-2E9C-101B-9397-08002B2CF9AE}" pid="15" name="Mendeley Recent Style Name 4_1">
    <vt:lpwstr>IEEE</vt:lpwstr>
  </property>
  <property fmtid="{D5CDD505-2E9C-101B-9397-08002B2CF9AE}" pid="16" name="Mendeley Recent Style Id 5_1">
    <vt:lpwstr>http://www.zotero.org/styles/journal-of-water-process-engineering</vt:lpwstr>
  </property>
  <property fmtid="{D5CDD505-2E9C-101B-9397-08002B2CF9AE}" pid="17" name="Mendeley Recent Style Name 5_1">
    <vt:lpwstr>Journal of Water Process Engineering</vt:lpwstr>
  </property>
  <property fmtid="{D5CDD505-2E9C-101B-9397-08002B2CF9AE}" pid="18" name="Mendeley Recent Style Id 6_1">
    <vt:lpwstr>http://www.zotero.org/styles/separation-and-purification-technology</vt:lpwstr>
  </property>
  <property fmtid="{D5CDD505-2E9C-101B-9397-08002B2CF9AE}" pid="19" name="Mendeley Recent Style Name 6_1">
    <vt:lpwstr>Separation and Purification Technology</vt:lpwstr>
  </property>
  <property fmtid="{D5CDD505-2E9C-101B-9397-08002B2CF9AE}" pid="20" name="Mendeley Recent Style Id 7_1">
    <vt:lpwstr>http://www.zotero.org/styles/sustainability</vt:lpwstr>
  </property>
  <property fmtid="{D5CDD505-2E9C-101B-9397-08002B2CF9AE}" pid="21" name="Mendeley Recent Style Name 7_1">
    <vt:lpwstr>Sustainability</vt:lpwstr>
  </property>
  <property fmtid="{D5CDD505-2E9C-101B-9397-08002B2CF9AE}" pid="22" name="Mendeley Recent Style Id 8_1">
    <vt:lpwstr>http://www.zotero.org/styles/university-of-york-apa</vt:lpwstr>
  </property>
  <property fmtid="{D5CDD505-2E9C-101B-9397-08002B2CF9AE}" pid="23" name="Mendeley Recent Style Name 8_1">
    <vt:lpwstr>University of York - APA 6th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