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9639" w:type="dxa"/>
        <w:tblLayout w:type="fixed"/>
        <w:tblCellMar>
          <w:left w:w="0" w:type="dxa"/>
          <w:right w:w="0" w:type="dxa"/>
        </w:tblCellMar>
        <w:tblLook w:val="04A0" w:firstRow="1" w:lastRow="0" w:firstColumn="1" w:lastColumn="0" w:noHBand="0" w:noVBand="1"/>
      </w:tblPr>
      <w:tblGrid>
        <w:gridCol w:w="709"/>
        <w:gridCol w:w="992"/>
        <w:gridCol w:w="6304"/>
        <w:gridCol w:w="1634"/>
      </w:tblGrid>
      <w:tr w:rsidR="0088571B" w:rsidRPr="00396ECD" w14:paraId="7B9FF321" w14:textId="77777777" w:rsidTr="00480248">
        <w:trPr>
          <w:trHeight w:hRule="exact" w:val="142"/>
        </w:trPr>
        <w:tc>
          <w:tcPr>
            <w:tcW w:w="709" w:type="dxa"/>
            <w:vMerge w:val="restart"/>
            <w:vAlign w:val="center"/>
          </w:tcPr>
          <w:p w14:paraId="52639365" w14:textId="77777777" w:rsidR="0088571B" w:rsidRPr="00396ECD" w:rsidRDefault="0088571B" w:rsidP="00480248">
            <w:pPr>
              <w:jc w:val="center"/>
              <w:rPr>
                <w:lang w:val="en-GB"/>
              </w:rPr>
            </w:pPr>
            <w:bookmarkStart w:id="0" w:name="_jlde0bfez6jg" w:colFirst="0" w:colLast="0"/>
            <w:bookmarkStart w:id="1" w:name="_Hlk184284483"/>
            <w:bookmarkStart w:id="2" w:name="_Hlk145412337"/>
            <w:bookmarkStart w:id="3" w:name="_Hlk103340665"/>
            <w:bookmarkStart w:id="4" w:name="_Hlk24804592"/>
            <w:bookmarkEnd w:id="0"/>
            <w:bookmarkEnd w:id="1"/>
            <w:bookmarkEnd w:id="2"/>
            <w:bookmarkEnd w:id="3"/>
            <w:r w:rsidRPr="00396ECD">
              <w:rPr>
                <w:noProof/>
                <w:lang w:val="en-GB"/>
              </w:rPr>
              <w:drawing>
                <wp:anchor distT="0" distB="0" distL="114300" distR="114300" simplePos="0" relativeHeight="251659264" behindDoc="0" locked="0" layoutInCell="1" allowOverlap="1" wp14:anchorId="28EE361F" wp14:editId="559F0D37">
                  <wp:simplePos x="0" y="0"/>
                  <wp:positionH relativeFrom="column">
                    <wp:posOffset>0</wp:posOffset>
                  </wp:positionH>
                  <wp:positionV relativeFrom="paragraph">
                    <wp:posOffset>344805</wp:posOffset>
                  </wp:positionV>
                  <wp:extent cx="432000" cy="426000"/>
                  <wp:effectExtent l="0" t="0" r="6350" b="0"/>
                  <wp:wrapNone/>
                  <wp:docPr id="868826197" name="Obraz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1"/>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432000" cy="426000"/>
                          </a:xfrm>
                          <a:prstGeom prst="rect">
                            <a:avLst/>
                          </a:prstGeom>
                          <a:noFill/>
                        </pic:spPr>
                      </pic:pic>
                    </a:graphicData>
                  </a:graphic>
                  <wp14:sizeRelH relativeFrom="page">
                    <wp14:pctWidth>0</wp14:pctWidth>
                  </wp14:sizeRelH>
                  <wp14:sizeRelV relativeFrom="page">
                    <wp14:pctHeight>0</wp14:pctHeight>
                  </wp14:sizeRelV>
                </wp:anchor>
              </w:drawing>
            </w:r>
          </w:p>
        </w:tc>
        <w:tc>
          <w:tcPr>
            <w:tcW w:w="8930" w:type="dxa"/>
            <w:gridSpan w:val="3"/>
            <w:vAlign w:val="center"/>
          </w:tcPr>
          <w:p w14:paraId="511A5E49" w14:textId="77777777" w:rsidR="0088571B" w:rsidRPr="00396ECD" w:rsidRDefault="0088571B" w:rsidP="00480248">
            <w:pPr>
              <w:jc w:val="center"/>
              <w:rPr>
                <w:sz w:val="20"/>
                <w:szCs w:val="20"/>
                <w:lang w:val="en-GB"/>
              </w:rPr>
            </w:pPr>
          </w:p>
        </w:tc>
      </w:tr>
      <w:tr w:rsidR="0088571B" w:rsidRPr="00396ECD" w14:paraId="19F344C6" w14:textId="77777777" w:rsidTr="00480248">
        <w:trPr>
          <w:trHeight w:hRule="exact" w:val="283"/>
        </w:trPr>
        <w:tc>
          <w:tcPr>
            <w:tcW w:w="709" w:type="dxa"/>
            <w:vMerge/>
          </w:tcPr>
          <w:p w14:paraId="423F264F" w14:textId="77777777" w:rsidR="0088571B" w:rsidRPr="00396ECD" w:rsidRDefault="0088571B" w:rsidP="00480248">
            <w:pPr>
              <w:jc w:val="center"/>
              <w:rPr>
                <w:lang w:val="en-GB"/>
              </w:rPr>
            </w:pPr>
          </w:p>
        </w:tc>
        <w:tc>
          <w:tcPr>
            <w:tcW w:w="8930" w:type="dxa"/>
            <w:gridSpan w:val="3"/>
            <w:tcBorders>
              <w:bottom w:val="single" w:sz="2" w:space="0" w:color="auto"/>
            </w:tcBorders>
            <w:vAlign w:val="center"/>
          </w:tcPr>
          <w:p w14:paraId="0BAD7F24" w14:textId="77777777" w:rsidR="0088571B" w:rsidRPr="00396ECD" w:rsidRDefault="0088571B" w:rsidP="00480248">
            <w:pPr>
              <w:jc w:val="center"/>
              <w:rPr>
                <w:sz w:val="20"/>
                <w:szCs w:val="20"/>
                <w:lang w:val="en-GB"/>
              </w:rPr>
            </w:pPr>
            <w:proofErr w:type="spellStart"/>
            <w:r w:rsidRPr="00396ECD">
              <w:rPr>
                <w:b/>
                <w:sz w:val="20"/>
                <w:szCs w:val="20"/>
                <w:lang w:val="en-GB"/>
              </w:rPr>
              <w:t>Rocznik</w:t>
            </w:r>
            <w:proofErr w:type="spellEnd"/>
            <w:r w:rsidRPr="00396ECD">
              <w:rPr>
                <w:b/>
                <w:sz w:val="20"/>
                <w:szCs w:val="20"/>
                <w:lang w:val="en-GB"/>
              </w:rPr>
              <w:t xml:space="preserve"> </w:t>
            </w:r>
            <w:proofErr w:type="spellStart"/>
            <w:r w:rsidRPr="00396ECD">
              <w:rPr>
                <w:b/>
                <w:sz w:val="20"/>
                <w:szCs w:val="20"/>
                <w:lang w:val="en-GB"/>
              </w:rPr>
              <w:t>Ochrona</w:t>
            </w:r>
            <w:proofErr w:type="spellEnd"/>
            <w:r w:rsidRPr="00396ECD">
              <w:rPr>
                <w:b/>
                <w:sz w:val="20"/>
                <w:szCs w:val="20"/>
                <w:lang w:val="en-GB"/>
              </w:rPr>
              <w:t xml:space="preserve"> </w:t>
            </w:r>
            <w:proofErr w:type="spellStart"/>
            <w:r w:rsidRPr="00396ECD">
              <w:rPr>
                <w:b/>
                <w:sz w:val="20"/>
                <w:szCs w:val="20"/>
                <w:lang w:val="en-GB"/>
              </w:rPr>
              <w:t>Środowiska</w:t>
            </w:r>
            <w:proofErr w:type="spellEnd"/>
          </w:p>
        </w:tc>
      </w:tr>
      <w:tr w:rsidR="0088571B" w:rsidRPr="00396ECD" w14:paraId="54EF64D4" w14:textId="77777777" w:rsidTr="00480248">
        <w:trPr>
          <w:trHeight w:hRule="exact" w:val="283"/>
        </w:trPr>
        <w:tc>
          <w:tcPr>
            <w:tcW w:w="709" w:type="dxa"/>
            <w:vMerge/>
          </w:tcPr>
          <w:p w14:paraId="24A2185A" w14:textId="77777777" w:rsidR="0088571B" w:rsidRPr="00396ECD" w:rsidRDefault="0088571B" w:rsidP="00480248">
            <w:pPr>
              <w:jc w:val="center"/>
              <w:rPr>
                <w:lang w:val="en-GB"/>
              </w:rPr>
            </w:pPr>
          </w:p>
        </w:tc>
        <w:tc>
          <w:tcPr>
            <w:tcW w:w="992" w:type="dxa"/>
            <w:tcBorders>
              <w:top w:val="single" w:sz="2" w:space="0" w:color="auto"/>
              <w:bottom w:val="single" w:sz="2" w:space="0" w:color="auto"/>
            </w:tcBorders>
            <w:vAlign w:val="center"/>
          </w:tcPr>
          <w:p w14:paraId="798D05EA" w14:textId="77777777" w:rsidR="0088571B" w:rsidRPr="00396ECD" w:rsidRDefault="0088571B" w:rsidP="00480248">
            <w:pPr>
              <w:rPr>
                <w:kern w:val="18"/>
                <w:sz w:val="18"/>
                <w:lang w:val="en-GB"/>
              </w:rPr>
            </w:pPr>
            <w:r w:rsidRPr="00396ECD">
              <w:rPr>
                <w:kern w:val="18"/>
                <w:sz w:val="18"/>
                <w:lang w:val="en-GB"/>
              </w:rPr>
              <w:t>Volume 28</w:t>
            </w:r>
          </w:p>
        </w:tc>
        <w:tc>
          <w:tcPr>
            <w:tcW w:w="6304" w:type="dxa"/>
            <w:tcBorders>
              <w:top w:val="single" w:sz="2" w:space="0" w:color="auto"/>
              <w:bottom w:val="single" w:sz="2" w:space="0" w:color="auto"/>
            </w:tcBorders>
            <w:vAlign w:val="center"/>
          </w:tcPr>
          <w:p w14:paraId="3228DE51" w14:textId="77777777" w:rsidR="0088571B" w:rsidRPr="00396ECD" w:rsidRDefault="0088571B" w:rsidP="00216E1D">
            <w:pPr>
              <w:tabs>
                <w:tab w:val="left" w:pos="2894"/>
              </w:tabs>
              <w:rPr>
                <w:kern w:val="18"/>
                <w:sz w:val="18"/>
                <w:lang w:val="en-GB"/>
              </w:rPr>
            </w:pPr>
            <w:r w:rsidRPr="00396ECD">
              <w:rPr>
                <w:kern w:val="18"/>
                <w:sz w:val="18"/>
                <w:lang w:val="en-GB"/>
              </w:rPr>
              <w:t>Year 2026</w:t>
            </w:r>
            <w:r w:rsidRPr="00396ECD">
              <w:rPr>
                <w:kern w:val="18"/>
                <w:sz w:val="18"/>
                <w:lang w:val="en-GB"/>
              </w:rPr>
              <w:tab/>
              <w:t>ISSN 2720-7501</w:t>
            </w:r>
          </w:p>
        </w:tc>
        <w:tc>
          <w:tcPr>
            <w:tcW w:w="1634" w:type="dxa"/>
            <w:tcBorders>
              <w:top w:val="single" w:sz="2" w:space="0" w:color="auto"/>
              <w:bottom w:val="single" w:sz="2" w:space="0" w:color="auto"/>
            </w:tcBorders>
            <w:vAlign w:val="center"/>
          </w:tcPr>
          <w:p w14:paraId="64E58A16" w14:textId="2E5D5145" w:rsidR="0088571B" w:rsidRPr="00396ECD" w:rsidRDefault="0088571B" w:rsidP="00480248">
            <w:pPr>
              <w:jc w:val="right"/>
              <w:rPr>
                <w:sz w:val="18"/>
                <w:lang w:val="en-GB"/>
              </w:rPr>
            </w:pPr>
            <w:r w:rsidRPr="00396ECD">
              <w:rPr>
                <w:sz w:val="18"/>
                <w:lang w:val="en-GB"/>
              </w:rPr>
              <w:t xml:space="preserve">pp. </w:t>
            </w:r>
            <w:r w:rsidR="004443B6" w:rsidRPr="004443B6">
              <w:rPr>
                <w:sz w:val="18"/>
                <w:lang w:val="en-GB"/>
              </w:rPr>
              <w:t>516-536</w:t>
            </w:r>
          </w:p>
        </w:tc>
      </w:tr>
      <w:tr w:rsidR="0088571B" w:rsidRPr="00396ECD" w14:paraId="1BE4493C" w14:textId="77777777" w:rsidTr="00480248">
        <w:trPr>
          <w:trHeight w:hRule="exact" w:val="283"/>
        </w:trPr>
        <w:tc>
          <w:tcPr>
            <w:tcW w:w="709" w:type="dxa"/>
          </w:tcPr>
          <w:p w14:paraId="7EFBF600" w14:textId="77777777" w:rsidR="0088571B" w:rsidRPr="00396ECD" w:rsidRDefault="0088571B" w:rsidP="00480248">
            <w:pPr>
              <w:jc w:val="center"/>
              <w:rPr>
                <w:lang w:val="en-GB"/>
              </w:rPr>
            </w:pPr>
          </w:p>
        </w:tc>
        <w:tc>
          <w:tcPr>
            <w:tcW w:w="8930" w:type="dxa"/>
            <w:gridSpan w:val="3"/>
            <w:tcBorders>
              <w:top w:val="single" w:sz="2" w:space="0" w:color="auto"/>
              <w:bottom w:val="single" w:sz="2" w:space="0" w:color="auto"/>
            </w:tcBorders>
            <w:vAlign w:val="center"/>
          </w:tcPr>
          <w:p w14:paraId="231947CD" w14:textId="597D9647" w:rsidR="0088571B" w:rsidRPr="00396ECD" w:rsidRDefault="0088571B" w:rsidP="00480248">
            <w:pPr>
              <w:tabs>
                <w:tab w:val="right" w:pos="8928"/>
              </w:tabs>
              <w:rPr>
                <w:sz w:val="18"/>
                <w:lang w:val="en-GB"/>
              </w:rPr>
            </w:pPr>
            <w:r w:rsidRPr="00396ECD">
              <w:rPr>
                <w:sz w:val="18"/>
                <w:lang w:val="en-GB"/>
              </w:rPr>
              <w:t>https://doi.org/10.54740/ros.2026.0</w:t>
            </w:r>
            <w:r w:rsidR="004443B6">
              <w:rPr>
                <w:sz w:val="18"/>
                <w:lang w:val="en-GB"/>
              </w:rPr>
              <w:t>35</w:t>
            </w:r>
            <w:r w:rsidRPr="00396ECD">
              <w:rPr>
                <w:sz w:val="18"/>
                <w:lang w:val="en-GB"/>
              </w:rPr>
              <w:tab/>
              <w:t>open access</w:t>
            </w:r>
          </w:p>
        </w:tc>
      </w:tr>
      <w:tr w:rsidR="0088571B" w:rsidRPr="00396ECD" w14:paraId="7F9597D1" w14:textId="77777777" w:rsidTr="00480248">
        <w:trPr>
          <w:trHeight w:hRule="exact" w:val="283"/>
        </w:trPr>
        <w:tc>
          <w:tcPr>
            <w:tcW w:w="709" w:type="dxa"/>
          </w:tcPr>
          <w:p w14:paraId="1FDA3A65" w14:textId="77777777" w:rsidR="0088571B" w:rsidRPr="00396ECD" w:rsidRDefault="0088571B" w:rsidP="00480248">
            <w:pPr>
              <w:jc w:val="center"/>
              <w:rPr>
                <w:lang w:val="en-GB"/>
              </w:rPr>
            </w:pPr>
          </w:p>
        </w:tc>
        <w:tc>
          <w:tcPr>
            <w:tcW w:w="8930" w:type="dxa"/>
            <w:gridSpan w:val="3"/>
            <w:tcBorders>
              <w:top w:val="single" w:sz="2" w:space="0" w:color="auto"/>
            </w:tcBorders>
            <w:vAlign w:val="center"/>
          </w:tcPr>
          <w:p w14:paraId="11FF05FE" w14:textId="2F817A41" w:rsidR="0088571B" w:rsidRPr="00396ECD" w:rsidRDefault="0088571B" w:rsidP="00216E1D">
            <w:pPr>
              <w:tabs>
                <w:tab w:val="left" w:pos="3744"/>
                <w:tab w:val="right" w:pos="8928"/>
              </w:tabs>
              <w:rPr>
                <w:sz w:val="18"/>
                <w:lang w:val="en-GB"/>
              </w:rPr>
            </w:pPr>
            <w:r w:rsidRPr="00396ECD">
              <w:rPr>
                <w:sz w:val="18"/>
                <w:lang w:val="en-GB"/>
              </w:rPr>
              <w:t>Received: May 2026</w:t>
            </w:r>
            <w:r w:rsidRPr="00396ECD">
              <w:rPr>
                <w:sz w:val="18"/>
                <w:lang w:val="en-GB"/>
              </w:rPr>
              <w:tab/>
              <w:t>Accepted: June 2026</w:t>
            </w:r>
            <w:r w:rsidRPr="00396ECD">
              <w:rPr>
                <w:sz w:val="18"/>
                <w:lang w:val="en-GB"/>
              </w:rPr>
              <w:tab/>
              <w:t xml:space="preserve">Published: </w:t>
            </w:r>
            <w:r w:rsidR="004443B6">
              <w:rPr>
                <w:sz w:val="18"/>
                <w:lang w:val="en-GB"/>
              </w:rPr>
              <w:t>July</w:t>
            </w:r>
            <w:r w:rsidRPr="00396ECD">
              <w:rPr>
                <w:sz w:val="18"/>
                <w:lang w:val="en-GB"/>
              </w:rPr>
              <w:t xml:space="preserve"> 2026</w:t>
            </w:r>
          </w:p>
        </w:tc>
      </w:tr>
    </w:tbl>
    <w:bookmarkEnd w:id="4"/>
    <w:p w14:paraId="155D3F56" w14:textId="312590C2" w:rsidR="000C0D90" w:rsidRPr="00396ECD" w:rsidRDefault="00116981" w:rsidP="001E37B0">
      <w:pPr>
        <w:pStyle w:val="Rtytu"/>
        <w:rPr>
          <w:lang w:val="en-GB"/>
        </w:rPr>
      </w:pPr>
      <w:r w:rsidRPr="00396ECD">
        <w:rPr>
          <w:lang w:val="en-GB"/>
        </w:rPr>
        <w:t>Marketing-Oriented Foresight as a Strategic Direction of Agrarian Enterprises' Activity in the Context of Environmental Sustainability and Climate Adaptation</w:t>
      </w:r>
    </w:p>
    <w:p w14:paraId="0E779B4D" w14:textId="7212933D" w:rsidR="00DD2759" w:rsidRPr="00396ECD" w:rsidRDefault="00DD2759" w:rsidP="001E37B0">
      <w:pPr>
        <w:pStyle w:val="Rautor"/>
        <w:rPr>
          <w:lang w:val="en-GB"/>
        </w:rPr>
      </w:pPr>
      <w:r w:rsidRPr="00396ECD">
        <w:rPr>
          <w:lang w:val="en-GB"/>
        </w:rPr>
        <w:t>Viktoriia Danylenko</w:t>
      </w:r>
      <w:r w:rsidRPr="00396ECD">
        <w:rPr>
          <w:vertAlign w:val="superscript"/>
          <w:lang w:val="en-GB"/>
        </w:rPr>
        <w:t>1</w:t>
      </w:r>
      <w:r w:rsidRPr="00396ECD">
        <w:rPr>
          <w:lang w:val="en-GB"/>
        </w:rPr>
        <w:t>, Tetiana Diadyk</w:t>
      </w:r>
      <w:r w:rsidRPr="00396ECD">
        <w:rPr>
          <w:vertAlign w:val="superscript"/>
          <w:lang w:val="en-GB"/>
        </w:rPr>
        <w:t>2</w:t>
      </w:r>
      <w:r w:rsidRPr="00396ECD">
        <w:rPr>
          <w:lang w:val="en-GB"/>
        </w:rPr>
        <w:t>, Lyudmyla Shulga</w:t>
      </w:r>
      <w:r w:rsidRPr="00396ECD">
        <w:rPr>
          <w:vertAlign w:val="superscript"/>
          <w:lang w:val="en-GB"/>
        </w:rPr>
        <w:t>3</w:t>
      </w:r>
      <w:r w:rsidRPr="00396ECD">
        <w:rPr>
          <w:lang w:val="en-GB"/>
        </w:rPr>
        <w:t>, Nataliia Gerasymchuk</w:t>
      </w:r>
      <w:r w:rsidRPr="00396ECD">
        <w:rPr>
          <w:vertAlign w:val="superscript"/>
          <w:lang w:val="en-GB"/>
        </w:rPr>
        <w:t>4</w:t>
      </w:r>
      <w:r w:rsidRPr="00396ECD">
        <w:rPr>
          <w:lang w:val="en-GB"/>
        </w:rPr>
        <w:t>,</w:t>
      </w:r>
      <w:r w:rsidRPr="00396ECD">
        <w:rPr>
          <w:lang w:val="en-GB"/>
        </w:rPr>
        <w:br/>
        <w:t>Yuliia Mazur</w:t>
      </w:r>
      <w:r w:rsidRPr="00396ECD">
        <w:rPr>
          <w:vertAlign w:val="superscript"/>
          <w:lang w:val="en-GB"/>
        </w:rPr>
        <w:t>5</w:t>
      </w:r>
      <w:r w:rsidR="00116981" w:rsidRPr="00396ECD">
        <w:rPr>
          <w:vertAlign w:val="superscript"/>
          <w:lang w:val="en-GB"/>
        </w:rPr>
        <w:t>*</w:t>
      </w:r>
      <w:r w:rsidRPr="00396ECD">
        <w:rPr>
          <w:lang w:val="en-GB"/>
        </w:rPr>
        <w:t>, Nataliia Slobodian</w:t>
      </w:r>
      <w:r w:rsidRPr="00396ECD">
        <w:rPr>
          <w:vertAlign w:val="superscript"/>
          <w:lang w:val="en-GB"/>
        </w:rPr>
        <w:t>6</w:t>
      </w:r>
      <w:r w:rsidRPr="00396ECD">
        <w:rPr>
          <w:lang w:val="en-GB"/>
        </w:rPr>
        <w:t>, Dmytro Litvinov</w:t>
      </w:r>
      <w:r w:rsidRPr="00396ECD">
        <w:rPr>
          <w:vertAlign w:val="superscript"/>
          <w:lang w:val="en-GB"/>
        </w:rPr>
        <w:t>7</w:t>
      </w:r>
    </w:p>
    <w:p w14:paraId="1AAE3984" w14:textId="013CFBDB" w:rsidR="00DD2759" w:rsidRPr="00501300" w:rsidRDefault="00D046F8" w:rsidP="001E37B0">
      <w:pPr>
        <w:pStyle w:val="Rafiliacja"/>
        <w:rPr>
          <w:szCs w:val="20"/>
          <w:lang w:val="en-GB"/>
        </w:rPr>
      </w:pPr>
      <w:r w:rsidRPr="00501300">
        <w:rPr>
          <w:szCs w:val="20"/>
          <w:vertAlign w:val="superscript"/>
          <w:lang w:val="en-GB"/>
        </w:rPr>
        <w:t>1</w:t>
      </w:r>
      <w:r w:rsidRPr="00501300">
        <w:rPr>
          <w:szCs w:val="20"/>
          <w:lang w:val="en-GB"/>
        </w:rPr>
        <w:t>Department of Marketing</w:t>
      </w:r>
      <w:r w:rsidR="00116981" w:rsidRPr="00501300">
        <w:rPr>
          <w:szCs w:val="20"/>
          <w:lang w:val="en-GB"/>
        </w:rPr>
        <w:t xml:space="preserve">, </w:t>
      </w:r>
      <w:r w:rsidR="00DD2759" w:rsidRPr="00501300">
        <w:rPr>
          <w:szCs w:val="20"/>
          <w:lang w:val="en-GB"/>
        </w:rPr>
        <w:t xml:space="preserve">Poltava State Agrarian University, </w:t>
      </w:r>
      <w:r w:rsidR="0088571B" w:rsidRPr="00501300">
        <w:rPr>
          <w:szCs w:val="20"/>
          <w:lang w:val="en-GB"/>
        </w:rPr>
        <w:t xml:space="preserve">Poltava, </w:t>
      </w:r>
      <w:r w:rsidR="00DD2759" w:rsidRPr="00501300">
        <w:rPr>
          <w:szCs w:val="20"/>
          <w:lang w:val="en-GB"/>
        </w:rPr>
        <w:t>Ukraine</w:t>
      </w:r>
      <w:r w:rsidR="00116981" w:rsidRPr="00501300">
        <w:rPr>
          <w:szCs w:val="20"/>
          <w:lang w:val="en-GB"/>
        </w:rPr>
        <w:t xml:space="preserve"> </w:t>
      </w:r>
      <w:r w:rsidR="0088571B" w:rsidRPr="00501300">
        <w:rPr>
          <w:szCs w:val="20"/>
          <w:lang w:val="en-GB"/>
        </w:rPr>
        <w:br/>
      </w:r>
      <w:hyperlink r:id="rId8" w:history="1">
        <w:r w:rsidR="00445E19" w:rsidRPr="00501300">
          <w:rPr>
            <w:rStyle w:val="Hipercze"/>
            <w:iCs/>
            <w:color w:val="auto"/>
            <w:szCs w:val="20"/>
            <w:u w:val="none"/>
            <w:lang w:val="en-GB"/>
          </w:rPr>
          <w:t>https://orcid.org/0000-0001-8676-0622</w:t>
        </w:r>
      </w:hyperlink>
    </w:p>
    <w:p w14:paraId="7AC81CF0" w14:textId="0113AD46" w:rsidR="00DD2759" w:rsidRPr="00501300" w:rsidRDefault="00D046F8" w:rsidP="001E37B0">
      <w:pPr>
        <w:pStyle w:val="Rafiliacja"/>
        <w:rPr>
          <w:szCs w:val="20"/>
          <w:lang w:val="en-GB"/>
        </w:rPr>
      </w:pPr>
      <w:r w:rsidRPr="00501300">
        <w:rPr>
          <w:szCs w:val="20"/>
          <w:vertAlign w:val="superscript"/>
          <w:lang w:val="en-GB"/>
        </w:rPr>
        <w:t>2</w:t>
      </w:r>
      <w:r w:rsidRPr="00501300">
        <w:rPr>
          <w:szCs w:val="20"/>
          <w:lang w:val="en-GB"/>
        </w:rPr>
        <w:t>Department of Marketing</w:t>
      </w:r>
      <w:r w:rsidR="00116981" w:rsidRPr="00501300">
        <w:rPr>
          <w:szCs w:val="20"/>
          <w:lang w:val="en-GB"/>
        </w:rPr>
        <w:t xml:space="preserve">, </w:t>
      </w:r>
      <w:r w:rsidR="00DD2759" w:rsidRPr="00501300">
        <w:rPr>
          <w:szCs w:val="20"/>
          <w:lang w:val="en-GB"/>
        </w:rPr>
        <w:t xml:space="preserve">Poltava State Agrarian University, </w:t>
      </w:r>
      <w:r w:rsidR="0088571B" w:rsidRPr="00501300">
        <w:rPr>
          <w:szCs w:val="20"/>
          <w:lang w:val="en-GB"/>
        </w:rPr>
        <w:t>Poltava, Ukraine</w:t>
      </w:r>
      <w:r w:rsidR="0088571B" w:rsidRPr="00501300">
        <w:rPr>
          <w:szCs w:val="20"/>
          <w:lang w:val="en-GB"/>
        </w:rPr>
        <w:br/>
      </w:r>
      <w:hyperlink r:id="rId9" w:history="1">
        <w:r w:rsidR="00445E19" w:rsidRPr="00501300">
          <w:rPr>
            <w:rStyle w:val="Hipercze"/>
            <w:iCs/>
            <w:color w:val="auto"/>
            <w:szCs w:val="20"/>
            <w:u w:val="none"/>
            <w:lang w:val="en-GB"/>
          </w:rPr>
          <w:t>http://orcid.org/0000-0002-8422-3775</w:t>
        </w:r>
      </w:hyperlink>
    </w:p>
    <w:p w14:paraId="52C957C7" w14:textId="576BE97F" w:rsidR="00445E19" w:rsidRPr="00501300" w:rsidRDefault="00D046F8" w:rsidP="001E37B0">
      <w:pPr>
        <w:pStyle w:val="Rafiliacja"/>
        <w:rPr>
          <w:szCs w:val="20"/>
          <w:lang w:val="en-GB"/>
        </w:rPr>
      </w:pPr>
      <w:r w:rsidRPr="00501300">
        <w:rPr>
          <w:szCs w:val="20"/>
          <w:vertAlign w:val="superscript"/>
          <w:lang w:val="en-GB"/>
        </w:rPr>
        <w:t>3</w:t>
      </w:r>
      <w:r w:rsidRPr="00501300">
        <w:rPr>
          <w:szCs w:val="20"/>
          <w:lang w:val="en-GB"/>
        </w:rPr>
        <w:t>Department of Marketing</w:t>
      </w:r>
      <w:r w:rsidR="00116981" w:rsidRPr="00501300">
        <w:rPr>
          <w:szCs w:val="20"/>
          <w:lang w:val="en-GB"/>
        </w:rPr>
        <w:t xml:space="preserve">, </w:t>
      </w:r>
      <w:r w:rsidR="00445E19" w:rsidRPr="00501300">
        <w:rPr>
          <w:szCs w:val="20"/>
          <w:lang w:val="en-GB"/>
        </w:rPr>
        <w:t xml:space="preserve">Poltava State Agrarian University, </w:t>
      </w:r>
      <w:r w:rsidR="0088571B" w:rsidRPr="00501300">
        <w:rPr>
          <w:szCs w:val="20"/>
          <w:lang w:val="en-GB"/>
        </w:rPr>
        <w:t>Poltava, Ukraine</w:t>
      </w:r>
      <w:r w:rsidR="0088571B" w:rsidRPr="00501300">
        <w:rPr>
          <w:szCs w:val="20"/>
          <w:lang w:val="en-GB"/>
        </w:rPr>
        <w:br/>
      </w:r>
      <w:hyperlink r:id="rId10" w:history="1">
        <w:r w:rsidR="00445E19" w:rsidRPr="00501300">
          <w:rPr>
            <w:rStyle w:val="Hipercze"/>
            <w:iCs/>
            <w:color w:val="auto"/>
            <w:szCs w:val="20"/>
            <w:u w:val="none"/>
            <w:lang w:val="en-GB"/>
          </w:rPr>
          <w:t>https://orcid.org/0000-0002-9320-7566</w:t>
        </w:r>
      </w:hyperlink>
    </w:p>
    <w:p w14:paraId="653F0E7B" w14:textId="55B58475" w:rsidR="00D046F8" w:rsidRPr="00501300" w:rsidRDefault="00D046F8" w:rsidP="001E37B0">
      <w:pPr>
        <w:pStyle w:val="Rafiliacja"/>
        <w:rPr>
          <w:szCs w:val="20"/>
          <w:lang w:val="en-GB"/>
        </w:rPr>
      </w:pPr>
      <w:r w:rsidRPr="00501300">
        <w:rPr>
          <w:szCs w:val="20"/>
          <w:vertAlign w:val="superscript"/>
          <w:lang w:val="en-GB"/>
        </w:rPr>
        <w:t>4</w:t>
      </w:r>
      <w:r w:rsidRPr="00501300">
        <w:rPr>
          <w:szCs w:val="20"/>
          <w:lang w:val="en-GB"/>
        </w:rPr>
        <w:t>Department of Marketing</w:t>
      </w:r>
      <w:r w:rsidR="00116981" w:rsidRPr="00501300">
        <w:rPr>
          <w:szCs w:val="20"/>
          <w:lang w:val="en-GB"/>
        </w:rPr>
        <w:t xml:space="preserve">, </w:t>
      </w:r>
      <w:r w:rsidRPr="00501300">
        <w:rPr>
          <w:szCs w:val="20"/>
          <w:lang w:val="en-GB"/>
        </w:rPr>
        <w:t xml:space="preserve">Poltava State Agrarian University, </w:t>
      </w:r>
      <w:r w:rsidR="0088571B" w:rsidRPr="00501300">
        <w:rPr>
          <w:szCs w:val="20"/>
          <w:lang w:val="en-GB"/>
        </w:rPr>
        <w:t>Poltava, Ukraine</w:t>
      </w:r>
      <w:r w:rsidR="0088571B" w:rsidRPr="00501300">
        <w:rPr>
          <w:szCs w:val="20"/>
          <w:lang w:val="en-GB"/>
        </w:rPr>
        <w:br/>
      </w:r>
      <w:hyperlink r:id="rId11" w:history="1">
        <w:r w:rsidRPr="00501300">
          <w:rPr>
            <w:rStyle w:val="Hipercze"/>
            <w:iCs/>
            <w:color w:val="auto"/>
            <w:szCs w:val="20"/>
            <w:u w:val="none"/>
            <w:lang w:val="en-GB"/>
          </w:rPr>
          <w:t>https://orcid.org/0000-0002-3931-5320</w:t>
        </w:r>
      </w:hyperlink>
    </w:p>
    <w:p w14:paraId="7B6C9294" w14:textId="4F227238" w:rsidR="00445E19" w:rsidRPr="00501300" w:rsidRDefault="00D046F8" w:rsidP="001E37B0">
      <w:pPr>
        <w:pStyle w:val="Rafiliacja"/>
        <w:rPr>
          <w:szCs w:val="20"/>
          <w:lang w:val="en-GB"/>
        </w:rPr>
      </w:pPr>
      <w:r w:rsidRPr="00501300">
        <w:rPr>
          <w:szCs w:val="20"/>
          <w:vertAlign w:val="superscript"/>
          <w:lang w:val="en-GB"/>
        </w:rPr>
        <w:t>5</w:t>
      </w:r>
      <w:r w:rsidRPr="00501300">
        <w:rPr>
          <w:szCs w:val="20"/>
          <w:lang w:val="en-GB"/>
        </w:rPr>
        <w:t>Department of Marketing</w:t>
      </w:r>
      <w:r w:rsidR="00116981" w:rsidRPr="00501300">
        <w:rPr>
          <w:szCs w:val="20"/>
          <w:lang w:val="en-GB"/>
        </w:rPr>
        <w:t xml:space="preserve">, </w:t>
      </w:r>
      <w:r w:rsidR="00445E19" w:rsidRPr="00501300">
        <w:rPr>
          <w:szCs w:val="20"/>
          <w:lang w:val="en-GB"/>
        </w:rPr>
        <w:t xml:space="preserve">Interregional </w:t>
      </w:r>
      <w:r w:rsidR="0088571B" w:rsidRPr="00501300">
        <w:rPr>
          <w:szCs w:val="20"/>
          <w:lang w:val="en-GB"/>
        </w:rPr>
        <w:t>A</w:t>
      </w:r>
      <w:r w:rsidR="00445E19" w:rsidRPr="00501300">
        <w:rPr>
          <w:szCs w:val="20"/>
          <w:lang w:val="en-GB"/>
        </w:rPr>
        <w:t xml:space="preserve">cademy of </w:t>
      </w:r>
      <w:r w:rsidR="0088571B" w:rsidRPr="00501300">
        <w:rPr>
          <w:szCs w:val="20"/>
          <w:lang w:val="en-GB"/>
        </w:rPr>
        <w:t>P</w:t>
      </w:r>
      <w:r w:rsidR="00445E19" w:rsidRPr="00501300">
        <w:rPr>
          <w:szCs w:val="20"/>
          <w:lang w:val="en-GB"/>
        </w:rPr>
        <w:t xml:space="preserve">ersonnel </w:t>
      </w:r>
      <w:r w:rsidR="0088571B" w:rsidRPr="00501300">
        <w:rPr>
          <w:szCs w:val="20"/>
          <w:lang w:val="en-GB"/>
        </w:rPr>
        <w:t>M</w:t>
      </w:r>
      <w:r w:rsidR="00445E19" w:rsidRPr="00501300">
        <w:rPr>
          <w:szCs w:val="20"/>
          <w:lang w:val="en-GB"/>
        </w:rPr>
        <w:t>anagement, Kyiv, Ukraine</w:t>
      </w:r>
      <w:r w:rsidR="00116981" w:rsidRPr="00501300">
        <w:rPr>
          <w:szCs w:val="20"/>
          <w:lang w:val="en-GB"/>
        </w:rPr>
        <w:t xml:space="preserve"> </w:t>
      </w:r>
      <w:r w:rsidR="0088571B" w:rsidRPr="00501300">
        <w:rPr>
          <w:szCs w:val="20"/>
          <w:lang w:val="en-GB"/>
        </w:rPr>
        <w:br/>
      </w:r>
      <w:hyperlink r:id="rId12" w:history="1">
        <w:r w:rsidR="00445E19" w:rsidRPr="00501300">
          <w:rPr>
            <w:rStyle w:val="Hipercze"/>
            <w:iCs/>
            <w:color w:val="auto"/>
            <w:szCs w:val="20"/>
            <w:u w:val="none"/>
            <w:lang w:val="en-GB"/>
          </w:rPr>
          <w:t>https://orcid.org/0000-0002-4728-4640</w:t>
        </w:r>
      </w:hyperlink>
    </w:p>
    <w:p w14:paraId="293763D7" w14:textId="76940624" w:rsidR="00DD2759" w:rsidRPr="00501300" w:rsidRDefault="00D046F8" w:rsidP="001E37B0">
      <w:pPr>
        <w:pStyle w:val="Rafiliacja"/>
        <w:rPr>
          <w:szCs w:val="20"/>
          <w:lang w:val="en-GB"/>
        </w:rPr>
      </w:pPr>
      <w:r w:rsidRPr="00501300">
        <w:rPr>
          <w:szCs w:val="20"/>
          <w:vertAlign w:val="superscript"/>
          <w:lang w:val="en-GB"/>
        </w:rPr>
        <w:t>6</w:t>
      </w:r>
      <w:r w:rsidRPr="00501300">
        <w:rPr>
          <w:szCs w:val="20"/>
          <w:lang w:val="en-GB"/>
        </w:rPr>
        <w:t>Department of Economic and Law</w:t>
      </w:r>
      <w:r w:rsidR="00116981" w:rsidRPr="00501300">
        <w:rPr>
          <w:szCs w:val="20"/>
          <w:lang w:val="en-GB"/>
        </w:rPr>
        <w:t>,</w:t>
      </w:r>
      <w:r w:rsidRPr="00501300">
        <w:rPr>
          <w:szCs w:val="20"/>
          <w:lang w:val="en-GB"/>
        </w:rPr>
        <w:t xml:space="preserve"> </w:t>
      </w:r>
      <w:r w:rsidR="00445E19" w:rsidRPr="00501300">
        <w:rPr>
          <w:szCs w:val="20"/>
          <w:lang w:val="en-GB"/>
        </w:rPr>
        <w:t>National University of Food Technologies, Kyiv, Ukraine</w:t>
      </w:r>
      <w:r w:rsidR="00116981" w:rsidRPr="00501300">
        <w:rPr>
          <w:szCs w:val="20"/>
          <w:lang w:val="en-GB"/>
        </w:rPr>
        <w:t xml:space="preserve"> </w:t>
      </w:r>
      <w:r w:rsidR="0088571B" w:rsidRPr="00501300">
        <w:rPr>
          <w:szCs w:val="20"/>
          <w:lang w:val="en-GB"/>
        </w:rPr>
        <w:br/>
      </w:r>
      <w:hyperlink r:id="rId13" w:history="1">
        <w:r w:rsidR="00445E19" w:rsidRPr="00501300">
          <w:rPr>
            <w:rStyle w:val="Hipercze"/>
            <w:iCs/>
            <w:color w:val="auto"/>
            <w:szCs w:val="20"/>
            <w:u w:val="none"/>
            <w:lang w:val="en-GB"/>
          </w:rPr>
          <w:t>https://orcid.org/0000-0002-7788-6060</w:t>
        </w:r>
      </w:hyperlink>
    </w:p>
    <w:p w14:paraId="77B102B8" w14:textId="76513E39" w:rsidR="00DD2759" w:rsidRPr="00501300" w:rsidRDefault="00D046F8" w:rsidP="001E37B0">
      <w:pPr>
        <w:pStyle w:val="Rafiliacja"/>
        <w:rPr>
          <w:szCs w:val="20"/>
          <w:lang w:val="en-GB"/>
        </w:rPr>
      </w:pPr>
      <w:r w:rsidRPr="00501300">
        <w:rPr>
          <w:szCs w:val="20"/>
          <w:vertAlign w:val="superscript"/>
          <w:lang w:val="en-GB"/>
        </w:rPr>
        <w:t>7</w:t>
      </w:r>
      <w:r w:rsidRPr="00501300">
        <w:rPr>
          <w:szCs w:val="20"/>
          <w:lang w:val="en-GB"/>
        </w:rPr>
        <w:t>Department of Trade Entrepreneurship, Commodity Studies and Business Management</w:t>
      </w:r>
      <w:r w:rsidR="00116981" w:rsidRPr="00501300">
        <w:rPr>
          <w:szCs w:val="20"/>
          <w:lang w:val="en-GB"/>
        </w:rPr>
        <w:t xml:space="preserve">, </w:t>
      </w:r>
      <w:r w:rsidR="0088571B" w:rsidRPr="00501300">
        <w:rPr>
          <w:szCs w:val="20"/>
          <w:lang w:val="en-GB"/>
        </w:rPr>
        <w:br/>
      </w:r>
      <w:r w:rsidR="00DD2759" w:rsidRPr="00501300">
        <w:rPr>
          <w:szCs w:val="20"/>
          <w:lang w:val="en-GB"/>
        </w:rPr>
        <w:t>Odesa National University of Technology, Odesa, Ukraine</w:t>
      </w:r>
      <w:r w:rsidR="00116981" w:rsidRPr="00501300">
        <w:rPr>
          <w:szCs w:val="20"/>
          <w:lang w:val="en-GB"/>
        </w:rPr>
        <w:t xml:space="preserve"> </w:t>
      </w:r>
      <w:r w:rsidR="0088571B" w:rsidRPr="00501300">
        <w:rPr>
          <w:szCs w:val="20"/>
          <w:lang w:val="en-GB"/>
        </w:rPr>
        <w:br/>
      </w:r>
      <w:hyperlink r:id="rId14" w:history="1">
        <w:r w:rsidR="00DD2759" w:rsidRPr="00501300">
          <w:rPr>
            <w:rStyle w:val="Hipercze"/>
            <w:iCs/>
            <w:color w:val="auto"/>
            <w:szCs w:val="20"/>
            <w:u w:val="none"/>
            <w:lang w:val="en-GB"/>
          </w:rPr>
          <w:t>https://orcid.org/0000-0001-8612-3834</w:t>
        </w:r>
      </w:hyperlink>
    </w:p>
    <w:p w14:paraId="24074336" w14:textId="12767314" w:rsidR="00DD2759" w:rsidRPr="00501300" w:rsidRDefault="00DD2759" w:rsidP="001E37B0">
      <w:pPr>
        <w:pStyle w:val="Rauco"/>
        <w:rPr>
          <w:szCs w:val="20"/>
        </w:rPr>
      </w:pPr>
      <w:r w:rsidRPr="00501300">
        <w:rPr>
          <w:szCs w:val="20"/>
        </w:rPr>
        <w:t>*</w:t>
      </w:r>
      <w:r w:rsidR="00116981" w:rsidRPr="00501300">
        <w:rPr>
          <w:szCs w:val="20"/>
        </w:rPr>
        <w:t>c</w:t>
      </w:r>
      <w:r w:rsidRPr="00501300">
        <w:rPr>
          <w:szCs w:val="20"/>
        </w:rPr>
        <w:t>orresponding author</w:t>
      </w:r>
      <w:r w:rsidR="00E975FE" w:rsidRPr="00501300">
        <w:rPr>
          <w:szCs w:val="20"/>
        </w:rPr>
        <w:t>'</w:t>
      </w:r>
      <w:r w:rsidRPr="00501300">
        <w:rPr>
          <w:szCs w:val="20"/>
        </w:rPr>
        <w:t>s e-mail: gy__89@ukr.net</w:t>
      </w:r>
    </w:p>
    <w:p w14:paraId="2CE1CDC3" w14:textId="16342E73" w:rsidR="00751F61" w:rsidRPr="00396ECD" w:rsidRDefault="00922283" w:rsidP="001E37B0">
      <w:pPr>
        <w:pStyle w:val="Rab1"/>
      </w:pPr>
      <w:r w:rsidRPr="00396ECD">
        <w:rPr>
          <w:b/>
          <w:bCs/>
        </w:rPr>
        <w:t xml:space="preserve">Abstract: </w:t>
      </w:r>
      <w:r w:rsidRPr="00396ECD">
        <w:t xml:space="preserve">The article examines marketing-oriented foresight as a strategic tool for agrarian enterprises </w:t>
      </w:r>
      <w:r w:rsidR="00E975FE">
        <w:t>amid</w:t>
      </w:r>
      <w:r w:rsidRPr="00396ECD">
        <w:t xml:space="preserve"> global instability. The theoretical and methodological foundations of integrating the marketing approach with foresight technologies in agricultural strategic management are defined. The authors substantiate an original concept of «marketing-oriented foresight» that combines prognostic-analytical methods, market orientation, and strategic planning adapted to agribusiness specifics. A structural-functional model for marketing-oriented foresight implementation across enterprises of various sizes is proposed, and international experience is </w:t>
      </w:r>
      <w:proofErr w:type="spellStart"/>
      <w:r w:rsidRPr="00396ECD">
        <w:t>analyzed</w:t>
      </w:r>
      <w:proofErr w:type="spellEnd"/>
      <w:r w:rsidRPr="00396ECD">
        <w:t xml:space="preserve"> with recommendations for Ukrainian adaptation. The impact of digitalization, climate change, and geopolitical turbulence on the strategic marketing transformation of agrarian enterprises is </w:t>
      </w:r>
      <w:proofErr w:type="spellStart"/>
      <w:r w:rsidRPr="00396ECD">
        <w:t>analyzed</w:t>
      </w:r>
      <w:proofErr w:type="spellEnd"/>
      <w:r w:rsidRPr="00396ECD">
        <w:t>. Special attention is paid to environmental variables — carbon footprint, biodiversity conservation, soil health, and circular</w:t>
      </w:r>
      <w:r w:rsidR="00E975FE">
        <w:t>-economy principles — as core components of foresight</w:t>
      </w:r>
      <w:r w:rsidRPr="00396ECD">
        <w:t xml:space="preserve">. The EU Green Deal and Farm to Fork strategy are shown to function not merely as regulatory constraints but as key drivers of marketing-oriented environmental adaptation; neglecting these dimensions leads to systematic overoptimism regarding export competitiveness in EU markets. The interdependence between marketing orientation level and foresight effectiveness is established. A methodological approach to assessing enterprise readiness for marketing-oriented foresight implementation is proposed and empirically tested </w:t>
      </w:r>
      <w:r w:rsidR="00E975FE">
        <w:t>through a survey of 130 agrarian enterprises in Kharkiv, Poltava, Dnipropetrovsk, and Sumy oblasts (</w:t>
      </w:r>
      <w:r w:rsidRPr="00396ECD">
        <w:t>2021 and 2023). Directions for further development of foresight practices in Ukraine</w:t>
      </w:r>
      <w:r w:rsidR="00E975FE">
        <w:t>'</w:t>
      </w:r>
      <w:r w:rsidRPr="00396ECD">
        <w:t>s agricultural sector under post-war recovery and European integration are outlined.</w:t>
      </w:r>
    </w:p>
    <w:p w14:paraId="6D9F6C95" w14:textId="1532631B" w:rsidR="00751F61" w:rsidRPr="00396ECD" w:rsidRDefault="00922283" w:rsidP="001E37B0">
      <w:pPr>
        <w:pStyle w:val="Rab2"/>
      </w:pPr>
      <w:r w:rsidRPr="00396ECD">
        <w:rPr>
          <w:b/>
          <w:bCs/>
        </w:rPr>
        <w:t xml:space="preserve">Keywords: </w:t>
      </w:r>
      <w:r w:rsidRPr="00396ECD">
        <w:t>marketing-oriented foresight, agrarian enterprises, strategic planning, marketing, forecasting, agri-food market, competitiveness, digitalization, European integration, strategic management, environmental sustainability, carbon footprint, circular economy, climate adaptation, biodiversity, EU Green Deal</w:t>
      </w:r>
    </w:p>
    <w:p w14:paraId="1815798E" w14:textId="67981B3C" w:rsidR="00344843" w:rsidRPr="00396ECD" w:rsidRDefault="00116981" w:rsidP="001E37B0">
      <w:pPr>
        <w:pStyle w:val="Rn1"/>
        <w:rPr>
          <w:lang w:val="en-GB"/>
        </w:rPr>
      </w:pPr>
      <w:r w:rsidRPr="00396ECD">
        <w:rPr>
          <w:lang w:val="en-GB"/>
        </w:rPr>
        <w:t xml:space="preserve">1. </w:t>
      </w:r>
      <w:r w:rsidR="00344843" w:rsidRPr="00396ECD">
        <w:rPr>
          <w:lang w:val="en-GB"/>
        </w:rPr>
        <w:t>Introduction</w:t>
      </w:r>
    </w:p>
    <w:p w14:paraId="0AE505F2" w14:textId="2F6F687E" w:rsidR="00344843" w:rsidRPr="00396ECD" w:rsidRDefault="00344843" w:rsidP="00116981">
      <w:pPr>
        <w:pStyle w:val="NormalnyWeb"/>
        <w:spacing w:before="0" w:beforeAutospacing="0" w:after="0" w:afterAutospacing="0"/>
        <w:ind w:firstLine="284"/>
        <w:jc w:val="both"/>
        <w:rPr>
          <w:sz w:val="22"/>
          <w:szCs w:val="22"/>
          <w:lang w:val="en-GB"/>
        </w:rPr>
      </w:pPr>
      <w:r w:rsidRPr="00396ECD">
        <w:rPr>
          <w:sz w:val="22"/>
          <w:szCs w:val="22"/>
          <w:lang w:val="en-GB"/>
        </w:rPr>
        <w:t>The current state of Ukraine</w:t>
      </w:r>
      <w:r w:rsidR="00E975FE">
        <w:rPr>
          <w:sz w:val="22"/>
          <w:szCs w:val="22"/>
          <w:lang w:val="en-GB"/>
        </w:rPr>
        <w:t>'</w:t>
      </w:r>
      <w:r w:rsidRPr="00396ECD">
        <w:rPr>
          <w:sz w:val="22"/>
          <w:szCs w:val="22"/>
          <w:lang w:val="en-GB"/>
        </w:rPr>
        <w:t>s agricultural sector is characterized by an unprecedented combination of challenges and opportunities, which calls for fundamentally new approaches to the strategic management of enterprises in the industry. On the one hand, Russia</w:t>
      </w:r>
      <w:r w:rsidR="00E975FE">
        <w:rPr>
          <w:sz w:val="22"/>
          <w:szCs w:val="22"/>
          <w:lang w:val="en-GB"/>
        </w:rPr>
        <w:t>'</w:t>
      </w:r>
      <w:r w:rsidRPr="00396ECD">
        <w:rPr>
          <w:sz w:val="22"/>
          <w:szCs w:val="22"/>
          <w:lang w:val="en-GB"/>
        </w:rPr>
        <w:t>s full-scale invasion has significantly destabilized the production and marketing activities of agricultural producers, caused substantial damage to the material and technical base, disrupted logistics supply chains, and altered the configuration of foreign trade flows. On the other hand, the prospect of European integration, large-scale recovery programs, and growing demand for food in global markets open</w:t>
      </w:r>
      <w:r w:rsidR="00E975FE">
        <w:rPr>
          <w:sz w:val="22"/>
          <w:szCs w:val="22"/>
          <w:lang w:val="en-GB"/>
        </w:rPr>
        <w:t>s new development horizons for</w:t>
      </w:r>
      <w:r w:rsidRPr="00396ECD">
        <w:rPr>
          <w:sz w:val="22"/>
          <w:szCs w:val="22"/>
          <w:lang w:val="en-GB"/>
        </w:rPr>
        <w:t xml:space="preserve"> enterprises that can effectively adapt to the new conditions.</w:t>
      </w:r>
    </w:p>
    <w:p w14:paraId="72C51C17" w14:textId="3D3BA2EC" w:rsidR="00D6127A" w:rsidRPr="00396ECD" w:rsidRDefault="00D6127A" w:rsidP="00116981">
      <w:pPr>
        <w:pStyle w:val="NormalnyWeb"/>
        <w:spacing w:before="0" w:beforeAutospacing="0" w:after="0" w:afterAutospacing="0"/>
        <w:ind w:firstLine="284"/>
        <w:jc w:val="both"/>
        <w:rPr>
          <w:sz w:val="22"/>
          <w:szCs w:val="22"/>
          <w:lang w:val="en-GB"/>
        </w:rPr>
      </w:pPr>
      <w:r w:rsidRPr="00396ECD">
        <w:rPr>
          <w:sz w:val="22"/>
          <w:szCs w:val="22"/>
          <w:lang w:val="en-GB"/>
        </w:rPr>
        <w:t xml:space="preserve">Furthermore, the environmental dimension of agrarian development is no longer a matter of voluntary corporate social responsibility but a hard constraint and a competitive battlefield. Global agri-food chains are rapidly introducing carbon border adjustment mechanisms, biodiversity disclosure requirements, and </w:t>
      </w:r>
      <w:r w:rsidR="00E975FE">
        <w:rPr>
          <w:sz w:val="22"/>
          <w:szCs w:val="22"/>
          <w:lang w:val="en-GB"/>
        </w:rPr>
        <w:t>environmental footprint traceability</w:t>
      </w:r>
      <w:r w:rsidRPr="00396ECD">
        <w:rPr>
          <w:sz w:val="22"/>
          <w:szCs w:val="22"/>
          <w:lang w:val="en-GB"/>
        </w:rPr>
        <w:t xml:space="preserve">. Ukrainian agrarian enterprises, even in the context of post-war recovery, must integrate these environmental parameters into their strategic foresight — otherwise, they risk losing access to </w:t>
      </w:r>
      <w:r w:rsidRPr="00396ECD">
        <w:rPr>
          <w:sz w:val="22"/>
          <w:szCs w:val="22"/>
          <w:lang w:val="en-GB"/>
        </w:rPr>
        <w:lastRenderedPageBreak/>
        <w:t>EU and global markets. This transforms environmental sustainability from an external threat into a marketing-oriented strategic resource.</w:t>
      </w:r>
    </w:p>
    <w:p w14:paraId="0F21C1B9" w14:textId="19856560" w:rsidR="00344843" w:rsidRPr="00396ECD" w:rsidRDefault="00344843" w:rsidP="00116981">
      <w:pPr>
        <w:pStyle w:val="NormalnyWeb"/>
        <w:spacing w:before="0" w:beforeAutospacing="0" w:after="0" w:afterAutospacing="0"/>
        <w:ind w:firstLine="284"/>
        <w:jc w:val="both"/>
        <w:rPr>
          <w:sz w:val="22"/>
          <w:szCs w:val="22"/>
          <w:lang w:val="en-GB"/>
        </w:rPr>
      </w:pPr>
      <w:r w:rsidRPr="00396ECD">
        <w:rPr>
          <w:sz w:val="22"/>
          <w:szCs w:val="22"/>
          <w:lang w:val="en-GB"/>
        </w:rPr>
        <w:t xml:space="preserve">In this context, the ability of agricultural enterprises not merely to react to changes in the external environment, but to anticipate them and formulate appropriate strategic responses in advance, takes on particular significance. This is where foresight comes to the fore – a methodology of long-term forecasting that allows for </w:t>
      </w:r>
      <w:proofErr w:type="spellStart"/>
      <w:r w:rsidRPr="00396ECD">
        <w:rPr>
          <w:sz w:val="22"/>
          <w:szCs w:val="22"/>
          <w:lang w:val="en-GB"/>
        </w:rPr>
        <w:t>modeling</w:t>
      </w:r>
      <w:proofErr w:type="spellEnd"/>
      <w:r w:rsidRPr="00396ECD">
        <w:rPr>
          <w:sz w:val="22"/>
          <w:szCs w:val="22"/>
          <w:lang w:val="en-GB"/>
        </w:rPr>
        <w:t xml:space="preserve"> possible future scenarios and making informed management decisions in conditions of uncertainty. However, traditional foresight methods, developed primarily for the national level or the industry as a whole, require significant adaptation for application at the </w:t>
      </w:r>
      <w:r w:rsidR="00E975FE">
        <w:rPr>
          <w:sz w:val="22"/>
          <w:szCs w:val="22"/>
          <w:lang w:val="en-GB"/>
        </w:rPr>
        <w:t>individual enterprise level</w:t>
      </w:r>
      <w:r w:rsidRPr="00396ECD">
        <w:rPr>
          <w:sz w:val="22"/>
          <w:szCs w:val="22"/>
          <w:lang w:val="en-GB"/>
        </w:rPr>
        <w:t>, especially in the agricultural sector.</w:t>
      </w:r>
    </w:p>
    <w:p w14:paraId="1D11A183" w14:textId="55F39361" w:rsidR="00344843" w:rsidRPr="00396ECD" w:rsidRDefault="00344843" w:rsidP="00116981">
      <w:pPr>
        <w:pStyle w:val="NormalnyWeb"/>
        <w:spacing w:before="0" w:beforeAutospacing="0" w:after="0" w:afterAutospacing="0"/>
        <w:ind w:firstLine="284"/>
        <w:jc w:val="both"/>
        <w:rPr>
          <w:sz w:val="22"/>
          <w:szCs w:val="22"/>
          <w:lang w:val="en-GB"/>
        </w:rPr>
      </w:pPr>
      <w:r w:rsidRPr="00396ECD">
        <w:rPr>
          <w:sz w:val="22"/>
          <w:szCs w:val="22"/>
          <w:lang w:val="en-GB"/>
        </w:rPr>
        <w:t>It is fundamentally important to combine foresight with the enterprise</w:t>
      </w:r>
      <w:r w:rsidR="00E975FE">
        <w:rPr>
          <w:sz w:val="22"/>
          <w:szCs w:val="22"/>
          <w:lang w:val="en-GB"/>
        </w:rPr>
        <w:t>'</w:t>
      </w:r>
      <w:r w:rsidRPr="00396ECD">
        <w:rPr>
          <w:sz w:val="22"/>
          <w:szCs w:val="22"/>
          <w:lang w:val="en-GB"/>
        </w:rPr>
        <w:t>s marketing orientation. Marketing-oriented foresight involves not only forecasting general trends but also systematically studying the evolution of consumer preferences, the transformation of market structures, changes in the competitive environment, and the development of corresponding long-term marketing strategies. This approach allows an agricultural enterprise to remain competitive not only today but also to secure a stable market position in the long term.</w:t>
      </w:r>
    </w:p>
    <w:p w14:paraId="486DE71F" w14:textId="7AEA8412" w:rsidR="00344843" w:rsidRPr="00396ECD" w:rsidRDefault="00344843" w:rsidP="00116981">
      <w:pPr>
        <w:pStyle w:val="NormalnyWeb"/>
        <w:spacing w:before="0" w:beforeAutospacing="0" w:after="0" w:afterAutospacing="0"/>
        <w:ind w:firstLine="284"/>
        <w:jc w:val="both"/>
        <w:rPr>
          <w:sz w:val="22"/>
          <w:szCs w:val="22"/>
          <w:lang w:val="en-GB"/>
        </w:rPr>
      </w:pPr>
      <w:r w:rsidRPr="00396ECD">
        <w:rPr>
          <w:sz w:val="22"/>
          <w:szCs w:val="22"/>
          <w:lang w:val="en-GB"/>
        </w:rPr>
        <w:t>The re</w:t>
      </w:r>
      <w:r w:rsidR="00E975FE">
        <w:rPr>
          <w:sz w:val="22"/>
          <w:szCs w:val="22"/>
          <w:lang w:val="en-GB"/>
        </w:rPr>
        <w:t>search topic's relevance</w:t>
      </w:r>
      <w:r w:rsidRPr="00396ECD">
        <w:rPr>
          <w:sz w:val="22"/>
          <w:szCs w:val="22"/>
          <w:lang w:val="en-GB"/>
        </w:rPr>
        <w:t xml:space="preserve"> is also driven by several interrelated trends shaping the current development of agri-food markets. First, there is the acceleration of technological change in agriculture, linked to the spread of precision farming, artificial intelligence, biotechnology, and digital platforms. Second, there is </w:t>
      </w:r>
      <w:r w:rsidR="00E975FE">
        <w:rPr>
          <w:sz w:val="22"/>
          <w:szCs w:val="22"/>
          <w:lang w:val="en-GB"/>
        </w:rPr>
        <w:t>growing consumer environmental awareness and tightening</w:t>
      </w:r>
      <w:r w:rsidRPr="00396ECD">
        <w:rPr>
          <w:sz w:val="22"/>
          <w:szCs w:val="22"/>
          <w:lang w:val="en-GB"/>
        </w:rPr>
        <w:t xml:space="preserve"> regulatory requirements for the environmental sustainability of agricultural production amid the implementation of the EU Green Deal. Third, it is climate change, which is significantly transforming the conditions of agricultural production and requiring a </w:t>
      </w:r>
      <w:proofErr w:type="spellStart"/>
      <w:r w:rsidRPr="00396ECD">
        <w:rPr>
          <w:sz w:val="22"/>
          <w:szCs w:val="22"/>
          <w:lang w:val="en-GB"/>
        </w:rPr>
        <w:t>reevaluation</w:t>
      </w:r>
      <w:proofErr w:type="spellEnd"/>
      <w:r w:rsidRPr="00396ECD">
        <w:rPr>
          <w:sz w:val="22"/>
          <w:szCs w:val="22"/>
          <w:lang w:val="en-GB"/>
        </w:rPr>
        <w:t xml:space="preserve"> of traditional agricultural technologies and farming systems. Fourth, </w:t>
      </w:r>
      <w:r w:rsidR="00E975FE">
        <w:rPr>
          <w:sz w:val="22"/>
          <w:szCs w:val="22"/>
          <w:lang w:val="en-GB"/>
        </w:rPr>
        <w:t>geopolitical instability</w:t>
      </w:r>
      <w:r w:rsidRPr="00396ECD">
        <w:rPr>
          <w:sz w:val="22"/>
          <w:szCs w:val="22"/>
          <w:lang w:val="en-GB"/>
        </w:rPr>
        <w:t xml:space="preserve"> leads to sharp fluctuations in prices for agricultural raw materials and finished products on global markets.</w:t>
      </w:r>
    </w:p>
    <w:p w14:paraId="3B486382" w14:textId="64ADE67A" w:rsidR="00344843" w:rsidRPr="00396ECD" w:rsidRDefault="0012711B" w:rsidP="00116981">
      <w:pPr>
        <w:pStyle w:val="NormalnyWeb"/>
        <w:spacing w:before="0" w:beforeAutospacing="0" w:after="0" w:afterAutospacing="0"/>
        <w:ind w:firstLine="284"/>
        <w:jc w:val="both"/>
        <w:rPr>
          <w:sz w:val="22"/>
          <w:szCs w:val="22"/>
          <w:lang w:val="en-GB"/>
        </w:rPr>
      </w:pPr>
      <w:r w:rsidRPr="00396ECD">
        <w:rPr>
          <w:sz w:val="22"/>
          <w:szCs w:val="22"/>
          <w:lang w:val="en-GB"/>
        </w:rPr>
        <w:t xml:space="preserve">Despite growing scientific interest in foresight issues in the agricultural sector, the topic of marketing-oriented foresight as a comprehensive concept for the strategic management of agricultural enterprises remains underdeveloped in domestic scientific literature. Most existing studies either focus exclusively on macro-level foresight research in the agricultural sector or, conversely, consider marketing planning without </w:t>
      </w:r>
      <w:r w:rsidR="00E975FE">
        <w:rPr>
          <w:sz w:val="22"/>
          <w:szCs w:val="22"/>
          <w:lang w:val="en-GB"/>
        </w:rPr>
        <w:t>accounting for foresight methodology</w:t>
      </w:r>
      <w:r w:rsidRPr="00396ECD">
        <w:rPr>
          <w:sz w:val="22"/>
          <w:szCs w:val="22"/>
          <w:lang w:val="en-GB"/>
        </w:rPr>
        <w:t>. Moreover, the environmental dimension — carbon regulation, biodiversity requirements, circular economy principles — remains almost completely disconnected from marketing-oriented foresight in Ukrainian agrarian research, despite its critical importance for EU market access. Filling this research gap is the objective of this study.</w:t>
      </w:r>
    </w:p>
    <w:p w14:paraId="631E447F" w14:textId="77777777" w:rsidR="00344843" w:rsidRPr="00396ECD" w:rsidRDefault="00344843" w:rsidP="00116981">
      <w:pPr>
        <w:pStyle w:val="NormalnyWeb"/>
        <w:spacing w:before="0" w:beforeAutospacing="0" w:after="0" w:afterAutospacing="0"/>
        <w:ind w:firstLine="284"/>
        <w:jc w:val="both"/>
        <w:rPr>
          <w:sz w:val="22"/>
          <w:szCs w:val="22"/>
          <w:lang w:val="en-GB"/>
        </w:rPr>
      </w:pPr>
      <w:r w:rsidRPr="00396ECD">
        <w:rPr>
          <w:sz w:val="22"/>
          <w:szCs w:val="22"/>
          <w:lang w:val="en-GB"/>
        </w:rPr>
        <w:t xml:space="preserve">The purpose of this article is to provide a theoretical and methodological justification for marketing-oriented foresight as a strategic direction for agricultural enterprises and to develop practical recommendations for its implementation. To achieve this goal, the following tasks are addressed: clarifying the conceptual and categorical framework of marketing-oriented foresight in the agricultural sector; </w:t>
      </w:r>
      <w:proofErr w:type="spellStart"/>
      <w:r w:rsidRPr="00396ECD">
        <w:rPr>
          <w:sz w:val="22"/>
          <w:szCs w:val="22"/>
          <w:lang w:val="en-GB"/>
        </w:rPr>
        <w:t>analyzing</w:t>
      </w:r>
      <w:proofErr w:type="spellEnd"/>
      <w:r w:rsidRPr="00396ECD">
        <w:rPr>
          <w:sz w:val="22"/>
          <w:szCs w:val="22"/>
          <w:lang w:val="en-GB"/>
        </w:rPr>
        <w:t xml:space="preserve"> the methodological foundations for combining the marketing approach with foresight technologies; developing a structural-functional model of marketing-oriented foresight for agricultural enterprises; studying international experience and formulating recommendations for Ukrainian agricultural producers.</w:t>
      </w:r>
    </w:p>
    <w:p w14:paraId="1B36A6E9" w14:textId="00DF220E" w:rsidR="00460C45" w:rsidRPr="00396ECD" w:rsidRDefault="005021CF" w:rsidP="005021CF">
      <w:pPr>
        <w:pStyle w:val="Rn1"/>
        <w:rPr>
          <w:lang w:val="en-GB"/>
        </w:rPr>
      </w:pPr>
      <w:r w:rsidRPr="00396ECD">
        <w:rPr>
          <w:lang w:val="en-GB"/>
        </w:rPr>
        <w:t xml:space="preserve">2. </w:t>
      </w:r>
      <w:r w:rsidR="00460C45" w:rsidRPr="00396ECD">
        <w:rPr>
          <w:lang w:val="en-GB"/>
        </w:rPr>
        <w:t xml:space="preserve">Literature </w:t>
      </w:r>
      <w:r w:rsidRPr="00396ECD">
        <w:rPr>
          <w:lang w:val="en-GB"/>
        </w:rPr>
        <w:t>R</w:t>
      </w:r>
      <w:r w:rsidR="00460C45" w:rsidRPr="00396ECD">
        <w:rPr>
          <w:lang w:val="en-GB"/>
        </w:rPr>
        <w:t xml:space="preserve">eview and </w:t>
      </w:r>
      <w:r w:rsidRPr="00396ECD">
        <w:rPr>
          <w:lang w:val="en-GB"/>
        </w:rPr>
        <w:t>A</w:t>
      </w:r>
      <w:r w:rsidR="00460C45" w:rsidRPr="00396ECD">
        <w:rPr>
          <w:lang w:val="en-GB"/>
        </w:rPr>
        <w:t xml:space="preserve">nalysis of </w:t>
      </w:r>
      <w:r w:rsidRPr="00396ECD">
        <w:rPr>
          <w:lang w:val="en-GB"/>
        </w:rPr>
        <w:t>P</w:t>
      </w:r>
      <w:r w:rsidR="00460C45" w:rsidRPr="00396ECD">
        <w:rPr>
          <w:lang w:val="en-GB"/>
        </w:rPr>
        <w:t xml:space="preserve">revious </w:t>
      </w:r>
      <w:r w:rsidRPr="00396ECD">
        <w:rPr>
          <w:lang w:val="en-GB"/>
        </w:rPr>
        <w:t>R</w:t>
      </w:r>
      <w:r w:rsidR="00460C45" w:rsidRPr="00396ECD">
        <w:rPr>
          <w:lang w:val="en-GB"/>
        </w:rPr>
        <w:t>esearch</w:t>
      </w:r>
    </w:p>
    <w:p w14:paraId="1AAE0C44" w14:textId="20F921B6" w:rsidR="00460C45" w:rsidRPr="00396ECD" w:rsidRDefault="00C733E9" w:rsidP="00116981">
      <w:pPr>
        <w:pStyle w:val="NormalnyWeb"/>
        <w:spacing w:before="0" w:beforeAutospacing="0" w:after="0" w:afterAutospacing="0"/>
        <w:ind w:firstLine="284"/>
        <w:jc w:val="both"/>
        <w:rPr>
          <w:sz w:val="22"/>
          <w:szCs w:val="22"/>
          <w:lang w:val="en-GB"/>
        </w:rPr>
      </w:pPr>
      <w:r w:rsidRPr="00396ECD">
        <w:rPr>
          <w:sz w:val="22"/>
          <w:szCs w:val="22"/>
          <w:shd w:val="clear" w:color="auto" w:fill="FFFFFF"/>
          <w:lang w:val="en-GB"/>
        </w:rPr>
        <w:t xml:space="preserve">The concept of foresight as a tool for strategic anticipation and future management has come a long way, beginning with the first technology forecasts that emerged in the United States in the 1950s. The seminal works of Kahn and Wiener (1967), </w:t>
      </w:r>
      <w:proofErr w:type="spellStart"/>
      <w:r w:rsidRPr="00396ECD">
        <w:rPr>
          <w:sz w:val="22"/>
          <w:szCs w:val="22"/>
          <w:shd w:val="clear" w:color="auto" w:fill="FFFFFF"/>
          <w:lang w:val="en-GB"/>
        </w:rPr>
        <w:t>Gillechrist</w:t>
      </w:r>
      <w:proofErr w:type="spellEnd"/>
      <w:r w:rsidRPr="00396ECD">
        <w:rPr>
          <w:sz w:val="22"/>
          <w:szCs w:val="22"/>
          <w:shd w:val="clear" w:color="auto" w:fill="FFFFFF"/>
          <w:lang w:val="en-GB"/>
        </w:rPr>
        <w:t xml:space="preserve"> (1982), and later Popper (2008) and </w:t>
      </w:r>
      <w:r w:rsidRPr="00396ECD">
        <w:rPr>
          <w:sz w:val="22"/>
          <w:szCs w:val="22"/>
          <w:lang w:val="en-GB"/>
        </w:rPr>
        <w:t>Mulvihill</w:t>
      </w:r>
      <w:r w:rsidRPr="00396ECD">
        <w:rPr>
          <w:sz w:val="22"/>
          <w:szCs w:val="22"/>
          <w:shd w:val="clear" w:color="auto" w:fill="FFFFFF"/>
          <w:lang w:val="en-GB"/>
        </w:rPr>
        <w:t xml:space="preserve"> (2009) laid the methodological foundations of foresight as a scientific discipline. Foresight is defined as a systematic process of constructing medium- and long-term perspectives in science, technology, the economy, and society </w:t>
      </w:r>
      <w:r w:rsidR="00E975FE">
        <w:rPr>
          <w:sz w:val="22"/>
          <w:szCs w:val="22"/>
          <w:shd w:val="clear" w:color="auto" w:fill="FFFFFF"/>
          <w:lang w:val="en-GB"/>
        </w:rPr>
        <w:t>to identify</w:t>
      </w:r>
      <w:r w:rsidRPr="00396ECD">
        <w:rPr>
          <w:sz w:val="22"/>
          <w:szCs w:val="22"/>
          <w:shd w:val="clear" w:color="auto" w:fill="FFFFFF"/>
          <w:lang w:val="en-GB"/>
        </w:rPr>
        <w:t xml:space="preserve"> new technologies and areas of strategic research that will yield the greatest economic and social benefits (Popper, 2008). This definition emphasizes foresight's focus not merely on prediction, but also on actively shaping the desired future.</w:t>
      </w:r>
    </w:p>
    <w:p w14:paraId="22195B74" w14:textId="77777777" w:rsidR="00460C45" w:rsidRPr="00396ECD" w:rsidRDefault="00C733E9" w:rsidP="00116981">
      <w:pPr>
        <w:pStyle w:val="NormalnyWeb"/>
        <w:spacing w:before="0" w:beforeAutospacing="0" w:after="0" w:afterAutospacing="0"/>
        <w:ind w:firstLine="284"/>
        <w:jc w:val="both"/>
        <w:rPr>
          <w:sz w:val="22"/>
          <w:szCs w:val="22"/>
          <w:lang w:val="en-GB"/>
        </w:rPr>
      </w:pPr>
      <w:r w:rsidRPr="00396ECD">
        <w:rPr>
          <w:sz w:val="22"/>
          <w:szCs w:val="22"/>
          <w:shd w:val="clear" w:color="auto" w:fill="FFFFFF"/>
          <w:lang w:val="en-GB"/>
        </w:rPr>
        <w:t xml:space="preserve">In the context of the agricultural sector, foresight research has become widespread primarily at the level of the Food and Agriculture Organization of the United Nations (FAO), the Organization for Economic Cooperation and Development (OECD), and leading national research </w:t>
      </w:r>
      <w:proofErr w:type="spellStart"/>
      <w:r w:rsidRPr="00396ECD">
        <w:rPr>
          <w:sz w:val="22"/>
          <w:szCs w:val="22"/>
          <w:shd w:val="clear" w:color="auto" w:fill="FFFFFF"/>
          <w:lang w:val="en-GB"/>
        </w:rPr>
        <w:t>centers</w:t>
      </w:r>
      <w:proofErr w:type="spellEnd"/>
      <w:r w:rsidRPr="00396ECD">
        <w:rPr>
          <w:sz w:val="22"/>
          <w:szCs w:val="22"/>
          <w:shd w:val="clear" w:color="auto" w:fill="FFFFFF"/>
          <w:lang w:val="en-GB"/>
        </w:rPr>
        <w:t>. In particular, foresight projects such as "Agri-Food 2050" (OECD-FAO, 2022), the FAO's "Future of Food and Agriculture" (FAO, 2018), and similar initiatives have shaped a comprehensive vision of long-term trends in the global agricultural sector. Among the key challenges identified in these studies are: the need to ensure food security for the planet's growing population, which is projected to reach 9.7 billion people by 2050; climate change, which threatens to reduce yields of major crops in traditional farming regions; depletion of natural resources (soil, water, biodiversity); and the transformation of food consumption patterns toward greater sustainability and environmental friendliness.</w:t>
      </w:r>
    </w:p>
    <w:p w14:paraId="41D6474F" w14:textId="3222F380" w:rsidR="00460C45" w:rsidRPr="00396ECD" w:rsidRDefault="00C733E9" w:rsidP="00116981">
      <w:pPr>
        <w:pStyle w:val="NormalnyWeb"/>
        <w:spacing w:before="0" w:beforeAutospacing="0" w:after="0" w:afterAutospacing="0"/>
        <w:ind w:firstLine="284"/>
        <w:jc w:val="both"/>
        <w:rPr>
          <w:sz w:val="22"/>
          <w:szCs w:val="22"/>
          <w:shd w:val="clear" w:color="auto" w:fill="FFFFFF"/>
          <w:lang w:val="en-GB"/>
        </w:rPr>
      </w:pPr>
      <w:r w:rsidRPr="00396ECD">
        <w:rPr>
          <w:sz w:val="22"/>
          <w:szCs w:val="22"/>
          <w:shd w:val="clear" w:color="auto" w:fill="FFFFFF"/>
          <w:lang w:val="en-GB"/>
        </w:rPr>
        <w:lastRenderedPageBreak/>
        <w:t xml:space="preserve">The marketing component of foresight began to be actively explored in the works of Kotler and Trias de Bes (2003), who introduced the concept of "lateral marketing" as a tool for identifying new market opportunities through unconventional thinking. The concept of market orientation, developed by </w:t>
      </w:r>
      <w:proofErr w:type="spellStart"/>
      <w:r w:rsidRPr="00396ECD">
        <w:rPr>
          <w:sz w:val="22"/>
          <w:szCs w:val="22"/>
          <w:shd w:val="clear" w:color="auto" w:fill="FFFFFF"/>
          <w:lang w:val="en-GB"/>
        </w:rPr>
        <w:t>Kochli</w:t>
      </w:r>
      <w:proofErr w:type="spellEnd"/>
      <w:r w:rsidRPr="00396ECD">
        <w:rPr>
          <w:sz w:val="22"/>
          <w:szCs w:val="22"/>
          <w:shd w:val="clear" w:color="auto" w:fill="FFFFFF"/>
          <w:lang w:val="en-GB"/>
        </w:rPr>
        <w:t xml:space="preserve"> and Jaworski (1990)</w:t>
      </w:r>
      <w:r w:rsidR="00E975FE">
        <w:rPr>
          <w:sz w:val="22"/>
          <w:szCs w:val="22"/>
          <w:shd w:val="clear" w:color="auto" w:fill="FFFFFF"/>
          <w:lang w:val="en-GB"/>
        </w:rPr>
        <w:t xml:space="preserve"> and further elaborated by </w:t>
      </w:r>
      <w:proofErr w:type="spellStart"/>
      <w:r w:rsidR="00E975FE">
        <w:rPr>
          <w:sz w:val="22"/>
          <w:szCs w:val="22"/>
          <w:shd w:val="clear" w:color="auto" w:fill="FFFFFF"/>
          <w:lang w:val="en-GB"/>
        </w:rPr>
        <w:t>Narver</w:t>
      </w:r>
      <w:proofErr w:type="spellEnd"/>
      <w:r w:rsidR="00E975FE">
        <w:rPr>
          <w:sz w:val="22"/>
          <w:szCs w:val="22"/>
          <w:shd w:val="clear" w:color="auto" w:fill="FFFFFF"/>
          <w:lang w:val="en-GB"/>
        </w:rPr>
        <w:t xml:space="preserve"> and Slater (1990), emphasizes the importance of systematically collecting and us</w:t>
      </w:r>
      <w:r w:rsidRPr="00396ECD">
        <w:rPr>
          <w:sz w:val="22"/>
          <w:szCs w:val="22"/>
          <w:shd w:val="clear" w:color="auto" w:fill="FFFFFF"/>
          <w:lang w:val="en-GB"/>
        </w:rPr>
        <w:t xml:space="preserve">ing market information to formulate competitive strategies. The combination of these ideas with </w:t>
      </w:r>
      <w:r w:rsidR="00E975FE">
        <w:rPr>
          <w:sz w:val="22"/>
          <w:szCs w:val="22"/>
          <w:shd w:val="clear" w:color="auto" w:fill="FFFFFF"/>
          <w:lang w:val="en-GB"/>
        </w:rPr>
        <w:t>the foresight methodology forms the methodological foundation of marketing-oriented foresight, which, by its nature,</w:t>
      </w:r>
      <w:r w:rsidRPr="00396ECD">
        <w:rPr>
          <w:sz w:val="22"/>
          <w:szCs w:val="22"/>
          <w:shd w:val="clear" w:color="auto" w:fill="FFFFFF"/>
          <w:lang w:val="en-GB"/>
        </w:rPr>
        <w:t xml:space="preserve"> is an integrative concept that unites the market orientation of an enterprise with the horizons of strategic foresight.</w:t>
      </w:r>
    </w:p>
    <w:p w14:paraId="4FD28686" w14:textId="3E0FE9F6" w:rsidR="00D6127A" w:rsidRPr="00396ECD" w:rsidRDefault="00D65F3A" w:rsidP="00116981">
      <w:pPr>
        <w:pStyle w:val="NormalnyWeb"/>
        <w:spacing w:before="0" w:beforeAutospacing="0" w:after="0" w:afterAutospacing="0"/>
        <w:ind w:firstLine="284"/>
        <w:jc w:val="both"/>
        <w:rPr>
          <w:sz w:val="22"/>
          <w:szCs w:val="22"/>
          <w:lang w:val="en-GB"/>
        </w:rPr>
      </w:pPr>
      <w:r w:rsidRPr="00396ECD">
        <w:rPr>
          <w:sz w:val="22"/>
          <w:szCs w:val="22"/>
          <w:lang w:val="en-GB"/>
        </w:rPr>
        <w:t>Recent foresight studies in agribusiness (</w:t>
      </w:r>
      <w:proofErr w:type="spellStart"/>
      <w:r w:rsidRPr="00396ECD">
        <w:rPr>
          <w:sz w:val="22"/>
          <w:szCs w:val="22"/>
          <w:lang w:val="en-GB"/>
        </w:rPr>
        <w:t>Bogonos</w:t>
      </w:r>
      <w:proofErr w:type="spellEnd"/>
      <w:r w:rsidRPr="00396ECD">
        <w:rPr>
          <w:sz w:val="22"/>
          <w:szCs w:val="22"/>
          <w:lang w:val="en-GB"/>
        </w:rPr>
        <w:t xml:space="preserve"> et al., 2023; </w:t>
      </w:r>
      <w:proofErr w:type="spellStart"/>
      <w:r w:rsidRPr="00396ECD">
        <w:rPr>
          <w:sz w:val="22"/>
          <w:szCs w:val="22"/>
          <w:lang w:val="en-GB"/>
        </w:rPr>
        <w:t>Saguy</w:t>
      </w:r>
      <w:proofErr w:type="spellEnd"/>
      <w:r w:rsidRPr="00396ECD">
        <w:rPr>
          <w:sz w:val="22"/>
          <w:szCs w:val="22"/>
          <w:lang w:val="en-GB"/>
        </w:rPr>
        <w:t xml:space="preserve"> et al., 2025) confirm that environmental scenarios — carbon pricing, soil degradation, water scarcity — are no longer peripheral but central to long-term competitiveness. The EU Green Deal and Farm to Fork strategy have transformed environmental performance from a matter of corporate reputation into a hard market access criterion. Nevertheless, in Ukrainian agrarian practice, the environmental dimension remains largely detached from marketing-oriented foresight, which constitutes a critical research gap addressed by this study.</w:t>
      </w:r>
    </w:p>
    <w:p w14:paraId="547A7731" w14:textId="36E61080" w:rsidR="00460C45" w:rsidRPr="00396ECD" w:rsidRDefault="00C733E9" w:rsidP="00116981">
      <w:pPr>
        <w:pStyle w:val="NormalnyWeb"/>
        <w:spacing w:before="0" w:beforeAutospacing="0" w:after="0" w:afterAutospacing="0"/>
        <w:ind w:firstLine="284"/>
        <w:jc w:val="both"/>
        <w:rPr>
          <w:sz w:val="22"/>
          <w:szCs w:val="22"/>
          <w:lang w:val="en-GB"/>
        </w:rPr>
      </w:pPr>
      <w:r w:rsidRPr="00396ECD">
        <w:rPr>
          <w:sz w:val="22"/>
          <w:szCs w:val="22"/>
          <w:shd w:val="clear" w:color="auto" w:fill="FFFFFF"/>
          <w:lang w:val="en-GB"/>
        </w:rPr>
        <w:t>In the domestic scientific tradition, works by Mesel-</w:t>
      </w:r>
      <w:proofErr w:type="spellStart"/>
      <w:r w:rsidRPr="00396ECD">
        <w:rPr>
          <w:sz w:val="22"/>
          <w:szCs w:val="22"/>
          <w:shd w:val="clear" w:color="auto" w:fill="FFFFFF"/>
          <w:lang w:val="en-GB"/>
        </w:rPr>
        <w:t>Veselyak</w:t>
      </w:r>
      <w:proofErr w:type="spellEnd"/>
      <w:r w:rsidRPr="00396ECD">
        <w:rPr>
          <w:sz w:val="22"/>
          <w:szCs w:val="22"/>
          <w:shd w:val="clear" w:color="auto" w:fill="FFFFFF"/>
          <w:lang w:val="en-GB"/>
        </w:rPr>
        <w:t xml:space="preserve"> and Fedorov (2016), </w:t>
      </w:r>
      <w:proofErr w:type="spellStart"/>
      <w:r w:rsidRPr="00396ECD">
        <w:rPr>
          <w:sz w:val="22"/>
          <w:szCs w:val="22"/>
          <w:shd w:val="clear" w:color="auto" w:fill="FFFFFF"/>
          <w:lang w:val="en-GB"/>
        </w:rPr>
        <w:t>Riabokon</w:t>
      </w:r>
      <w:proofErr w:type="spellEnd"/>
      <w:r w:rsidRPr="00396ECD">
        <w:rPr>
          <w:sz w:val="22"/>
          <w:szCs w:val="22"/>
          <w:shd w:val="clear" w:color="auto" w:fill="FFFFFF"/>
          <w:lang w:val="en-GB"/>
        </w:rPr>
        <w:t xml:space="preserve"> (2020), </w:t>
      </w:r>
      <w:proofErr w:type="spellStart"/>
      <w:r w:rsidRPr="00396ECD">
        <w:rPr>
          <w:sz w:val="22"/>
          <w:szCs w:val="22"/>
          <w:shd w:val="clear" w:color="auto" w:fill="FFFFFF"/>
          <w:lang w:val="en-GB"/>
        </w:rPr>
        <w:t>Sabluk</w:t>
      </w:r>
      <w:proofErr w:type="spellEnd"/>
      <w:r w:rsidRPr="00396ECD">
        <w:rPr>
          <w:sz w:val="22"/>
          <w:szCs w:val="22"/>
          <w:shd w:val="clear" w:color="auto" w:fill="FFFFFF"/>
          <w:lang w:val="en-GB"/>
        </w:rPr>
        <w:t xml:space="preserve"> (2021),</w:t>
      </w:r>
      <w:r w:rsidRPr="00396ECD">
        <w:rPr>
          <w:sz w:val="22"/>
          <w:szCs w:val="22"/>
          <w:lang w:val="en-GB"/>
        </w:rPr>
        <w:t xml:space="preserve"> </w:t>
      </w:r>
      <w:r w:rsidRPr="00396ECD">
        <w:rPr>
          <w:sz w:val="22"/>
          <w:szCs w:val="22"/>
          <w:shd w:val="clear" w:color="auto" w:fill="FFFFFF"/>
          <w:lang w:val="en-GB"/>
        </w:rPr>
        <w:t xml:space="preserve">Zinchuk and </w:t>
      </w:r>
      <w:proofErr w:type="spellStart"/>
      <w:r w:rsidRPr="00396ECD">
        <w:rPr>
          <w:sz w:val="22"/>
          <w:szCs w:val="22"/>
          <w:shd w:val="clear" w:color="auto" w:fill="FFFFFF"/>
          <w:lang w:val="en-GB"/>
        </w:rPr>
        <w:t>Kutsmus</w:t>
      </w:r>
      <w:proofErr w:type="spellEnd"/>
      <w:r w:rsidRPr="00396ECD">
        <w:rPr>
          <w:sz w:val="22"/>
          <w:szCs w:val="22"/>
          <w:shd w:val="clear" w:color="auto" w:fill="FFFFFF"/>
          <w:lang w:val="en-GB"/>
        </w:rPr>
        <w:t xml:space="preserve"> (2023), Sydorchuk et al. (2024) and </w:t>
      </w:r>
      <w:proofErr w:type="spellStart"/>
      <w:r w:rsidRPr="00396ECD">
        <w:rPr>
          <w:sz w:val="22"/>
          <w:szCs w:val="22"/>
          <w:shd w:val="clear" w:color="auto" w:fill="FFFFFF"/>
          <w:lang w:val="en-GB"/>
        </w:rPr>
        <w:t>Tataryntseva</w:t>
      </w:r>
      <w:proofErr w:type="spellEnd"/>
      <w:r w:rsidRPr="00396ECD">
        <w:rPr>
          <w:sz w:val="22"/>
          <w:szCs w:val="22"/>
          <w:shd w:val="clear" w:color="auto" w:fill="FFFFFF"/>
          <w:lang w:val="en-GB"/>
        </w:rPr>
        <w:t xml:space="preserve"> (2025) are devoted to the study of strategic management of agricultural enterprises. Issues of foresight in the context of the agricultural sector's development were examined in the works of </w:t>
      </w:r>
      <w:proofErr w:type="spellStart"/>
      <w:r w:rsidRPr="00396ECD">
        <w:rPr>
          <w:sz w:val="22"/>
          <w:szCs w:val="22"/>
          <w:shd w:val="clear" w:color="auto" w:fill="FFFFFF"/>
          <w:lang w:val="en-GB"/>
        </w:rPr>
        <w:t>Lupenko</w:t>
      </w:r>
      <w:proofErr w:type="spellEnd"/>
      <w:r w:rsidRPr="00396ECD">
        <w:rPr>
          <w:sz w:val="22"/>
          <w:szCs w:val="22"/>
          <w:shd w:val="clear" w:color="auto" w:fill="FFFFFF"/>
          <w:lang w:val="en-GB"/>
        </w:rPr>
        <w:t xml:space="preserve"> and Andros (2020)</w:t>
      </w:r>
      <w:r w:rsidR="00E975FE">
        <w:rPr>
          <w:sz w:val="22"/>
          <w:szCs w:val="22"/>
          <w:shd w:val="clear" w:color="auto" w:fill="FFFFFF"/>
          <w:lang w:val="en-GB"/>
        </w:rPr>
        <w:t>,</w:t>
      </w:r>
      <w:r w:rsidRPr="00396ECD">
        <w:rPr>
          <w:sz w:val="22"/>
          <w:szCs w:val="22"/>
          <w:shd w:val="clear" w:color="auto" w:fill="FFFFFF"/>
          <w:lang w:val="en-GB"/>
        </w:rPr>
        <w:t xml:space="preserve"> Kuznetsova and </w:t>
      </w:r>
      <w:proofErr w:type="spellStart"/>
      <w:r w:rsidRPr="00396ECD">
        <w:rPr>
          <w:sz w:val="22"/>
          <w:szCs w:val="22"/>
          <w:shd w:val="clear" w:color="auto" w:fill="FFFFFF"/>
          <w:lang w:val="en-GB"/>
        </w:rPr>
        <w:t>Biloserkovets</w:t>
      </w:r>
      <w:proofErr w:type="spellEnd"/>
      <w:r w:rsidRPr="00396ECD">
        <w:rPr>
          <w:sz w:val="22"/>
          <w:szCs w:val="22"/>
          <w:shd w:val="clear" w:color="auto" w:fill="FFFFFF"/>
          <w:lang w:val="en-GB"/>
        </w:rPr>
        <w:t xml:space="preserve"> (2021), </w:t>
      </w:r>
      <w:proofErr w:type="spellStart"/>
      <w:r w:rsidRPr="00396ECD">
        <w:rPr>
          <w:sz w:val="22"/>
          <w:szCs w:val="22"/>
          <w:shd w:val="clear" w:color="auto" w:fill="FFFFFF"/>
          <w:lang w:val="en-GB"/>
        </w:rPr>
        <w:t>Iastremska</w:t>
      </w:r>
      <w:proofErr w:type="spellEnd"/>
      <w:r w:rsidRPr="00396ECD">
        <w:rPr>
          <w:sz w:val="22"/>
          <w:szCs w:val="22"/>
          <w:shd w:val="clear" w:color="auto" w:fill="FFFFFF"/>
          <w:lang w:val="en-GB"/>
        </w:rPr>
        <w:t xml:space="preserve"> (2025), </w:t>
      </w:r>
      <w:proofErr w:type="spellStart"/>
      <w:r w:rsidRPr="00396ECD">
        <w:rPr>
          <w:sz w:val="22"/>
          <w:szCs w:val="22"/>
          <w:shd w:val="clear" w:color="auto" w:fill="FFFFFF"/>
          <w:lang w:val="en-GB"/>
        </w:rPr>
        <w:t>Reshetnyak</w:t>
      </w:r>
      <w:proofErr w:type="spellEnd"/>
      <w:r w:rsidRPr="00396ECD">
        <w:rPr>
          <w:sz w:val="22"/>
          <w:szCs w:val="22"/>
          <w:shd w:val="clear" w:color="auto" w:fill="FFFFFF"/>
          <w:lang w:val="en-GB"/>
        </w:rPr>
        <w:t xml:space="preserve"> (2019), </w:t>
      </w:r>
      <w:r w:rsidR="00E975FE">
        <w:rPr>
          <w:sz w:val="22"/>
          <w:szCs w:val="22"/>
          <w:shd w:val="clear" w:color="auto" w:fill="FFFFFF"/>
          <w:lang w:val="en-GB"/>
        </w:rPr>
        <w:t xml:space="preserve">and </w:t>
      </w:r>
      <w:proofErr w:type="spellStart"/>
      <w:r w:rsidRPr="00396ECD">
        <w:rPr>
          <w:sz w:val="22"/>
          <w:szCs w:val="22"/>
          <w:shd w:val="clear" w:color="auto" w:fill="FFFFFF"/>
          <w:lang w:val="en-GB"/>
        </w:rPr>
        <w:t>Kvitka</w:t>
      </w:r>
      <w:proofErr w:type="spellEnd"/>
      <w:r w:rsidRPr="00396ECD">
        <w:rPr>
          <w:sz w:val="22"/>
          <w:szCs w:val="22"/>
          <w:shd w:val="clear" w:color="auto" w:fill="FFFFFF"/>
          <w:lang w:val="en-GB"/>
        </w:rPr>
        <w:t xml:space="preserve"> (2018). The marketing aspects of agricultural enterprise development have been systematically </w:t>
      </w:r>
      <w:proofErr w:type="spellStart"/>
      <w:r w:rsidRPr="00396ECD">
        <w:rPr>
          <w:sz w:val="22"/>
          <w:szCs w:val="22"/>
          <w:shd w:val="clear" w:color="auto" w:fill="FFFFFF"/>
          <w:lang w:val="en-GB"/>
        </w:rPr>
        <w:t>analyzed</w:t>
      </w:r>
      <w:proofErr w:type="spellEnd"/>
      <w:r w:rsidRPr="00396ECD">
        <w:rPr>
          <w:sz w:val="22"/>
          <w:szCs w:val="22"/>
          <w:shd w:val="clear" w:color="auto" w:fill="FFFFFF"/>
          <w:lang w:val="en-GB"/>
        </w:rPr>
        <w:t xml:space="preserve"> in </w:t>
      </w:r>
      <w:r w:rsidR="00E975FE">
        <w:rPr>
          <w:sz w:val="22"/>
          <w:szCs w:val="22"/>
          <w:shd w:val="clear" w:color="auto" w:fill="FFFFFF"/>
          <w:lang w:val="en-GB"/>
        </w:rPr>
        <w:t xml:space="preserve">studies by </w:t>
      </w:r>
      <w:proofErr w:type="spellStart"/>
      <w:r w:rsidR="00E975FE">
        <w:rPr>
          <w:sz w:val="22"/>
          <w:szCs w:val="22"/>
          <w:shd w:val="clear" w:color="auto" w:fill="FFFFFF"/>
          <w:lang w:val="en-GB"/>
        </w:rPr>
        <w:t>Kukoba</w:t>
      </w:r>
      <w:proofErr w:type="spellEnd"/>
      <w:r w:rsidR="00E975FE">
        <w:rPr>
          <w:sz w:val="22"/>
          <w:szCs w:val="22"/>
          <w:shd w:val="clear" w:color="auto" w:fill="FFFFFF"/>
          <w:lang w:val="en-GB"/>
        </w:rPr>
        <w:t xml:space="preserve"> and Tymoshenko (2024) and by</w:t>
      </w:r>
      <w:r w:rsidRPr="00396ECD">
        <w:rPr>
          <w:sz w:val="22"/>
          <w:szCs w:val="22"/>
          <w:shd w:val="clear" w:color="auto" w:fill="FFFFFF"/>
          <w:lang w:val="en-GB"/>
        </w:rPr>
        <w:t xml:space="preserve"> </w:t>
      </w:r>
      <w:r w:rsidR="00E975FE">
        <w:rPr>
          <w:sz w:val="22"/>
          <w:szCs w:val="22"/>
          <w:shd w:val="clear" w:color="auto" w:fill="FFFFFF"/>
          <w:lang w:val="en-GB"/>
        </w:rPr>
        <w:t>several</w:t>
      </w:r>
      <w:r w:rsidRPr="00396ECD">
        <w:rPr>
          <w:sz w:val="22"/>
          <w:szCs w:val="22"/>
          <w:shd w:val="clear" w:color="auto" w:fill="FFFFFF"/>
          <w:lang w:val="en-GB"/>
        </w:rPr>
        <w:t xml:space="preserve"> foreign scholars – </w:t>
      </w:r>
      <w:r w:rsidRPr="00396ECD">
        <w:rPr>
          <w:rStyle w:val="Uwydatnienie"/>
          <w:i w:val="0"/>
          <w:iCs w:val="0"/>
          <w:sz w:val="22"/>
          <w:szCs w:val="22"/>
          <w:shd w:val="clear" w:color="auto" w:fill="FFFFFF"/>
          <w:lang w:val="en-GB"/>
        </w:rPr>
        <w:t>Kohli and Jaworski (1990),</w:t>
      </w:r>
      <w:r w:rsidRPr="00396ECD">
        <w:rPr>
          <w:rStyle w:val="Uwydatnienie"/>
          <w:sz w:val="22"/>
          <w:szCs w:val="22"/>
          <w:shd w:val="clear" w:color="auto" w:fill="FFFFFF"/>
          <w:lang w:val="en-GB"/>
        </w:rPr>
        <w:t xml:space="preserve"> </w:t>
      </w:r>
      <w:r w:rsidRPr="00396ECD">
        <w:rPr>
          <w:sz w:val="22"/>
          <w:szCs w:val="22"/>
          <w:shd w:val="clear" w:color="auto" w:fill="FFFFFF"/>
          <w:lang w:val="en-GB"/>
        </w:rPr>
        <w:t xml:space="preserve">Beierlein and Woolverton (1991), </w:t>
      </w:r>
      <w:proofErr w:type="spellStart"/>
      <w:r w:rsidRPr="00396ECD">
        <w:rPr>
          <w:sz w:val="22"/>
          <w:szCs w:val="22"/>
          <w:shd w:val="clear" w:color="auto" w:fill="FFFFFF"/>
          <w:lang w:val="en-GB"/>
        </w:rPr>
        <w:t>Sporrleder</w:t>
      </w:r>
      <w:proofErr w:type="spellEnd"/>
      <w:r w:rsidRPr="00396ECD">
        <w:rPr>
          <w:sz w:val="22"/>
          <w:szCs w:val="22"/>
          <w:shd w:val="clear" w:color="auto" w:fill="FFFFFF"/>
          <w:lang w:val="en-GB"/>
        </w:rPr>
        <w:t xml:space="preserve"> and Goldsmith (2001), Lee and Su (2011).</w:t>
      </w:r>
    </w:p>
    <w:p w14:paraId="793B764D" w14:textId="01C2DA56" w:rsidR="00C733E9" w:rsidRPr="00396ECD" w:rsidRDefault="00C733E9" w:rsidP="00116981">
      <w:pPr>
        <w:pStyle w:val="ds-markdown-paragraph"/>
        <w:shd w:val="clear" w:color="auto" w:fill="FFFFFF"/>
        <w:spacing w:before="0" w:beforeAutospacing="0" w:after="0" w:afterAutospacing="0"/>
        <w:ind w:firstLine="284"/>
        <w:jc w:val="both"/>
        <w:rPr>
          <w:sz w:val="22"/>
          <w:szCs w:val="22"/>
          <w:lang w:val="en-GB"/>
        </w:rPr>
      </w:pPr>
      <w:r w:rsidRPr="00396ECD">
        <w:rPr>
          <w:sz w:val="22"/>
          <w:szCs w:val="22"/>
          <w:lang w:val="en-GB"/>
        </w:rPr>
        <w:t xml:space="preserve">At the same time, it should be noted that, despite some related studies, a comprehensive study of marketing-oriented foresight as a strategic tool for managing agricultural enterprises has not yet been conducted in domestic science. There is a lack of a theoretical concept that </w:t>
      </w:r>
      <w:r w:rsidR="00E975FE">
        <w:rPr>
          <w:sz w:val="22"/>
          <w:szCs w:val="22"/>
          <w:lang w:val="en-GB"/>
        </w:rPr>
        <w:t>integrates the marketing approach and foresight methodology for</w:t>
      </w:r>
      <w:r w:rsidRPr="00396ECD">
        <w:rPr>
          <w:sz w:val="22"/>
          <w:szCs w:val="22"/>
          <w:lang w:val="en-GB"/>
        </w:rPr>
        <w:t xml:space="preserve"> the specific conditions of agribusiness. This is precisely what determines the relevance and scientific novelty of this study.</w:t>
      </w:r>
    </w:p>
    <w:p w14:paraId="79367090" w14:textId="5840B7C7" w:rsidR="00C733E9" w:rsidRPr="00396ECD" w:rsidRDefault="00C733E9" w:rsidP="00116981">
      <w:pPr>
        <w:pStyle w:val="ds-markdown-paragraph"/>
        <w:shd w:val="clear" w:color="auto" w:fill="FFFFFF"/>
        <w:spacing w:before="0" w:beforeAutospacing="0" w:after="0" w:afterAutospacing="0"/>
        <w:ind w:firstLine="284"/>
        <w:jc w:val="both"/>
        <w:rPr>
          <w:sz w:val="22"/>
          <w:szCs w:val="22"/>
          <w:lang w:val="en-GB"/>
        </w:rPr>
      </w:pPr>
      <w:r w:rsidRPr="00501300">
        <w:rPr>
          <w:spacing w:val="-2"/>
          <w:sz w:val="22"/>
          <w:szCs w:val="22"/>
          <w:lang w:val="en-GB"/>
        </w:rPr>
        <w:t xml:space="preserve">An analysis of international experience indicates a growing interest in </w:t>
      </w:r>
      <w:r w:rsidR="00E975FE" w:rsidRPr="00501300">
        <w:rPr>
          <w:spacing w:val="-2"/>
          <w:sz w:val="22"/>
          <w:szCs w:val="22"/>
          <w:lang w:val="en-GB"/>
        </w:rPr>
        <w:t>applying foresight methods to</w:t>
      </w:r>
      <w:r w:rsidRPr="00501300">
        <w:rPr>
          <w:spacing w:val="-2"/>
          <w:sz w:val="22"/>
          <w:szCs w:val="22"/>
          <w:lang w:val="en-GB"/>
        </w:rPr>
        <w:t xml:space="preserve"> the corporate strategy of agri-food companies (Aaltonen &amp; Sanders, 2017; Bento et al., 2022; Jacobsen &amp; Hirvensalo, 2024; </w:t>
      </w:r>
      <w:proofErr w:type="spellStart"/>
      <w:r w:rsidRPr="00501300">
        <w:rPr>
          <w:spacing w:val="-2"/>
          <w:sz w:val="22"/>
          <w:szCs w:val="22"/>
          <w:lang w:val="en-GB"/>
        </w:rPr>
        <w:t>Chukurna</w:t>
      </w:r>
      <w:proofErr w:type="spellEnd"/>
      <w:r w:rsidRPr="00501300">
        <w:rPr>
          <w:spacing w:val="-2"/>
          <w:sz w:val="22"/>
          <w:szCs w:val="22"/>
          <w:lang w:val="en-GB"/>
        </w:rPr>
        <w:t xml:space="preserve"> et al., 2025; arkH3, 2025). In particular, research by </w:t>
      </w:r>
      <w:proofErr w:type="spellStart"/>
      <w:r w:rsidRPr="00501300">
        <w:rPr>
          <w:spacing w:val="-2"/>
          <w:sz w:val="22"/>
          <w:szCs w:val="22"/>
          <w:lang w:val="en-GB"/>
        </w:rPr>
        <w:t>Haarhaus</w:t>
      </w:r>
      <w:proofErr w:type="spellEnd"/>
      <w:r w:rsidRPr="00501300">
        <w:rPr>
          <w:spacing w:val="-2"/>
          <w:sz w:val="22"/>
          <w:szCs w:val="22"/>
          <w:lang w:val="en-GB"/>
        </w:rPr>
        <w:t xml:space="preserve"> and Liening (2020)</w:t>
      </w:r>
      <w:r w:rsidRPr="00396ECD">
        <w:rPr>
          <w:sz w:val="22"/>
          <w:szCs w:val="22"/>
          <w:lang w:val="en-GB"/>
        </w:rPr>
        <w:t xml:space="preserve"> demonstrates that companies that systematically use scenario planning and foresight methods exhibit 33% greater resilience to market shocks </w:t>
      </w:r>
      <w:r w:rsidR="00E975FE">
        <w:rPr>
          <w:sz w:val="22"/>
          <w:szCs w:val="22"/>
          <w:lang w:val="en-GB"/>
        </w:rPr>
        <w:t>than those that do not</w:t>
      </w:r>
      <w:r w:rsidRPr="00396ECD">
        <w:rPr>
          <w:sz w:val="22"/>
          <w:szCs w:val="22"/>
          <w:lang w:val="en-GB"/>
        </w:rPr>
        <w:t>. A study of the practices of agri-food multinationals such as Nestlé, Unilever, and Cargill show</w:t>
      </w:r>
      <w:r w:rsidR="00E975FE">
        <w:rPr>
          <w:sz w:val="22"/>
          <w:szCs w:val="22"/>
          <w:lang w:val="en-GB"/>
        </w:rPr>
        <w:t>s</w:t>
      </w:r>
      <w:r w:rsidRPr="00396ECD">
        <w:rPr>
          <w:sz w:val="22"/>
          <w:szCs w:val="22"/>
          <w:lang w:val="en-GB"/>
        </w:rPr>
        <w:t xml:space="preserve"> that they have long since implemented systematic corporate foresight, whereas most domestic agricultural enterprises still rely primarily on traditional planning approaches.</w:t>
      </w:r>
    </w:p>
    <w:p w14:paraId="3889499C" w14:textId="6A559CA6" w:rsidR="00DA6A9F" w:rsidRPr="00396ECD" w:rsidRDefault="005021CF" w:rsidP="005021CF">
      <w:pPr>
        <w:pStyle w:val="Rn1"/>
        <w:rPr>
          <w:lang w:val="en-GB"/>
        </w:rPr>
      </w:pPr>
      <w:r w:rsidRPr="00396ECD">
        <w:rPr>
          <w:lang w:val="en-GB"/>
        </w:rPr>
        <w:t>3</w:t>
      </w:r>
      <w:r w:rsidR="00DA6A9F" w:rsidRPr="00396ECD">
        <w:rPr>
          <w:lang w:val="en-GB"/>
        </w:rPr>
        <w:t>. Methods</w:t>
      </w:r>
    </w:p>
    <w:p w14:paraId="05D9C4E9" w14:textId="1250C5BD" w:rsidR="00460C45" w:rsidRPr="00396ECD" w:rsidRDefault="00460C45" w:rsidP="00116981">
      <w:pPr>
        <w:pStyle w:val="NormalnyWeb"/>
        <w:spacing w:before="0" w:beforeAutospacing="0" w:after="0" w:afterAutospacing="0"/>
        <w:ind w:firstLine="284"/>
        <w:jc w:val="both"/>
        <w:rPr>
          <w:sz w:val="22"/>
          <w:szCs w:val="22"/>
          <w:lang w:val="en-GB"/>
        </w:rPr>
      </w:pPr>
      <w:r w:rsidRPr="00396ECD">
        <w:rPr>
          <w:sz w:val="22"/>
          <w:szCs w:val="22"/>
          <w:lang w:val="en-GB"/>
        </w:rPr>
        <w:t>The methodological foundation of this study consists of a set of general scientific and specialized research methods. A systematic approach provides a holistic view of marketing-oriented foresight as a</w:t>
      </w:r>
      <w:r w:rsidR="00E975FE">
        <w:rPr>
          <w:sz w:val="22"/>
          <w:szCs w:val="22"/>
          <w:lang w:val="en-GB"/>
        </w:rPr>
        <w:t>n interrelated system of</w:t>
      </w:r>
      <w:r w:rsidRPr="00396ECD">
        <w:rPr>
          <w:sz w:val="22"/>
          <w:szCs w:val="22"/>
          <w:lang w:val="en-GB"/>
        </w:rPr>
        <w:t xml:space="preserve"> elements. The dialectical method is used to study the contradictions and patterns of development of the phenomena and processes under investigation. The abstract-logical method is applied </w:t>
      </w:r>
      <w:r w:rsidR="00E975FE">
        <w:rPr>
          <w:sz w:val="22"/>
          <w:szCs w:val="22"/>
          <w:lang w:val="en-GB"/>
        </w:rPr>
        <w:t>to formulate theoretical generalizations and to construct</w:t>
      </w:r>
      <w:r w:rsidRPr="00396ECD">
        <w:rPr>
          <w:sz w:val="22"/>
          <w:szCs w:val="22"/>
          <w:lang w:val="en-GB"/>
        </w:rPr>
        <w:t xml:space="preserve"> the conceptual framework of the study.</w:t>
      </w:r>
    </w:p>
    <w:p w14:paraId="0E63CCF4" w14:textId="0A29B9EC" w:rsidR="00460C45" w:rsidRPr="00396ECD" w:rsidRDefault="00460C45" w:rsidP="00116981">
      <w:pPr>
        <w:pStyle w:val="NormalnyWeb"/>
        <w:spacing w:before="0" w:beforeAutospacing="0" w:after="0" w:afterAutospacing="0"/>
        <w:ind w:firstLine="284"/>
        <w:jc w:val="both"/>
        <w:rPr>
          <w:sz w:val="22"/>
          <w:szCs w:val="22"/>
          <w:lang w:val="en-GB"/>
        </w:rPr>
      </w:pPr>
      <w:r w:rsidRPr="00396ECD">
        <w:rPr>
          <w:sz w:val="22"/>
          <w:szCs w:val="22"/>
          <w:lang w:val="en-GB"/>
        </w:rPr>
        <w:t>Among the specific scientific methods used are: bibliometric analysis methods for systematizing scientific sources on the research topic; comparative analysis methods for studying international experience in the application of foresight in the agricultural sector; the structural-functional analysis method for constructing a</w:t>
      </w:r>
      <w:r w:rsidR="000F392C">
        <w:rPr>
          <w:sz w:val="22"/>
          <w:szCs w:val="22"/>
          <w:lang w:val="en-GB"/>
        </w:rPr>
        <w:t> </w:t>
      </w:r>
      <w:r w:rsidRPr="00396ECD">
        <w:rPr>
          <w:sz w:val="22"/>
          <w:szCs w:val="22"/>
          <w:lang w:val="en-GB"/>
        </w:rPr>
        <w:t>model of marketing-oriented foresight; and strategic analysis methods (PESTLE analysis, scenario planning, and analysis of key success factors) to characterize the external environment factors of agricultural enterprises.</w:t>
      </w:r>
    </w:p>
    <w:p w14:paraId="25BA69DC" w14:textId="0164FCFC" w:rsidR="00460C45" w:rsidRDefault="00460C45" w:rsidP="00116981">
      <w:pPr>
        <w:pStyle w:val="NormalnyWeb"/>
        <w:spacing w:before="0" w:beforeAutospacing="0" w:after="0" w:afterAutospacing="0"/>
        <w:ind w:firstLine="284"/>
        <w:jc w:val="both"/>
        <w:rPr>
          <w:sz w:val="22"/>
          <w:szCs w:val="22"/>
          <w:lang w:val="en-GB"/>
        </w:rPr>
      </w:pPr>
      <w:r w:rsidRPr="00396ECD">
        <w:rPr>
          <w:sz w:val="22"/>
          <w:szCs w:val="22"/>
          <w:lang w:val="en-GB"/>
        </w:rPr>
        <w:t>The information base of the study consists of: scientific publications by domestic and foreign scholars in peer-reviewed journals; statistical data from the State Statistics Service of Ukraine; analytical materials from the Ministry of Agrarian Policy and Food of Ukraine; reports and forecasts from international organizations (FAO, OECD, World Bank); business analytics from leading consulting firms in the industry (McKinsey, Deloitte, PwC); materials from foresight studies conducted in various countries regarding the development of</w:t>
      </w:r>
      <w:r w:rsidR="000F392C">
        <w:rPr>
          <w:sz w:val="22"/>
          <w:szCs w:val="22"/>
          <w:lang w:val="en-GB"/>
        </w:rPr>
        <w:t> </w:t>
      </w:r>
      <w:r w:rsidRPr="00396ECD">
        <w:rPr>
          <w:sz w:val="22"/>
          <w:szCs w:val="22"/>
          <w:lang w:val="en-GB"/>
        </w:rPr>
        <w:t>agri-food systems.</w:t>
      </w:r>
    </w:p>
    <w:p w14:paraId="7B7BDFC1" w14:textId="6E6B0BA6" w:rsidR="00460C45" w:rsidRPr="00396ECD" w:rsidRDefault="00460C45" w:rsidP="00116981">
      <w:pPr>
        <w:pStyle w:val="NormalnyWeb"/>
        <w:spacing w:before="0" w:beforeAutospacing="0" w:after="0" w:afterAutospacing="0"/>
        <w:ind w:firstLine="284"/>
        <w:jc w:val="both"/>
        <w:rPr>
          <w:sz w:val="22"/>
          <w:szCs w:val="22"/>
          <w:lang w:val="en-GB"/>
        </w:rPr>
      </w:pPr>
      <w:r w:rsidRPr="00396ECD">
        <w:rPr>
          <w:sz w:val="22"/>
          <w:szCs w:val="22"/>
          <w:lang w:val="en-GB"/>
        </w:rPr>
        <w:t>The results of the empirical part of the study are based on a survey conducted by the authors among managers and marketers of agricultural enterprises in the Kharkiv, Poltava, Dnipropetrovsk, and Sumy regions. A</w:t>
      </w:r>
      <w:r w:rsidR="000F392C">
        <w:rPr>
          <w:sz w:val="22"/>
          <w:szCs w:val="22"/>
          <w:lang w:val="en-GB"/>
        </w:rPr>
        <w:t> </w:t>
      </w:r>
      <w:r w:rsidRPr="00396ECD">
        <w:rPr>
          <w:sz w:val="22"/>
          <w:szCs w:val="22"/>
          <w:lang w:val="en-GB"/>
        </w:rPr>
        <w:t xml:space="preserve">total of 130 representatives of the agricultural sector were surveyed, representing enterprises of various sizes – from small farms to large agricultural holdings. The survey was conducted in two phases: a baseline wave </w:t>
      </w:r>
      <w:r w:rsidRPr="00396ECD">
        <w:rPr>
          <w:sz w:val="22"/>
          <w:szCs w:val="22"/>
          <w:lang w:val="en-GB"/>
        </w:rPr>
        <w:lastRenderedPageBreak/>
        <w:t>in 2021 (pre-war conditions) and a follow-up wave in 2023 (</w:t>
      </w:r>
      <w:r w:rsidR="00E975FE">
        <w:rPr>
          <w:sz w:val="22"/>
          <w:szCs w:val="22"/>
          <w:lang w:val="en-GB"/>
        </w:rPr>
        <w:t>wartime conditions</w:t>
      </w:r>
      <w:r w:rsidRPr="00396ECD">
        <w:rPr>
          <w:sz w:val="22"/>
          <w:szCs w:val="22"/>
          <w:lang w:val="en-GB"/>
        </w:rPr>
        <w:t xml:space="preserve">). This approach </w:t>
      </w:r>
      <w:r w:rsidR="00E975FE">
        <w:rPr>
          <w:sz w:val="22"/>
          <w:szCs w:val="22"/>
          <w:lang w:val="en-GB"/>
        </w:rPr>
        <w:t>enabled tracking the dynamics of changes in the agricultural business's strategic prioritie</w:t>
      </w:r>
      <w:r w:rsidRPr="00396ECD">
        <w:rPr>
          <w:sz w:val="22"/>
          <w:szCs w:val="22"/>
          <w:lang w:val="en-GB"/>
        </w:rPr>
        <w:t>s.</w:t>
      </w:r>
    </w:p>
    <w:p w14:paraId="5A43F037" w14:textId="73055052" w:rsidR="00DA6A9F" w:rsidRPr="00396ECD" w:rsidRDefault="005021CF" w:rsidP="005021CF">
      <w:pPr>
        <w:pStyle w:val="Rn1"/>
        <w:rPr>
          <w:lang w:val="en-GB"/>
        </w:rPr>
      </w:pPr>
      <w:r w:rsidRPr="00396ECD">
        <w:rPr>
          <w:bCs/>
          <w:lang w:val="en-GB"/>
        </w:rPr>
        <w:t>4</w:t>
      </w:r>
      <w:r w:rsidR="00DA6A9F" w:rsidRPr="00396ECD">
        <w:rPr>
          <w:bCs/>
          <w:lang w:val="en-GB"/>
        </w:rPr>
        <w:t xml:space="preserve">. </w:t>
      </w:r>
      <w:r w:rsidR="00DA6A9F" w:rsidRPr="00396ECD">
        <w:rPr>
          <w:lang w:val="en-GB"/>
        </w:rPr>
        <w:t>Results</w:t>
      </w:r>
    </w:p>
    <w:p w14:paraId="7B63469E" w14:textId="234E18ED" w:rsidR="00460C45" w:rsidRPr="00396ECD" w:rsidRDefault="007D007F" w:rsidP="00116981">
      <w:pPr>
        <w:pStyle w:val="NormalnyWeb"/>
        <w:spacing w:before="0" w:beforeAutospacing="0" w:after="0" w:afterAutospacing="0"/>
        <w:ind w:firstLine="284"/>
        <w:jc w:val="both"/>
        <w:rPr>
          <w:sz w:val="22"/>
          <w:szCs w:val="22"/>
          <w:lang w:val="en-GB"/>
        </w:rPr>
      </w:pPr>
      <w:r w:rsidRPr="00396ECD">
        <w:rPr>
          <w:sz w:val="22"/>
          <w:szCs w:val="22"/>
          <w:lang w:val="en-GB"/>
        </w:rPr>
        <w:t xml:space="preserve">Before formulating our own definition of marketing-oriented foresight, let us examine </w:t>
      </w:r>
      <w:r w:rsidR="00E975FE">
        <w:rPr>
          <w:sz w:val="22"/>
          <w:szCs w:val="22"/>
          <w:lang w:val="en-GB"/>
        </w:rPr>
        <w:t>its key components</w:t>
      </w:r>
      <w:r w:rsidRPr="00396ECD">
        <w:rPr>
          <w:sz w:val="22"/>
          <w:szCs w:val="22"/>
          <w:lang w:val="en-GB"/>
        </w:rPr>
        <w:t xml:space="preserve">. Foresight (from the English </w:t>
      </w:r>
      <w:r w:rsidR="00E975FE">
        <w:rPr>
          <w:sz w:val="22"/>
          <w:szCs w:val="22"/>
          <w:lang w:val="en-GB"/>
        </w:rPr>
        <w:t>"</w:t>
      </w:r>
      <w:r w:rsidRPr="00396ECD">
        <w:rPr>
          <w:sz w:val="22"/>
          <w:szCs w:val="22"/>
          <w:lang w:val="en-GB"/>
        </w:rPr>
        <w:t>foresight</w:t>
      </w:r>
      <w:r w:rsidR="00E975FE">
        <w:rPr>
          <w:sz w:val="22"/>
          <w:szCs w:val="22"/>
          <w:lang w:val="en-GB"/>
        </w:rPr>
        <w:t>"</w:t>
      </w:r>
      <w:r w:rsidRPr="00396ECD">
        <w:rPr>
          <w:sz w:val="22"/>
          <w:szCs w:val="22"/>
          <w:lang w:val="en-GB"/>
        </w:rPr>
        <w:t xml:space="preserve"> – prediction) is defined in various ways in the scientific literature, depending on the level and context of application. At the national level, foresight </w:t>
      </w:r>
      <w:r w:rsidR="00E975FE">
        <w:rPr>
          <w:sz w:val="22"/>
          <w:szCs w:val="22"/>
          <w:lang w:val="en-GB"/>
        </w:rPr>
        <w:t>is a systematic process that engages</w:t>
      </w:r>
      <w:r w:rsidRPr="00396ECD">
        <w:rPr>
          <w:sz w:val="22"/>
          <w:szCs w:val="22"/>
          <w:lang w:val="en-GB"/>
        </w:rPr>
        <w:t xml:space="preserve"> all stakeholders in shaping a long-term vision and priorities for scientific, technological, and socio-economic development. At the enterprise level, foresight takes on the character of a strategic tool that allows management to systematically track </w:t>
      </w:r>
      <w:r w:rsidR="00E975FE">
        <w:rPr>
          <w:sz w:val="22"/>
          <w:szCs w:val="22"/>
          <w:lang w:val="en-GB"/>
        </w:rPr>
        <w:t>"</w:t>
      </w:r>
      <w:r w:rsidRPr="00396ECD">
        <w:rPr>
          <w:sz w:val="22"/>
          <w:szCs w:val="22"/>
          <w:lang w:val="en-GB"/>
        </w:rPr>
        <w:t>weak signals</w:t>
      </w:r>
      <w:r w:rsidR="00E975FE">
        <w:rPr>
          <w:sz w:val="22"/>
          <w:szCs w:val="22"/>
          <w:lang w:val="en-GB"/>
        </w:rPr>
        <w:t>"</w:t>
      </w:r>
      <w:r w:rsidRPr="00396ECD">
        <w:rPr>
          <w:sz w:val="22"/>
          <w:szCs w:val="22"/>
          <w:lang w:val="en-GB"/>
        </w:rPr>
        <w:t xml:space="preserve"> of changes in the external environment, model alternative scenarios of events, and formulate appropriate strategic responses (</w:t>
      </w:r>
      <w:proofErr w:type="spellStart"/>
      <w:r w:rsidRPr="00396ECD">
        <w:rPr>
          <w:sz w:val="22"/>
          <w:szCs w:val="22"/>
          <w:lang w:val="en-GB"/>
        </w:rPr>
        <w:t>Verdenhofa</w:t>
      </w:r>
      <w:proofErr w:type="spellEnd"/>
      <w:r w:rsidRPr="00396ECD">
        <w:rPr>
          <w:sz w:val="22"/>
          <w:szCs w:val="22"/>
          <w:lang w:val="en-GB"/>
        </w:rPr>
        <w:t xml:space="preserve"> et al., 2018; </w:t>
      </w:r>
      <w:r w:rsidR="00C97D60" w:rsidRPr="00396ECD">
        <w:rPr>
          <w:sz w:val="22"/>
          <w:szCs w:val="22"/>
          <w:lang w:val="en-GB"/>
        </w:rPr>
        <w:t xml:space="preserve">Mainka et al., 2023; </w:t>
      </w:r>
      <w:proofErr w:type="spellStart"/>
      <w:r w:rsidRPr="00396ECD">
        <w:rPr>
          <w:sz w:val="22"/>
          <w:szCs w:val="22"/>
          <w:lang w:val="en-GB"/>
        </w:rPr>
        <w:t>Dvornyk</w:t>
      </w:r>
      <w:proofErr w:type="spellEnd"/>
      <w:r w:rsidRPr="00396ECD">
        <w:rPr>
          <w:sz w:val="22"/>
          <w:szCs w:val="22"/>
          <w:lang w:val="en-GB"/>
        </w:rPr>
        <w:t xml:space="preserve"> and </w:t>
      </w:r>
      <w:proofErr w:type="spellStart"/>
      <w:r w:rsidRPr="00396ECD">
        <w:rPr>
          <w:sz w:val="22"/>
          <w:szCs w:val="22"/>
          <w:lang w:val="en-GB"/>
        </w:rPr>
        <w:t>Garafonova</w:t>
      </w:r>
      <w:proofErr w:type="spellEnd"/>
      <w:r w:rsidRPr="00396ECD">
        <w:rPr>
          <w:sz w:val="22"/>
          <w:szCs w:val="22"/>
          <w:lang w:val="en-GB"/>
        </w:rPr>
        <w:t xml:space="preserve">, 2025; </w:t>
      </w:r>
      <w:proofErr w:type="spellStart"/>
      <w:r w:rsidRPr="00396ECD">
        <w:rPr>
          <w:sz w:val="22"/>
          <w:szCs w:val="22"/>
          <w:lang w:val="en-GB"/>
        </w:rPr>
        <w:t>Karbovska</w:t>
      </w:r>
      <w:proofErr w:type="spellEnd"/>
      <w:r w:rsidRPr="00396ECD">
        <w:rPr>
          <w:sz w:val="22"/>
          <w:szCs w:val="22"/>
          <w:lang w:val="en-GB"/>
        </w:rPr>
        <w:t xml:space="preserve"> et al., 2026).</w:t>
      </w:r>
    </w:p>
    <w:p w14:paraId="2A991708" w14:textId="77777777" w:rsidR="00FB53B4" w:rsidRPr="00396ECD" w:rsidRDefault="009C3546" w:rsidP="00116981">
      <w:pPr>
        <w:pStyle w:val="NormalnyWeb"/>
        <w:spacing w:before="0" w:beforeAutospacing="0" w:after="0" w:afterAutospacing="0"/>
        <w:ind w:firstLine="284"/>
        <w:jc w:val="both"/>
        <w:rPr>
          <w:sz w:val="22"/>
          <w:szCs w:val="22"/>
          <w:lang w:val="en-GB"/>
        </w:rPr>
      </w:pPr>
      <w:r w:rsidRPr="00396ECD">
        <w:rPr>
          <w:sz w:val="22"/>
          <w:szCs w:val="22"/>
          <w:lang w:val="en-GB"/>
        </w:rPr>
        <w:t>Based on an analysis of scientific sources and our own research, we propose the following definition: marketing-oriented foresight for an agricultural enterprise is a comprehensive system of strategic anticipation and managerial response based on systematic monitoring of the market environment, the identification and analysis of long-term trends in the development of agri-food markets, the construction of alternative scenarios for their evolution, and the formulation of corresponding marketing strategies aimed at ensuring the enterprise's sustainable competitiveness in conditions of uncertainty and dynamic changes in the external environment.</w:t>
      </w:r>
    </w:p>
    <w:p w14:paraId="4E155CA8" w14:textId="58F65062" w:rsidR="00FB53B4" w:rsidRPr="00396ECD" w:rsidRDefault="009C3546" w:rsidP="00116981">
      <w:pPr>
        <w:pStyle w:val="NormalnyWeb"/>
        <w:spacing w:before="0" w:beforeAutospacing="0" w:after="0" w:afterAutospacing="0"/>
        <w:ind w:firstLine="284"/>
        <w:jc w:val="both"/>
        <w:rPr>
          <w:sz w:val="22"/>
          <w:szCs w:val="22"/>
          <w:lang w:val="en-GB"/>
        </w:rPr>
      </w:pPr>
      <w:r w:rsidRPr="00396ECD">
        <w:rPr>
          <w:sz w:val="22"/>
          <w:szCs w:val="22"/>
          <w:lang w:val="en-GB"/>
        </w:rPr>
        <w:t>This definition highlights several fundamentally important characteristics of marketing-oriented foresight. First, it emphasizes its systematic nature – it is not about isolated predictive calculations, but rather a comprehensive system encompassing organizational, methodological, and informational components. Second, it is a</w:t>
      </w:r>
      <w:r w:rsidR="000F392C">
        <w:rPr>
          <w:sz w:val="22"/>
          <w:szCs w:val="22"/>
          <w:lang w:val="en-GB"/>
        </w:rPr>
        <w:t> </w:t>
      </w:r>
      <w:r w:rsidRPr="00396ECD">
        <w:rPr>
          <w:sz w:val="22"/>
          <w:szCs w:val="22"/>
          <w:lang w:val="en-GB"/>
        </w:rPr>
        <w:t>clear combination of foresight methodology and a marketing approach – marketing orientation serves not only as a starting point for foresight but also defines the structure of its subject area. Third, it is a practical, management-oriented focus – the result of marketing-oriented foresight is concrete strategic decisions, not merely predictive studies. Fourth, it involves adaptation to the specifics of the agribusiness – taking into account the cyclical nature of agricultural production, seasonality, dependence on natural factors, and the specifics of food markets.</w:t>
      </w:r>
    </w:p>
    <w:p w14:paraId="24906F33" w14:textId="6D3E1C09" w:rsidR="00FB53B4" w:rsidRPr="00396ECD" w:rsidRDefault="009C3546" w:rsidP="00116981">
      <w:pPr>
        <w:pStyle w:val="NormalnyWeb"/>
        <w:spacing w:before="0" w:beforeAutospacing="0" w:after="0" w:afterAutospacing="0"/>
        <w:ind w:firstLine="284"/>
        <w:jc w:val="both"/>
        <w:rPr>
          <w:sz w:val="22"/>
          <w:szCs w:val="22"/>
          <w:lang w:val="en-GB"/>
        </w:rPr>
      </w:pPr>
      <w:r w:rsidRPr="00396ECD">
        <w:rPr>
          <w:sz w:val="22"/>
          <w:szCs w:val="22"/>
          <w:lang w:val="en-GB"/>
        </w:rPr>
        <w:t>The key differences between marketing-oriented foresight and related approaches can be systematized as follows. Compared to traditional foresight: first, the subject area of MOF integrates demand-side intelligence — consumer preference evolution, competitive repositioning, and value-chain reconfiguration — which classical technology foresight treats as secondary outputs rather than primary drivers; second, MOF operates at the enterprise level and produces actionable strategic decisions calibrated to a specific firm's resource base and market position, whereas national or sectoral foresight produces policy recommendations that individual firms cannot directly operationalize; third, MOF explicitly couples scenario outcomes with marketing strategy formulation, closing the gap between foresight analysis and strategic action — a gap that is well-documented in the foresight literature (</w:t>
      </w:r>
      <w:proofErr w:type="spellStart"/>
      <w:r w:rsidRPr="00396ECD">
        <w:rPr>
          <w:sz w:val="22"/>
          <w:szCs w:val="22"/>
          <w:lang w:val="en-GB"/>
        </w:rPr>
        <w:t>Haarhaus</w:t>
      </w:r>
      <w:proofErr w:type="spellEnd"/>
      <w:r w:rsidRPr="00396ECD">
        <w:rPr>
          <w:sz w:val="22"/>
          <w:szCs w:val="22"/>
          <w:lang w:val="en-GB"/>
        </w:rPr>
        <w:t xml:space="preserve"> &amp; Liening, 2020) but rarely bridged in agricultural management practice. The novelty of MOF thus lies not in the individual components, which are established, but in their purposeful integration into a firm-level decision architecture tailored to the specific institutional and market conditions of agribusiness. Compared to traditional marketing planning: first, MOF extends the planning horizon to 5–20 years, a range that is necessary but routinely absent in agricultural SME strategy, as confirmed by the survey data (63% of respondents in 2021 and 79% in 2023 operated with horizons of one year or less); second, MOF systematically incorporates structural uncertainty through scenario construction and weak-signal monitoring, whereas conventional marketing planning treats the environment as largely predictable and confines sensitivity analysis to price and volume; third, and most critically for the agri-food context, MOF embeds environmental regulatory foresight — including CBAM trajectories, biodiversity disclosure requirements, and soil health metrics — as core planning inputs rather than external risks to be noted and set aside. This environmental integration constitutes a genuine extension beyond existing integrative frameworks</w:t>
      </w:r>
      <w:r w:rsidR="00E975FE">
        <w:rPr>
          <w:sz w:val="22"/>
          <w:szCs w:val="22"/>
          <w:lang w:val="en-GB"/>
        </w:rPr>
        <w:t>, such as those of</w:t>
      </w:r>
      <w:r w:rsidRPr="00396ECD">
        <w:rPr>
          <w:sz w:val="22"/>
          <w:szCs w:val="22"/>
          <w:lang w:val="en-GB"/>
        </w:rPr>
        <w:t xml:space="preserve"> </w:t>
      </w:r>
      <w:proofErr w:type="spellStart"/>
      <w:r w:rsidRPr="00396ECD">
        <w:rPr>
          <w:sz w:val="22"/>
          <w:szCs w:val="22"/>
          <w:lang w:val="en-GB"/>
        </w:rPr>
        <w:t>Verdenhofa</w:t>
      </w:r>
      <w:proofErr w:type="spellEnd"/>
      <w:r w:rsidRPr="00396ECD">
        <w:rPr>
          <w:sz w:val="22"/>
          <w:szCs w:val="22"/>
          <w:lang w:val="en-GB"/>
        </w:rPr>
        <w:t xml:space="preserve"> et al. (2018), which preceded the regulatory transformation triggered by the EU Green Deal.</w:t>
      </w:r>
    </w:p>
    <w:p w14:paraId="5406CD05" w14:textId="13129AB1" w:rsidR="00460C45" w:rsidRPr="00396ECD" w:rsidRDefault="003B0AFB" w:rsidP="00116981">
      <w:pPr>
        <w:pStyle w:val="NormalnyWeb"/>
        <w:spacing w:before="0" w:beforeAutospacing="0" w:after="0" w:afterAutospacing="0"/>
        <w:ind w:firstLine="284"/>
        <w:jc w:val="both"/>
        <w:rPr>
          <w:sz w:val="22"/>
          <w:szCs w:val="22"/>
          <w:lang w:val="en-GB"/>
        </w:rPr>
      </w:pPr>
      <w:r w:rsidRPr="00396ECD">
        <w:rPr>
          <w:sz w:val="22"/>
          <w:szCs w:val="22"/>
          <w:lang w:val="en-GB"/>
        </w:rPr>
        <w:t xml:space="preserve">Structurally, marketing-oriented foresight for an agricultural enterprise encompasses the following key components. The first component is environmental monitoring, which involves systematic tracking of macroeconomic trends, conditions in agri-food markets, technological changes in the agricultural sector, regulatory changes, and shifts in consumer preferences. The second component is analytical processing, which involves </w:t>
      </w:r>
      <w:proofErr w:type="spellStart"/>
      <w:r w:rsidRPr="00396ECD">
        <w:rPr>
          <w:sz w:val="22"/>
          <w:szCs w:val="22"/>
          <w:lang w:val="en-GB"/>
        </w:rPr>
        <w:t>analyzing</w:t>
      </w:r>
      <w:proofErr w:type="spellEnd"/>
      <w:r w:rsidRPr="00396ECD">
        <w:rPr>
          <w:sz w:val="22"/>
          <w:szCs w:val="22"/>
          <w:lang w:val="en-GB"/>
        </w:rPr>
        <w:t xml:space="preserve"> the collected information, identifying patterns and trends, and pinpointing "weak signals" and potential "wild cards." The third block is scenario planning, i.e., the development of 2–4 alternative scenarios for the evolution of the market environment over a 5–10-year horizon. The fourth block is strategic response, i.e., the development of marketing strategies for each scenario or </w:t>
      </w:r>
      <w:r w:rsidR="00E975FE">
        <w:rPr>
          <w:sz w:val="22"/>
          <w:szCs w:val="22"/>
          <w:lang w:val="en-GB"/>
        </w:rPr>
        <w:t>for resilient strategies across</w:t>
      </w:r>
      <w:r w:rsidRPr="00396ECD">
        <w:rPr>
          <w:sz w:val="22"/>
          <w:szCs w:val="22"/>
          <w:lang w:val="en-GB"/>
        </w:rPr>
        <w:t xml:space="preserve"> multiple scenarios. </w:t>
      </w:r>
      <w:r w:rsidRPr="00396ECD">
        <w:rPr>
          <w:sz w:val="22"/>
          <w:szCs w:val="22"/>
          <w:lang w:val="en-GB"/>
        </w:rPr>
        <w:lastRenderedPageBreak/>
        <w:t>The fifth block is implementation monitoring, which includes tracking key indicators and timely adjustment of strategies (</w:t>
      </w:r>
      <w:r w:rsidRPr="00396ECD">
        <w:rPr>
          <w:rStyle w:val="Uwydatnienie"/>
          <w:i w:val="0"/>
          <w:iCs w:val="0"/>
          <w:sz w:val="22"/>
          <w:szCs w:val="22"/>
          <w:shd w:val="clear" w:color="auto" w:fill="FFFFFF"/>
          <w:lang w:val="en-GB"/>
        </w:rPr>
        <w:t xml:space="preserve">Miles, 2010; </w:t>
      </w:r>
      <w:proofErr w:type="spellStart"/>
      <w:r w:rsidRPr="00396ECD">
        <w:rPr>
          <w:sz w:val="22"/>
          <w:szCs w:val="22"/>
          <w:lang w:val="en-GB"/>
        </w:rPr>
        <w:t>Verdenhofa</w:t>
      </w:r>
      <w:proofErr w:type="spellEnd"/>
      <w:r w:rsidRPr="00396ECD">
        <w:rPr>
          <w:sz w:val="22"/>
          <w:szCs w:val="22"/>
          <w:lang w:val="en-GB"/>
        </w:rPr>
        <w:t xml:space="preserve"> et al., 2018; </w:t>
      </w:r>
      <w:proofErr w:type="spellStart"/>
      <w:r w:rsidR="00804164" w:rsidRPr="00396ECD">
        <w:rPr>
          <w:sz w:val="22"/>
          <w:szCs w:val="22"/>
          <w:lang w:val="en-GB"/>
        </w:rPr>
        <w:t>Nitsenko</w:t>
      </w:r>
      <w:proofErr w:type="spellEnd"/>
      <w:r w:rsidR="00804164" w:rsidRPr="00396ECD">
        <w:rPr>
          <w:sz w:val="22"/>
          <w:szCs w:val="22"/>
          <w:lang w:val="en-GB"/>
        </w:rPr>
        <w:t xml:space="preserve"> et al., 2019; </w:t>
      </w:r>
      <w:r w:rsidRPr="00396ECD">
        <w:rPr>
          <w:sz w:val="22"/>
          <w:szCs w:val="22"/>
          <w:lang w:val="en-GB"/>
        </w:rPr>
        <w:t>Kovalchuk et al., 2024).</w:t>
      </w:r>
    </w:p>
    <w:p w14:paraId="23F41C53" w14:textId="5B91C7BB" w:rsidR="00460C45" w:rsidRPr="00396ECD" w:rsidRDefault="003B0AFB" w:rsidP="00116981">
      <w:pPr>
        <w:pStyle w:val="NormalnyWeb"/>
        <w:spacing w:before="0" w:beforeAutospacing="0" w:after="0" w:afterAutospacing="0"/>
        <w:ind w:firstLine="284"/>
        <w:jc w:val="both"/>
        <w:rPr>
          <w:sz w:val="22"/>
          <w:szCs w:val="22"/>
          <w:lang w:val="en-GB"/>
        </w:rPr>
      </w:pPr>
      <w:r w:rsidRPr="00396ECD">
        <w:rPr>
          <w:sz w:val="22"/>
          <w:szCs w:val="22"/>
          <w:lang w:val="en-GB"/>
        </w:rPr>
        <w:t>The methodological foundation of marketing-oriented foresight consists of a wide range of methods that can be classified according to various criteria. Based on the nature of the information, qualitative and quantitative methods are distinguished. B</w:t>
      </w:r>
      <w:r w:rsidR="00E975FE">
        <w:rPr>
          <w:sz w:val="22"/>
          <w:szCs w:val="22"/>
          <w:lang w:val="en-GB"/>
        </w:rPr>
        <w:t>ased on the level of stakeholder participation, methods are categorized into</w:t>
      </w:r>
      <w:r w:rsidRPr="00396ECD">
        <w:rPr>
          <w:sz w:val="22"/>
          <w:szCs w:val="22"/>
          <w:lang w:val="en-GB"/>
        </w:rPr>
        <w:t xml:space="preserve"> those involving broad participation and those based on the work of a narrow circle of experts. By forecasting horizon, methods are categorized as short-term (1–3 years), medium-term (3–10 years), and long-term (10–30 years). For agricultural enterprises, the medium-term horizon is most relevant, as it corresponds to the duration of transition processes in the production and market spheres (</w:t>
      </w:r>
      <w:proofErr w:type="spellStart"/>
      <w:r w:rsidRPr="00396ECD">
        <w:rPr>
          <w:sz w:val="22"/>
          <w:szCs w:val="22"/>
          <w:lang w:val="en-GB"/>
        </w:rPr>
        <w:t>Velychko</w:t>
      </w:r>
      <w:proofErr w:type="spellEnd"/>
      <w:r w:rsidRPr="00396ECD">
        <w:rPr>
          <w:sz w:val="22"/>
          <w:szCs w:val="22"/>
          <w:lang w:val="en-GB"/>
        </w:rPr>
        <w:t xml:space="preserve"> and Munka, 2023). A comparative overview of key m</w:t>
      </w:r>
      <w:r w:rsidR="00E975FE">
        <w:rPr>
          <w:sz w:val="22"/>
          <w:szCs w:val="22"/>
          <w:lang w:val="en-GB"/>
        </w:rPr>
        <w:t>arketing-oriented foresight methods</w:t>
      </w:r>
      <w:r w:rsidRPr="00396ECD">
        <w:rPr>
          <w:sz w:val="22"/>
          <w:szCs w:val="22"/>
          <w:lang w:val="en-GB"/>
        </w:rPr>
        <w:t xml:space="preserve"> is presented below (see Table 1).</w:t>
      </w:r>
    </w:p>
    <w:p w14:paraId="2350BC04" w14:textId="77777777" w:rsidR="00116981" w:rsidRPr="00396ECD" w:rsidRDefault="00116981" w:rsidP="00116981">
      <w:pPr>
        <w:pStyle w:val="NormalnyWeb"/>
        <w:spacing w:before="0" w:beforeAutospacing="0" w:after="0" w:afterAutospacing="0"/>
        <w:ind w:firstLine="284"/>
        <w:jc w:val="both"/>
        <w:rPr>
          <w:sz w:val="22"/>
          <w:szCs w:val="22"/>
          <w:lang w:val="en-GB"/>
        </w:rPr>
      </w:pPr>
    </w:p>
    <w:p w14:paraId="66EF5805" w14:textId="77777777" w:rsidR="007E0240" w:rsidRPr="00501300" w:rsidRDefault="007E0240" w:rsidP="00501300">
      <w:pPr>
        <w:pStyle w:val="Rtab"/>
      </w:pPr>
      <w:proofErr w:type="spellStart"/>
      <w:r w:rsidRPr="00501300">
        <w:rPr>
          <w:rStyle w:val="Pogrubienie"/>
        </w:rPr>
        <w:t>Table</w:t>
      </w:r>
      <w:proofErr w:type="spellEnd"/>
      <w:r w:rsidRPr="00501300">
        <w:rPr>
          <w:rStyle w:val="Pogrubienie"/>
        </w:rPr>
        <w:t xml:space="preserve"> 1.</w:t>
      </w:r>
      <w:r w:rsidRPr="00501300">
        <w:rPr>
          <w:rStyle w:val="Pogrubienie"/>
          <w:b w:val="0"/>
          <w:bCs w:val="0"/>
        </w:rPr>
        <w:t xml:space="preserve"> </w:t>
      </w:r>
      <w:proofErr w:type="spellStart"/>
      <w:r w:rsidRPr="00501300">
        <w:rPr>
          <w:rStyle w:val="Pogrubienie"/>
          <w:b w:val="0"/>
          <w:bCs w:val="0"/>
        </w:rPr>
        <w:t>Comparative</w:t>
      </w:r>
      <w:proofErr w:type="spellEnd"/>
      <w:r w:rsidRPr="00501300">
        <w:rPr>
          <w:rStyle w:val="Pogrubienie"/>
          <w:b w:val="0"/>
          <w:bCs w:val="0"/>
        </w:rPr>
        <w:t xml:space="preserve"> </w:t>
      </w:r>
      <w:proofErr w:type="spellStart"/>
      <w:r w:rsidRPr="00501300">
        <w:rPr>
          <w:rStyle w:val="Pogrubienie"/>
          <w:b w:val="0"/>
          <w:bCs w:val="0"/>
        </w:rPr>
        <w:t>Characteristics</w:t>
      </w:r>
      <w:proofErr w:type="spellEnd"/>
      <w:r w:rsidRPr="00501300">
        <w:rPr>
          <w:rStyle w:val="Pogrubienie"/>
          <w:b w:val="0"/>
          <w:bCs w:val="0"/>
        </w:rPr>
        <w:t xml:space="preserve"> of </w:t>
      </w:r>
      <w:proofErr w:type="spellStart"/>
      <w:r w:rsidRPr="00501300">
        <w:rPr>
          <w:rStyle w:val="Pogrubienie"/>
          <w:b w:val="0"/>
          <w:bCs w:val="0"/>
        </w:rPr>
        <w:t>Key</w:t>
      </w:r>
      <w:proofErr w:type="spellEnd"/>
      <w:r w:rsidRPr="00501300">
        <w:rPr>
          <w:rStyle w:val="Pogrubienie"/>
          <w:b w:val="0"/>
          <w:bCs w:val="0"/>
        </w:rPr>
        <w:t xml:space="preserve"> </w:t>
      </w:r>
      <w:proofErr w:type="spellStart"/>
      <w:r w:rsidRPr="00501300">
        <w:rPr>
          <w:rStyle w:val="Pogrubienie"/>
          <w:b w:val="0"/>
          <w:bCs w:val="0"/>
        </w:rPr>
        <w:t>Methods</w:t>
      </w:r>
      <w:proofErr w:type="spellEnd"/>
      <w:r w:rsidRPr="00501300">
        <w:rPr>
          <w:rStyle w:val="Pogrubienie"/>
          <w:b w:val="0"/>
          <w:bCs w:val="0"/>
        </w:rPr>
        <w:t xml:space="preserve"> of Marketing-</w:t>
      </w:r>
      <w:proofErr w:type="spellStart"/>
      <w:r w:rsidRPr="00501300">
        <w:rPr>
          <w:rStyle w:val="Pogrubienie"/>
          <w:b w:val="0"/>
          <w:bCs w:val="0"/>
        </w:rPr>
        <w:t>Oriented</w:t>
      </w:r>
      <w:proofErr w:type="spellEnd"/>
      <w:r w:rsidRPr="00501300">
        <w:rPr>
          <w:rStyle w:val="Pogrubienie"/>
          <w:b w:val="0"/>
          <w:bCs w:val="0"/>
        </w:rPr>
        <w:t xml:space="preserve"> Foresight for </w:t>
      </w:r>
      <w:proofErr w:type="spellStart"/>
      <w:r w:rsidRPr="00501300">
        <w:rPr>
          <w:rStyle w:val="Pogrubienie"/>
          <w:b w:val="0"/>
          <w:bCs w:val="0"/>
        </w:rPr>
        <w:t>Agrarian</w:t>
      </w:r>
      <w:proofErr w:type="spellEnd"/>
      <w:r w:rsidRPr="00501300">
        <w:rPr>
          <w:rStyle w:val="Pogrubienie"/>
          <w:b w:val="0"/>
          <w:bCs w:val="0"/>
        </w:rPr>
        <w:t xml:space="preserve"> Enterprises</w:t>
      </w:r>
    </w:p>
    <w:tbl>
      <w:tblPr>
        <w:tblStyle w:val="Tabela-Siatka"/>
        <w:tblW w:w="9451" w:type="dxa"/>
        <w:tblInd w:w="108" w:type="dxa"/>
        <w:tblBorders>
          <w:left w:val="none" w:sz="0" w:space="0" w:color="auto"/>
          <w:right w:val="none" w:sz="0" w:space="0" w:color="auto"/>
          <w:insideV w:val="none" w:sz="0" w:space="0" w:color="auto"/>
        </w:tblBorders>
        <w:tblLook w:val="04A0" w:firstRow="1" w:lastRow="0" w:firstColumn="1" w:lastColumn="0" w:noHBand="0" w:noVBand="1"/>
      </w:tblPr>
      <w:tblGrid>
        <w:gridCol w:w="2622"/>
        <w:gridCol w:w="1176"/>
        <w:gridCol w:w="1889"/>
        <w:gridCol w:w="2044"/>
        <w:gridCol w:w="1720"/>
      </w:tblGrid>
      <w:tr w:rsidR="00C12399" w:rsidRPr="00396ECD" w14:paraId="2DA09024" w14:textId="77777777" w:rsidTr="000F392C">
        <w:trPr>
          <w:trHeight w:val="397"/>
        </w:trPr>
        <w:tc>
          <w:tcPr>
            <w:tcW w:w="2622" w:type="dxa"/>
            <w:vAlign w:val="center"/>
            <w:hideMark/>
          </w:tcPr>
          <w:p w14:paraId="071096AE" w14:textId="77777777" w:rsidR="007E0240" w:rsidRPr="00396ECD" w:rsidRDefault="007E0240" w:rsidP="00C12399">
            <w:pPr>
              <w:jc w:val="center"/>
              <w:rPr>
                <w:sz w:val="22"/>
                <w:szCs w:val="22"/>
                <w:lang w:val="en-GB"/>
              </w:rPr>
            </w:pPr>
            <w:r w:rsidRPr="00396ECD">
              <w:rPr>
                <w:sz w:val="22"/>
                <w:szCs w:val="22"/>
                <w:lang w:val="en-GB"/>
              </w:rPr>
              <w:t>Method</w:t>
            </w:r>
          </w:p>
        </w:tc>
        <w:tc>
          <w:tcPr>
            <w:tcW w:w="1176" w:type="dxa"/>
            <w:vAlign w:val="center"/>
            <w:hideMark/>
          </w:tcPr>
          <w:p w14:paraId="2271430A" w14:textId="77777777" w:rsidR="007E0240" w:rsidRPr="00396ECD" w:rsidRDefault="007E0240" w:rsidP="00C12399">
            <w:pPr>
              <w:jc w:val="center"/>
              <w:rPr>
                <w:sz w:val="22"/>
                <w:szCs w:val="22"/>
                <w:lang w:val="en-GB"/>
              </w:rPr>
            </w:pPr>
            <w:r w:rsidRPr="00396ECD">
              <w:rPr>
                <w:sz w:val="22"/>
                <w:szCs w:val="22"/>
                <w:lang w:val="en-GB"/>
              </w:rPr>
              <w:t>Horizon</w:t>
            </w:r>
          </w:p>
        </w:tc>
        <w:tc>
          <w:tcPr>
            <w:tcW w:w="1889" w:type="dxa"/>
            <w:vAlign w:val="center"/>
            <w:hideMark/>
          </w:tcPr>
          <w:p w14:paraId="6E25A874" w14:textId="77777777" w:rsidR="007E0240" w:rsidRPr="00396ECD" w:rsidRDefault="007E0240" w:rsidP="00C12399">
            <w:pPr>
              <w:jc w:val="center"/>
              <w:rPr>
                <w:sz w:val="22"/>
                <w:szCs w:val="22"/>
                <w:lang w:val="en-GB"/>
              </w:rPr>
            </w:pPr>
            <w:r w:rsidRPr="00396ECD">
              <w:rPr>
                <w:sz w:val="22"/>
                <w:szCs w:val="22"/>
                <w:lang w:val="en-GB"/>
              </w:rPr>
              <w:t>Resource Intensity</w:t>
            </w:r>
          </w:p>
        </w:tc>
        <w:tc>
          <w:tcPr>
            <w:tcW w:w="2044" w:type="dxa"/>
            <w:vAlign w:val="center"/>
            <w:hideMark/>
          </w:tcPr>
          <w:p w14:paraId="35BC5178" w14:textId="77777777" w:rsidR="007E0240" w:rsidRPr="00396ECD" w:rsidRDefault="007E0240" w:rsidP="00C12399">
            <w:pPr>
              <w:jc w:val="center"/>
              <w:rPr>
                <w:sz w:val="22"/>
                <w:szCs w:val="22"/>
                <w:lang w:val="en-GB"/>
              </w:rPr>
            </w:pPr>
            <w:r w:rsidRPr="00396ECD">
              <w:rPr>
                <w:sz w:val="22"/>
                <w:szCs w:val="22"/>
                <w:lang w:val="en-GB"/>
              </w:rPr>
              <w:t>Suitability for SMEs</w:t>
            </w:r>
          </w:p>
        </w:tc>
        <w:tc>
          <w:tcPr>
            <w:tcW w:w="1720" w:type="dxa"/>
            <w:vAlign w:val="center"/>
            <w:hideMark/>
          </w:tcPr>
          <w:p w14:paraId="148E2EA8" w14:textId="77777777" w:rsidR="007E0240" w:rsidRPr="00396ECD" w:rsidRDefault="007E0240" w:rsidP="00C12399">
            <w:pPr>
              <w:jc w:val="center"/>
              <w:rPr>
                <w:sz w:val="22"/>
                <w:szCs w:val="22"/>
                <w:lang w:val="en-GB"/>
              </w:rPr>
            </w:pPr>
            <w:r w:rsidRPr="00396ECD">
              <w:rPr>
                <w:sz w:val="22"/>
                <w:szCs w:val="22"/>
                <w:lang w:val="en-GB"/>
              </w:rPr>
              <w:t>Marketing Focus</w:t>
            </w:r>
          </w:p>
        </w:tc>
      </w:tr>
      <w:tr w:rsidR="00C12399" w:rsidRPr="00396ECD" w14:paraId="74B7F7B3" w14:textId="77777777" w:rsidTr="00C12399">
        <w:trPr>
          <w:trHeight w:val="283"/>
        </w:trPr>
        <w:tc>
          <w:tcPr>
            <w:tcW w:w="2622" w:type="dxa"/>
            <w:hideMark/>
          </w:tcPr>
          <w:p w14:paraId="03C675E5" w14:textId="77777777" w:rsidR="007E0240" w:rsidRPr="00396ECD" w:rsidRDefault="007E0240" w:rsidP="005021CF">
            <w:pPr>
              <w:rPr>
                <w:sz w:val="22"/>
                <w:szCs w:val="22"/>
                <w:lang w:val="en-GB"/>
              </w:rPr>
            </w:pPr>
            <w:r w:rsidRPr="00396ECD">
              <w:rPr>
                <w:sz w:val="22"/>
                <w:szCs w:val="22"/>
                <w:lang w:val="en-GB"/>
              </w:rPr>
              <w:t>Scenario Planning</w:t>
            </w:r>
          </w:p>
        </w:tc>
        <w:tc>
          <w:tcPr>
            <w:tcW w:w="1176" w:type="dxa"/>
            <w:hideMark/>
          </w:tcPr>
          <w:p w14:paraId="6FA58A3C" w14:textId="77777777" w:rsidR="007E0240" w:rsidRPr="00396ECD" w:rsidRDefault="007E0240" w:rsidP="005021CF">
            <w:pPr>
              <w:rPr>
                <w:sz w:val="22"/>
                <w:szCs w:val="22"/>
                <w:lang w:val="en-GB"/>
              </w:rPr>
            </w:pPr>
            <w:r w:rsidRPr="00396ECD">
              <w:rPr>
                <w:sz w:val="22"/>
                <w:szCs w:val="22"/>
                <w:lang w:val="en-GB"/>
              </w:rPr>
              <w:t>5–20 years</w:t>
            </w:r>
          </w:p>
        </w:tc>
        <w:tc>
          <w:tcPr>
            <w:tcW w:w="1889" w:type="dxa"/>
            <w:hideMark/>
          </w:tcPr>
          <w:p w14:paraId="3CB51AE8" w14:textId="77777777" w:rsidR="007E0240" w:rsidRPr="00396ECD" w:rsidRDefault="007E0240" w:rsidP="005021CF">
            <w:pPr>
              <w:jc w:val="center"/>
              <w:rPr>
                <w:sz w:val="22"/>
                <w:szCs w:val="22"/>
                <w:lang w:val="en-GB"/>
              </w:rPr>
            </w:pPr>
            <w:r w:rsidRPr="00396ECD">
              <w:rPr>
                <w:sz w:val="22"/>
                <w:szCs w:val="22"/>
                <w:lang w:val="en-GB"/>
              </w:rPr>
              <w:t>Medium</w:t>
            </w:r>
          </w:p>
        </w:tc>
        <w:tc>
          <w:tcPr>
            <w:tcW w:w="2044" w:type="dxa"/>
            <w:hideMark/>
          </w:tcPr>
          <w:p w14:paraId="0AD5FA8B" w14:textId="77777777" w:rsidR="007E0240" w:rsidRPr="00396ECD" w:rsidRDefault="007E0240" w:rsidP="005021CF">
            <w:pPr>
              <w:jc w:val="center"/>
              <w:rPr>
                <w:sz w:val="22"/>
                <w:szCs w:val="22"/>
                <w:lang w:val="en-GB"/>
              </w:rPr>
            </w:pPr>
            <w:r w:rsidRPr="00396ECD">
              <w:rPr>
                <w:sz w:val="22"/>
                <w:szCs w:val="22"/>
                <w:lang w:val="en-GB"/>
              </w:rPr>
              <w:t>High</w:t>
            </w:r>
          </w:p>
        </w:tc>
        <w:tc>
          <w:tcPr>
            <w:tcW w:w="1720" w:type="dxa"/>
            <w:hideMark/>
          </w:tcPr>
          <w:p w14:paraId="4DF96C2E" w14:textId="77777777" w:rsidR="007E0240" w:rsidRPr="00396ECD" w:rsidRDefault="007E0240" w:rsidP="005021CF">
            <w:pPr>
              <w:jc w:val="center"/>
              <w:rPr>
                <w:sz w:val="22"/>
                <w:szCs w:val="22"/>
                <w:lang w:val="en-GB"/>
              </w:rPr>
            </w:pPr>
            <w:r w:rsidRPr="00396ECD">
              <w:rPr>
                <w:sz w:val="22"/>
                <w:szCs w:val="22"/>
                <w:lang w:val="en-GB"/>
              </w:rPr>
              <w:t>Medium</w:t>
            </w:r>
          </w:p>
        </w:tc>
      </w:tr>
      <w:tr w:rsidR="00C12399" w:rsidRPr="00396ECD" w14:paraId="4F8C6A04" w14:textId="77777777" w:rsidTr="00C12399">
        <w:trPr>
          <w:trHeight w:val="283"/>
        </w:trPr>
        <w:tc>
          <w:tcPr>
            <w:tcW w:w="2622" w:type="dxa"/>
            <w:hideMark/>
          </w:tcPr>
          <w:p w14:paraId="50A689CF" w14:textId="77777777" w:rsidR="007E0240" w:rsidRPr="00396ECD" w:rsidRDefault="007E0240" w:rsidP="005021CF">
            <w:pPr>
              <w:rPr>
                <w:sz w:val="22"/>
                <w:szCs w:val="22"/>
                <w:lang w:val="en-GB"/>
              </w:rPr>
            </w:pPr>
            <w:r w:rsidRPr="00396ECD">
              <w:rPr>
                <w:sz w:val="22"/>
                <w:szCs w:val="22"/>
                <w:lang w:val="en-GB"/>
              </w:rPr>
              <w:t>Delphi Method</w:t>
            </w:r>
          </w:p>
        </w:tc>
        <w:tc>
          <w:tcPr>
            <w:tcW w:w="1176" w:type="dxa"/>
            <w:hideMark/>
          </w:tcPr>
          <w:p w14:paraId="2001A6BD" w14:textId="77777777" w:rsidR="007E0240" w:rsidRPr="00396ECD" w:rsidRDefault="007E0240" w:rsidP="005021CF">
            <w:pPr>
              <w:rPr>
                <w:sz w:val="22"/>
                <w:szCs w:val="22"/>
                <w:lang w:val="en-GB"/>
              </w:rPr>
            </w:pPr>
            <w:r w:rsidRPr="00396ECD">
              <w:rPr>
                <w:sz w:val="22"/>
                <w:szCs w:val="22"/>
                <w:lang w:val="en-GB"/>
              </w:rPr>
              <w:t>3–15 years</w:t>
            </w:r>
          </w:p>
        </w:tc>
        <w:tc>
          <w:tcPr>
            <w:tcW w:w="1889" w:type="dxa"/>
            <w:hideMark/>
          </w:tcPr>
          <w:p w14:paraId="7A6660A5" w14:textId="77777777" w:rsidR="007E0240" w:rsidRPr="00396ECD" w:rsidRDefault="007E0240" w:rsidP="005021CF">
            <w:pPr>
              <w:jc w:val="center"/>
              <w:rPr>
                <w:sz w:val="22"/>
                <w:szCs w:val="22"/>
                <w:lang w:val="en-GB"/>
              </w:rPr>
            </w:pPr>
            <w:r w:rsidRPr="00396ECD">
              <w:rPr>
                <w:sz w:val="22"/>
                <w:szCs w:val="22"/>
                <w:lang w:val="en-GB"/>
              </w:rPr>
              <w:t>High</w:t>
            </w:r>
          </w:p>
        </w:tc>
        <w:tc>
          <w:tcPr>
            <w:tcW w:w="2044" w:type="dxa"/>
            <w:hideMark/>
          </w:tcPr>
          <w:p w14:paraId="44969ECA" w14:textId="77777777" w:rsidR="007E0240" w:rsidRPr="00396ECD" w:rsidRDefault="007E0240" w:rsidP="005021CF">
            <w:pPr>
              <w:jc w:val="center"/>
              <w:rPr>
                <w:sz w:val="22"/>
                <w:szCs w:val="22"/>
                <w:lang w:val="en-GB"/>
              </w:rPr>
            </w:pPr>
            <w:r w:rsidRPr="00396ECD">
              <w:rPr>
                <w:sz w:val="22"/>
                <w:szCs w:val="22"/>
                <w:lang w:val="en-GB"/>
              </w:rPr>
              <w:t>Low</w:t>
            </w:r>
          </w:p>
        </w:tc>
        <w:tc>
          <w:tcPr>
            <w:tcW w:w="1720" w:type="dxa"/>
            <w:hideMark/>
          </w:tcPr>
          <w:p w14:paraId="6156872B" w14:textId="77777777" w:rsidR="007E0240" w:rsidRPr="00396ECD" w:rsidRDefault="007E0240" w:rsidP="005021CF">
            <w:pPr>
              <w:jc w:val="center"/>
              <w:rPr>
                <w:sz w:val="22"/>
                <w:szCs w:val="22"/>
                <w:lang w:val="en-GB"/>
              </w:rPr>
            </w:pPr>
            <w:r w:rsidRPr="00396ECD">
              <w:rPr>
                <w:sz w:val="22"/>
                <w:szCs w:val="22"/>
                <w:lang w:val="en-GB"/>
              </w:rPr>
              <w:t>Medium</w:t>
            </w:r>
          </w:p>
        </w:tc>
      </w:tr>
      <w:tr w:rsidR="00C12399" w:rsidRPr="00396ECD" w14:paraId="663D4215" w14:textId="77777777" w:rsidTr="00C12399">
        <w:trPr>
          <w:trHeight w:val="283"/>
        </w:trPr>
        <w:tc>
          <w:tcPr>
            <w:tcW w:w="2622" w:type="dxa"/>
            <w:hideMark/>
          </w:tcPr>
          <w:p w14:paraId="58CBFCC9" w14:textId="77777777" w:rsidR="007E0240" w:rsidRPr="00396ECD" w:rsidRDefault="007E0240" w:rsidP="005021CF">
            <w:pPr>
              <w:rPr>
                <w:sz w:val="22"/>
                <w:szCs w:val="22"/>
                <w:lang w:val="en-GB"/>
              </w:rPr>
            </w:pPr>
            <w:r w:rsidRPr="00396ECD">
              <w:rPr>
                <w:sz w:val="22"/>
                <w:szCs w:val="22"/>
                <w:lang w:val="en-GB"/>
              </w:rPr>
              <w:t>Weak Signal Analysis</w:t>
            </w:r>
          </w:p>
        </w:tc>
        <w:tc>
          <w:tcPr>
            <w:tcW w:w="1176" w:type="dxa"/>
            <w:hideMark/>
          </w:tcPr>
          <w:p w14:paraId="24AD82FD" w14:textId="77777777" w:rsidR="007E0240" w:rsidRPr="00396ECD" w:rsidRDefault="007E0240" w:rsidP="005021CF">
            <w:pPr>
              <w:rPr>
                <w:sz w:val="22"/>
                <w:szCs w:val="22"/>
                <w:lang w:val="en-GB"/>
              </w:rPr>
            </w:pPr>
            <w:r w:rsidRPr="00396ECD">
              <w:rPr>
                <w:sz w:val="22"/>
                <w:szCs w:val="22"/>
                <w:lang w:val="en-GB"/>
              </w:rPr>
              <w:t>2–10 years</w:t>
            </w:r>
          </w:p>
        </w:tc>
        <w:tc>
          <w:tcPr>
            <w:tcW w:w="1889" w:type="dxa"/>
            <w:hideMark/>
          </w:tcPr>
          <w:p w14:paraId="2F86E0D4" w14:textId="77777777" w:rsidR="007E0240" w:rsidRPr="00396ECD" w:rsidRDefault="007E0240" w:rsidP="005021CF">
            <w:pPr>
              <w:jc w:val="center"/>
              <w:rPr>
                <w:sz w:val="22"/>
                <w:szCs w:val="22"/>
                <w:lang w:val="en-GB"/>
              </w:rPr>
            </w:pPr>
            <w:r w:rsidRPr="00396ECD">
              <w:rPr>
                <w:sz w:val="22"/>
                <w:szCs w:val="22"/>
                <w:lang w:val="en-GB"/>
              </w:rPr>
              <w:t>Low</w:t>
            </w:r>
          </w:p>
        </w:tc>
        <w:tc>
          <w:tcPr>
            <w:tcW w:w="2044" w:type="dxa"/>
            <w:hideMark/>
          </w:tcPr>
          <w:p w14:paraId="646BF257" w14:textId="77777777" w:rsidR="007E0240" w:rsidRPr="00396ECD" w:rsidRDefault="007E0240" w:rsidP="005021CF">
            <w:pPr>
              <w:jc w:val="center"/>
              <w:rPr>
                <w:sz w:val="22"/>
                <w:szCs w:val="22"/>
                <w:lang w:val="en-GB"/>
              </w:rPr>
            </w:pPr>
            <w:r w:rsidRPr="00396ECD">
              <w:rPr>
                <w:sz w:val="22"/>
                <w:szCs w:val="22"/>
                <w:lang w:val="en-GB"/>
              </w:rPr>
              <w:t>High</w:t>
            </w:r>
          </w:p>
        </w:tc>
        <w:tc>
          <w:tcPr>
            <w:tcW w:w="1720" w:type="dxa"/>
            <w:hideMark/>
          </w:tcPr>
          <w:p w14:paraId="1C3CDED5" w14:textId="77777777" w:rsidR="007E0240" w:rsidRPr="00396ECD" w:rsidRDefault="007E0240" w:rsidP="005021CF">
            <w:pPr>
              <w:jc w:val="center"/>
              <w:rPr>
                <w:sz w:val="22"/>
                <w:szCs w:val="22"/>
                <w:lang w:val="en-GB"/>
              </w:rPr>
            </w:pPr>
            <w:r w:rsidRPr="00396ECD">
              <w:rPr>
                <w:sz w:val="22"/>
                <w:szCs w:val="22"/>
                <w:lang w:val="en-GB"/>
              </w:rPr>
              <w:t>High</w:t>
            </w:r>
          </w:p>
        </w:tc>
      </w:tr>
      <w:tr w:rsidR="00C12399" w:rsidRPr="00396ECD" w14:paraId="6F87EBEA" w14:textId="77777777" w:rsidTr="00C12399">
        <w:trPr>
          <w:trHeight w:val="283"/>
        </w:trPr>
        <w:tc>
          <w:tcPr>
            <w:tcW w:w="2622" w:type="dxa"/>
            <w:hideMark/>
          </w:tcPr>
          <w:p w14:paraId="571CFC04" w14:textId="77777777" w:rsidR="007E0240" w:rsidRPr="00396ECD" w:rsidRDefault="007E0240" w:rsidP="005021CF">
            <w:pPr>
              <w:rPr>
                <w:sz w:val="22"/>
                <w:szCs w:val="22"/>
                <w:lang w:val="en-GB"/>
              </w:rPr>
            </w:pPr>
            <w:r w:rsidRPr="00396ECD">
              <w:rPr>
                <w:sz w:val="22"/>
                <w:szCs w:val="22"/>
                <w:lang w:val="en-GB"/>
              </w:rPr>
              <w:t>Technology Forecasting</w:t>
            </w:r>
          </w:p>
        </w:tc>
        <w:tc>
          <w:tcPr>
            <w:tcW w:w="1176" w:type="dxa"/>
            <w:hideMark/>
          </w:tcPr>
          <w:p w14:paraId="0DFCFDDF" w14:textId="77777777" w:rsidR="007E0240" w:rsidRPr="00396ECD" w:rsidRDefault="007E0240" w:rsidP="005021CF">
            <w:pPr>
              <w:rPr>
                <w:sz w:val="22"/>
                <w:szCs w:val="22"/>
                <w:lang w:val="en-GB"/>
              </w:rPr>
            </w:pPr>
            <w:r w:rsidRPr="00396ECD">
              <w:rPr>
                <w:sz w:val="22"/>
                <w:szCs w:val="22"/>
                <w:lang w:val="en-GB"/>
              </w:rPr>
              <w:t>5–20 years</w:t>
            </w:r>
          </w:p>
        </w:tc>
        <w:tc>
          <w:tcPr>
            <w:tcW w:w="1889" w:type="dxa"/>
            <w:hideMark/>
          </w:tcPr>
          <w:p w14:paraId="3DA41460" w14:textId="77777777" w:rsidR="007E0240" w:rsidRPr="00396ECD" w:rsidRDefault="007E0240" w:rsidP="005021CF">
            <w:pPr>
              <w:jc w:val="center"/>
              <w:rPr>
                <w:sz w:val="22"/>
                <w:szCs w:val="22"/>
                <w:lang w:val="en-GB"/>
              </w:rPr>
            </w:pPr>
            <w:r w:rsidRPr="00396ECD">
              <w:rPr>
                <w:sz w:val="22"/>
                <w:szCs w:val="22"/>
                <w:lang w:val="en-GB"/>
              </w:rPr>
              <w:t>High</w:t>
            </w:r>
          </w:p>
        </w:tc>
        <w:tc>
          <w:tcPr>
            <w:tcW w:w="2044" w:type="dxa"/>
            <w:hideMark/>
          </w:tcPr>
          <w:p w14:paraId="5AAE81D6" w14:textId="77777777" w:rsidR="007E0240" w:rsidRPr="00396ECD" w:rsidRDefault="007E0240" w:rsidP="005021CF">
            <w:pPr>
              <w:jc w:val="center"/>
              <w:rPr>
                <w:sz w:val="22"/>
                <w:szCs w:val="22"/>
                <w:lang w:val="en-GB"/>
              </w:rPr>
            </w:pPr>
            <w:r w:rsidRPr="00396ECD">
              <w:rPr>
                <w:sz w:val="22"/>
                <w:szCs w:val="22"/>
                <w:lang w:val="en-GB"/>
              </w:rPr>
              <w:t>Low</w:t>
            </w:r>
          </w:p>
        </w:tc>
        <w:tc>
          <w:tcPr>
            <w:tcW w:w="1720" w:type="dxa"/>
            <w:hideMark/>
          </w:tcPr>
          <w:p w14:paraId="73B7DC36" w14:textId="77777777" w:rsidR="007E0240" w:rsidRPr="00396ECD" w:rsidRDefault="007E0240" w:rsidP="005021CF">
            <w:pPr>
              <w:jc w:val="center"/>
              <w:rPr>
                <w:sz w:val="22"/>
                <w:szCs w:val="22"/>
                <w:lang w:val="en-GB"/>
              </w:rPr>
            </w:pPr>
            <w:r w:rsidRPr="00396ECD">
              <w:rPr>
                <w:sz w:val="22"/>
                <w:szCs w:val="22"/>
                <w:lang w:val="en-GB"/>
              </w:rPr>
              <w:t>Low</w:t>
            </w:r>
          </w:p>
        </w:tc>
      </w:tr>
      <w:tr w:rsidR="00C12399" w:rsidRPr="00396ECD" w14:paraId="0F156DDB" w14:textId="77777777" w:rsidTr="00C12399">
        <w:trPr>
          <w:trHeight w:val="283"/>
        </w:trPr>
        <w:tc>
          <w:tcPr>
            <w:tcW w:w="2622" w:type="dxa"/>
            <w:hideMark/>
          </w:tcPr>
          <w:p w14:paraId="4C726A37" w14:textId="77777777" w:rsidR="007E0240" w:rsidRPr="00396ECD" w:rsidRDefault="007E0240" w:rsidP="005021CF">
            <w:pPr>
              <w:rPr>
                <w:sz w:val="22"/>
                <w:szCs w:val="22"/>
                <w:lang w:val="en-GB"/>
              </w:rPr>
            </w:pPr>
            <w:r w:rsidRPr="00396ECD">
              <w:rPr>
                <w:sz w:val="22"/>
                <w:szCs w:val="22"/>
                <w:lang w:val="en-GB"/>
              </w:rPr>
              <w:t>PESTLE Analysis</w:t>
            </w:r>
          </w:p>
        </w:tc>
        <w:tc>
          <w:tcPr>
            <w:tcW w:w="1176" w:type="dxa"/>
            <w:hideMark/>
          </w:tcPr>
          <w:p w14:paraId="5C61A3B5" w14:textId="77777777" w:rsidR="007E0240" w:rsidRPr="00396ECD" w:rsidRDefault="007E0240" w:rsidP="005021CF">
            <w:pPr>
              <w:rPr>
                <w:sz w:val="22"/>
                <w:szCs w:val="22"/>
                <w:lang w:val="en-GB"/>
              </w:rPr>
            </w:pPr>
            <w:r w:rsidRPr="00396ECD">
              <w:rPr>
                <w:sz w:val="22"/>
                <w:szCs w:val="22"/>
                <w:lang w:val="en-GB"/>
              </w:rPr>
              <w:t>1–5 years</w:t>
            </w:r>
          </w:p>
        </w:tc>
        <w:tc>
          <w:tcPr>
            <w:tcW w:w="1889" w:type="dxa"/>
            <w:hideMark/>
          </w:tcPr>
          <w:p w14:paraId="28D24DE4" w14:textId="77777777" w:rsidR="007E0240" w:rsidRPr="00396ECD" w:rsidRDefault="007E0240" w:rsidP="005021CF">
            <w:pPr>
              <w:jc w:val="center"/>
              <w:rPr>
                <w:sz w:val="22"/>
                <w:szCs w:val="22"/>
                <w:lang w:val="en-GB"/>
              </w:rPr>
            </w:pPr>
            <w:r w:rsidRPr="00396ECD">
              <w:rPr>
                <w:sz w:val="22"/>
                <w:szCs w:val="22"/>
                <w:lang w:val="en-GB"/>
              </w:rPr>
              <w:t>Low</w:t>
            </w:r>
          </w:p>
        </w:tc>
        <w:tc>
          <w:tcPr>
            <w:tcW w:w="2044" w:type="dxa"/>
            <w:hideMark/>
          </w:tcPr>
          <w:p w14:paraId="2702F653" w14:textId="77777777" w:rsidR="007E0240" w:rsidRPr="00396ECD" w:rsidRDefault="007E0240" w:rsidP="005021CF">
            <w:pPr>
              <w:jc w:val="center"/>
              <w:rPr>
                <w:sz w:val="22"/>
                <w:szCs w:val="22"/>
                <w:lang w:val="en-GB"/>
              </w:rPr>
            </w:pPr>
            <w:r w:rsidRPr="00396ECD">
              <w:rPr>
                <w:sz w:val="22"/>
                <w:szCs w:val="22"/>
                <w:lang w:val="en-GB"/>
              </w:rPr>
              <w:t>High</w:t>
            </w:r>
          </w:p>
        </w:tc>
        <w:tc>
          <w:tcPr>
            <w:tcW w:w="1720" w:type="dxa"/>
            <w:hideMark/>
          </w:tcPr>
          <w:p w14:paraId="37B0A778" w14:textId="77777777" w:rsidR="007E0240" w:rsidRPr="00396ECD" w:rsidRDefault="007E0240" w:rsidP="005021CF">
            <w:pPr>
              <w:jc w:val="center"/>
              <w:rPr>
                <w:sz w:val="22"/>
                <w:szCs w:val="22"/>
                <w:lang w:val="en-GB"/>
              </w:rPr>
            </w:pPr>
            <w:r w:rsidRPr="00396ECD">
              <w:rPr>
                <w:sz w:val="22"/>
                <w:szCs w:val="22"/>
                <w:lang w:val="en-GB"/>
              </w:rPr>
              <w:t>Medium</w:t>
            </w:r>
          </w:p>
        </w:tc>
      </w:tr>
      <w:tr w:rsidR="00C12399" w:rsidRPr="00396ECD" w14:paraId="0ED79CC9" w14:textId="77777777" w:rsidTr="00C12399">
        <w:trPr>
          <w:trHeight w:val="283"/>
        </w:trPr>
        <w:tc>
          <w:tcPr>
            <w:tcW w:w="2622" w:type="dxa"/>
            <w:hideMark/>
          </w:tcPr>
          <w:p w14:paraId="44241412" w14:textId="77777777" w:rsidR="007E0240" w:rsidRPr="00396ECD" w:rsidRDefault="007E0240" w:rsidP="005021CF">
            <w:pPr>
              <w:rPr>
                <w:sz w:val="22"/>
                <w:szCs w:val="22"/>
                <w:lang w:val="en-GB"/>
              </w:rPr>
            </w:pPr>
            <w:r w:rsidRPr="00396ECD">
              <w:rPr>
                <w:sz w:val="22"/>
                <w:szCs w:val="22"/>
                <w:lang w:val="en-GB"/>
              </w:rPr>
              <w:t>Wild Cards Analysis</w:t>
            </w:r>
          </w:p>
        </w:tc>
        <w:tc>
          <w:tcPr>
            <w:tcW w:w="1176" w:type="dxa"/>
            <w:hideMark/>
          </w:tcPr>
          <w:p w14:paraId="3722C224" w14:textId="77777777" w:rsidR="007E0240" w:rsidRPr="00396ECD" w:rsidRDefault="007E0240" w:rsidP="005021CF">
            <w:pPr>
              <w:rPr>
                <w:sz w:val="22"/>
                <w:szCs w:val="22"/>
                <w:lang w:val="en-GB"/>
              </w:rPr>
            </w:pPr>
            <w:r w:rsidRPr="00396ECD">
              <w:rPr>
                <w:sz w:val="22"/>
                <w:szCs w:val="22"/>
                <w:lang w:val="en-GB"/>
              </w:rPr>
              <w:t>1–20 years</w:t>
            </w:r>
          </w:p>
        </w:tc>
        <w:tc>
          <w:tcPr>
            <w:tcW w:w="1889" w:type="dxa"/>
            <w:hideMark/>
          </w:tcPr>
          <w:p w14:paraId="4B7EC37B" w14:textId="77777777" w:rsidR="007E0240" w:rsidRPr="00396ECD" w:rsidRDefault="007E0240" w:rsidP="005021CF">
            <w:pPr>
              <w:jc w:val="center"/>
              <w:rPr>
                <w:sz w:val="22"/>
                <w:szCs w:val="22"/>
                <w:lang w:val="en-GB"/>
              </w:rPr>
            </w:pPr>
            <w:r w:rsidRPr="00396ECD">
              <w:rPr>
                <w:sz w:val="22"/>
                <w:szCs w:val="22"/>
                <w:lang w:val="en-GB"/>
              </w:rPr>
              <w:t>Low</w:t>
            </w:r>
          </w:p>
        </w:tc>
        <w:tc>
          <w:tcPr>
            <w:tcW w:w="2044" w:type="dxa"/>
            <w:hideMark/>
          </w:tcPr>
          <w:p w14:paraId="591E2ECF" w14:textId="77777777" w:rsidR="007E0240" w:rsidRPr="00396ECD" w:rsidRDefault="007E0240" w:rsidP="005021CF">
            <w:pPr>
              <w:jc w:val="center"/>
              <w:rPr>
                <w:sz w:val="22"/>
                <w:szCs w:val="22"/>
                <w:lang w:val="en-GB"/>
              </w:rPr>
            </w:pPr>
            <w:r w:rsidRPr="00396ECD">
              <w:rPr>
                <w:sz w:val="22"/>
                <w:szCs w:val="22"/>
                <w:lang w:val="en-GB"/>
              </w:rPr>
              <w:t>High</w:t>
            </w:r>
          </w:p>
        </w:tc>
        <w:tc>
          <w:tcPr>
            <w:tcW w:w="1720" w:type="dxa"/>
            <w:hideMark/>
          </w:tcPr>
          <w:p w14:paraId="75F68EF7" w14:textId="77777777" w:rsidR="007E0240" w:rsidRPr="00396ECD" w:rsidRDefault="007E0240" w:rsidP="005021CF">
            <w:pPr>
              <w:jc w:val="center"/>
              <w:rPr>
                <w:sz w:val="22"/>
                <w:szCs w:val="22"/>
                <w:lang w:val="en-GB"/>
              </w:rPr>
            </w:pPr>
            <w:r w:rsidRPr="00396ECD">
              <w:rPr>
                <w:sz w:val="22"/>
                <w:szCs w:val="22"/>
                <w:lang w:val="en-GB"/>
              </w:rPr>
              <w:t>Medium</w:t>
            </w:r>
          </w:p>
        </w:tc>
      </w:tr>
      <w:tr w:rsidR="00C12399" w:rsidRPr="00396ECD" w14:paraId="65D18793" w14:textId="77777777" w:rsidTr="00C12399">
        <w:trPr>
          <w:trHeight w:val="283"/>
        </w:trPr>
        <w:tc>
          <w:tcPr>
            <w:tcW w:w="2622" w:type="dxa"/>
            <w:hideMark/>
          </w:tcPr>
          <w:p w14:paraId="00A672A9" w14:textId="77777777" w:rsidR="007E0240" w:rsidRPr="00396ECD" w:rsidRDefault="007E0240" w:rsidP="005021CF">
            <w:pPr>
              <w:rPr>
                <w:sz w:val="22"/>
                <w:szCs w:val="22"/>
                <w:lang w:val="en-GB"/>
              </w:rPr>
            </w:pPr>
            <w:r w:rsidRPr="00396ECD">
              <w:rPr>
                <w:sz w:val="22"/>
                <w:szCs w:val="22"/>
                <w:lang w:val="en-GB"/>
              </w:rPr>
              <w:t>Cross-Impact Analysis</w:t>
            </w:r>
          </w:p>
        </w:tc>
        <w:tc>
          <w:tcPr>
            <w:tcW w:w="1176" w:type="dxa"/>
            <w:hideMark/>
          </w:tcPr>
          <w:p w14:paraId="0C89743F" w14:textId="77777777" w:rsidR="007E0240" w:rsidRPr="00396ECD" w:rsidRDefault="007E0240" w:rsidP="005021CF">
            <w:pPr>
              <w:rPr>
                <w:sz w:val="22"/>
                <w:szCs w:val="22"/>
                <w:lang w:val="en-GB"/>
              </w:rPr>
            </w:pPr>
            <w:r w:rsidRPr="00396ECD">
              <w:rPr>
                <w:sz w:val="22"/>
                <w:szCs w:val="22"/>
                <w:lang w:val="en-GB"/>
              </w:rPr>
              <w:t>3–10 years</w:t>
            </w:r>
          </w:p>
        </w:tc>
        <w:tc>
          <w:tcPr>
            <w:tcW w:w="1889" w:type="dxa"/>
            <w:hideMark/>
          </w:tcPr>
          <w:p w14:paraId="103D46DE" w14:textId="77777777" w:rsidR="007E0240" w:rsidRPr="00396ECD" w:rsidRDefault="007E0240" w:rsidP="005021CF">
            <w:pPr>
              <w:jc w:val="center"/>
              <w:rPr>
                <w:sz w:val="22"/>
                <w:szCs w:val="22"/>
                <w:lang w:val="en-GB"/>
              </w:rPr>
            </w:pPr>
            <w:r w:rsidRPr="00396ECD">
              <w:rPr>
                <w:sz w:val="22"/>
                <w:szCs w:val="22"/>
                <w:lang w:val="en-GB"/>
              </w:rPr>
              <w:t>High</w:t>
            </w:r>
          </w:p>
        </w:tc>
        <w:tc>
          <w:tcPr>
            <w:tcW w:w="2044" w:type="dxa"/>
            <w:hideMark/>
          </w:tcPr>
          <w:p w14:paraId="19D4778C" w14:textId="77777777" w:rsidR="007E0240" w:rsidRPr="00396ECD" w:rsidRDefault="007E0240" w:rsidP="005021CF">
            <w:pPr>
              <w:jc w:val="center"/>
              <w:rPr>
                <w:sz w:val="22"/>
                <w:szCs w:val="22"/>
                <w:lang w:val="en-GB"/>
              </w:rPr>
            </w:pPr>
            <w:r w:rsidRPr="00396ECD">
              <w:rPr>
                <w:sz w:val="22"/>
                <w:szCs w:val="22"/>
                <w:lang w:val="en-GB"/>
              </w:rPr>
              <w:t>Low</w:t>
            </w:r>
          </w:p>
        </w:tc>
        <w:tc>
          <w:tcPr>
            <w:tcW w:w="1720" w:type="dxa"/>
            <w:hideMark/>
          </w:tcPr>
          <w:p w14:paraId="06FAFD3B" w14:textId="77777777" w:rsidR="007E0240" w:rsidRPr="00396ECD" w:rsidRDefault="007E0240" w:rsidP="005021CF">
            <w:pPr>
              <w:jc w:val="center"/>
              <w:rPr>
                <w:sz w:val="22"/>
                <w:szCs w:val="22"/>
                <w:lang w:val="en-GB"/>
              </w:rPr>
            </w:pPr>
            <w:r w:rsidRPr="00396ECD">
              <w:rPr>
                <w:sz w:val="22"/>
                <w:szCs w:val="22"/>
                <w:lang w:val="en-GB"/>
              </w:rPr>
              <w:t>Medium</w:t>
            </w:r>
          </w:p>
        </w:tc>
      </w:tr>
      <w:tr w:rsidR="00C12399" w:rsidRPr="00396ECD" w14:paraId="67991E3A" w14:textId="77777777" w:rsidTr="00C12399">
        <w:trPr>
          <w:trHeight w:val="283"/>
        </w:trPr>
        <w:tc>
          <w:tcPr>
            <w:tcW w:w="2622" w:type="dxa"/>
            <w:hideMark/>
          </w:tcPr>
          <w:p w14:paraId="324B115F" w14:textId="77777777" w:rsidR="007E0240" w:rsidRPr="00396ECD" w:rsidRDefault="007E0240" w:rsidP="005021CF">
            <w:pPr>
              <w:rPr>
                <w:sz w:val="22"/>
                <w:szCs w:val="22"/>
                <w:lang w:val="en-GB"/>
              </w:rPr>
            </w:pPr>
            <w:r w:rsidRPr="00396ECD">
              <w:rPr>
                <w:sz w:val="22"/>
                <w:szCs w:val="22"/>
                <w:lang w:val="en-GB"/>
              </w:rPr>
              <w:t>Big Data / AI Analytics</w:t>
            </w:r>
          </w:p>
        </w:tc>
        <w:tc>
          <w:tcPr>
            <w:tcW w:w="1176" w:type="dxa"/>
            <w:hideMark/>
          </w:tcPr>
          <w:p w14:paraId="04E62828" w14:textId="77777777" w:rsidR="007E0240" w:rsidRPr="00396ECD" w:rsidRDefault="007E0240" w:rsidP="005021CF">
            <w:pPr>
              <w:rPr>
                <w:sz w:val="22"/>
                <w:szCs w:val="22"/>
                <w:lang w:val="en-GB"/>
              </w:rPr>
            </w:pPr>
            <w:r w:rsidRPr="00396ECD">
              <w:rPr>
                <w:sz w:val="22"/>
                <w:szCs w:val="22"/>
                <w:lang w:val="en-GB"/>
              </w:rPr>
              <w:t>1–5 years</w:t>
            </w:r>
          </w:p>
        </w:tc>
        <w:tc>
          <w:tcPr>
            <w:tcW w:w="1889" w:type="dxa"/>
            <w:hideMark/>
          </w:tcPr>
          <w:p w14:paraId="0C9F3451" w14:textId="77777777" w:rsidR="007E0240" w:rsidRPr="00396ECD" w:rsidRDefault="007E0240" w:rsidP="005021CF">
            <w:pPr>
              <w:jc w:val="center"/>
              <w:rPr>
                <w:sz w:val="22"/>
                <w:szCs w:val="22"/>
                <w:lang w:val="en-GB"/>
              </w:rPr>
            </w:pPr>
            <w:r w:rsidRPr="00396ECD">
              <w:rPr>
                <w:sz w:val="22"/>
                <w:szCs w:val="22"/>
                <w:lang w:val="en-GB"/>
              </w:rPr>
              <w:t>High</w:t>
            </w:r>
          </w:p>
        </w:tc>
        <w:tc>
          <w:tcPr>
            <w:tcW w:w="2044" w:type="dxa"/>
            <w:hideMark/>
          </w:tcPr>
          <w:p w14:paraId="52A6BA3A" w14:textId="77777777" w:rsidR="007E0240" w:rsidRPr="00396ECD" w:rsidRDefault="007E0240" w:rsidP="005021CF">
            <w:pPr>
              <w:jc w:val="center"/>
              <w:rPr>
                <w:sz w:val="22"/>
                <w:szCs w:val="22"/>
                <w:lang w:val="en-GB"/>
              </w:rPr>
            </w:pPr>
            <w:r w:rsidRPr="00396ECD">
              <w:rPr>
                <w:sz w:val="22"/>
                <w:szCs w:val="22"/>
                <w:lang w:val="en-GB"/>
              </w:rPr>
              <w:t>Medium</w:t>
            </w:r>
          </w:p>
        </w:tc>
        <w:tc>
          <w:tcPr>
            <w:tcW w:w="1720" w:type="dxa"/>
            <w:hideMark/>
          </w:tcPr>
          <w:p w14:paraId="614322C1" w14:textId="77777777" w:rsidR="007E0240" w:rsidRPr="00396ECD" w:rsidRDefault="007E0240" w:rsidP="005021CF">
            <w:pPr>
              <w:jc w:val="center"/>
              <w:rPr>
                <w:sz w:val="22"/>
                <w:szCs w:val="22"/>
                <w:lang w:val="en-GB"/>
              </w:rPr>
            </w:pPr>
            <w:r w:rsidRPr="00396ECD">
              <w:rPr>
                <w:sz w:val="22"/>
                <w:szCs w:val="22"/>
                <w:lang w:val="en-GB"/>
              </w:rPr>
              <w:t>High</w:t>
            </w:r>
          </w:p>
        </w:tc>
      </w:tr>
    </w:tbl>
    <w:p w14:paraId="78298849" w14:textId="0857EB74" w:rsidR="00460C45" w:rsidRPr="00396ECD" w:rsidRDefault="00486869" w:rsidP="005021CF">
      <w:pPr>
        <w:pStyle w:val="NormalnyWeb"/>
        <w:spacing w:before="60" w:beforeAutospacing="0" w:after="0" w:afterAutospacing="0"/>
        <w:jc w:val="both"/>
        <w:rPr>
          <w:i/>
          <w:iCs/>
          <w:sz w:val="20"/>
          <w:szCs w:val="20"/>
          <w:lang w:val="en-GB"/>
        </w:rPr>
      </w:pPr>
      <w:r w:rsidRPr="00396ECD">
        <w:rPr>
          <w:rStyle w:val="Uwydatnienie"/>
          <w:i w:val="0"/>
          <w:iCs w:val="0"/>
          <w:sz w:val="20"/>
          <w:szCs w:val="20"/>
          <w:shd w:val="clear" w:color="auto" w:fill="FFFFFF"/>
          <w:lang w:val="en-GB"/>
        </w:rPr>
        <w:t>Source: authors</w:t>
      </w:r>
      <w:r w:rsidR="00E975FE">
        <w:rPr>
          <w:rStyle w:val="Uwydatnienie"/>
          <w:i w:val="0"/>
          <w:iCs w:val="0"/>
          <w:sz w:val="20"/>
          <w:szCs w:val="20"/>
          <w:shd w:val="clear" w:color="auto" w:fill="FFFFFF"/>
          <w:lang w:val="en-GB"/>
        </w:rPr>
        <w:t>'</w:t>
      </w:r>
      <w:r w:rsidRPr="00396ECD">
        <w:rPr>
          <w:rStyle w:val="Uwydatnienie"/>
          <w:i w:val="0"/>
          <w:iCs w:val="0"/>
          <w:sz w:val="20"/>
          <w:szCs w:val="20"/>
          <w:shd w:val="clear" w:color="auto" w:fill="FFFFFF"/>
          <w:lang w:val="en-GB"/>
        </w:rPr>
        <w:t xml:space="preserve"> development</w:t>
      </w:r>
    </w:p>
    <w:p w14:paraId="7E6D7CFC" w14:textId="77777777" w:rsidR="00116981" w:rsidRPr="00396ECD" w:rsidRDefault="00116981" w:rsidP="00116981">
      <w:pPr>
        <w:pStyle w:val="NormalnyWeb"/>
        <w:spacing w:before="0" w:beforeAutospacing="0" w:after="0" w:afterAutospacing="0"/>
        <w:ind w:firstLine="284"/>
        <w:jc w:val="both"/>
        <w:rPr>
          <w:sz w:val="22"/>
          <w:szCs w:val="22"/>
          <w:lang w:val="en-GB"/>
        </w:rPr>
      </w:pPr>
    </w:p>
    <w:p w14:paraId="6C5E43F7" w14:textId="1289FC27" w:rsidR="007E4F35" w:rsidRPr="00396ECD" w:rsidRDefault="007E4F35" w:rsidP="00116981">
      <w:pPr>
        <w:pStyle w:val="NormalnyWeb"/>
        <w:spacing w:before="0" w:beforeAutospacing="0" w:after="0" w:afterAutospacing="0"/>
        <w:ind w:firstLine="284"/>
        <w:jc w:val="both"/>
        <w:rPr>
          <w:sz w:val="22"/>
          <w:szCs w:val="22"/>
          <w:lang w:val="en-GB"/>
        </w:rPr>
      </w:pPr>
      <w:r w:rsidRPr="00396ECD">
        <w:rPr>
          <w:sz w:val="22"/>
          <w:szCs w:val="22"/>
          <w:lang w:val="en-GB"/>
        </w:rPr>
        <w:t xml:space="preserve">Among the </w:t>
      </w:r>
      <w:r w:rsidR="00E975FE">
        <w:rPr>
          <w:sz w:val="22"/>
          <w:szCs w:val="22"/>
          <w:lang w:val="en-GB"/>
        </w:rPr>
        <w:t>most frequently used qualitative methods</w:t>
      </w:r>
      <w:r w:rsidRPr="00396ECD">
        <w:rPr>
          <w:sz w:val="22"/>
          <w:szCs w:val="22"/>
          <w:lang w:val="en-GB"/>
        </w:rPr>
        <w:t xml:space="preserve"> in marketing-oriented foresight for agricultural enterprises, the following should be highlighted. The Delphi method involves a series of expert surveys </w:t>
      </w:r>
      <w:r w:rsidR="00E975FE">
        <w:rPr>
          <w:sz w:val="22"/>
          <w:szCs w:val="22"/>
          <w:lang w:val="en-GB"/>
        </w:rPr>
        <w:t>to reach</w:t>
      </w:r>
      <w:r w:rsidRPr="00396ECD">
        <w:rPr>
          <w:sz w:val="22"/>
          <w:szCs w:val="22"/>
          <w:lang w:val="en-GB"/>
        </w:rPr>
        <w:t xml:space="preserve"> consensus on key trends and forecasts (Guliyev et al., 2025; </w:t>
      </w:r>
      <w:proofErr w:type="spellStart"/>
      <w:r w:rsidRPr="00396ECD">
        <w:rPr>
          <w:sz w:val="22"/>
          <w:szCs w:val="22"/>
          <w:lang w:val="en-GB"/>
        </w:rPr>
        <w:t>Lutkovska</w:t>
      </w:r>
      <w:proofErr w:type="spellEnd"/>
      <w:r w:rsidRPr="00396ECD">
        <w:rPr>
          <w:sz w:val="22"/>
          <w:szCs w:val="22"/>
          <w:lang w:val="en-GB"/>
        </w:rPr>
        <w:t xml:space="preserve"> et al., 2025). For an agricultural enterprise, the group of experts involved may include agronomists, marketers, economists, representatives of trade organizations, scientists, and risk management specialists. Importantly, the Delphi methodology allows for the consideration of diverse perspectives and minimizes the influence of authority figures, which is particularly valuable when studying unpredictable market phenomena. Of all the methods reviewed, scenario planning and weak signal analysis are the most accessible for small farming operations, as they require no specialized software, can be conducted within an existing advisory network, and yield actionable strategic insights even with limited data resources; the Delphi method, by contrast, demands greater organizational capacity and is therefore most suitable for medium and large agricultural enterprises or cooperative foresight initiatives.</w:t>
      </w:r>
    </w:p>
    <w:p w14:paraId="776246D9" w14:textId="77777777" w:rsidR="007E4F35" w:rsidRPr="00396ECD" w:rsidRDefault="007E4F35" w:rsidP="00116981">
      <w:pPr>
        <w:pStyle w:val="NormalnyWeb"/>
        <w:spacing w:before="0" w:beforeAutospacing="0" w:after="0" w:afterAutospacing="0"/>
        <w:ind w:firstLine="284"/>
        <w:jc w:val="both"/>
        <w:rPr>
          <w:sz w:val="22"/>
          <w:szCs w:val="22"/>
          <w:lang w:val="en-GB"/>
        </w:rPr>
      </w:pPr>
      <w:r w:rsidRPr="00501300">
        <w:rPr>
          <w:spacing w:val="-2"/>
          <w:sz w:val="22"/>
          <w:szCs w:val="22"/>
          <w:lang w:val="en-GB"/>
        </w:rPr>
        <w:t>The scenario planning method is arguably central to the foresight toolkit. It involves constructing 3–4 internally consistent and plausible descriptions of alternative futures, each based on different assumptions regarding key drivers and uncertainties.</w:t>
      </w:r>
      <w:r w:rsidRPr="00396ECD">
        <w:rPr>
          <w:sz w:val="22"/>
          <w:szCs w:val="22"/>
          <w:lang w:val="en-GB"/>
        </w:rPr>
        <w:t xml:space="preserve"> For an agricultural enterprise, the key driving forces that form the "scenario axes" are typically: market conditions (</w:t>
      </w:r>
      <w:proofErr w:type="spellStart"/>
      <w:r w:rsidRPr="00396ECD">
        <w:rPr>
          <w:sz w:val="22"/>
          <w:szCs w:val="22"/>
          <w:lang w:val="en-GB"/>
        </w:rPr>
        <w:t>favorable</w:t>
      </w:r>
      <w:proofErr w:type="spellEnd"/>
      <w:r w:rsidRPr="00396ECD">
        <w:rPr>
          <w:sz w:val="22"/>
          <w:szCs w:val="22"/>
          <w:lang w:val="en-GB"/>
        </w:rPr>
        <w:t>/</w:t>
      </w:r>
      <w:proofErr w:type="spellStart"/>
      <w:r w:rsidRPr="00396ECD">
        <w:rPr>
          <w:sz w:val="22"/>
          <w:szCs w:val="22"/>
          <w:lang w:val="en-GB"/>
        </w:rPr>
        <w:t>unfavorable</w:t>
      </w:r>
      <w:proofErr w:type="spellEnd"/>
      <w:r w:rsidRPr="00396ECD">
        <w:rPr>
          <w:sz w:val="22"/>
          <w:szCs w:val="22"/>
          <w:lang w:val="en-GB"/>
        </w:rPr>
        <w:t>) and the level of technological development in the industry (traditional/innovative). The combination of these axes yields four basic scenarios: "Traditional Prosperity" (</w:t>
      </w:r>
      <w:proofErr w:type="spellStart"/>
      <w:r w:rsidRPr="00396ECD">
        <w:rPr>
          <w:sz w:val="22"/>
          <w:szCs w:val="22"/>
          <w:lang w:val="en-GB"/>
        </w:rPr>
        <w:t>favorable</w:t>
      </w:r>
      <w:proofErr w:type="spellEnd"/>
      <w:r w:rsidRPr="00396ECD">
        <w:rPr>
          <w:sz w:val="22"/>
          <w:szCs w:val="22"/>
          <w:lang w:val="en-GB"/>
        </w:rPr>
        <w:t xml:space="preserve"> market, traditional technologies), "Innovative Breakthrough" (</w:t>
      </w:r>
      <w:proofErr w:type="spellStart"/>
      <w:r w:rsidRPr="00396ECD">
        <w:rPr>
          <w:sz w:val="22"/>
          <w:szCs w:val="22"/>
          <w:lang w:val="en-GB"/>
        </w:rPr>
        <w:t>favorable</w:t>
      </w:r>
      <w:proofErr w:type="spellEnd"/>
      <w:r w:rsidRPr="00396ECD">
        <w:rPr>
          <w:sz w:val="22"/>
          <w:szCs w:val="22"/>
          <w:lang w:val="en-GB"/>
        </w:rPr>
        <w:t xml:space="preserve"> market, innovative technologies), "Traditional Adaptation" (</w:t>
      </w:r>
      <w:proofErr w:type="spellStart"/>
      <w:r w:rsidRPr="00396ECD">
        <w:rPr>
          <w:sz w:val="22"/>
          <w:szCs w:val="22"/>
          <w:lang w:val="en-GB"/>
        </w:rPr>
        <w:t>unfavorable</w:t>
      </w:r>
      <w:proofErr w:type="spellEnd"/>
      <w:r w:rsidRPr="00396ECD">
        <w:rPr>
          <w:sz w:val="22"/>
          <w:szCs w:val="22"/>
          <w:lang w:val="en-GB"/>
        </w:rPr>
        <w:t xml:space="preserve"> market, traditional technologies), and "Technological Survival" (</w:t>
      </w:r>
      <w:proofErr w:type="spellStart"/>
      <w:r w:rsidRPr="00396ECD">
        <w:rPr>
          <w:sz w:val="22"/>
          <w:szCs w:val="22"/>
          <w:lang w:val="en-GB"/>
        </w:rPr>
        <w:t>unfavorable</w:t>
      </w:r>
      <w:proofErr w:type="spellEnd"/>
      <w:r w:rsidRPr="00396ECD">
        <w:rPr>
          <w:sz w:val="22"/>
          <w:szCs w:val="22"/>
          <w:lang w:val="en-GB"/>
        </w:rPr>
        <w:t xml:space="preserve"> market, innovative technologies).</w:t>
      </w:r>
    </w:p>
    <w:p w14:paraId="1044F73C" w14:textId="77777777" w:rsidR="007E4F35" w:rsidRPr="00396ECD" w:rsidRDefault="007E4F35" w:rsidP="00116981">
      <w:pPr>
        <w:pStyle w:val="NormalnyWeb"/>
        <w:spacing w:before="0" w:beforeAutospacing="0" w:after="0" w:afterAutospacing="0"/>
        <w:ind w:firstLine="284"/>
        <w:jc w:val="both"/>
        <w:rPr>
          <w:sz w:val="22"/>
          <w:szCs w:val="22"/>
          <w:lang w:val="en-GB"/>
        </w:rPr>
      </w:pPr>
      <w:r w:rsidRPr="00396ECD">
        <w:rPr>
          <w:sz w:val="22"/>
          <w:szCs w:val="22"/>
          <w:lang w:val="en-GB"/>
        </w:rPr>
        <w:t>The analysis of "weak signals" is another important method of marketing-oriented foresight. Weak signals are early signs of change that have not yet become widespread but point to potentially significant future trends. For agricultural marketing, weak signals may include: the emergence of new consumer movements (e.g., the flexitarian diet, the zero-waste movement, growing demand for "ugly" fruits and vegetables), new technological developments in related industries, regulatory initiatives at the international level (even if they have not yet taken effect), and the emergence of new competitive formats (e.g., vertical farming, cultured meat, precision fermentation). The "wild cards" method complements work with weak signals: "wild cards" are unlikely but highly impactful events that could radically change the market environment. For the agribusiness sector, examples of "wild cards" include the sudden emergence of a new dangerous pathogen affecting plants or animals, a major breakthrough in synthetic food technologies, unexpected changes in the trade or agricultural policies of key trading partners, and large-scale climate anomalies.</w:t>
      </w:r>
    </w:p>
    <w:p w14:paraId="40CD6AC6" w14:textId="21FF8107" w:rsidR="00460C45" w:rsidRPr="00396ECD" w:rsidRDefault="007E4F35" w:rsidP="00116981">
      <w:pPr>
        <w:pStyle w:val="NormalnyWeb"/>
        <w:spacing w:before="0" w:beforeAutospacing="0" w:after="0" w:afterAutospacing="0"/>
        <w:ind w:firstLine="284"/>
        <w:jc w:val="both"/>
        <w:rPr>
          <w:sz w:val="22"/>
          <w:szCs w:val="22"/>
          <w:lang w:val="en-GB"/>
        </w:rPr>
      </w:pPr>
      <w:r w:rsidRPr="00396ECD">
        <w:rPr>
          <w:sz w:val="22"/>
          <w:szCs w:val="22"/>
          <w:lang w:val="en-GB"/>
        </w:rPr>
        <w:t xml:space="preserve">Among the quantitative methods of marketing-oriented foresight, the following play an important role: econometric models for forecasting demand and prices in agri-food markets; the cross-impact analysis model, </w:t>
      </w:r>
      <w:r w:rsidRPr="00396ECD">
        <w:rPr>
          <w:sz w:val="22"/>
          <w:szCs w:val="22"/>
          <w:lang w:val="en-GB"/>
        </w:rPr>
        <w:lastRenderedPageBreak/>
        <w:t>which allows for the assessment of the mutual influence of various trends and events; and tech assessment, which forecasts the timeframe for the diffusion of key technological innovations (Petrenko et al., 2025). Quantitative methods allow foresight analysis to be more concrete and verifiable, although they are inferior to qualitative methods in their ability to account for nonlinear and systemic effects (</w:t>
      </w:r>
      <w:proofErr w:type="spellStart"/>
      <w:r w:rsidR="00804164" w:rsidRPr="00396ECD">
        <w:rPr>
          <w:sz w:val="22"/>
          <w:szCs w:val="22"/>
          <w:lang w:val="en-GB"/>
        </w:rPr>
        <w:t>Aleinikova</w:t>
      </w:r>
      <w:proofErr w:type="spellEnd"/>
      <w:r w:rsidR="00804164" w:rsidRPr="00396ECD">
        <w:rPr>
          <w:sz w:val="22"/>
          <w:szCs w:val="22"/>
          <w:lang w:val="en-GB"/>
        </w:rPr>
        <w:t xml:space="preserve"> et al., 2023; </w:t>
      </w:r>
      <w:r w:rsidRPr="00396ECD">
        <w:rPr>
          <w:sz w:val="22"/>
          <w:szCs w:val="22"/>
          <w:lang w:val="en-GB"/>
        </w:rPr>
        <w:t>Corallo et al., 2024; Petrenko et al., 2025). Integrating qualitative and quantitative methods within a hybrid approach is the most productive strategy for an agricultural enterprise (</w:t>
      </w:r>
      <w:proofErr w:type="spellStart"/>
      <w:r w:rsidRPr="00396ECD">
        <w:rPr>
          <w:sz w:val="22"/>
          <w:szCs w:val="22"/>
          <w:lang w:val="en-GB"/>
        </w:rPr>
        <w:t>Sumets</w:t>
      </w:r>
      <w:proofErr w:type="spellEnd"/>
      <w:r w:rsidRPr="00396ECD">
        <w:rPr>
          <w:sz w:val="22"/>
          <w:szCs w:val="22"/>
          <w:lang w:val="en-GB"/>
        </w:rPr>
        <w:t xml:space="preserve"> et al., 2022; </w:t>
      </w:r>
      <w:proofErr w:type="spellStart"/>
      <w:r w:rsidRPr="00396ECD">
        <w:rPr>
          <w:sz w:val="22"/>
          <w:szCs w:val="22"/>
          <w:lang w:val="en-GB"/>
        </w:rPr>
        <w:t>Mykhnovetskyi</w:t>
      </w:r>
      <w:proofErr w:type="spellEnd"/>
      <w:r w:rsidRPr="00396ECD">
        <w:rPr>
          <w:sz w:val="22"/>
          <w:szCs w:val="22"/>
          <w:lang w:val="en-GB"/>
        </w:rPr>
        <w:t xml:space="preserve">, 2024). For example, qualitative scenario planning can be </w:t>
      </w:r>
      <w:r w:rsidR="00E975FE">
        <w:rPr>
          <w:sz w:val="22"/>
          <w:szCs w:val="22"/>
          <w:lang w:val="en-GB"/>
        </w:rPr>
        <w:t xml:space="preserve">complemented by quantitative </w:t>
      </w:r>
      <w:proofErr w:type="spellStart"/>
      <w:r w:rsidR="00E975FE">
        <w:rPr>
          <w:sz w:val="22"/>
          <w:szCs w:val="22"/>
          <w:lang w:val="en-GB"/>
        </w:rPr>
        <w:t>modeling</w:t>
      </w:r>
      <w:proofErr w:type="spellEnd"/>
      <w:r w:rsidR="00E975FE">
        <w:rPr>
          <w:sz w:val="22"/>
          <w:szCs w:val="22"/>
          <w:lang w:val="en-GB"/>
        </w:rPr>
        <w:t xml:space="preserve"> of each scenario's financial parameters, thereby significantly enhancing</w:t>
      </w:r>
      <w:r w:rsidRPr="00396ECD">
        <w:rPr>
          <w:sz w:val="22"/>
          <w:szCs w:val="22"/>
          <w:lang w:val="en-GB"/>
        </w:rPr>
        <w:t xml:space="preserve"> the practical value of foresight analysis for strategic management.</w:t>
      </w:r>
    </w:p>
    <w:p w14:paraId="23860DB1" w14:textId="0D2BF191" w:rsidR="007E4F35" w:rsidRPr="00396ECD" w:rsidRDefault="0012711B" w:rsidP="00116981">
      <w:pPr>
        <w:pStyle w:val="Nagwek3"/>
        <w:ind w:firstLine="284"/>
        <w:jc w:val="both"/>
        <w:rPr>
          <w:color w:val="auto"/>
          <w:sz w:val="22"/>
          <w:szCs w:val="22"/>
          <w:lang w:val="en-GB"/>
        </w:rPr>
      </w:pPr>
      <w:r w:rsidRPr="00396ECD">
        <w:rPr>
          <w:color w:val="auto"/>
          <w:sz w:val="22"/>
          <w:szCs w:val="22"/>
          <w:lang w:val="en-GB"/>
        </w:rPr>
        <w:t xml:space="preserve">Developing effective marketing-oriented foresight for Ukrainian agricultural enterprises requires a clear understanding of the key trends </w:t>
      </w:r>
      <w:r w:rsidR="00E975FE">
        <w:rPr>
          <w:color w:val="auto"/>
          <w:sz w:val="22"/>
          <w:szCs w:val="22"/>
          <w:lang w:val="en-GB"/>
        </w:rPr>
        <w:t>shaping</w:t>
      </w:r>
      <w:r w:rsidRPr="00396ECD">
        <w:rPr>
          <w:color w:val="auto"/>
          <w:sz w:val="22"/>
          <w:szCs w:val="22"/>
          <w:lang w:val="en-GB"/>
        </w:rPr>
        <w:t xml:space="preserve"> the development of agri-food markets in the medium term. In addition to traditional market and technological drivers, environmental regulatory trends — particularly the EU Carbon Border Adjustment Mechanism (CBAM), deforestation-free supply chain requirements, and soil health directives — are emerging as critical determinants of long-term export competitiveness. Based on the analysis conducted using the PESTLE methodology and the systematization of results from leading international foresight studies, we propose the following classification of key trends by thematic blocks (Table 2).</w:t>
      </w:r>
    </w:p>
    <w:p w14:paraId="7307368F" w14:textId="77777777" w:rsidR="00116981" w:rsidRPr="00396ECD" w:rsidRDefault="00116981" w:rsidP="00116981">
      <w:pPr>
        <w:pStyle w:val="Nagwek3"/>
        <w:ind w:firstLine="284"/>
        <w:jc w:val="both"/>
        <w:rPr>
          <w:color w:val="auto"/>
          <w:sz w:val="22"/>
          <w:szCs w:val="22"/>
          <w:lang w:val="en-GB"/>
        </w:rPr>
      </w:pPr>
    </w:p>
    <w:p w14:paraId="68C7F805" w14:textId="77777777" w:rsidR="007E0240" w:rsidRPr="00396ECD" w:rsidRDefault="007E4F35" w:rsidP="005021CF">
      <w:pPr>
        <w:pStyle w:val="Rtab"/>
        <w:rPr>
          <w:lang w:val="en-GB"/>
        </w:rPr>
      </w:pPr>
      <w:r w:rsidRPr="00396ECD">
        <w:rPr>
          <w:b/>
          <w:lang w:val="en-GB"/>
        </w:rPr>
        <w:t>Table 2.</w:t>
      </w:r>
      <w:r w:rsidRPr="00396ECD">
        <w:rPr>
          <w:lang w:val="en-GB"/>
        </w:rPr>
        <w:t xml:space="preserve"> Key Trends in Agri-Food Markets in the Medium Term and Their Impact on Strategies of Ukrainian Agrarian Enterprises </w:t>
      </w:r>
    </w:p>
    <w:tbl>
      <w:tblPr>
        <w:tblStyle w:val="Tabela-Siatka"/>
        <w:tblW w:w="9582" w:type="dxa"/>
        <w:tblInd w:w="108" w:type="dxa"/>
        <w:tblBorders>
          <w:left w:val="none" w:sz="0" w:space="0" w:color="auto"/>
          <w:right w:val="none" w:sz="0" w:space="0" w:color="auto"/>
          <w:insideV w:val="none" w:sz="0" w:space="0" w:color="auto"/>
        </w:tblBorders>
        <w:tblLook w:val="04A0" w:firstRow="1" w:lastRow="0" w:firstColumn="1" w:lastColumn="0" w:noHBand="0" w:noVBand="1"/>
      </w:tblPr>
      <w:tblGrid>
        <w:gridCol w:w="1310"/>
        <w:gridCol w:w="1606"/>
        <w:gridCol w:w="2044"/>
        <w:gridCol w:w="1553"/>
        <w:gridCol w:w="826"/>
        <w:gridCol w:w="2243"/>
      </w:tblGrid>
      <w:tr w:rsidR="005021CF" w:rsidRPr="00396ECD" w14:paraId="39ADD85D" w14:textId="77777777" w:rsidTr="000F392C">
        <w:trPr>
          <w:trHeight w:val="567"/>
        </w:trPr>
        <w:tc>
          <w:tcPr>
            <w:tcW w:w="1310" w:type="dxa"/>
            <w:vAlign w:val="center"/>
            <w:hideMark/>
          </w:tcPr>
          <w:p w14:paraId="5A82C4E9" w14:textId="77777777" w:rsidR="007E0240" w:rsidRPr="00396ECD" w:rsidRDefault="007E0240" w:rsidP="005021CF">
            <w:pPr>
              <w:jc w:val="center"/>
              <w:rPr>
                <w:sz w:val="20"/>
                <w:szCs w:val="20"/>
                <w:lang w:val="en-GB"/>
              </w:rPr>
            </w:pPr>
            <w:r w:rsidRPr="00396ECD">
              <w:rPr>
                <w:sz w:val="20"/>
                <w:szCs w:val="20"/>
                <w:lang w:val="en-GB"/>
              </w:rPr>
              <w:t>Trend / Block</w:t>
            </w:r>
          </w:p>
        </w:tc>
        <w:tc>
          <w:tcPr>
            <w:tcW w:w="1606" w:type="dxa"/>
            <w:vAlign w:val="center"/>
            <w:hideMark/>
          </w:tcPr>
          <w:p w14:paraId="65C90A77" w14:textId="66B96880" w:rsidR="007E0240" w:rsidRPr="00396ECD" w:rsidRDefault="007E0240" w:rsidP="005021CF">
            <w:pPr>
              <w:jc w:val="center"/>
              <w:rPr>
                <w:sz w:val="20"/>
                <w:szCs w:val="20"/>
                <w:lang w:val="en-GB"/>
              </w:rPr>
            </w:pPr>
            <w:r w:rsidRPr="00396ECD">
              <w:rPr>
                <w:sz w:val="20"/>
                <w:szCs w:val="20"/>
                <w:lang w:val="en-GB"/>
              </w:rPr>
              <w:t xml:space="preserve">Key </w:t>
            </w:r>
            <w:r w:rsidR="005021CF" w:rsidRPr="00396ECD">
              <w:rPr>
                <w:sz w:val="20"/>
                <w:szCs w:val="20"/>
                <w:lang w:val="en-GB"/>
              </w:rPr>
              <w:br/>
            </w:r>
            <w:r w:rsidRPr="00396ECD">
              <w:rPr>
                <w:sz w:val="20"/>
                <w:szCs w:val="20"/>
                <w:lang w:val="en-GB"/>
              </w:rPr>
              <w:t>Manifestations</w:t>
            </w:r>
          </w:p>
        </w:tc>
        <w:tc>
          <w:tcPr>
            <w:tcW w:w="2044" w:type="dxa"/>
            <w:vAlign w:val="center"/>
            <w:hideMark/>
          </w:tcPr>
          <w:p w14:paraId="6CA35FAE" w14:textId="3CF34CBC" w:rsidR="007E0240" w:rsidRPr="00C12399" w:rsidRDefault="007E0240" w:rsidP="005021CF">
            <w:pPr>
              <w:jc w:val="center"/>
              <w:rPr>
                <w:spacing w:val="-4"/>
                <w:sz w:val="20"/>
                <w:szCs w:val="20"/>
                <w:lang w:val="en-GB"/>
              </w:rPr>
            </w:pPr>
            <w:r w:rsidRPr="00C12399">
              <w:rPr>
                <w:spacing w:val="-4"/>
                <w:sz w:val="20"/>
                <w:szCs w:val="20"/>
                <w:lang w:val="en-GB"/>
              </w:rPr>
              <w:t>Opportunities for Ukrainian Agribusiness</w:t>
            </w:r>
          </w:p>
        </w:tc>
        <w:tc>
          <w:tcPr>
            <w:tcW w:w="1553" w:type="dxa"/>
            <w:vAlign w:val="center"/>
            <w:hideMark/>
          </w:tcPr>
          <w:p w14:paraId="529A77FE" w14:textId="77777777" w:rsidR="007E0240" w:rsidRPr="00396ECD" w:rsidRDefault="007E0240" w:rsidP="005021CF">
            <w:pPr>
              <w:jc w:val="center"/>
              <w:rPr>
                <w:sz w:val="20"/>
                <w:szCs w:val="20"/>
                <w:lang w:val="en-GB"/>
              </w:rPr>
            </w:pPr>
            <w:r w:rsidRPr="00396ECD">
              <w:rPr>
                <w:sz w:val="20"/>
                <w:szCs w:val="20"/>
                <w:lang w:val="en-GB"/>
              </w:rPr>
              <w:t>Risks</w:t>
            </w:r>
          </w:p>
        </w:tc>
        <w:tc>
          <w:tcPr>
            <w:tcW w:w="826" w:type="dxa"/>
            <w:vAlign w:val="center"/>
            <w:hideMark/>
          </w:tcPr>
          <w:p w14:paraId="0AFA26C4" w14:textId="77777777" w:rsidR="007E0240" w:rsidRPr="00396ECD" w:rsidRDefault="007E0240" w:rsidP="000F392C">
            <w:pPr>
              <w:ind w:left="-69"/>
              <w:jc w:val="center"/>
              <w:rPr>
                <w:sz w:val="20"/>
                <w:szCs w:val="20"/>
                <w:lang w:val="en-GB"/>
              </w:rPr>
            </w:pPr>
            <w:r w:rsidRPr="00396ECD">
              <w:rPr>
                <w:sz w:val="20"/>
                <w:szCs w:val="20"/>
                <w:lang w:val="en-GB"/>
              </w:rPr>
              <w:t>Priority</w:t>
            </w:r>
          </w:p>
        </w:tc>
        <w:tc>
          <w:tcPr>
            <w:tcW w:w="2243" w:type="dxa"/>
            <w:vAlign w:val="center"/>
            <w:hideMark/>
          </w:tcPr>
          <w:p w14:paraId="0A000001" w14:textId="77777777" w:rsidR="007E0240" w:rsidRPr="00396ECD" w:rsidRDefault="007E0240" w:rsidP="005021CF">
            <w:pPr>
              <w:jc w:val="center"/>
              <w:rPr>
                <w:sz w:val="20"/>
                <w:szCs w:val="20"/>
                <w:lang w:val="en-GB"/>
              </w:rPr>
            </w:pPr>
            <w:r w:rsidRPr="00396ECD">
              <w:rPr>
                <w:sz w:val="20"/>
                <w:szCs w:val="20"/>
                <w:lang w:val="en-GB"/>
              </w:rPr>
              <w:t>Monitoring Method</w:t>
            </w:r>
          </w:p>
        </w:tc>
      </w:tr>
      <w:tr w:rsidR="005021CF" w:rsidRPr="00396ECD" w14:paraId="18C20819" w14:textId="77777777" w:rsidTr="00C12399">
        <w:trPr>
          <w:trHeight w:val="1288"/>
        </w:trPr>
        <w:tc>
          <w:tcPr>
            <w:tcW w:w="1310" w:type="dxa"/>
            <w:vAlign w:val="center"/>
            <w:hideMark/>
          </w:tcPr>
          <w:p w14:paraId="5D52333D" w14:textId="0EF2BC1B" w:rsidR="007E0240" w:rsidRPr="00396ECD" w:rsidRDefault="007E0240" w:rsidP="005021CF">
            <w:pPr>
              <w:rPr>
                <w:sz w:val="20"/>
                <w:szCs w:val="20"/>
                <w:lang w:val="en-GB"/>
              </w:rPr>
            </w:pPr>
            <w:r w:rsidRPr="00396ECD">
              <w:rPr>
                <w:sz w:val="20"/>
                <w:szCs w:val="20"/>
                <w:lang w:val="en-GB"/>
              </w:rPr>
              <w:t xml:space="preserve">Healthy </w:t>
            </w:r>
            <w:r w:rsidR="005021CF" w:rsidRPr="00396ECD">
              <w:rPr>
                <w:sz w:val="20"/>
                <w:szCs w:val="20"/>
                <w:lang w:val="en-GB"/>
              </w:rPr>
              <w:br/>
            </w:r>
            <w:r w:rsidRPr="00396ECD">
              <w:rPr>
                <w:sz w:val="20"/>
                <w:szCs w:val="20"/>
                <w:lang w:val="en-GB"/>
              </w:rPr>
              <w:t>Nutrition</w:t>
            </w:r>
          </w:p>
        </w:tc>
        <w:tc>
          <w:tcPr>
            <w:tcW w:w="1606" w:type="dxa"/>
            <w:vAlign w:val="center"/>
            <w:hideMark/>
          </w:tcPr>
          <w:p w14:paraId="358481A1" w14:textId="77777777" w:rsidR="007E0240" w:rsidRPr="00396ECD" w:rsidRDefault="007E0240" w:rsidP="005021CF">
            <w:pPr>
              <w:rPr>
                <w:sz w:val="20"/>
                <w:szCs w:val="20"/>
                <w:lang w:val="en-GB"/>
              </w:rPr>
            </w:pPr>
            <w:r w:rsidRPr="00396ECD">
              <w:rPr>
                <w:sz w:val="20"/>
                <w:szCs w:val="20"/>
                <w:lang w:val="en-GB"/>
              </w:rPr>
              <w:t>Demand for natural, functional, minimally processed products</w:t>
            </w:r>
          </w:p>
        </w:tc>
        <w:tc>
          <w:tcPr>
            <w:tcW w:w="2044" w:type="dxa"/>
            <w:vAlign w:val="center"/>
            <w:hideMark/>
          </w:tcPr>
          <w:p w14:paraId="376DC87E" w14:textId="77777777" w:rsidR="007E0240" w:rsidRPr="00396ECD" w:rsidRDefault="007E0240" w:rsidP="005021CF">
            <w:pPr>
              <w:rPr>
                <w:sz w:val="20"/>
                <w:szCs w:val="20"/>
                <w:lang w:val="en-GB"/>
              </w:rPr>
            </w:pPr>
            <w:r w:rsidRPr="00396ECD">
              <w:rPr>
                <w:sz w:val="20"/>
                <w:szCs w:val="20"/>
                <w:lang w:val="en-GB"/>
              </w:rPr>
              <w:t>Organic production, specialty crops, medicinal plants</w:t>
            </w:r>
          </w:p>
        </w:tc>
        <w:tc>
          <w:tcPr>
            <w:tcW w:w="1553" w:type="dxa"/>
            <w:vAlign w:val="center"/>
            <w:hideMark/>
          </w:tcPr>
          <w:p w14:paraId="09B15CCC" w14:textId="77777777" w:rsidR="007E0240" w:rsidRPr="00396ECD" w:rsidRDefault="007E0240" w:rsidP="005021CF">
            <w:pPr>
              <w:rPr>
                <w:sz w:val="20"/>
                <w:szCs w:val="20"/>
                <w:lang w:val="en-GB"/>
              </w:rPr>
            </w:pPr>
            <w:r w:rsidRPr="00396ECD">
              <w:rPr>
                <w:sz w:val="20"/>
                <w:szCs w:val="20"/>
                <w:lang w:val="en-GB"/>
              </w:rPr>
              <w:t>Competition with EU organic producers</w:t>
            </w:r>
          </w:p>
        </w:tc>
        <w:tc>
          <w:tcPr>
            <w:tcW w:w="826" w:type="dxa"/>
            <w:vAlign w:val="center"/>
            <w:hideMark/>
          </w:tcPr>
          <w:p w14:paraId="7441BB79" w14:textId="77777777" w:rsidR="007E0240" w:rsidRPr="00396ECD" w:rsidRDefault="007E0240" w:rsidP="005021CF">
            <w:pPr>
              <w:jc w:val="center"/>
              <w:rPr>
                <w:sz w:val="20"/>
                <w:szCs w:val="20"/>
                <w:lang w:val="en-GB"/>
              </w:rPr>
            </w:pPr>
            <w:r w:rsidRPr="00396ECD">
              <w:rPr>
                <w:sz w:val="20"/>
                <w:szCs w:val="20"/>
                <w:lang w:val="en-GB"/>
              </w:rPr>
              <w:t>High</w:t>
            </w:r>
          </w:p>
        </w:tc>
        <w:tc>
          <w:tcPr>
            <w:tcW w:w="2243" w:type="dxa"/>
            <w:vAlign w:val="center"/>
          </w:tcPr>
          <w:p w14:paraId="0B100001" w14:textId="7701F879" w:rsidR="007E0240" w:rsidRPr="00396ECD" w:rsidRDefault="007E0240" w:rsidP="005021CF">
            <w:pPr>
              <w:rPr>
                <w:sz w:val="20"/>
                <w:szCs w:val="20"/>
                <w:lang w:val="en-GB"/>
              </w:rPr>
            </w:pPr>
            <w:r w:rsidRPr="00396ECD">
              <w:rPr>
                <w:sz w:val="20"/>
                <w:szCs w:val="20"/>
                <w:lang w:val="en-GB"/>
              </w:rPr>
              <w:t xml:space="preserve">Consumer preference surveys; retail data analytics; food industry </w:t>
            </w:r>
            <w:r w:rsidR="000F392C">
              <w:rPr>
                <w:sz w:val="20"/>
                <w:szCs w:val="20"/>
                <w:lang w:val="en-GB"/>
              </w:rPr>
              <w:br/>
            </w:r>
            <w:r w:rsidRPr="00396ECD">
              <w:rPr>
                <w:sz w:val="20"/>
                <w:szCs w:val="20"/>
                <w:lang w:val="en-GB"/>
              </w:rPr>
              <w:t>reports (Euromonitor, Nielsen)</w:t>
            </w:r>
          </w:p>
        </w:tc>
      </w:tr>
      <w:tr w:rsidR="005021CF" w:rsidRPr="00396ECD" w14:paraId="3F02B860" w14:textId="77777777" w:rsidTr="00C12399">
        <w:trPr>
          <w:trHeight w:val="652"/>
        </w:trPr>
        <w:tc>
          <w:tcPr>
            <w:tcW w:w="1310" w:type="dxa"/>
            <w:vAlign w:val="center"/>
            <w:hideMark/>
          </w:tcPr>
          <w:p w14:paraId="66BD535D" w14:textId="77777777" w:rsidR="007E0240" w:rsidRPr="00396ECD" w:rsidRDefault="007E0240" w:rsidP="005021CF">
            <w:pPr>
              <w:rPr>
                <w:sz w:val="20"/>
                <w:szCs w:val="20"/>
                <w:lang w:val="en-GB"/>
              </w:rPr>
            </w:pPr>
            <w:r w:rsidRPr="00396ECD">
              <w:rPr>
                <w:sz w:val="20"/>
                <w:szCs w:val="20"/>
                <w:lang w:val="en-GB"/>
              </w:rPr>
              <w:t>Plant-Based Revolution</w:t>
            </w:r>
          </w:p>
        </w:tc>
        <w:tc>
          <w:tcPr>
            <w:tcW w:w="1606" w:type="dxa"/>
            <w:vAlign w:val="center"/>
            <w:hideMark/>
          </w:tcPr>
          <w:p w14:paraId="0833FE0A" w14:textId="77777777" w:rsidR="007E0240" w:rsidRPr="00396ECD" w:rsidRDefault="007E0240" w:rsidP="005021CF">
            <w:pPr>
              <w:rPr>
                <w:sz w:val="20"/>
                <w:szCs w:val="20"/>
                <w:lang w:val="en-GB"/>
              </w:rPr>
            </w:pPr>
            <w:r w:rsidRPr="00396ECD">
              <w:rPr>
                <w:sz w:val="20"/>
                <w:szCs w:val="20"/>
                <w:lang w:val="en-GB"/>
              </w:rPr>
              <w:t>Growth of plant-based share to 10–15% of protein market by 2030</w:t>
            </w:r>
          </w:p>
        </w:tc>
        <w:tc>
          <w:tcPr>
            <w:tcW w:w="2044" w:type="dxa"/>
            <w:vAlign w:val="center"/>
            <w:hideMark/>
          </w:tcPr>
          <w:p w14:paraId="4DA584A6" w14:textId="77777777" w:rsidR="007E0240" w:rsidRPr="00396ECD" w:rsidRDefault="007E0240" w:rsidP="005021CF">
            <w:pPr>
              <w:rPr>
                <w:sz w:val="20"/>
                <w:szCs w:val="20"/>
                <w:lang w:val="en-GB"/>
              </w:rPr>
            </w:pPr>
            <w:r w:rsidRPr="00396ECD">
              <w:rPr>
                <w:sz w:val="20"/>
                <w:szCs w:val="20"/>
                <w:lang w:val="en-GB"/>
              </w:rPr>
              <w:t>Soy, peas, chickpeas, lupin production</w:t>
            </w:r>
          </w:p>
        </w:tc>
        <w:tc>
          <w:tcPr>
            <w:tcW w:w="1553" w:type="dxa"/>
            <w:vAlign w:val="center"/>
            <w:hideMark/>
          </w:tcPr>
          <w:p w14:paraId="61DEA4ED" w14:textId="77777777" w:rsidR="007E0240" w:rsidRPr="00396ECD" w:rsidRDefault="007E0240" w:rsidP="005021CF">
            <w:pPr>
              <w:rPr>
                <w:sz w:val="20"/>
                <w:szCs w:val="20"/>
                <w:lang w:val="en-GB"/>
              </w:rPr>
            </w:pPr>
            <w:r w:rsidRPr="00396ECD">
              <w:rPr>
                <w:sz w:val="20"/>
                <w:szCs w:val="20"/>
                <w:lang w:val="en-GB"/>
              </w:rPr>
              <w:t>Threat to traditional livestock sector</w:t>
            </w:r>
          </w:p>
        </w:tc>
        <w:tc>
          <w:tcPr>
            <w:tcW w:w="826" w:type="dxa"/>
            <w:vAlign w:val="center"/>
            <w:hideMark/>
          </w:tcPr>
          <w:p w14:paraId="356A0305" w14:textId="77777777" w:rsidR="007E0240" w:rsidRPr="00396ECD" w:rsidRDefault="007E0240" w:rsidP="005021CF">
            <w:pPr>
              <w:jc w:val="center"/>
              <w:rPr>
                <w:sz w:val="20"/>
                <w:szCs w:val="20"/>
                <w:lang w:val="en-GB"/>
              </w:rPr>
            </w:pPr>
            <w:r w:rsidRPr="00396ECD">
              <w:rPr>
                <w:sz w:val="20"/>
                <w:szCs w:val="20"/>
                <w:lang w:val="en-GB"/>
              </w:rPr>
              <w:t>High</w:t>
            </w:r>
          </w:p>
        </w:tc>
        <w:tc>
          <w:tcPr>
            <w:tcW w:w="2243" w:type="dxa"/>
            <w:vAlign w:val="center"/>
          </w:tcPr>
          <w:p w14:paraId="0B100002" w14:textId="77777777" w:rsidR="007E0240" w:rsidRPr="00396ECD" w:rsidRDefault="007E0240" w:rsidP="005021CF">
            <w:pPr>
              <w:rPr>
                <w:sz w:val="20"/>
                <w:szCs w:val="20"/>
                <w:lang w:val="en-GB"/>
              </w:rPr>
            </w:pPr>
            <w:r w:rsidRPr="00396ECD">
              <w:rPr>
                <w:sz w:val="20"/>
                <w:szCs w:val="20"/>
                <w:lang w:val="en-GB"/>
              </w:rPr>
              <w:t>Social media monitoring for alternative protein trends; commodity databases (FAO, USDA)</w:t>
            </w:r>
          </w:p>
        </w:tc>
      </w:tr>
      <w:tr w:rsidR="005021CF" w:rsidRPr="00396ECD" w14:paraId="2F45D861" w14:textId="77777777" w:rsidTr="00C12399">
        <w:trPr>
          <w:trHeight w:val="1330"/>
        </w:trPr>
        <w:tc>
          <w:tcPr>
            <w:tcW w:w="1310" w:type="dxa"/>
            <w:vAlign w:val="center"/>
            <w:hideMark/>
          </w:tcPr>
          <w:p w14:paraId="66680161" w14:textId="77777777" w:rsidR="007E0240" w:rsidRPr="00396ECD" w:rsidRDefault="007E0240" w:rsidP="005021CF">
            <w:pPr>
              <w:rPr>
                <w:sz w:val="20"/>
                <w:szCs w:val="20"/>
                <w:lang w:val="en-GB"/>
              </w:rPr>
            </w:pPr>
            <w:r w:rsidRPr="00396ECD">
              <w:rPr>
                <w:sz w:val="20"/>
                <w:szCs w:val="20"/>
                <w:lang w:val="en-GB"/>
              </w:rPr>
              <w:t>Technological Transformation</w:t>
            </w:r>
          </w:p>
        </w:tc>
        <w:tc>
          <w:tcPr>
            <w:tcW w:w="1606" w:type="dxa"/>
            <w:vAlign w:val="center"/>
            <w:hideMark/>
          </w:tcPr>
          <w:p w14:paraId="3F09E385" w14:textId="77777777" w:rsidR="007E0240" w:rsidRPr="00396ECD" w:rsidRDefault="007E0240" w:rsidP="005021CF">
            <w:pPr>
              <w:rPr>
                <w:sz w:val="20"/>
                <w:szCs w:val="20"/>
                <w:lang w:val="en-GB"/>
              </w:rPr>
            </w:pPr>
            <w:r w:rsidRPr="00396ECD">
              <w:rPr>
                <w:sz w:val="20"/>
                <w:szCs w:val="20"/>
                <w:lang w:val="en-GB"/>
              </w:rPr>
              <w:t>Precision farming, AI, drones, IoT, genome editing</w:t>
            </w:r>
          </w:p>
        </w:tc>
        <w:tc>
          <w:tcPr>
            <w:tcW w:w="2044" w:type="dxa"/>
            <w:vAlign w:val="center"/>
            <w:hideMark/>
          </w:tcPr>
          <w:p w14:paraId="796A33C3" w14:textId="0103A95E" w:rsidR="007E0240" w:rsidRPr="00396ECD" w:rsidRDefault="007E0240" w:rsidP="005021CF">
            <w:pPr>
              <w:rPr>
                <w:sz w:val="20"/>
                <w:szCs w:val="20"/>
                <w:lang w:val="en-GB"/>
              </w:rPr>
            </w:pPr>
            <w:r w:rsidRPr="00396ECD">
              <w:rPr>
                <w:sz w:val="20"/>
                <w:szCs w:val="20"/>
                <w:lang w:val="en-GB"/>
              </w:rPr>
              <w:t xml:space="preserve">Yield increase </w:t>
            </w:r>
            <w:r w:rsidR="000F392C">
              <w:rPr>
                <w:sz w:val="20"/>
                <w:szCs w:val="20"/>
                <w:lang w:val="en-GB"/>
              </w:rPr>
              <w:br/>
            </w:r>
            <w:r w:rsidRPr="00396ECD">
              <w:rPr>
                <w:sz w:val="20"/>
                <w:szCs w:val="20"/>
                <w:lang w:val="en-GB"/>
              </w:rPr>
              <w:t xml:space="preserve">(10–20%), cost </w:t>
            </w:r>
            <w:r w:rsidR="000F392C">
              <w:rPr>
                <w:sz w:val="20"/>
                <w:szCs w:val="20"/>
                <w:lang w:val="en-GB"/>
              </w:rPr>
              <w:br/>
            </w:r>
            <w:r w:rsidRPr="00396ECD">
              <w:rPr>
                <w:sz w:val="20"/>
                <w:szCs w:val="20"/>
                <w:lang w:val="en-GB"/>
              </w:rPr>
              <w:t xml:space="preserve">reduction (15–25%) </w:t>
            </w:r>
          </w:p>
        </w:tc>
        <w:tc>
          <w:tcPr>
            <w:tcW w:w="1553" w:type="dxa"/>
            <w:vAlign w:val="center"/>
            <w:hideMark/>
          </w:tcPr>
          <w:p w14:paraId="7A50C6DB" w14:textId="04852A5B" w:rsidR="007E0240" w:rsidRPr="00396ECD" w:rsidRDefault="007E0240" w:rsidP="005021CF">
            <w:pPr>
              <w:rPr>
                <w:sz w:val="20"/>
                <w:szCs w:val="20"/>
                <w:lang w:val="en-GB"/>
              </w:rPr>
            </w:pPr>
            <w:r w:rsidRPr="00396ECD">
              <w:rPr>
                <w:sz w:val="20"/>
                <w:szCs w:val="20"/>
                <w:lang w:val="en-GB"/>
              </w:rPr>
              <w:t xml:space="preserve">High capital </w:t>
            </w:r>
            <w:r w:rsidR="000F392C">
              <w:rPr>
                <w:sz w:val="20"/>
                <w:szCs w:val="20"/>
                <w:lang w:val="en-GB"/>
              </w:rPr>
              <w:br/>
            </w:r>
            <w:r w:rsidRPr="00396ECD">
              <w:rPr>
                <w:sz w:val="20"/>
                <w:szCs w:val="20"/>
                <w:lang w:val="en-GB"/>
              </w:rPr>
              <w:t>requirements</w:t>
            </w:r>
          </w:p>
        </w:tc>
        <w:tc>
          <w:tcPr>
            <w:tcW w:w="826" w:type="dxa"/>
            <w:vAlign w:val="center"/>
            <w:hideMark/>
          </w:tcPr>
          <w:p w14:paraId="07E9CC0E" w14:textId="77777777" w:rsidR="007E0240" w:rsidRPr="00396ECD" w:rsidRDefault="007E0240" w:rsidP="000F392C">
            <w:pPr>
              <w:ind w:left="-69"/>
              <w:jc w:val="center"/>
              <w:rPr>
                <w:sz w:val="20"/>
                <w:szCs w:val="20"/>
                <w:lang w:val="en-GB"/>
              </w:rPr>
            </w:pPr>
            <w:r w:rsidRPr="00396ECD">
              <w:rPr>
                <w:sz w:val="20"/>
                <w:szCs w:val="20"/>
                <w:lang w:val="en-GB"/>
              </w:rPr>
              <w:t>Medium</w:t>
            </w:r>
          </w:p>
        </w:tc>
        <w:tc>
          <w:tcPr>
            <w:tcW w:w="2243" w:type="dxa"/>
            <w:vAlign w:val="center"/>
          </w:tcPr>
          <w:p w14:paraId="0B100003" w14:textId="77777777" w:rsidR="007E0240" w:rsidRPr="00396ECD" w:rsidRDefault="007E0240" w:rsidP="005021CF">
            <w:pPr>
              <w:rPr>
                <w:sz w:val="20"/>
                <w:szCs w:val="20"/>
                <w:lang w:val="en-GB"/>
              </w:rPr>
            </w:pPr>
            <w:r w:rsidRPr="00396ECD">
              <w:rPr>
                <w:sz w:val="20"/>
                <w:szCs w:val="20"/>
                <w:lang w:val="en-GB"/>
              </w:rPr>
              <w:t xml:space="preserve">Patent and innovation databases; </w:t>
            </w:r>
            <w:proofErr w:type="spellStart"/>
            <w:r w:rsidRPr="00396ECD">
              <w:rPr>
                <w:sz w:val="20"/>
                <w:szCs w:val="20"/>
                <w:lang w:val="en-GB"/>
              </w:rPr>
              <w:t>agri</w:t>
            </w:r>
            <w:proofErr w:type="spellEnd"/>
            <w:r w:rsidRPr="00396ECD">
              <w:rPr>
                <w:sz w:val="20"/>
                <w:szCs w:val="20"/>
                <w:lang w:val="en-GB"/>
              </w:rPr>
              <w:t>-tech startup tracking; precision farming adoption surveys</w:t>
            </w:r>
          </w:p>
        </w:tc>
      </w:tr>
      <w:tr w:rsidR="005021CF" w:rsidRPr="00396ECD" w14:paraId="4FE99CF2" w14:textId="77777777" w:rsidTr="00C12399">
        <w:trPr>
          <w:trHeight w:val="1120"/>
        </w:trPr>
        <w:tc>
          <w:tcPr>
            <w:tcW w:w="1310" w:type="dxa"/>
            <w:vAlign w:val="center"/>
            <w:hideMark/>
          </w:tcPr>
          <w:p w14:paraId="258AC9EC" w14:textId="11270418" w:rsidR="007E0240" w:rsidRPr="00396ECD" w:rsidRDefault="007E0240" w:rsidP="005021CF">
            <w:pPr>
              <w:rPr>
                <w:sz w:val="20"/>
                <w:szCs w:val="20"/>
                <w:lang w:val="en-GB"/>
              </w:rPr>
            </w:pPr>
            <w:r w:rsidRPr="00396ECD">
              <w:rPr>
                <w:sz w:val="20"/>
                <w:szCs w:val="20"/>
                <w:lang w:val="en-GB"/>
              </w:rPr>
              <w:t xml:space="preserve">Climate </w:t>
            </w:r>
            <w:r w:rsidR="005021CF" w:rsidRPr="00396ECD">
              <w:rPr>
                <w:sz w:val="20"/>
                <w:szCs w:val="20"/>
                <w:lang w:val="en-GB"/>
              </w:rPr>
              <w:br/>
            </w:r>
            <w:r w:rsidRPr="00396ECD">
              <w:rPr>
                <w:sz w:val="20"/>
                <w:szCs w:val="20"/>
                <w:lang w:val="en-GB"/>
              </w:rPr>
              <w:t>Uncertainty</w:t>
            </w:r>
          </w:p>
        </w:tc>
        <w:tc>
          <w:tcPr>
            <w:tcW w:w="1606" w:type="dxa"/>
            <w:vAlign w:val="center"/>
            <w:hideMark/>
          </w:tcPr>
          <w:p w14:paraId="58711D8D" w14:textId="7A4465DF" w:rsidR="007E0240" w:rsidRPr="00396ECD" w:rsidRDefault="007E0240" w:rsidP="005021CF">
            <w:pPr>
              <w:rPr>
                <w:sz w:val="20"/>
                <w:szCs w:val="20"/>
                <w:lang w:val="en-GB"/>
              </w:rPr>
            </w:pPr>
            <w:r w:rsidRPr="00396ECD">
              <w:rPr>
                <w:sz w:val="20"/>
                <w:szCs w:val="20"/>
                <w:lang w:val="en-GB"/>
              </w:rPr>
              <w:t xml:space="preserve">Droughts, </w:t>
            </w:r>
            <w:r w:rsidR="000F392C">
              <w:rPr>
                <w:sz w:val="20"/>
                <w:szCs w:val="20"/>
                <w:lang w:val="en-GB"/>
              </w:rPr>
              <w:br/>
            </w:r>
            <w:r w:rsidRPr="00396ECD">
              <w:rPr>
                <w:sz w:val="20"/>
                <w:szCs w:val="20"/>
                <w:lang w:val="en-GB"/>
              </w:rPr>
              <w:t>extreme events, agroclimatic shifts</w:t>
            </w:r>
          </w:p>
        </w:tc>
        <w:tc>
          <w:tcPr>
            <w:tcW w:w="2044" w:type="dxa"/>
            <w:vAlign w:val="center"/>
            <w:hideMark/>
          </w:tcPr>
          <w:p w14:paraId="06879A9E" w14:textId="77777777" w:rsidR="007E0240" w:rsidRPr="00396ECD" w:rsidRDefault="007E0240" w:rsidP="005021CF">
            <w:pPr>
              <w:rPr>
                <w:sz w:val="20"/>
                <w:szCs w:val="20"/>
                <w:lang w:val="en-GB"/>
              </w:rPr>
            </w:pPr>
            <w:r w:rsidRPr="00396ECD">
              <w:rPr>
                <w:sz w:val="20"/>
                <w:szCs w:val="20"/>
                <w:lang w:val="en-GB"/>
              </w:rPr>
              <w:t>New crops, irrigation systems</w:t>
            </w:r>
          </w:p>
        </w:tc>
        <w:tc>
          <w:tcPr>
            <w:tcW w:w="1553" w:type="dxa"/>
            <w:vAlign w:val="center"/>
            <w:hideMark/>
          </w:tcPr>
          <w:p w14:paraId="1B43648F" w14:textId="77777777" w:rsidR="007E0240" w:rsidRPr="00396ECD" w:rsidRDefault="007E0240" w:rsidP="005021CF">
            <w:pPr>
              <w:rPr>
                <w:sz w:val="20"/>
                <w:szCs w:val="20"/>
                <w:lang w:val="en-GB"/>
              </w:rPr>
            </w:pPr>
            <w:r w:rsidRPr="00396ECD">
              <w:rPr>
                <w:sz w:val="20"/>
                <w:szCs w:val="20"/>
                <w:lang w:val="en-GB"/>
              </w:rPr>
              <w:t>Yield decline in southern/central regions</w:t>
            </w:r>
          </w:p>
        </w:tc>
        <w:tc>
          <w:tcPr>
            <w:tcW w:w="826" w:type="dxa"/>
            <w:vAlign w:val="center"/>
            <w:hideMark/>
          </w:tcPr>
          <w:p w14:paraId="03758E88" w14:textId="77777777" w:rsidR="007E0240" w:rsidRPr="00396ECD" w:rsidRDefault="007E0240" w:rsidP="005021CF">
            <w:pPr>
              <w:jc w:val="center"/>
              <w:rPr>
                <w:sz w:val="20"/>
                <w:szCs w:val="20"/>
                <w:lang w:val="en-GB"/>
              </w:rPr>
            </w:pPr>
            <w:r w:rsidRPr="00396ECD">
              <w:rPr>
                <w:sz w:val="20"/>
                <w:szCs w:val="20"/>
                <w:lang w:val="en-GB"/>
              </w:rPr>
              <w:t>Critical</w:t>
            </w:r>
          </w:p>
        </w:tc>
        <w:tc>
          <w:tcPr>
            <w:tcW w:w="2243" w:type="dxa"/>
            <w:vAlign w:val="center"/>
          </w:tcPr>
          <w:p w14:paraId="0B100004" w14:textId="77777777" w:rsidR="007E0240" w:rsidRPr="00396ECD" w:rsidRDefault="007E0240" w:rsidP="005021CF">
            <w:pPr>
              <w:rPr>
                <w:sz w:val="20"/>
                <w:szCs w:val="20"/>
                <w:lang w:val="en-GB"/>
              </w:rPr>
            </w:pPr>
            <w:r w:rsidRPr="00396ECD">
              <w:rPr>
                <w:sz w:val="20"/>
                <w:szCs w:val="20"/>
                <w:lang w:val="en-GB"/>
              </w:rPr>
              <w:t>Agroclimatic models (USDA WASDE, Copernicus); drought and yield anomaly indices</w:t>
            </w:r>
          </w:p>
        </w:tc>
      </w:tr>
      <w:tr w:rsidR="005021CF" w:rsidRPr="00396ECD" w14:paraId="46D59B75" w14:textId="77777777" w:rsidTr="00C12399">
        <w:trPr>
          <w:trHeight w:val="1190"/>
        </w:trPr>
        <w:tc>
          <w:tcPr>
            <w:tcW w:w="1310" w:type="dxa"/>
            <w:vAlign w:val="center"/>
            <w:hideMark/>
          </w:tcPr>
          <w:p w14:paraId="5036C9D4" w14:textId="20D4CD9C" w:rsidR="007E0240" w:rsidRPr="00396ECD" w:rsidRDefault="007E0240" w:rsidP="005021CF">
            <w:pPr>
              <w:rPr>
                <w:sz w:val="20"/>
                <w:szCs w:val="20"/>
                <w:lang w:val="en-GB"/>
              </w:rPr>
            </w:pPr>
            <w:r w:rsidRPr="00396ECD">
              <w:rPr>
                <w:sz w:val="20"/>
                <w:szCs w:val="20"/>
                <w:lang w:val="en-GB"/>
              </w:rPr>
              <w:t xml:space="preserve">European </w:t>
            </w:r>
            <w:r w:rsidR="005021CF" w:rsidRPr="00396ECD">
              <w:rPr>
                <w:sz w:val="20"/>
                <w:szCs w:val="20"/>
                <w:lang w:val="en-GB"/>
              </w:rPr>
              <w:br/>
            </w:r>
            <w:r w:rsidRPr="00396ECD">
              <w:rPr>
                <w:sz w:val="20"/>
                <w:szCs w:val="20"/>
                <w:lang w:val="en-GB"/>
              </w:rPr>
              <w:t>Integration / CAP</w:t>
            </w:r>
          </w:p>
        </w:tc>
        <w:tc>
          <w:tcPr>
            <w:tcW w:w="1606" w:type="dxa"/>
            <w:vAlign w:val="center"/>
            <w:hideMark/>
          </w:tcPr>
          <w:p w14:paraId="60E9A2A7" w14:textId="77777777" w:rsidR="007E0240" w:rsidRPr="00396ECD" w:rsidRDefault="007E0240" w:rsidP="005021CF">
            <w:pPr>
              <w:rPr>
                <w:sz w:val="20"/>
                <w:szCs w:val="20"/>
                <w:lang w:val="en-GB"/>
              </w:rPr>
            </w:pPr>
            <w:r w:rsidRPr="00396ECD">
              <w:rPr>
                <w:sz w:val="20"/>
                <w:szCs w:val="20"/>
                <w:lang w:val="en-GB"/>
              </w:rPr>
              <w:t>Farm to Fork: -50% pesticides, 25% organic by 2030</w:t>
            </w:r>
          </w:p>
        </w:tc>
        <w:tc>
          <w:tcPr>
            <w:tcW w:w="2044" w:type="dxa"/>
            <w:vAlign w:val="center"/>
            <w:hideMark/>
          </w:tcPr>
          <w:p w14:paraId="7E11DC4C" w14:textId="77777777" w:rsidR="007E0240" w:rsidRPr="00396ECD" w:rsidRDefault="007E0240" w:rsidP="005021CF">
            <w:pPr>
              <w:rPr>
                <w:sz w:val="20"/>
                <w:szCs w:val="20"/>
                <w:lang w:val="en-GB"/>
              </w:rPr>
            </w:pPr>
            <w:r w:rsidRPr="00396ECD">
              <w:rPr>
                <w:sz w:val="20"/>
                <w:szCs w:val="20"/>
                <w:lang w:val="en-GB"/>
              </w:rPr>
              <w:t>Access to EU markets, support programs</w:t>
            </w:r>
          </w:p>
        </w:tc>
        <w:tc>
          <w:tcPr>
            <w:tcW w:w="1553" w:type="dxa"/>
            <w:vAlign w:val="center"/>
            <w:hideMark/>
          </w:tcPr>
          <w:p w14:paraId="0E3D4493" w14:textId="370CE7D5" w:rsidR="007E0240" w:rsidRPr="00396ECD" w:rsidRDefault="007E0240" w:rsidP="005021CF">
            <w:pPr>
              <w:rPr>
                <w:sz w:val="20"/>
                <w:szCs w:val="20"/>
                <w:lang w:val="en-GB"/>
              </w:rPr>
            </w:pPr>
            <w:r w:rsidRPr="00396ECD">
              <w:rPr>
                <w:sz w:val="20"/>
                <w:szCs w:val="20"/>
                <w:lang w:val="en-GB"/>
              </w:rPr>
              <w:t xml:space="preserve">Increased </w:t>
            </w:r>
            <w:r w:rsidR="000F392C">
              <w:rPr>
                <w:sz w:val="20"/>
                <w:szCs w:val="20"/>
                <w:lang w:val="en-GB"/>
              </w:rPr>
              <w:br/>
            </w:r>
            <w:r w:rsidRPr="00396ECD">
              <w:rPr>
                <w:sz w:val="20"/>
                <w:szCs w:val="20"/>
                <w:lang w:val="en-GB"/>
              </w:rPr>
              <w:t xml:space="preserve">domestic </w:t>
            </w:r>
            <w:r w:rsidR="000F392C">
              <w:rPr>
                <w:sz w:val="20"/>
                <w:szCs w:val="20"/>
                <w:lang w:val="en-GB"/>
              </w:rPr>
              <w:br/>
            </w:r>
            <w:r w:rsidRPr="00396ECD">
              <w:rPr>
                <w:sz w:val="20"/>
                <w:szCs w:val="20"/>
                <w:lang w:val="en-GB"/>
              </w:rPr>
              <w:t>competition</w:t>
            </w:r>
          </w:p>
        </w:tc>
        <w:tc>
          <w:tcPr>
            <w:tcW w:w="826" w:type="dxa"/>
            <w:vAlign w:val="center"/>
            <w:hideMark/>
          </w:tcPr>
          <w:p w14:paraId="5F7C83B5" w14:textId="77777777" w:rsidR="007E0240" w:rsidRPr="00396ECD" w:rsidRDefault="007E0240" w:rsidP="005021CF">
            <w:pPr>
              <w:jc w:val="center"/>
              <w:rPr>
                <w:sz w:val="20"/>
                <w:szCs w:val="20"/>
                <w:lang w:val="en-GB"/>
              </w:rPr>
            </w:pPr>
            <w:r w:rsidRPr="00396ECD">
              <w:rPr>
                <w:sz w:val="20"/>
                <w:szCs w:val="20"/>
                <w:lang w:val="en-GB"/>
              </w:rPr>
              <w:t>Critical</w:t>
            </w:r>
          </w:p>
        </w:tc>
        <w:tc>
          <w:tcPr>
            <w:tcW w:w="2243" w:type="dxa"/>
            <w:vAlign w:val="center"/>
          </w:tcPr>
          <w:p w14:paraId="0B100005" w14:textId="77777777" w:rsidR="007E0240" w:rsidRPr="00396ECD" w:rsidRDefault="007E0240" w:rsidP="005021CF">
            <w:pPr>
              <w:rPr>
                <w:sz w:val="20"/>
                <w:szCs w:val="20"/>
                <w:lang w:val="en-GB"/>
              </w:rPr>
            </w:pPr>
            <w:r w:rsidRPr="00396ECD">
              <w:rPr>
                <w:sz w:val="20"/>
                <w:szCs w:val="20"/>
                <w:lang w:val="en-GB"/>
              </w:rPr>
              <w:t xml:space="preserve">EU regulatory databases (EUR-Lex); CAP monitoring reports by </w:t>
            </w:r>
            <w:proofErr w:type="spellStart"/>
            <w:r w:rsidRPr="00396ECD">
              <w:rPr>
                <w:sz w:val="20"/>
                <w:szCs w:val="20"/>
                <w:lang w:val="en-GB"/>
              </w:rPr>
              <w:t>agri</w:t>
            </w:r>
            <w:proofErr w:type="spellEnd"/>
            <w:r w:rsidRPr="00396ECD">
              <w:rPr>
                <w:sz w:val="20"/>
                <w:szCs w:val="20"/>
                <w:lang w:val="en-GB"/>
              </w:rPr>
              <w:t>-policy research institutes</w:t>
            </w:r>
          </w:p>
        </w:tc>
      </w:tr>
    </w:tbl>
    <w:p w14:paraId="7A2A1130" w14:textId="77777777" w:rsidR="00C12399" w:rsidRPr="006E1670" w:rsidRDefault="00C12399">
      <w:pPr>
        <w:rPr>
          <w:lang w:val="en-US"/>
        </w:rPr>
      </w:pPr>
    </w:p>
    <w:p w14:paraId="5A0D6755" w14:textId="77777777" w:rsidR="00C12399" w:rsidRDefault="00C12399">
      <w:pPr>
        <w:rPr>
          <w:rFonts w:eastAsiaTheme="minorHAnsi" w:cstheme="minorBidi"/>
          <w:b/>
          <w:kern w:val="2"/>
          <w:sz w:val="20"/>
          <w:szCs w:val="22"/>
          <w:lang w:val="en-GB" w:eastAsia="en-US"/>
          <w14:ligatures w14:val="standardContextual"/>
        </w:rPr>
      </w:pPr>
      <w:r>
        <w:rPr>
          <w:b/>
          <w:lang w:val="en-GB"/>
        </w:rPr>
        <w:br w:type="page"/>
      </w:r>
    </w:p>
    <w:p w14:paraId="12736DAB" w14:textId="2E2BE67F" w:rsidR="00C12399" w:rsidRPr="00396ECD" w:rsidRDefault="00C12399" w:rsidP="00C12399">
      <w:pPr>
        <w:pStyle w:val="Rtab"/>
        <w:rPr>
          <w:lang w:val="en-GB"/>
        </w:rPr>
      </w:pPr>
      <w:r w:rsidRPr="00396ECD">
        <w:rPr>
          <w:b/>
          <w:lang w:val="en-GB"/>
        </w:rPr>
        <w:lastRenderedPageBreak/>
        <w:t>Table 2.</w:t>
      </w:r>
      <w:r w:rsidRPr="00396ECD">
        <w:rPr>
          <w:lang w:val="en-GB"/>
        </w:rPr>
        <w:t xml:space="preserve"> </w:t>
      </w:r>
      <w:r>
        <w:rPr>
          <w:lang w:val="en-GB"/>
        </w:rPr>
        <w:t>cont.</w:t>
      </w:r>
    </w:p>
    <w:tbl>
      <w:tblPr>
        <w:tblStyle w:val="Tabela-Siatka"/>
        <w:tblW w:w="9582" w:type="dxa"/>
        <w:tblInd w:w="108" w:type="dxa"/>
        <w:tblBorders>
          <w:left w:val="none" w:sz="0" w:space="0" w:color="auto"/>
          <w:right w:val="none" w:sz="0" w:space="0" w:color="auto"/>
          <w:insideV w:val="none" w:sz="0" w:space="0" w:color="auto"/>
        </w:tblBorders>
        <w:tblLook w:val="04A0" w:firstRow="1" w:lastRow="0" w:firstColumn="1" w:lastColumn="0" w:noHBand="0" w:noVBand="1"/>
      </w:tblPr>
      <w:tblGrid>
        <w:gridCol w:w="1310"/>
        <w:gridCol w:w="1606"/>
        <w:gridCol w:w="2044"/>
        <w:gridCol w:w="1553"/>
        <w:gridCol w:w="826"/>
        <w:gridCol w:w="2243"/>
      </w:tblGrid>
      <w:tr w:rsidR="00C12399" w:rsidRPr="00396ECD" w14:paraId="5823ABC3" w14:textId="77777777" w:rsidTr="00BF4320">
        <w:trPr>
          <w:trHeight w:val="672"/>
        </w:trPr>
        <w:tc>
          <w:tcPr>
            <w:tcW w:w="1310" w:type="dxa"/>
            <w:vAlign w:val="center"/>
            <w:hideMark/>
          </w:tcPr>
          <w:p w14:paraId="7142FCB4" w14:textId="77777777" w:rsidR="00C12399" w:rsidRPr="00396ECD" w:rsidRDefault="00C12399" w:rsidP="00BF4320">
            <w:pPr>
              <w:jc w:val="center"/>
              <w:rPr>
                <w:sz w:val="20"/>
                <w:szCs w:val="20"/>
                <w:lang w:val="en-GB"/>
              </w:rPr>
            </w:pPr>
            <w:r w:rsidRPr="00396ECD">
              <w:rPr>
                <w:sz w:val="20"/>
                <w:szCs w:val="20"/>
                <w:lang w:val="en-GB"/>
              </w:rPr>
              <w:t>Trend / Block</w:t>
            </w:r>
          </w:p>
        </w:tc>
        <w:tc>
          <w:tcPr>
            <w:tcW w:w="1606" w:type="dxa"/>
            <w:vAlign w:val="center"/>
            <w:hideMark/>
          </w:tcPr>
          <w:p w14:paraId="31E57F73" w14:textId="77777777" w:rsidR="00C12399" w:rsidRPr="00396ECD" w:rsidRDefault="00C12399" w:rsidP="00BF4320">
            <w:pPr>
              <w:jc w:val="center"/>
              <w:rPr>
                <w:sz w:val="20"/>
                <w:szCs w:val="20"/>
                <w:lang w:val="en-GB"/>
              </w:rPr>
            </w:pPr>
            <w:r w:rsidRPr="00396ECD">
              <w:rPr>
                <w:sz w:val="20"/>
                <w:szCs w:val="20"/>
                <w:lang w:val="en-GB"/>
              </w:rPr>
              <w:t xml:space="preserve">Key </w:t>
            </w:r>
            <w:r w:rsidRPr="00396ECD">
              <w:rPr>
                <w:sz w:val="20"/>
                <w:szCs w:val="20"/>
                <w:lang w:val="en-GB"/>
              </w:rPr>
              <w:br/>
              <w:t>Manifestations</w:t>
            </w:r>
          </w:p>
        </w:tc>
        <w:tc>
          <w:tcPr>
            <w:tcW w:w="2044" w:type="dxa"/>
            <w:vAlign w:val="center"/>
            <w:hideMark/>
          </w:tcPr>
          <w:p w14:paraId="4C573492" w14:textId="77777777" w:rsidR="00C12399" w:rsidRPr="00C12399" w:rsidRDefault="00C12399" w:rsidP="00BF4320">
            <w:pPr>
              <w:jc w:val="center"/>
              <w:rPr>
                <w:spacing w:val="-4"/>
                <w:sz w:val="20"/>
                <w:szCs w:val="20"/>
                <w:lang w:val="en-GB"/>
              </w:rPr>
            </w:pPr>
            <w:r w:rsidRPr="00C12399">
              <w:rPr>
                <w:spacing w:val="-4"/>
                <w:sz w:val="20"/>
                <w:szCs w:val="20"/>
                <w:lang w:val="en-GB"/>
              </w:rPr>
              <w:t>Opportunities for Ukrainian Agribusiness</w:t>
            </w:r>
          </w:p>
        </w:tc>
        <w:tc>
          <w:tcPr>
            <w:tcW w:w="1553" w:type="dxa"/>
            <w:vAlign w:val="center"/>
            <w:hideMark/>
          </w:tcPr>
          <w:p w14:paraId="48889E0E" w14:textId="77777777" w:rsidR="00C12399" w:rsidRPr="00396ECD" w:rsidRDefault="00C12399" w:rsidP="00BF4320">
            <w:pPr>
              <w:jc w:val="center"/>
              <w:rPr>
                <w:sz w:val="20"/>
                <w:szCs w:val="20"/>
                <w:lang w:val="en-GB"/>
              </w:rPr>
            </w:pPr>
            <w:r w:rsidRPr="00396ECD">
              <w:rPr>
                <w:sz w:val="20"/>
                <w:szCs w:val="20"/>
                <w:lang w:val="en-GB"/>
              </w:rPr>
              <w:t>Risks</w:t>
            </w:r>
          </w:p>
        </w:tc>
        <w:tc>
          <w:tcPr>
            <w:tcW w:w="826" w:type="dxa"/>
            <w:vAlign w:val="center"/>
            <w:hideMark/>
          </w:tcPr>
          <w:p w14:paraId="3C2450D5" w14:textId="77777777" w:rsidR="00C12399" w:rsidRPr="00396ECD" w:rsidRDefault="00C12399" w:rsidP="000F392C">
            <w:pPr>
              <w:ind w:left="-69"/>
              <w:jc w:val="center"/>
              <w:rPr>
                <w:sz w:val="20"/>
                <w:szCs w:val="20"/>
                <w:lang w:val="en-GB"/>
              </w:rPr>
            </w:pPr>
            <w:r w:rsidRPr="00396ECD">
              <w:rPr>
                <w:sz w:val="20"/>
                <w:szCs w:val="20"/>
                <w:lang w:val="en-GB"/>
              </w:rPr>
              <w:t>Priority</w:t>
            </w:r>
          </w:p>
        </w:tc>
        <w:tc>
          <w:tcPr>
            <w:tcW w:w="2243" w:type="dxa"/>
            <w:vAlign w:val="center"/>
            <w:hideMark/>
          </w:tcPr>
          <w:p w14:paraId="583DDBBC" w14:textId="77777777" w:rsidR="00C12399" w:rsidRPr="00396ECD" w:rsidRDefault="00C12399" w:rsidP="00BF4320">
            <w:pPr>
              <w:jc w:val="center"/>
              <w:rPr>
                <w:sz w:val="20"/>
                <w:szCs w:val="20"/>
                <w:lang w:val="en-GB"/>
              </w:rPr>
            </w:pPr>
            <w:r w:rsidRPr="00396ECD">
              <w:rPr>
                <w:sz w:val="20"/>
                <w:szCs w:val="20"/>
                <w:lang w:val="en-GB"/>
              </w:rPr>
              <w:t>Monitoring Method</w:t>
            </w:r>
          </w:p>
        </w:tc>
      </w:tr>
      <w:tr w:rsidR="005021CF" w:rsidRPr="00396ECD" w14:paraId="4C1CF45C" w14:textId="77777777" w:rsidTr="00C12399">
        <w:trPr>
          <w:trHeight w:val="1778"/>
        </w:trPr>
        <w:tc>
          <w:tcPr>
            <w:tcW w:w="1310" w:type="dxa"/>
            <w:vAlign w:val="center"/>
          </w:tcPr>
          <w:p w14:paraId="0A547F35" w14:textId="466488FF" w:rsidR="00CA5737" w:rsidRPr="00396ECD" w:rsidRDefault="00CA5737" w:rsidP="005021CF">
            <w:pPr>
              <w:rPr>
                <w:sz w:val="20"/>
                <w:szCs w:val="20"/>
                <w:lang w:val="en-GB"/>
              </w:rPr>
            </w:pPr>
            <w:r w:rsidRPr="00396ECD">
              <w:rPr>
                <w:sz w:val="20"/>
                <w:szCs w:val="20"/>
                <w:lang w:val="en-GB"/>
              </w:rPr>
              <w:t>Environmental Regulation (CBAM, Biodiversity, Circular Economy)</w:t>
            </w:r>
          </w:p>
        </w:tc>
        <w:tc>
          <w:tcPr>
            <w:tcW w:w="1606" w:type="dxa"/>
            <w:vAlign w:val="center"/>
          </w:tcPr>
          <w:p w14:paraId="66A0C003" w14:textId="19E882D2" w:rsidR="00CA5737" w:rsidRPr="00396ECD" w:rsidRDefault="00CA5737" w:rsidP="005021CF">
            <w:pPr>
              <w:rPr>
                <w:sz w:val="20"/>
                <w:szCs w:val="20"/>
                <w:lang w:val="en-GB"/>
              </w:rPr>
            </w:pPr>
            <w:r w:rsidRPr="00396ECD">
              <w:rPr>
                <w:sz w:val="20"/>
                <w:szCs w:val="20"/>
                <w:lang w:val="en-GB"/>
              </w:rPr>
              <w:t>Carbon border adjustment, deforestation-free supply chains, soil health metrics, waste reduction targets</w:t>
            </w:r>
          </w:p>
        </w:tc>
        <w:tc>
          <w:tcPr>
            <w:tcW w:w="2044" w:type="dxa"/>
            <w:vAlign w:val="center"/>
          </w:tcPr>
          <w:p w14:paraId="3FF30FED" w14:textId="07EF6026" w:rsidR="00CA5737" w:rsidRPr="00396ECD" w:rsidRDefault="00CA5737" w:rsidP="005021CF">
            <w:pPr>
              <w:rPr>
                <w:sz w:val="20"/>
                <w:szCs w:val="20"/>
                <w:lang w:val="en-GB"/>
              </w:rPr>
            </w:pPr>
            <w:r w:rsidRPr="00396ECD">
              <w:rPr>
                <w:sz w:val="20"/>
                <w:szCs w:val="20"/>
                <w:lang w:val="en-GB"/>
              </w:rPr>
              <w:t xml:space="preserve">Green premiums, access to carbon-neutral value chains, investment in carbon farming, by-product </w:t>
            </w:r>
            <w:proofErr w:type="spellStart"/>
            <w:r w:rsidRPr="00396ECD">
              <w:rPr>
                <w:sz w:val="20"/>
                <w:szCs w:val="20"/>
                <w:lang w:val="en-GB"/>
              </w:rPr>
              <w:t>valorization</w:t>
            </w:r>
            <w:proofErr w:type="spellEnd"/>
          </w:p>
        </w:tc>
        <w:tc>
          <w:tcPr>
            <w:tcW w:w="1553" w:type="dxa"/>
            <w:vAlign w:val="center"/>
          </w:tcPr>
          <w:p w14:paraId="6AB6D2F5" w14:textId="05484B94" w:rsidR="00CA5737" w:rsidRPr="00C12399" w:rsidRDefault="00CA5737" w:rsidP="005021CF">
            <w:pPr>
              <w:rPr>
                <w:spacing w:val="-4"/>
                <w:sz w:val="20"/>
                <w:szCs w:val="20"/>
                <w:lang w:val="en-GB"/>
              </w:rPr>
            </w:pPr>
            <w:r w:rsidRPr="00C12399">
              <w:rPr>
                <w:spacing w:val="-4"/>
                <w:sz w:val="20"/>
                <w:szCs w:val="20"/>
                <w:lang w:val="en-GB"/>
              </w:rPr>
              <w:t>Additional compliance costs, exclusion from EU markets, need for new accounting and monitoring systems</w:t>
            </w:r>
          </w:p>
        </w:tc>
        <w:tc>
          <w:tcPr>
            <w:tcW w:w="826" w:type="dxa"/>
            <w:vAlign w:val="center"/>
          </w:tcPr>
          <w:p w14:paraId="02C7F55F" w14:textId="418821F7" w:rsidR="00CA5737" w:rsidRPr="00396ECD" w:rsidRDefault="00CA5737" w:rsidP="005021CF">
            <w:pPr>
              <w:jc w:val="center"/>
              <w:rPr>
                <w:sz w:val="20"/>
                <w:szCs w:val="20"/>
                <w:lang w:val="en-GB"/>
              </w:rPr>
            </w:pPr>
            <w:r w:rsidRPr="00396ECD">
              <w:rPr>
                <w:sz w:val="20"/>
                <w:szCs w:val="20"/>
                <w:lang w:val="en-GB"/>
              </w:rPr>
              <w:t>Critical</w:t>
            </w:r>
          </w:p>
        </w:tc>
        <w:tc>
          <w:tcPr>
            <w:tcW w:w="2243" w:type="dxa"/>
            <w:vAlign w:val="center"/>
          </w:tcPr>
          <w:p w14:paraId="0B000006" w14:textId="77777777" w:rsidR="00CA5737" w:rsidRPr="00396ECD" w:rsidRDefault="00CA5737" w:rsidP="005021CF">
            <w:pPr>
              <w:rPr>
                <w:sz w:val="20"/>
                <w:szCs w:val="20"/>
                <w:lang w:val="en-GB"/>
              </w:rPr>
            </w:pPr>
            <w:r w:rsidRPr="00396ECD">
              <w:rPr>
                <w:sz w:val="20"/>
                <w:szCs w:val="20"/>
                <w:lang w:val="en-GB"/>
              </w:rPr>
              <w:t>EU CBAM registry (DG TAXUD), biodiversity disclosure frameworks (TNFD), EFRAG reporting standards</w:t>
            </w:r>
          </w:p>
        </w:tc>
      </w:tr>
      <w:tr w:rsidR="005021CF" w:rsidRPr="00396ECD" w14:paraId="0028E761" w14:textId="77777777" w:rsidTr="00C12399">
        <w:trPr>
          <w:trHeight w:val="1301"/>
        </w:trPr>
        <w:tc>
          <w:tcPr>
            <w:tcW w:w="1310" w:type="dxa"/>
            <w:vAlign w:val="center"/>
            <w:hideMark/>
          </w:tcPr>
          <w:p w14:paraId="0BB9B624" w14:textId="77777777" w:rsidR="007E0240" w:rsidRPr="00396ECD" w:rsidRDefault="007E0240" w:rsidP="005021CF">
            <w:pPr>
              <w:rPr>
                <w:sz w:val="20"/>
                <w:szCs w:val="20"/>
                <w:lang w:val="en-GB"/>
              </w:rPr>
            </w:pPr>
            <w:r w:rsidRPr="00396ECD">
              <w:rPr>
                <w:sz w:val="20"/>
                <w:szCs w:val="20"/>
                <w:lang w:val="en-GB"/>
              </w:rPr>
              <w:t>Geopolitical Turbulence</w:t>
            </w:r>
          </w:p>
        </w:tc>
        <w:tc>
          <w:tcPr>
            <w:tcW w:w="1606" w:type="dxa"/>
            <w:vAlign w:val="center"/>
            <w:hideMark/>
          </w:tcPr>
          <w:p w14:paraId="6E8D465C" w14:textId="77777777" w:rsidR="007E0240" w:rsidRPr="00396ECD" w:rsidRDefault="007E0240" w:rsidP="005021CF">
            <w:pPr>
              <w:rPr>
                <w:sz w:val="20"/>
                <w:szCs w:val="20"/>
                <w:lang w:val="en-GB"/>
              </w:rPr>
            </w:pPr>
            <w:r w:rsidRPr="00396ECD">
              <w:rPr>
                <w:sz w:val="20"/>
                <w:szCs w:val="20"/>
                <w:lang w:val="en-GB"/>
              </w:rPr>
              <w:t>Commodity price volatility, trade flow shifts</w:t>
            </w:r>
          </w:p>
        </w:tc>
        <w:tc>
          <w:tcPr>
            <w:tcW w:w="2044" w:type="dxa"/>
            <w:vAlign w:val="center"/>
            <w:hideMark/>
          </w:tcPr>
          <w:p w14:paraId="3CD13BF8" w14:textId="77777777" w:rsidR="007E0240" w:rsidRPr="00396ECD" w:rsidRDefault="007E0240" w:rsidP="005021CF">
            <w:pPr>
              <w:rPr>
                <w:sz w:val="20"/>
                <w:szCs w:val="20"/>
                <w:lang w:val="en-GB"/>
              </w:rPr>
            </w:pPr>
            <w:r w:rsidRPr="00396ECD">
              <w:rPr>
                <w:sz w:val="20"/>
                <w:szCs w:val="20"/>
                <w:lang w:val="en-GB"/>
              </w:rPr>
              <w:t>Market diversification, new export channels</w:t>
            </w:r>
          </w:p>
        </w:tc>
        <w:tc>
          <w:tcPr>
            <w:tcW w:w="1553" w:type="dxa"/>
            <w:vAlign w:val="center"/>
            <w:hideMark/>
          </w:tcPr>
          <w:p w14:paraId="41F67F5F" w14:textId="1EE098B0" w:rsidR="007E0240" w:rsidRPr="00396ECD" w:rsidRDefault="007E0240" w:rsidP="005021CF">
            <w:pPr>
              <w:rPr>
                <w:sz w:val="20"/>
                <w:szCs w:val="20"/>
                <w:lang w:val="en-GB"/>
              </w:rPr>
            </w:pPr>
            <w:r w:rsidRPr="00396ECD">
              <w:rPr>
                <w:sz w:val="20"/>
                <w:szCs w:val="20"/>
                <w:lang w:val="en-GB"/>
              </w:rPr>
              <w:t xml:space="preserve">Income </w:t>
            </w:r>
            <w:r w:rsidR="005021CF" w:rsidRPr="00396ECD">
              <w:rPr>
                <w:sz w:val="20"/>
                <w:szCs w:val="20"/>
                <w:lang w:val="en-GB"/>
              </w:rPr>
              <w:br/>
            </w:r>
            <w:r w:rsidRPr="00396ECD">
              <w:rPr>
                <w:sz w:val="20"/>
                <w:szCs w:val="20"/>
                <w:lang w:val="en-GB"/>
              </w:rPr>
              <w:t>volatility</w:t>
            </w:r>
          </w:p>
        </w:tc>
        <w:tc>
          <w:tcPr>
            <w:tcW w:w="826" w:type="dxa"/>
            <w:vAlign w:val="center"/>
            <w:hideMark/>
          </w:tcPr>
          <w:p w14:paraId="28813708" w14:textId="77777777" w:rsidR="007E0240" w:rsidRPr="00396ECD" w:rsidRDefault="007E0240" w:rsidP="005021CF">
            <w:pPr>
              <w:jc w:val="center"/>
              <w:rPr>
                <w:sz w:val="20"/>
                <w:szCs w:val="20"/>
                <w:lang w:val="en-GB"/>
              </w:rPr>
            </w:pPr>
            <w:r w:rsidRPr="00396ECD">
              <w:rPr>
                <w:sz w:val="20"/>
                <w:szCs w:val="20"/>
                <w:lang w:val="en-GB"/>
              </w:rPr>
              <w:t>Medium</w:t>
            </w:r>
          </w:p>
        </w:tc>
        <w:tc>
          <w:tcPr>
            <w:tcW w:w="2243" w:type="dxa"/>
            <w:vAlign w:val="center"/>
          </w:tcPr>
          <w:p w14:paraId="0B100007" w14:textId="77777777" w:rsidR="007E0240" w:rsidRPr="00396ECD" w:rsidRDefault="007E0240" w:rsidP="005021CF">
            <w:pPr>
              <w:rPr>
                <w:sz w:val="20"/>
                <w:szCs w:val="20"/>
                <w:lang w:val="en-GB"/>
              </w:rPr>
            </w:pPr>
            <w:r w:rsidRPr="00396ECD">
              <w:rPr>
                <w:sz w:val="20"/>
                <w:szCs w:val="20"/>
                <w:lang w:val="en-GB"/>
              </w:rPr>
              <w:t>Geopolitical risk indices; commodity exchange dashboards; trade flow databases (UN Comtrade)</w:t>
            </w:r>
          </w:p>
        </w:tc>
      </w:tr>
    </w:tbl>
    <w:p w14:paraId="3C4133EE" w14:textId="4F76E286" w:rsidR="00486869" w:rsidRPr="00396ECD" w:rsidRDefault="00486869" w:rsidP="005021CF">
      <w:pPr>
        <w:pStyle w:val="NormalnyWeb"/>
        <w:spacing w:before="60" w:beforeAutospacing="0" w:after="0" w:afterAutospacing="0"/>
        <w:jc w:val="both"/>
        <w:rPr>
          <w:rStyle w:val="Uwydatnienie"/>
          <w:i w:val="0"/>
          <w:iCs w:val="0"/>
          <w:sz w:val="20"/>
          <w:szCs w:val="20"/>
          <w:shd w:val="clear" w:color="auto" w:fill="FFFFFF"/>
          <w:lang w:val="en-GB"/>
        </w:rPr>
      </w:pPr>
      <w:r w:rsidRPr="00396ECD">
        <w:rPr>
          <w:rStyle w:val="Uwydatnienie"/>
          <w:i w:val="0"/>
          <w:iCs w:val="0"/>
          <w:sz w:val="20"/>
          <w:szCs w:val="20"/>
          <w:shd w:val="clear" w:color="auto" w:fill="FFFFFF"/>
          <w:lang w:val="en-GB"/>
        </w:rPr>
        <w:t>Source: compiled by the authors based on (OECD &amp; FAO, 2022; FAO, 2018; European Commission, 2020; Goedde et</w:t>
      </w:r>
      <w:r w:rsidR="00544697">
        <w:rPr>
          <w:rStyle w:val="Uwydatnienie"/>
          <w:i w:val="0"/>
          <w:iCs w:val="0"/>
          <w:sz w:val="20"/>
          <w:szCs w:val="20"/>
          <w:shd w:val="clear" w:color="auto" w:fill="FFFFFF"/>
          <w:lang w:val="en-GB"/>
        </w:rPr>
        <w:t> </w:t>
      </w:r>
      <w:r w:rsidRPr="00396ECD">
        <w:rPr>
          <w:rStyle w:val="Uwydatnienie"/>
          <w:i w:val="0"/>
          <w:iCs w:val="0"/>
          <w:sz w:val="20"/>
          <w:szCs w:val="20"/>
          <w:shd w:val="clear" w:color="auto" w:fill="FFFFFF"/>
          <w:lang w:val="en-GB"/>
        </w:rPr>
        <w:t xml:space="preserve">al., 2020; Deloitte Insights, 2021; </w:t>
      </w:r>
      <w:proofErr w:type="spellStart"/>
      <w:r w:rsidRPr="00396ECD">
        <w:rPr>
          <w:rStyle w:val="Uwydatnienie"/>
          <w:i w:val="0"/>
          <w:iCs w:val="0"/>
          <w:sz w:val="20"/>
          <w:szCs w:val="20"/>
          <w:shd w:val="clear" w:color="auto" w:fill="FFFFFF"/>
          <w:lang w:val="en-GB"/>
        </w:rPr>
        <w:t>Melnykovych</w:t>
      </w:r>
      <w:proofErr w:type="spellEnd"/>
      <w:r w:rsidRPr="00396ECD">
        <w:rPr>
          <w:rStyle w:val="Uwydatnienie"/>
          <w:i w:val="0"/>
          <w:iCs w:val="0"/>
          <w:sz w:val="20"/>
          <w:szCs w:val="20"/>
          <w:shd w:val="clear" w:color="auto" w:fill="FFFFFF"/>
          <w:lang w:val="en-GB"/>
        </w:rPr>
        <w:t xml:space="preserve"> et al., 2026; </w:t>
      </w:r>
      <w:proofErr w:type="spellStart"/>
      <w:r w:rsidRPr="00396ECD">
        <w:rPr>
          <w:rStyle w:val="Uwydatnienie"/>
          <w:i w:val="0"/>
          <w:iCs w:val="0"/>
          <w:sz w:val="20"/>
          <w:szCs w:val="20"/>
          <w:shd w:val="clear" w:color="auto" w:fill="FFFFFF"/>
          <w:lang w:val="en-GB"/>
        </w:rPr>
        <w:t>Saguy</w:t>
      </w:r>
      <w:proofErr w:type="spellEnd"/>
      <w:r w:rsidRPr="00396ECD">
        <w:rPr>
          <w:rStyle w:val="Uwydatnienie"/>
          <w:i w:val="0"/>
          <w:iCs w:val="0"/>
          <w:sz w:val="20"/>
          <w:szCs w:val="20"/>
          <w:shd w:val="clear" w:color="auto" w:fill="FFFFFF"/>
          <w:lang w:val="en-GB"/>
        </w:rPr>
        <w:t xml:space="preserve"> et al., 2025; </w:t>
      </w:r>
      <w:proofErr w:type="spellStart"/>
      <w:r w:rsidRPr="00544697">
        <w:rPr>
          <w:sz w:val="20"/>
          <w:szCs w:val="20"/>
          <w:lang w:val="en-GB"/>
        </w:rPr>
        <w:t>Bogonos</w:t>
      </w:r>
      <w:proofErr w:type="spellEnd"/>
      <w:r w:rsidRPr="00544697">
        <w:rPr>
          <w:sz w:val="20"/>
          <w:szCs w:val="20"/>
          <w:lang w:val="en-GB"/>
        </w:rPr>
        <w:t xml:space="preserve"> et al.</w:t>
      </w:r>
      <w:r w:rsidRPr="00396ECD">
        <w:rPr>
          <w:rStyle w:val="Uwydatnienie"/>
          <w:i w:val="0"/>
          <w:iCs w:val="0"/>
          <w:sz w:val="20"/>
          <w:szCs w:val="20"/>
          <w:shd w:val="clear" w:color="auto" w:fill="FFFFFF"/>
          <w:lang w:val="en-GB"/>
        </w:rPr>
        <w:t>, 2023).</w:t>
      </w:r>
    </w:p>
    <w:p w14:paraId="43EB311A" w14:textId="77777777" w:rsidR="00116981" w:rsidRPr="00396ECD" w:rsidRDefault="00116981" w:rsidP="00116981">
      <w:pPr>
        <w:pStyle w:val="NormalnyWeb"/>
        <w:spacing w:before="0" w:beforeAutospacing="0" w:after="0" w:afterAutospacing="0"/>
        <w:ind w:firstLine="284"/>
        <w:jc w:val="both"/>
        <w:rPr>
          <w:sz w:val="22"/>
          <w:szCs w:val="22"/>
          <w:lang w:val="en-GB"/>
        </w:rPr>
      </w:pPr>
    </w:p>
    <w:p w14:paraId="2C71F413" w14:textId="0C8776F4" w:rsidR="00460C45" w:rsidRPr="00396ECD" w:rsidRDefault="00460C45" w:rsidP="00116981">
      <w:pPr>
        <w:pStyle w:val="NormalnyWeb"/>
        <w:spacing w:before="0" w:beforeAutospacing="0" w:after="0" w:afterAutospacing="0"/>
        <w:ind w:firstLine="284"/>
        <w:jc w:val="both"/>
        <w:rPr>
          <w:sz w:val="22"/>
          <w:szCs w:val="22"/>
          <w:lang w:val="en-GB"/>
        </w:rPr>
      </w:pPr>
      <w:r w:rsidRPr="00396ECD">
        <w:rPr>
          <w:sz w:val="22"/>
          <w:szCs w:val="22"/>
          <w:lang w:val="en-GB"/>
        </w:rPr>
        <w:t>Global food trends encompass several interrelated areas. The first is healthier eating: consumers in developed countries and the growing middle class in developing countries are increasingly mindful of their diets, choosing foods with proven health benefits, minimally processed and natural products, and reducing their intake of sugar, salt, and saturated fats (Fig. 1).</w:t>
      </w:r>
    </w:p>
    <w:p w14:paraId="2AAD5120" w14:textId="77777777" w:rsidR="003D38D8" w:rsidRPr="00396ECD" w:rsidRDefault="003D38D8" w:rsidP="00116981">
      <w:pPr>
        <w:ind w:firstLine="284"/>
        <w:jc w:val="both"/>
        <w:rPr>
          <w:sz w:val="22"/>
          <w:szCs w:val="22"/>
          <w:lang w:val="en-GB"/>
        </w:rPr>
      </w:pPr>
    </w:p>
    <w:p w14:paraId="560DF265" w14:textId="77777777" w:rsidR="003D38D8" w:rsidRPr="00396ECD" w:rsidRDefault="003D38D8" w:rsidP="005021CF">
      <w:pPr>
        <w:jc w:val="center"/>
        <w:rPr>
          <w:sz w:val="22"/>
          <w:szCs w:val="22"/>
          <w:lang w:val="en-GB"/>
        </w:rPr>
      </w:pPr>
      <w:r w:rsidRPr="00396ECD">
        <w:rPr>
          <w:noProof/>
          <w:sz w:val="22"/>
          <w:szCs w:val="22"/>
          <w:lang w:val="en-GB"/>
        </w:rPr>
        <w:drawing>
          <wp:inline distT="0" distB="0" distL="0" distR="0" wp14:anchorId="15E243BD" wp14:editId="68E4EACE">
            <wp:extent cx="6011825" cy="3849238"/>
            <wp:effectExtent l="0" t="0" r="8255" b="0"/>
            <wp:docPr id="5"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5"/>
                    <a:stretch>
                      <a:fillRect/>
                    </a:stretch>
                  </pic:blipFill>
                  <pic:spPr>
                    <a:xfrm>
                      <a:off x="0" y="0"/>
                      <a:ext cx="6021956" cy="3855725"/>
                    </a:xfrm>
                    <a:prstGeom prst="rect">
                      <a:avLst/>
                    </a:prstGeom>
                  </pic:spPr>
                </pic:pic>
              </a:graphicData>
            </a:graphic>
          </wp:inline>
        </w:drawing>
      </w:r>
    </w:p>
    <w:p w14:paraId="7018E840" w14:textId="77777777" w:rsidR="003D38D8" w:rsidRPr="00396ECD" w:rsidRDefault="003D38D8" w:rsidP="00116981">
      <w:pPr>
        <w:ind w:firstLine="284"/>
        <w:jc w:val="both"/>
        <w:rPr>
          <w:sz w:val="22"/>
          <w:szCs w:val="22"/>
          <w:lang w:val="en-GB"/>
        </w:rPr>
      </w:pPr>
      <w:r w:rsidRPr="00396ECD">
        <w:rPr>
          <w:noProof/>
          <w:sz w:val="22"/>
          <w:szCs w:val="22"/>
          <w:lang w:val="en-GB"/>
        </w:rPr>
        <w:drawing>
          <wp:inline distT="0" distB="0" distL="0" distR="0" wp14:anchorId="4AE60C40" wp14:editId="7670E031">
            <wp:extent cx="4077053" cy="312447"/>
            <wp:effectExtent l="0" t="0" r="0" b="0"/>
            <wp:docPr id="6"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6"/>
                    <a:stretch>
                      <a:fillRect/>
                    </a:stretch>
                  </pic:blipFill>
                  <pic:spPr>
                    <a:xfrm>
                      <a:off x="0" y="0"/>
                      <a:ext cx="4077053" cy="312447"/>
                    </a:xfrm>
                    <a:prstGeom prst="rect">
                      <a:avLst/>
                    </a:prstGeom>
                  </pic:spPr>
                </pic:pic>
              </a:graphicData>
            </a:graphic>
          </wp:inline>
        </w:drawing>
      </w:r>
    </w:p>
    <w:p w14:paraId="0692DE1C" w14:textId="77777777" w:rsidR="00A805C9" w:rsidRPr="00396ECD" w:rsidRDefault="00A805C9" w:rsidP="005021CF">
      <w:pPr>
        <w:pStyle w:val="Rrys"/>
        <w:rPr>
          <w:bCs/>
          <w:shd w:val="clear" w:color="auto" w:fill="FFFFFF"/>
          <w:lang w:val="en-GB"/>
        </w:rPr>
      </w:pPr>
      <w:r w:rsidRPr="00396ECD">
        <w:rPr>
          <w:b/>
          <w:bCs/>
          <w:shd w:val="clear" w:color="auto" w:fill="FFFFFF"/>
          <w:lang w:val="en-GB"/>
        </w:rPr>
        <w:t>Fig. 1.</w:t>
      </w:r>
      <w:r w:rsidRPr="00396ECD">
        <w:rPr>
          <w:shd w:val="clear" w:color="auto" w:fill="FFFFFF"/>
          <w:lang w:val="en-GB"/>
        </w:rPr>
        <w:t xml:space="preserve"> Expert Assessment of Key Agri-food Market Trend Intensity for Ukrainian Enterprises (0–10): Current State (2023, assessed under conditions of active wartime hostilities) vs Projected Intensity (2030 Horizon) under PESTLE Analysis Framework (n = 130)</w:t>
      </w:r>
    </w:p>
    <w:p w14:paraId="4B5F7937" w14:textId="4D908F3D" w:rsidR="003D38D8" w:rsidRPr="00396ECD" w:rsidRDefault="00A805C9" w:rsidP="005021CF">
      <w:pPr>
        <w:jc w:val="both"/>
        <w:rPr>
          <w:sz w:val="20"/>
          <w:szCs w:val="20"/>
          <w:lang w:val="en-GB"/>
        </w:rPr>
      </w:pPr>
      <w:r w:rsidRPr="00396ECD">
        <w:rPr>
          <w:bCs/>
          <w:sz w:val="20"/>
          <w:szCs w:val="20"/>
          <w:shd w:val="clear" w:color="auto" w:fill="FFFFFF"/>
          <w:lang w:val="en-GB"/>
        </w:rPr>
        <w:t xml:space="preserve">Source: author's development based on </w:t>
      </w:r>
      <w:proofErr w:type="spellStart"/>
      <w:r w:rsidR="00E975FE">
        <w:rPr>
          <w:bCs/>
          <w:sz w:val="20"/>
          <w:szCs w:val="20"/>
          <w:shd w:val="clear" w:color="auto" w:fill="FFFFFF"/>
          <w:lang w:val="en-GB"/>
        </w:rPr>
        <w:t>Bogonos</w:t>
      </w:r>
      <w:proofErr w:type="spellEnd"/>
      <w:r w:rsidR="00E975FE">
        <w:rPr>
          <w:bCs/>
          <w:sz w:val="20"/>
          <w:szCs w:val="20"/>
          <w:shd w:val="clear" w:color="auto" w:fill="FFFFFF"/>
          <w:lang w:val="en-GB"/>
        </w:rPr>
        <w:t xml:space="preserve"> et al. (</w:t>
      </w:r>
      <w:r w:rsidRPr="00396ECD">
        <w:rPr>
          <w:bCs/>
          <w:sz w:val="20"/>
          <w:szCs w:val="20"/>
          <w:shd w:val="clear" w:color="auto" w:fill="FFFFFF"/>
          <w:lang w:val="en-GB"/>
        </w:rPr>
        <w:t>2023).</w:t>
      </w:r>
    </w:p>
    <w:p w14:paraId="5F097124" w14:textId="77777777" w:rsidR="00116981" w:rsidRDefault="00116981" w:rsidP="00116981">
      <w:pPr>
        <w:pStyle w:val="NormalnyWeb"/>
        <w:spacing w:before="0" w:beforeAutospacing="0" w:after="0" w:afterAutospacing="0"/>
        <w:ind w:firstLine="284"/>
        <w:jc w:val="both"/>
        <w:rPr>
          <w:sz w:val="22"/>
          <w:szCs w:val="22"/>
          <w:lang w:val="en-GB"/>
        </w:rPr>
      </w:pPr>
    </w:p>
    <w:p w14:paraId="6AADE6D1" w14:textId="77777777" w:rsidR="00C12399" w:rsidRPr="00396ECD" w:rsidRDefault="00C12399" w:rsidP="00116981">
      <w:pPr>
        <w:pStyle w:val="NormalnyWeb"/>
        <w:spacing w:before="0" w:beforeAutospacing="0" w:after="0" w:afterAutospacing="0"/>
        <w:ind w:firstLine="284"/>
        <w:jc w:val="both"/>
        <w:rPr>
          <w:sz w:val="22"/>
          <w:szCs w:val="22"/>
          <w:lang w:val="en-GB"/>
        </w:rPr>
      </w:pPr>
    </w:p>
    <w:p w14:paraId="28BA10CB" w14:textId="4FF0AC29" w:rsidR="00460C45" w:rsidRPr="00396ECD" w:rsidRDefault="007E4F35" w:rsidP="00116981">
      <w:pPr>
        <w:pStyle w:val="NormalnyWeb"/>
        <w:spacing w:before="0" w:beforeAutospacing="0" w:after="0" w:afterAutospacing="0"/>
        <w:ind w:firstLine="284"/>
        <w:jc w:val="both"/>
        <w:rPr>
          <w:sz w:val="22"/>
          <w:szCs w:val="22"/>
          <w:lang w:val="en-GB"/>
        </w:rPr>
      </w:pPr>
      <w:r w:rsidRPr="00396ECD">
        <w:rPr>
          <w:sz w:val="22"/>
          <w:szCs w:val="22"/>
          <w:lang w:val="en-GB"/>
        </w:rPr>
        <w:lastRenderedPageBreak/>
        <w:t>For Ukrainian agricultural producers, this opens up opportunities in premium niches – organic products, functional foods, and specialty crops (medicinal plants, berries, and specialty oilseeds). The second major trend is the plant-based revolution and the transformation of protein consumption patterns. Demand for plant-based alternatives to animal protein has grown significantly over the past decade, and according to consulting agencies' forecasts, by 2030, plant-based meat and dairy substitutes could account for 10–15% of the global protein market (</w:t>
      </w:r>
      <w:proofErr w:type="spellStart"/>
      <w:r w:rsidRPr="00396ECD">
        <w:rPr>
          <w:sz w:val="22"/>
          <w:szCs w:val="22"/>
          <w:lang w:val="en-GB"/>
        </w:rPr>
        <w:t>Saguy</w:t>
      </w:r>
      <w:proofErr w:type="spellEnd"/>
      <w:r w:rsidRPr="00396ECD">
        <w:rPr>
          <w:sz w:val="22"/>
          <w:szCs w:val="22"/>
          <w:lang w:val="en-GB"/>
        </w:rPr>
        <w:t xml:space="preserve"> </w:t>
      </w:r>
      <w:r w:rsidRPr="00396ECD">
        <w:rPr>
          <w:rStyle w:val="Uwydatnienie"/>
          <w:i w:val="0"/>
          <w:iCs w:val="0"/>
          <w:sz w:val="22"/>
          <w:szCs w:val="22"/>
          <w:shd w:val="clear" w:color="auto" w:fill="FFFFFF"/>
          <w:lang w:val="en-GB"/>
        </w:rPr>
        <w:t>et al.</w:t>
      </w:r>
      <w:r w:rsidRPr="00396ECD">
        <w:rPr>
          <w:i/>
          <w:iCs/>
          <w:sz w:val="22"/>
          <w:szCs w:val="22"/>
          <w:lang w:val="en-GB"/>
        </w:rPr>
        <w:t>,</w:t>
      </w:r>
      <w:r w:rsidRPr="00396ECD">
        <w:rPr>
          <w:sz w:val="22"/>
          <w:szCs w:val="22"/>
          <w:lang w:val="en-GB"/>
        </w:rPr>
        <w:t xml:space="preserve"> 2025). For Ukrainian agricultural producers, this means growing demand for soybeans, peas, chickpeas, lupins, and other crops used to produce plant-based protein (Petrenko et al., 2025). At the same time, this trend poses a potential threat to traditional livestock farming (Fig. 2).</w:t>
      </w:r>
    </w:p>
    <w:p w14:paraId="1E8E30BE" w14:textId="77777777" w:rsidR="00116981" w:rsidRPr="00396ECD" w:rsidRDefault="00116981" w:rsidP="00116981">
      <w:pPr>
        <w:pStyle w:val="NormalnyWeb"/>
        <w:spacing w:before="0" w:beforeAutospacing="0" w:after="0" w:afterAutospacing="0"/>
        <w:ind w:firstLine="284"/>
        <w:jc w:val="both"/>
        <w:rPr>
          <w:sz w:val="22"/>
          <w:szCs w:val="22"/>
          <w:lang w:val="en-GB"/>
        </w:rPr>
      </w:pPr>
    </w:p>
    <w:p w14:paraId="0522FF1C" w14:textId="77777777" w:rsidR="00AE21D1" w:rsidRPr="00396ECD" w:rsidRDefault="001820A0" w:rsidP="005021CF">
      <w:pPr>
        <w:jc w:val="center"/>
        <w:rPr>
          <w:b/>
          <w:bCs/>
          <w:sz w:val="22"/>
          <w:szCs w:val="22"/>
          <w:shd w:val="clear" w:color="auto" w:fill="FFFFFF"/>
          <w:lang w:val="en-GB"/>
        </w:rPr>
      </w:pPr>
      <w:r w:rsidRPr="00396ECD">
        <w:rPr>
          <w:b/>
          <w:bCs/>
          <w:noProof/>
          <w:sz w:val="22"/>
          <w:szCs w:val="22"/>
          <w:shd w:val="clear" w:color="auto" w:fill="FFFFFF"/>
          <w:lang w:val="en-GB"/>
        </w:rPr>
        <w:drawing>
          <wp:inline distT="0" distB="0" distL="0" distR="0" wp14:anchorId="6355BC0C" wp14:editId="3239F52D">
            <wp:extent cx="6132582" cy="2945081"/>
            <wp:effectExtent l="0" t="0" r="1905" b="8255"/>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7"/>
                    <a:stretch>
                      <a:fillRect/>
                    </a:stretch>
                  </pic:blipFill>
                  <pic:spPr>
                    <a:xfrm>
                      <a:off x="0" y="0"/>
                      <a:ext cx="6135475" cy="2946470"/>
                    </a:xfrm>
                    <a:prstGeom prst="rect">
                      <a:avLst/>
                    </a:prstGeom>
                  </pic:spPr>
                </pic:pic>
              </a:graphicData>
            </a:graphic>
          </wp:inline>
        </w:drawing>
      </w:r>
    </w:p>
    <w:p w14:paraId="2AA193F7" w14:textId="77777777" w:rsidR="00DE45A1" w:rsidRPr="00396ECD" w:rsidRDefault="00A805C9" w:rsidP="005021CF">
      <w:pPr>
        <w:pStyle w:val="Rrys"/>
        <w:rPr>
          <w:b/>
          <w:bCs/>
          <w:shd w:val="clear" w:color="auto" w:fill="FFFFFF"/>
          <w:lang w:val="en-GB"/>
        </w:rPr>
      </w:pPr>
      <w:r w:rsidRPr="00396ECD">
        <w:rPr>
          <w:b/>
          <w:bCs/>
          <w:shd w:val="clear" w:color="auto" w:fill="FFFFFF"/>
          <w:lang w:val="en-GB"/>
        </w:rPr>
        <w:t>Fig. 2.</w:t>
      </w:r>
      <w:r w:rsidRPr="00396ECD">
        <w:rPr>
          <w:shd w:val="clear" w:color="auto" w:fill="FFFFFF"/>
          <w:lang w:val="en-GB"/>
        </w:rPr>
        <w:t xml:space="preserve"> Expert Assessment of Scenario Probability (%) and Strategic Impact Index (0–10) for Ukrainian Agri-food Markets under Marketing-Oriented Foresight Framework, 2025–2030 Horizon </w:t>
      </w:r>
    </w:p>
    <w:p w14:paraId="13B62674" w14:textId="3DD4072E" w:rsidR="00AE21D1" w:rsidRPr="00396ECD" w:rsidRDefault="00A805C9" w:rsidP="005021CF">
      <w:pPr>
        <w:jc w:val="both"/>
        <w:rPr>
          <w:sz w:val="20"/>
          <w:szCs w:val="20"/>
          <w:lang w:val="en-GB"/>
        </w:rPr>
      </w:pPr>
      <w:r w:rsidRPr="00396ECD">
        <w:rPr>
          <w:bCs/>
          <w:sz w:val="20"/>
          <w:szCs w:val="20"/>
          <w:shd w:val="clear" w:color="auto" w:fill="FFFFFF"/>
          <w:lang w:val="en-GB"/>
        </w:rPr>
        <w:t>Source: author's development</w:t>
      </w:r>
      <w:r w:rsidR="00116981" w:rsidRPr="00396ECD">
        <w:rPr>
          <w:bCs/>
          <w:sz w:val="20"/>
          <w:szCs w:val="20"/>
          <w:shd w:val="clear" w:color="auto" w:fill="FFFFFF"/>
          <w:lang w:val="en-GB"/>
        </w:rPr>
        <w:t>.</w:t>
      </w:r>
    </w:p>
    <w:p w14:paraId="0EF1C47B" w14:textId="77777777" w:rsidR="00116981" w:rsidRPr="00396ECD" w:rsidRDefault="00116981" w:rsidP="00116981">
      <w:pPr>
        <w:pStyle w:val="NormalnyWeb"/>
        <w:spacing w:before="0" w:beforeAutospacing="0" w:after="0" w:afterAutospacing="0"/>
        <w:ind w:firstLine="284"/>
        <w:jc w:val="both"/>
        <w:rPr>
          <w:sz w:val="22"/>
          <w:szCs w:val="22"/>
          <w:lang w:val="en-GB"/>
        </w:rPr>
      </w:pPr>
    </w:p>
    <w:p w14:paraId="4DEDDAB3" w14:textId="2A943583" w:rsidR="0065710C" w:rsidRPr="00396ECD" w:rsidRDefault="0065710C" w:rsidP="00116981">
      <w:pPr>
        <w:pStyle w:val="NormalnyWeb"/>
        <w:spacing w:before="0" w:beforeAutospacing="0" w:after="0" w:afterAutospacing="0"/>
        <w:ind w:firstLine="284"/>
        <w:jc w:val="both"/>
        <w:rPr>
          <w:sz w:val="22"/>
          <w:szCs w:val="22"/>
          <w:lang w:val="en-GB"/>
        </w:rPr>
      </w:pPr>
      <w:r w:rsidRPr="00396ECD">
        <w:rPr>
          <w:sz w:val="22"/>
          <w:szCs w:val="22"/>
          <w:lang w:val="en-GB"/>
        </w:rPr>
        <w:t xml:space="preserve">The technological transformation of agricultural production is another key trend. The </w:t>
      </w:r>
      <w:proofErr w:type="spellStart"/>
      <w:r w:rsidRPr="00396ECD">
        <w:rPr>
          <w:sz w:val="22"/>
          <w:szCs w:val="22"/>
          <w:lang w:val="en-GB"/>
        </w:rPr>
        <w:t>agro</w:t>
      </w:r>
      <w:proofErr w:type="spellEnd"/>
      <w:r w:rsidRPr="00396ECD">
        <w:rPr>
          <w:sz w:val="22"/>
          <w:szCs w:val="22"/>
          <w:lang w:val="en-GB"/>
        </w:rPr>
        <w:t>-chemical and digital revolution encompasses a wide range of innovations: precision agriculture based on GPS, drones, and IoT sensors; predictive analytics and AI-based agronomic decision support systems; new plant varieties and animal breeds developed using genome editing (CRISPR-Cas9); vertical and protected agriculture; and robotic harvesting systems (</w:t>
      </w:r>
      <w:proofErr w:type="spellStart"/>
      <w:r w:rsidRPr="00396ECD">
        <w:rPr>
          <w:sz w:val="22"/>
          <w:szCs w:val="22"/>
          <w:lang w:val="en-GB"/>
        </w:rPr>
        <w:t>Zghurska</w:t>
      </w:r>
      <w:proofErr w:type="spellEnd"/>
      <w:r w:rsidRPr="00396ECD">
        <w:rPr>
          <w:sz w:val="22"/>
          <w:szCs w:val="22"/>
          <w:lang w:val="en-GB"/>
        </w:rPr>
        <w:t xml:space="preserve"> et al., 2022; </w:t>
      </w:r>
      <w:proofErr w:type="spellStart"/>
      <w:r w:rsidRPr="00396ECD">
        <w:rPr>
          <w:sz w:val="22"/>
          <w:szCs w:val="22"/>
          <w:lang w:val="en-GB"/>
        </w:rPr>
        <w:t>Saguy</w:t>
      </w:r>
      <w:proofErr w:type="spellEnd"/>
      <w:r w:rsidRPr="00396ECD">
        <w:rPr>
          <w:sz w:val="22"/>
          <w:szCs w:val="22"/>
          <w:lang w:val="en-GB"/>
        </w:rPr>
        <w:t xml:space="preserve"> </w:t>
      </w:r>
      <w:r w:rsidRPr="00396ECD">
        <w:rPr>
          <w:rStyle w:val="Uwydatnienie"/>
          <w:i w:val="0"/>
          <w:iCs w:val="0"/>
          <w:sz w:val="22"/>
          <w:szCs w:val="22"/>
          <w:shd w:val="clear" w:color="auto" w:fill="FFFFFF"/>
          <w:lang w:val="en-GB"/>
        </w:rPr>
        <w:t>et al.</w:t>
      </w:r>
      <w:r w:rsidRPr="00396ECD">
        <w:rPr>
          <w:i/>
          <w:iCs/>
          <w:sz w:val="22"/>
          <w:szCs w:val="22"/>
          <w:lang w:val="en-GB"/>
        </w:rPr>
        <w:t>,</w:t>
      </w:r>
      <w:r w:rsidRPr="00396ECD">
        <w:rPr>
          <w:sz w:val="22"/>
          <w:szCs w:val="22"/>
          <w:lang w:val="en-GB"/>
        </w:rPr>
        <w:t xml:space="preserve"> 2025; </w:t>
      </w:r>
      <w:proofErr w:type="spellStart"/>
      <w:r w:rsidRPr="00396ECD">
        <w:rPr>
          <w:sz w:val="22"/>
          <w:szCs w:val="22"/>
          <w:lang w:val="en-GB"/>
        </w:rPr>
        <w:t>Kuzior</w:t>
      </w:r>
      <w:proofErr w:type="spellEnd"/>
      <w:r w:rsidRPr="00396ECD">
        <w:rPr>
          <w:sz w:val="22"/>
          <w:szCs w:val="22"/>
          <w:lang w:val="en-GB"/>
        </w:rPr>
        <w:t xml:space="preserve"> et al., 2026; Sultana et al., 2026). According to McKinsey estimates, </w:t>
      </w:r>
      <w:r w:rsidR="00E975FE">
        <w:rPr>
          <w:sz w:val="22"/>
          <w:szCs w:val="22"/>
          <w:lang w:val="en-GB"/>
        </w:rPr>
        <w:t>adopting</w:t>
      </w:r>
      <w:r w:rsidRPr="00396ECD">
        <w:rPr>
          <w:sz w:val="22"/>
          <w:szCs w:val="22"/>
          <w:lang w:val="en-GB"/>
        </w:rPr>
        <w:t xml:space="preserve"> precision agriculture technologies can increase yields by 10–20% while simultaneously reducing costs for plant protection products and fertilizers by 15–25%.</w:t>
      </w:r>
    </w:p>
    <w:p w14:paraId="38EBE576" w14:textId="2A4C14EC" w:rsidR="0065710C" w:rsidRPr="00396ECD" w:rsidRDefault="0065710C" w:rsidP="00116981">
      <w:pPr>
        <w:pStyle w:val="NormalnyWeb"/>
        <w:spacing w:before="0" w:beforeAutospacing="0" w:after="0" w:afterAutospacing="0"/>
        <w:ind w:firstLine="284"/>
        <w:jc w:val="both"/>
        <w:rPr>
          <w:sz w:val="22"/>
          <w:szCs w:val="22"/>
          <w:lang w:val="en-GB"/>
        </w:rPr>
      </w:pPr>
      <w:r w:rsidRPr="00396ECD">
        <w:rPr>
          <w:sz w:val="22"/>
          <w:szCs w:val="22"/>
          <w:lang w:val="en-GB"/>
        </w:rPr>
        <w:t xml:space="preserve">Climate uncertainty and adaptation are particularly relevant for Ukraine. Domestic agricultural producers are already facing prolonged droughts in traditionally humid regions, </w:t>
      </w:r>
      <w:r w:rsidR="00E975FE">
        <w:rPr>
          <w:sz w:val="22"/>
          <w:szCs w:val="22"/>
          <w:lang w:val="en-GB"/>
        </w:rPr>
        <w:t>increased</w:t>
      </w:r>
      <w:r w:rsidRPr="00396ECD">
        <w:rPr>
          <w:sz w:val="22"/>
          <w:szCs w:val="22"/>
          <w:lang w:val="en-GB"/>
        </w:rPr>
        <w:t xml:space="preserve"> frequency of extreme weather events, and shifts in agroclimatic zones.</w:t>
      </w:r>
    </w:p>
    <w:p w14:paraId="4CCEB0F0" w14:textId="18170996" w:rsidR="0065710C" w:rsidRPr="00396ECD" w:rsidRDefault="0065710C" w:rsidP="00116981">
      <w:pPr>
        <w:pStyle w:val="NormalnyWeb"/>
        <w:spacing w:before="0" w:beforeAutospacing="0" w:after="0" w:afterAutospacing="0"/>
        <w:ind w:firstLine="284"/>
        <w:jc w:val="both"/>
        <w:rPr>
          <w:sz w:val="22"/>
          <w:szCs w:val="22"/>
          <w:lang w:val="en-GB"/>
        </w:rPr>
      </w:pPr>
      <w:r w:rsidRPr="00396ECD">
        <w:rPr>
          <w:sz w:val="22"/>
          <w:szCs w:val="22"/>
          <w:lang w:val="en-GB"/>
        </w:rPr>
        <w:t>Geopolitical transformation and the reorientation of trade flows are particularly important for Ukraine. EU accession will open access to the world's largest agri-food market</w:t>
      </w:r>
      <w:r w:rsidR="00E975FE">
        <w:rPr>
          <w:sz w:val="22"/>
          <w:szCs w:val="22"/>
          <w:lang w:val="en-GB"/>
        </w:rPr>
        <w:t>, subject to the</w:t>
      </w:r>
      <w:r w:rsidRPr="00396ECD">
        <w:rPr>
          <w:sz w:val="22"/>
          <w:szCs w:val="22"/>
          <w:lang w:val="en-GB"/>
        </w:rPr>
        <w:t xml:space="preserve"> corresponding quality and safety standards. The EU's "Green Deal" and "Farm to Fork" strategy call for halving the use of pesticides and fertilizers by 2030</w:t>
      </w:r>
      <w:r w:rsidR="00E975FE">
        <w:rPr>
          <w:sz w:val="22"/>
          <w:szCs w:val="22"/>
          <w:lang w:val="en-GB"/>
        </w:rPr>
        <w:t xml:space="preserve"> and increasing the share of organic farming to 25% of</w:t>
      </w:r>
      <w:r w:rsidRPr="00396ECD">
        <w:rPr>
          <w:sz w:val="22"/>
          <w:szCs w:val="22"/>
          <w:lang w:val="en-GB"/>
        </w:rPr>
        <w:t xml:space="preserve"> total area (Petrenko et al., 2025).</w:t>
      </w:r>
    </w:p>
    <w:p w14:paraId="3066D58F" w14:textId="77777777" w:rsidR="00460C45" w:rsidRPr="00396ECD" w:rsidRDefault="0065710C" w:rsidP="00116981">
      <w:pPr>
        <w:pStyle w:val="NormalnyWeb"/>
        <w:spacing w:before="0" w:beforeAutospacing="0" w:after="0" w:afterAutospacing="0"/>
        <w:ind w:firstLine="284"/>
        <w:jc w:val="both"/>
        <w:rPr>
          <w:sz w:val="22"/>
          <w:szCs w:val="22"/>
          <w:lang w:val="en-GB"/>
        </w:rPr>
      </w:pPr>
      <w:r w:rsidRPr="00396ECD">
        <w:rPr>
          <w:sz w:val="22"/>
          <w:szCs w:val="22"/>
          <w:lang w:val="en-GB"/>
        </w:rPr>
        <w:t>Based on theoretical analysis and a synthesis of practical experience, we have developed a structural-functional model of marketing-oriented foresight for an agricultural enterprise (Fig. 3).</w:t>
      </w:r>
    </w:p>
    <w:p w14:paraId="351B8AAA" w14:textId="77777777" w:rsidR="00116981" w:rsidRPr="00396ECD" w:rsidRDefault="00116981" w:rsidP="00116981">
      <w:pPr>
        <w:pStyle w:val="NormalnyWeb"/>
        <w:spacing w:before="0" w:beforeAutospacing="0" w:after="0" w:afterAutospacing="0"/>
        <w:ind w:firstLine="284"/>
        <w:jc w:val="both"/>
        <w:rPr>
          <w:sz w:val="22"/>
          <w:szCs w:val="22"/>
          <w:lang w:val="en-GB"/>
        </w:rPr>
      </w:pPr>
    </w:p>
    <w:p w14:paraId="741B97C7" w14:textId="77777777" w:rsidR="00425B08" w:rsidRPr="00396ECD" w:rsidRDefault="00425B08" w:rsidP="005021CF">
      <w:pPr>
        <w:jc w:val="center"/>
        <w:rPr>
          <w:sz w:val="22"/>
          <w:szCs w:val="22"/>
          <w:lang w:val="en-GB"/>
        </w:rPr>
      </w:pPr>
      <w:r w:rsidRPr="00396ECD">
        <w:rPr>
          <w:noProof/>
          <w:sz w:val="22"/>
          <w:szCs w:val="22"/>
          <w:lang w:val="en-GB"/>
        </w:rPr>
        <w:lastRenderedPageBreak/>
        <w:drawing>
          <wp:inline distT="0" distB="0" distL="0" distR="0" wp14:anchorId="2D96F8A0" wp14:editId="13CCF076">
            <wp:extent cx="5943600" cy="2539365"/>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8"/>
                    <a:stretch>
                      <a:fillRect/>
                    </a:stretch>
                  </pic:blipFill>
                  <pic:spPr>
                    <a:xfrm>
                      <a:off x="0" y="0"/>
                      <a:ext cx="5943600" cy="2539365"/>
                    </a:xfrm>
                    <a:prstGeom prst="rect">
                      <a:avLst/>
                    </a:prstGeom>
                  </pic:spPr>
                </pic:pic>
              </a:graphicData>
            </a:graphic>
          </wp:inline>
        </w:drawing>
      </w:r>
    </w:p>
    <w:p w14:paraId="619A9C69" w14:textId="347A9CCF" w:rsidR="0082090A" w:rsidRPr="00396ECD" w:rsidRDefault="0065710C" w:rsidP="005021CF">
      <w:pPr>
        <w:pStyle w:val="Rrys"/>
        <w:rPr>
          <w:b/>
          <w:bCs/>
          <w:shd w:val="clear" w:color="auto" w:fill="FFFFFF"/>
          <w:lang w:val="en-GB"/>
        </w:rPr>
      </w:pPr>
      <w:r w:rsidRPr="00396ECD">
        <w:rPr>
          <w:b/>
          <w:bCs/>
          <w:shd w:val="clear" w:color="auto" w:fill="FFFFFF"/>
          <w:lang w:val="en-GB"/>
        </w:rPr>
        <w:t>Fig. 3.</w:t>
      </w:r>
      <w:r w:rsidRPr="00396ECD">
        <w:rPr>
          <w:shd w:val="clear" w:color="auto" w:fill="FFFFFF"/>
          <w:lang w:val="en-GB"/>
        </w:rPr>
        <w:t xml:space="preserve"> Structural-Functional Model of Marketing-Oriented Foresight Implementation in Agrarian Enterprises</w:t>
      </w:r>
      <w:r w:rsidR="00E975FE">
        <w:rPr>
          <w:shd w:val="clear" w:color="auto" w:fill="FFFFFF"/>
          <w:lang w:val="en-GB"/>
        </w:rPr>
        <w:t>'</w:t>
      </w:r>
      <w:r w:rsidRPr="00396ECD">
        <w:rPr>
          <w:shd w:val="clear" w:color="auto" w:fill="FFFFFF"/>
          <w:lang w:val="en-GB"/>
        </w:rPr>
        <w:t xml:space="preserve"> Strategic Management System (continuous iterative cycle; for medium-sized enterprises, a full foresight cycle review is recommended every 24 months with annual updates to monitoring outputs)</w:t>
      </w:r>
    </w:p>
    <w:p w14:paraId="036F5060" w14:textId="46D76E66" w:rsidR="00425B08" w:rsidRPr="00396ECD" w:rsidRDefault="00A805C9" w:rsidP="005021CF">
      <w:pPr>
        <w:jc w:val="both"/>
        <w:rPr>
          <w:b/>
          <w:bCs/>
          <w:sz w:val="20"/>
          <w:szCs w:val="20"/>
          <w:shd w:val="clear" w:color="auto" w:fill="FFFFFF"/>
          <w:lang w:val="en-GB"/>
        </w:rPr>
      </w:pPr>
      <w:r w:rsidRPr="00396ECD">
        <w:rPr>
          <w:bCs/>
          <w:sz w:val="20"/>
          <w:szCs w:val="20"/>
          <w:shd w:val="clear" w:color="auto" w:fill="FFFFFF"/>
          <w:lang w:val="en-GB"/>
        </w:rPr>
        <w:t>Source: author's development</w:t>
      </w:r>
    </w:p>
    <w:p w14:paraId="70EC0536" w14:textId="77777777" w:rsidR="00116981" w:rsidRPr="00396ECD" w:rsidRDefault="00116981" w:rsidP="00116981">
      <w:pPr>
        <w:pStyle w:val="NormalnyWeb"/>
        <w:spacing w:before="0" w:beforeAutospacing="0" w:after="0" w:afterAutospacing="0"/>
        <w:ind w:firstLine="284"/>
        <w:jc w:val="both"/>
        <w:rPr>
          <w:sz w:val="22"/>
          <w:szCs w:val="22"/>
          <w:lang w:val="en-GB"/>
        </w:rPr>
      </w:pPr>
    </w:p>
    <w:p w14:paraId="606B1963" w14:textId="4A1EC4EB" w:rsidR="003500C3" w:rsidRPr="00396ECD" w:rsidRDefault="0065710C" w:rsidP="00116981">
      <w:pPr>
        <w:pStyle w:val="NormalnyWeb"/>
        <w:spacing w:before="0" w:beforeAutospacing="0" w:after="0" w:afterAutospacing="0"/>
        <w:ind w:firstLine="284"/>
        <w:jc w:val="both"/>
        <w:rPr>
          <w:sz w:val="22"/>
          <w:szCs w:val="22"/>
          <w:lang w:val="en-GB"/>
        </w:rPr>
      </w:pPr>
      <w:r w:rsidRPr="00396ECD">
        <w:rPr>
          <w:sz w:val="22"/>
          <w:szCs w:val="22"/>
          <w:lang w:val="en-GB"/>
        </w:rPr>
        <w:t>The model is based on an iterative cycle</w:t>
      </w:r>
      <w:r w:rsidR="00E975FE">
        <w:rPr>
          <w:sz w:val="22"/>
          <w:szCs w:val="22"/>
          <w:lang w:val="en-GB"/>
        </w:rPr>
        <w:t xml:space="preserve"> that reflects</w:t>
      </w:r>
      <w:r w:rsidRPr="00396ECD">
        <w:rPr>
          <w:sz w:val="22"/>
          <w:szCs w:val="22"/>
          <w:lang w:val="en-GB"/>
        </w:rPr>
        <w:t xml:space="preserve"> the continuous nature of foresight activities and their integration into the company's strategic management. The model consists of six interconnected blocks. Block 1 – "Initialization and Goal Setting" – is the starting point of the foresight cycle: it defines the </w:t>
      </w:r>
      <w:r w:rsidR="00E975FE">
        <w:rPr>
          <w:sz w:val="22"/>
          <w:szCs w:val="22"/>
          <w:lang w:val="en-GB"/>
        </w:rPr>
        <w:t>foresight goals</w:t>
      </w:r>
      <w:r w:rsidRPr="00396ECD">
        <w:rPr>
          <w:sz w:val="22"/>
          <w:szCs w:val="22"/>
          <w:lang w:val="en-GB"/>
        </w:rPr>
        <w:t xml:space="preserve">, the forecasting horizon, the subject area, and the resources for foresight activities. For an agricultural enterprise, typical foresight objectives include identifying promising markets and niches, identifying technological directions for production development, and assessing the risks and opportunities associated with European integration (Petrenko et al., 2025). Block 2 – "Environmental Monitoring" – involves the systematic collection and initial processing of information about the enterprise's external environment, with a primary focus on consumer trends, market conditions, and the competitive environment. Block 3 – "Analysis and Synthesis" </w:t>
      </w:r>
      <w:r w:rsidR="000F392C">
        <w:rPr>
          <w:sz w:val="22"/>
          <w:szCs w:val="22"/>
          <w:lang w:val="en-GB"/>
        </w:rPr>
        <w:br/>
      </w:r>
      <w:r w:rsidRPr="00396ECD">
        <w:rPr>
          <w:sz w:val="22"/>
          <w:szCs w:val="22"/>
          <w:lang w:val="en-GB"/>
        </w:rPr>
        <w:t xml:space="preserve">– involves processing the collected information using appropriate methods: trend analysis, the Delphi method, and stakeholder analysis. The key outcome of this block is the identification of key uncertainty factors and drivers of change. Block 4 – "Scenario Planning" – is the methodological core of the model, where 3–4 scenarios for the development of the enterprise's market environment are developed. Each scenario is described </w:t>
      </w:r>
      <w:r w:rsidR="00E975FE">
        <w:rPr>
          <w:sz w:val="22"/>
          <w:szCs w:val="22"/>
          <w:lang w:val="en-GB"/>
        </w:rPr>
        <w:t>in a standardized format that includes a title and a narrative summary; key characteristics of the market environment (consumer demand, competitive structure, technological level, regulatory and climatic conditions); quantitative indicators;</w:t>
      </w:r>
      <w:r w:rsidRPr="00396ECD">
        <w:rPr>
          <w:sz w:val="22"/>
          <w:szCs w:val="22"/>
          <w:lang w:val="en-GB"/>
        </w:rPr>
        <w:t xml:space="preserve"> and key risks and opportunities for the enterprise. Block 5 – "Strategic Response" – is the applied outcome of </w:t>
      </w:r>
      <w:r w:rsidR="00E975FE">
        <w:rPr>
          <w:sz w:val="22"/>
          <w:szCs w:val="22"/>
          <w:lang w:val="en-GB"/>
        </w:rPr>
        <w:t>the foresight analysis, in which specific marketing strategies are developed for each scenario: positioning, product, pricing, distribution, and communication</w:t>
      </w:r>
      <w:r w:rsidRPr="00396ECD">
        <w:rPr>
          <w:sz w:val="22"/>
          <w:szCs w:val="22"/>
          <w:lang w:val="en-GB"/>
        </w:rPr>
        <w:t>. Block 6 – "Monitoring and Updating" – concludes the foresight cycle: for agricultural enterprises, it is recommended to conduct a full review of the foresight analysis every 2–3 years</w:t>
      </w:r>
      <w:r w:rsidR="00E975FE">
        <w:rPr>
          <w:sz w:val="22"/>
          <w:szCs w:val="22"/>
          <w:lang w:val="en-GB"/>
        </w:rPr>
        <w:t xml:space="preserve"> and to monitor it</w:t>
      </w:r>
      <w:r w:rsidRPr="00396ECD">
        <w:rPr>
          <w:sz w:val="22"/>
          <w:szCs w:val="22"/>
          <w:lang w:val="en-GB"/>
        </w:rPr>
        <w:t xml:space="preserve"> annually (Petrenko et al., 2025).</w:t>
      </w:r>
    </w:p>
    <w:p w14:paraId="07B9D2BF" w14:textId="77777777" w:rsidR="0065710C" w:rsidRPr="00396ECD" w:rsidRDefault="0065710C" w:rsidP="00116981">
      <w:pPr>
        <w:pStyle w:val="NormalnyWeb"/>
        <w:spacing w:before="0" w:beforeAutospacing="0" w:after="0" w:afterAutospacing="0"/>
        <w:ind w:firstLine="284"/>
        <w:jc w:val="both"/>
        <w:rPr>
          <w:sz w:val="22"/>
          <w:szCs w:val="22"/>
          <w:lang w:val="en-GB"/>
        </w:rPr>
      </w:pPr>
      <w:r w:rsidRPr="00396ECD">
        <w:rPr>
          <w:sz w:val="22"/>
          <w:szCs w:val="22"/>
          <w:lang w:val="en-GB"/>
        </w:rPr>
        <w:t>A key feature of the proposed model is its scalability – it can be used by enterprises of various sizes with appropriate adjustments to methods and resources. For large agricultural holdings, it is advisable to involve specialized foresight units and utilize the full range of quantitative methods. For small farms, a simplified version is recommended, with a primary focus on scenario planning and monitoring weak signals.</w:t>
      </w:r>
    </w:p>
    <w:p w14:paraId="7ED68C73" w14:textId="61F907AD" w:rsidR="0065710C" w:rsidRPr="00396ECD" w:rsidRDefault="0065710C" w:rsidP="00116981">
      <w:pPr>
        <w:pStyle w:val="NormalnyWeb"/>
        <w:spacing w:before="0" w:beforeAutospacing="0" w:after="0" w:afterAutospacing="0"/>
        <w:ind w:firstLine="284"/>
        <w:jc w:val="both"/>
        <w:rPr>
          <w:sz w:val="22"/>
          <w:szCs w:val="22"/>
          <w:lang w:val="en-GB"/>
        </w:rPr>
      </w:pPr>
      <w:r w:rsidRPr="00396ECD">
        <w:rPr>
          <w:sz w:val="22"/>
          <w:szCs w:val="22"/>
          <w:lang w:val="en-GB"/>
        </w:rPr>
        <w:t xml:space="preserve">The development of foresight practices in the global agri-food business provides valuable examples for study and adaptation. The Netherlands is the undisputed leader in </w:t>
      </w:r>
      <w:r w:rsidR="00E975FE">
        <w:rPr>
          <w:sz w:val="22"/>
          <w:szCs w:val="22"/>
          <w:lang w:val="en-GB"/>
        </w:rPr>
        <w:t>implementing</w:t>
      </w:r>
      <w:r w:rsidRPr="00396ECD">
        <w:rPr>
          <w:sz w:val="22"/>
          <w:szCs w:val="22"/>
          <w:lang w:val="en-GB"/>
        </w:rPr>
        <w:t xml:space="preserve"> systematic foresight in the agricultural sector among small countries with intensive agriculture. The Dutch Institute for Strategic Foresight at Wageningen University &amp; Research publishes detailed foresight reports annually on key segments of the agri-food market, which are actively used by both large agricultural holdings and small farmers. A distinctive feature of the Dutch experience is the close integration of foresight with educational programs and advisory services for farmers, which allows even small farms to participate in the foresight culture (</w:t>
      </w:r>
      <w:proofErr w:type="spellStart"/>
      <w:r w:rsidRPr="00396ECD">
        <w:rPr>
          <w:sz w:val="22"/>
          <w:szCs w:val="22"/>
          <w:lang w:val="en-GB"/>
        </w:rPr>
        <w:t>Savytskyi</w:t>
      </w:r>
      <w:proofErr w:type="spellEnd"/>
      <w:r w:rsidRPr="00396ECD">
        <w:rPr>
          <w:sz w:val="22"/>
          <w:szCs w:val="22"/>
          <w:lang w:val="en-GB"/>
        </w:rPr>
        <w:t xml:space="preserve">, 2022). The U.S. experience is valuable </w:t>
      </w:r>
      <w:r w:rsidR="00E975FE">
        <w:rPr>
          <w:sz w:val="22"/>
          <w:szCs w:val="22"/>
          <w:lang w:val="en-GB"/>
        </w:rPr>
        <w:t>for corporate foresight among</w:t>
      </w:r>
      <w:r w:rsidRPr="00396ECD">
        <w:rPr>
          <w:sz w:val="22"/>
          <w:szCs w:val="22"/>
          <w:lang w:val="en-GB"/>
        </w:rPr>
        <w:t xml:space="preserve"> large agri-food companies. Companies such as Cargill, ADM, and Tyson Foods have developed their own strategic foresight systems. In particular, Cargill significantly expanded its plant-based protein division based on its own foresight analysis, identifying the trend toward growing demand for alternatives to animal protein long before it became widespread.</w:t>
      </w:r>
    </w:p>
    <w:p w14:paraId="07D71848" w14:textId="77777777" w:rsidR="003500C3" w:rsidRPr="00396ECD" w:rsidRDefault="003500C3" w:rsidP="00116981">
      <w:pPr>
        <w:pStyle w:val="Nagwek3"/>
        <w:ind w:firstLine="284"/>
        <w:jc w:val="both"/>
        <w:rPr>
          <w:color w:val="auto"/>
          <w:sz w:val="22"/>
          <w:szCs w:val="22"/>
          <w:lang w:val="en-GB"/>
        </w:rPr>
      </w:pPr>
      <w:r w:rsidRPr="00396ECD">
        <w:rPr>
          <w:color w:val="auto"/>
          <w:sz w:val="22"/>
          <w:szCs w:val="22"/>
          <w:lang w:val="en-GB"/>
        </w:rPr>
        <w:lastRenderedPageBreak/>
        <w:t>The Brazilian experience is particularly interesting due to its similarities with Ukraine (Petrenko et al., 2025): both countries are major producers and exporters of grains and oilseeds; both have significant potential for expanding production; and both face the need to transform their agricultural sectors amid growing environmental requirements. The Brazilian corporation EMBRAPA has developed a systematic foresight methodology for the agricultural sector, which includes annual sectoral foresight reports available to a wide range of agricultural producers (</w:t>
      </w:r>
      <w:proofErr w:type="spellStart"/>
      <w:r w:rsidRPr="00396ECD">
        <w:rPr>
          <w:color w:val="auto"/>
          <w:sz w:val="22"/>
          <w:szCs w:val="22"/>
          <w:lang w:val="en-GB"/>
        </w:rPr>
        <w:t>Saguy</w:t>
      </w:r>
      <w:proofErr w:type="spellEnd"/>
      <w:r w:rsidRPr="00396ECD">
        <w:rPr>
          <w:color w:val="auto"/>
          <w:sz w:val="22"/>
          <w:szCs w:val="22"/>
          <w:lang w:val="en-GB"/>
        </w:rPr>
        <w:t xml:space="preserve"> </w:t>
      </w:r>
      <w:r w:rsidRPr="00396ECD">
        <w:rPr>
          <w:rStyle w:val="Uwydatnienie"/>
          <w:i w:val="0"/>
          <w:iCs w:val="0"/>
          <w:color w:val="auto"/>
          <w:sz w:val="22"/>
          <w:szCs w:val="22"/>
          <w:shd w:val="clear" w:color="auto" w:fill="FFFFFF"/>
          <w:lang w:val="en-GB"/>
        </w:rPr>
        <w:t>et al.</w:t>
      </w:r>
      <w:r w:rsidRPr="00396ECD">
        <w:rPr>
          <w:i/>
          <w:iCs/>
          <w:color w:val="auto"/>
          <w:sz w:val="22"/>
          <w:szCs w:val="22"/>
          <w:lang w:val="en-GB"/>
        </w:rPr>
        <w:t>,</w:t>
      </w:r>
      <w:r w:rsidRPr="00396ECD">
        <w:rPr>
          <w:color w:val="auto"/>
          <w:sz w:val="22"/>
          <w:szCs w:val="22"/>
          <w:lang w:val="en-GB"/>
        </w:rPr>
        <w:t xml:space="preserve"> 2025).</w:t>
      </w:r>
    </w:p>
    <w:p w14:paraId="61CB4969" w14:textId="77777777" w:rsidR="003500C3" w:rsidRPr="00396ECD" w:rsidRDefault="003500C3" w:rsidP="00116981">
      <w:pPr>
        <w:pStyle w:val="Nagwek3"/>
        <w:ind w:firstLine="284"/>
        <w:jc w:val="both"/>
        <w:rPr>
          <w:color w:val="auto"/>
          <w:sz w:val="22"/>
          <w:szCs w:val="22"/>
          <w:lang w:val="en-GB"/>
        </w:rPr>
      </w:pPr>
      <w:r w:rsidRPr="00396ECD">
        <w:rPr>
          <w:color w:val="auto"/>
          <w:sz w:val="22"/>
          <w:szCs w:val="22"/>
          <w:lang w:val="en-GB"/>
        </w:rPr>
        <w:t>Israel's experience demonstrates that even in a complex geopolitical context and with limited natural resources, a foresight-oriented approach enables outstanding results: Israeli agricultural producers have achieved global leadership in drip irrigation, protected cultivation, and precision farming – precisely because of their systematic engagement with technological trends and proactive adaptation to future market needs.</w:t>
      </w:r>
    </w:p>
    <w:p w14:paraId="4ECC3761" w14:textId="77777777" w:rsidR="003500C3" w:rsidRPr="00396ECD" w:rsidRDefault="003500C3" w:rsidP="00116981">
      <w:pPr>
        <w:pStyle w:val="Nagwek3"/>
        <w:ind w:firstLine="284"/>
        <w:jc w:val="both"/>
        <w:rPr>
          <w:color w:val="auto"/>
          <w:sz w:val="22"/>
          <w:szCs w:val="22"/>
          <w:lang w:val="en-GB"/>
        </w:rPr>
      </w:pPr>
      <w:r w:rsidRPr="00396ECD">
        <w:rPr>
          <w:color w:val="auto"/>
          <w:sz w:val="22"/>
          <w:szCs w:val="22"/>
          <w:lang w:val="en-GB"/>
        </w:rPr>
        <w:t>A summary of international experience, taking into account key parameters of foresight activities in leading agricultural countries, is presented below (Table 3).</w:t>
      </w:r>
    </w:p>
    <w:p w14:paraId="5CDE307E" w14:textId="77777777" w:rsidR="00116981" w:rsidRPr="00396ECD" w:rsidRDefault="00116981" w:rsidP="00116981">
      <w:pPr>
        <w:pStyle w:val="Nagwek3"/>
        <w:ind w:firstLine="284"/>
        <w:jc w:val="both"/>
        <w:rPr>
          <w:color w:val="auto"/>
          <w:sz w:val="22"/>
          <w:szCs w:val="22"/>
          <w:lang w:val="en-GB"/>
        </w:rPr>
      </w:pPr>
    </w:p>
    <w:p w14:paraId="0B757635" w14:textId="77777777" w:rsidR="007E0240" w:rsidRPr="00396ECD" w:rsidRDefault="003500C3" w:rsidP="0089472B">
      <w:pPr>
        <w:pStyle w:val="Rtab"/>
        <w:rPr>
          <w:lang w:val="en-GB"/>
        </w:rPr>
      </w:pPr>
      <w:r w:rsidRPr="00396ECD">
        <w:rPr>
          <w:b/>
          <w:lang w:val="en-GB"/>
        </w:rPr>
        <w:t>Table 3.</w:t>
      </w:r>
      <w:r w:rsidRPr="00396ECD">
        <w:rPr>
          <w:lang w:val="en-GB"/>
        </w:rPr>
        <w:t xml:space="preserve"> Comparative Analysis of Foresight Practices in the Agricultural Sector of Selected Countries </w:t>
      </w:r>
    </w:p>
    <w:tbl>
      <w:tblPr>
        <w:tblStyle w:val="Tabela-Siatka"/>
        <w:tblW w:w="9413" w:type="dxa"/>
        <w:tblInd w:w="108" w:type="dxa"/>
        <w:tblBorders>
          <w:left w:val="none" w:sz="0" w:space="0" w:color="auto"/>
          <w:right w:val="none" w:sz="0" w:space="0" w:color="auto"/>
          <w:insideV w:val="none" w:sz="0" w:space="0" w:color="auto"/>
        </w:tblBorders>
        <w:tblLook w:val="04A0" w:firstRow="1" w:lastRow="0" w:firstColumn="1" w:lastColumn="0" w:noHBand="0" w:noVBand="1"/>
      </w:tblPr>
      <w:tblGrid>
        <w:gridCol w:w="1593"/>
        <w:gridCol w:w="1843"/>
        <w:gridCol w:w="1418"/>
        <w:gridCol w:w="1701"/>
        <w:gridCol w:w="2858"/>
      </w:tblGrid>
      <w:tr w:rsidR="00116981" w:rsidRPr="00396ECD" w14:paraId="473729EF" w14:textId="77777777" w:rsidTr="002D2110">
        <w:trPr>
          <w:trHeight w:val="454"/>
        </w:trPr>
        <w:tc>
          <w:tcPr>
            <w:tcW w:w="1593" w:type="dxa"/>
            <w:vAlign w:val="center"/>
            <w:hideMark/>
          </w:tcPr>
          <w:p w14:paraId="34448D4C" w14:textId="77777777" w:rsidR="007E0240" w:rsidRPr="00396ECD" w:rsidRDefault="007E0240" w:rsidP="0089472B">
            <w:pPr>
              <w:jc w:val="center"/>
              <w:rPr>
                <w:sz w:val="20"/>
                <w:szCs w:val="20"/>
                <w:lang w:val="en-GB"/>
              </w:rPr>
            </w:pPr>
            <w:r w:rsidRPr="00396ECD">
              <w:rPr>
                <w:sz w:val="20"/>
                <w:szCs w:val="20"/>
                <w:lang w:val="en-GB"/>
              </w:rPr>
              <w:t>Country / Entity</w:t>
            </w:r>
          </w:p>
        </w:tc>
        <w:tc>
          <w:tcPr>
            <w:tcW w:w="1843" w:type="dxa"/>
            <w:vAlign w:val="center"/>
            <w:hideMark/>
          </w:tcPr>
          <w:p w14:paraId="44ED5F5F" w14:textId="77777777" w:rsidR="007E0240" w:rsidRPr="00396ECD" w:rsidRDefault="007E0240" w:rsidP="0089472B">
            <w:pPr>
              <w:jc w:val="center"/>
              <w:rPr>
                <w:sz w:val="20"/>
                <w:szCs w:val="20"/>
                <w:lang w:val="en-GB"/>
              </w:rPr>
            </w:pPr>
            <w:r w:rsidRPr="00396ECD">
              <w:rPr>
                <w:sz w:val="20"/>
                <w:szCs w:val="20"/>
                <w:lang w:val="en-GB"/>
              </w:rPr>
              <w:t>Foresight Model</w:t>
            </w:r>
          </w:p>
        </w:tc>
        <w:tc>
          <w:tcPr>
            <w:tcW w:w="1418" w:type="dxa"/>
            <w:vAlign w:val="center"/>
            <w:hideMark/>
          </w:tcPr>
          <w:p w14:paraId="61709348" w14:textId="77777777" w:rsidR="007E0240" w:rsidRPr="00396ECD" w:rsidRDefault="007E0240" w:rsidP="0089472B">
            <w:pPr>
              <w:jc w:val="center"/>
              <w:rPr>
                <w:sz w:val="20"/>
                <w:szCs w:val="20"/>
                <w:lang w:val="en-GB"/>
              </w:rPr>
            </w:pPr>
            <w:r w:rsidRPr="00396ECD">
              <w:rPr>
                <w:sz w:val="20"/>
                <w:szCs w:val="20"/>
                <w:lang w:val="en-GB"/>
              </w:rPr>
              <w:t>Horizon</w:t>
            </w:r>
          </w:p>
        </w:tc>
        <w:tc>
          <w:tcPr>
            <w:tcW w:w="1701" w:type="dxa"/>
            <w:vAlign w:val="center"/>
            <w:hideMark/>
          </w:tcPr>
          <w:p w14:paraId="36CF0DD8" w14:textId="77777777" w:rsidR="007E0240" w:rsidRPr="00396ECD" w:rsidRDefault="007E0240" w:rsidP="0089472B">
            <w:pPr>
              <w:jc w:val="center"/>
              <w:rPr>
                <w:sz w:val="20"/>
                <w:szCs w:val="20"/>
                <w:lang w:val="en-GB"/>
              </w:rPr>
            </w:pPr>
            <w:r w:rsidRPr="00396ECD">
              <w:rPr>
                <w:sz w:val="20"/>
                <w:szCs w:val="20"/>
                <w:lang w:val="en-GB"/>
              </w:rPr>
              <w:t>SME Coverage</w:t>
            </w:r>
          </w:p>
        </w:tc>
        <w:tc>
          <w:tcPr>
            <w:tcW w:w="2858" w:type="dxa"/>
            <w:vAlign w:val="center"/>
            <w:hideMark/>
          </w:tcPr>
          <w:p w14:paraId="4052E565" w14:textId="77777777" w:rsidR="007E0240" w:rsidRPr="00396ECD" w:rsidRDefault="007E0240" w:rsidP="0089472B">
            <w:pPr>
              <w:jc w:val="center"/>
              <w:rPr>
                <w:sz w:val="20"/>
                <w:szCs w:val="20"/>
                <w:lang w:val="en-GB"/>
              </w:rPr>
            </w:pPr>
            <w:r w:rsidRPr="00396ECD">
              <w:rPr>
                <w:sz w:val="20"/>
                <w:szCs w:val="20"/>
                <w:lang w:val="en-GB"/>
              </w:rPr>
              <w:t>Key Outcomes</w:t>
            </w:r>
          </w:p>
        </w:tc>
      </w:tr>
      <w:tr w:rsidR="00116981" w:rsidRPr="00396ECD" w14:paraId="68F8F343" w14:textId="77777777" w:rsidTr="00C12399">
        <w:trPr>
          <w:trHeight w:val="827"/>
        </w:trPr>
        <w:tc>
          <w:tcPr>
            <w:tcW w:w="1593" w:type="dxa"/>
            <w:vAlign w:val="center"/>
            <w:hideMark/>
          </w:tcPr>
          <w:p w14:paraId="2A50924A" w14:textId="77777777" w:rsidR="007E0240" w:rsidRPr="00396ECD" w:rsidRDefault="007E0240" w:rsidP="0089472B">
            <w:pPr>
              <w:rPr>
                <w:sz w:val="20"/>
                <w:szCs w:val="20"/>
                <w:lang w:val="en-GB"/>
              </w:rPr>
            </w:pPr>
            <w:r w:rsidRPr="00396ECD">
              <w:rPr>
                <w:sz w:val="20"/>
                <w:szCs w:val="20"/>
                <w:lang w:val="en-GB"/>
              </w:rPr>
              <w:t>Netherlands (Wageningen UR)</w:t>
            </w:r>
          </w:p>
        </w:tc>
        <w:tc>
          <w:tcPr>
            <w:tcW w:w="1843" w:type="dxa"/>
            <w:vAlign w:val="center"/>
            <w:hideMark/>
          </w:tcPr>
          <w:p w14:paraId="7008D9E7" w14:textId="00CF9993" w:rsidR="007E0240" w:rsidRPr="00396ECD" w:rsidRDefault="007E0240" w:rsidP="0089472B">
            <w:pPr>
              <w:rPr>
                <w:sz w:val="20"/>
                <w:szCs w:val="20"/>
                <w:lang w:val="en-GB"/>
              </w:rPr>
            </w:pPr>
            <w:r w:rsidRPr="00396ECD">
              <w:rPr>
                <w:sz w:val="20"/>
                <w:szCs w:val="20"/>
                <w:lang w:val="en-GB"/>
              </w:rPr>
              <w:t xml:space="preserve">Institutional </w:t>
            </w:r>
            <w:r w:rsidR="00C12399">
              <w:rPr>
                <w:sz w:val="20"/>
                <w:szCs w:val="20"/>
                <w:lang w:val="en-GB"/>
              </w:rPr>
              <w:br/>
            </w:r>
            <w:r w:rsidRPr="00396ECD">
              <w:rPr>
                <w:sz w:val="20"/>
                <w:szCs w:val="20"/>
                <w:lang w:val="en-GB"/>
              </w:rPr>
              <w:t>+ Corporate</w:t>
            </w:r>
          </w:p>
        </w:tc>
        <w:tc>
          <w:tcPr>
            <w:tcW w:w="1418" w:type="dxa"/>
            <w:vAlign w:val="center"/>
            <w:hideMark/>
          </w:tcPr>
          <w:p w14:paraId="1E9C5587" w14:textId="77777777" w:rsidR="007E0240" w:rsidRPr="00396ECD" w:rsidRDefault="007E0240" w:rsidP="0089472B">
            <w:pPr>
              <w:jc w:val="center"/>
              <w:rPr>
                <w:sz w:val="20"/>
                <w:szCs w:val="20"/>
                <w:lang w:val="en-GB"/>
              </w:rPr>
            </w:pPr>
            <w:r w:rsidRPr="00396ECD">
              <w:rPr>
                <w:sz w:val="20"/>
                <w:szCs w:val="20"/>
                <w:lang w:val="en-GB"/>
              </w:rPr>
              <w:t>5–20 years</w:t>
            </w:r>
          </w:p>
        </w:tc>
        <w:tc>
          <w:tcPr>
            <w:tcW w:w="1701" w:type="dxa"/>
            <w:vAlign w:val="center"/>
            <w:hideMark/>
          </w:tcPr>
          <w:p w14:paraId="6E89D104" w14:textId="7F09277F" w:rsidR="007E0240" w:rsidRPr="00396ECD" w:rsidRDefault="007E0240" w:rsidP="0089472B">
            <w:pPr>
              <w:rPr>
                <w:sz w:val="20"/>
                <w:szCs w:val="20"/>
                <w:lang w:val="en-GB"/>
              </w:rPr>
            </w:pPr>
            <w:r w:rsidRPr="00396ECD">
              <w:rPr>
                <w:sz w:val="20"/>
                <w:szCs w:val="20"/>
                <w:lang w:val="en-GB"/>
              </w:rPr>
              <w:t xml:space="preserve">High </w:t>
            </w:r>
            <w:r w:rsidR="00C12399">
              <w:rPr>
                <w:sz w:val="20"/>
                <w:szCs w:val="20"/>
                <w:lang w:val="en-GB"/>
              </w:rPr>
              <w:br/>
            </w:r>
            <w:r w:rsidRPr="00396ECD">
              <w:rPr>
                <w:sz w:val="20"/>
                <w:szCs w:val="20"/>
                <w:lang w:val="en-GB"/>
              </w:rPr>
              <w:t xml:space="preserve">(via advisory </w:t>
            </w:r>
            <w:r w:rsidR="00C12399">
              <w:rPr>
                <w:sz w:val="20"/>
                <w:szCs w:val="20"/>
                <w:lang w:val="en-GB"/>
              </w:rPr>
              <w:br/>
            </w:r>
            <w:r w:rsidRPr="00396ECD">
              <w:rPr>
                <w:sz w:val="20"/>
                <w:szCs w:val="20"/>
                <w:lang w:val="en-GB"/>
              </w:rPr>
              <w:t>network)</w:t>
            </w:r>
          </w:p>
        </w:tc>
        <w:tc>
          <w:tcPr>
            <w:tcW w:w="2858" w:type="dxa"/>
            <w:vAlign w:val="center"/>
            <w:hideMark/>
          </w:tcPr>
          <w:p w14:paraId="38247067" w14:textId="2303021D" w:rsidR="007E0240" w:rsidRPr="00396ECD" w:rsidRDefault="007E0240" w:rsidP="000F392C">
            <w:pPr>
              <w:ind w:left="176"/>
              <w:rPr>
                <w:sz w:val="20"/>
                <w:szCs w:val="20"/>
                <w:lang w:val="en-GB"/>
              </w:rPr>
            </w:pPr>
            <w:r w:rsidRPr="00396ECD">
              <w:rPr>
                <w:sz w:val="20"/>
                <w:szCs w:val="20"/>
                <w:lang w:val="en-GB"/>
              </w:rPr>
              <w:t xml:space="preserve">Leadership in organics, </w:t>
            </w:r>
            <w:r w:rsidR="000F392C">
              <w:rPr>
                <w:sz w:val="20"/>
                <w:szCs w:val="20"/>
                <w:lang w:val="en-GB"/>
              </w:rPr>
              <w:br/>
            </w:r>
            <w:r w:rsidRPr="00396ECD">
              <w:rPr>
                <w:sz w:val="20"/>
                <w:szCs w:val="20"/>
                <w:lang w:val="en-GB"/>
              </w:rPr>
              <w:t>precision farming, zero-waste</w:t>
            </w:r>
          </w:p>
        </w:tc>
      </w:tr>
      <w:tr w:rsidR="00116981" w:rsidRPr="00396ECD" w14:paraId="5776F355" w14:textId="77777777" w:rsidTr="00C12399">
        <w:trPr>
          <w:trHeight w:val="784"/>
        </w:trPr>
        <w:tc>
          <w:tcPr>
            <w:tcW w:w="1593" w:type="dxa"/>
            <w:vAlign w:val="center"/>
            <w:hideMark/>
          </w:tcPr>
          <w:p w14:paraId="319934FF" w14:textId="77777777" w:rsidR="007E0240" w:rsidRPr="00396ECD" w:rsidRDefault="007E0240" w:rsidP="0089472B">
            <w:pPr>
              <w:rPr>
                <w:sz w:val="20"/>
                <w:szCs w:val="20"/>
                <w:lang w:val="en-GB"/>
              </w:rPr>
            </w:pPr>
            <w:r w:rsidRPr="00396ECD">
              <w:rPr>
                <w:sz w:val="20"/>
                <w:szCs w:val="20"/>
                <w:lang w:val="en-GB"/>
              </w:rPr>
              <w:t>USA (Cargill, ADM, Tyson)</w:t>
            </w:r>
          </w:p>
        </w:tc>
        <w:tc>
          <w:tcPr>
            <w:tcW w:w="1843" w:type="dxa"/>
            <w:vAlign w:val="center"/>
            <w:hideMark/>
          </w:tcPr>
          <w:p w14:paraId="5D92E471" w14:textId="77777777" w:rsidR="007E0240" w:rsidRPr="00396ECD" w:rsidRDefault="007E0240" w:rsidP="0089472B">
            <w:pPr>
              <w:rPr>
                <w:sz w:val="20"/>
                <w:szCs w:val="20"/>
                <w:lang w:val="en-GB"/>
              </w:rPr>
            </w:pPr>
            <w:r w:rsidRPr="00396ECD">
              <w:rPr>
                <w:sz w:val="20"/>
                <w:szCs w:val="20"/>
                <w:lang w:val="en-GB"/>
              </w:rPr>
              <w:t>Corporate foresight (large companies)</w:t>
            </w:r>
          </w:p>
        </w:tc>
        <w:tc>
          <w:tcPr>
            <w:tcW w:w="1418" w:type="dxa"/>
            <w:vAlign w:val="center"/>
            <w:hideMark/>
          </w:tcPr>
          <w:p w14:paraId="675299AA" w14:textId="77777777" w:rsidR="007E0240" w:rsidRPr="00396ECD" w:rsidRDefault="007E0240" w:rsidP="0089472B">
            <w:pPr>
              <w:jc w:val="center"/>
              <w:rPr>
                <w:sz w:val="20"/>
                <w:szCs w:val="20"/>
                <w:lang w:val="en-GB"/>
              </w:rPr>
            </w:pPr>
            <w:r w:rsidRPr="00396ECD">
              <w:rPr>
                <w:sz w:val="20"/>
                <w:szCs w:val="20"/>
                <w:lang w:val="en-GB"/>
              </w:rPr>
              <w:t>5–15 years</w:t>
            </w:r>
          </w:p>
        </w:tc>
        <w:tc>
          <w:tcPr>
            <w:tcW w:w="1701" w:type="dxa"/>
            <w:vAlign w:val="center"/>
            <w:hideMark/>
          </w:tcPr>
          <w:p w14:paraId="66DE0E0F" w14:textId="77777777" w:rsidR="007E0240" w:rsidRPr="00396ECD" w:rsidRDefault="007E0240" w:rsidP="0089472B">
            <w:pPr>
              <w:rPr>
                <w:sz w:val="20"/>
                <w:szCs w:val="20"/>
                <w:lang w:val="en-GB"/>
              </w:rPr>
            </w:pPr>
            <w:r w:rsidRPr="00396ECD">
              <w:rPr>
                <w:sz w:val="20"/>
                <w:szCs w:val="20"/>
                <w:lang w:val="en-GB"/>
              </w:rPr>
              <w:t>Low</w:t>
            </w:r>
          </w:p>
        </w:tc>
        <w:tc>
          <w:tcPr>
            <w:tcW w:w="2858" w:type="dxa"/>
            <w:vAlign w:val="center"/>
            <w:hideMark/>
          </w:tcPr>
          <w:p w14:paraId="6FCE4697" w14:textId="4574E794" w:rsidR="007E0240" w:rsidRPr="00396ECD" w:rsidRDefault="007E0240" w:rsidP="000F392C">
            <w:pPr>
              <w:ind w:left="176"/>
              <w:rPr>
                <w:sz w:val="20"/>
                <w:szCs w:val="20"/>
                <w:lang w:val="en-GB"/>
              </w:rPr>
            </w:pPr>
            <w:r w:rsidRPr="00396ECD">
              <w:rPr>
                <w:sz w:val="20"/>
                <w:szCs w:val="20"/>
                <w:lang w:val="en-GB"/>
              </w:rPr>
              <w:t xml:space="preserve">Early repositioning </w:t>
            </w:r>
            <w:r w:rsidR="000F392C">
              <w:rPr>
                <w:sz w:val="20"/>
                <w:szCs w:val="20"/>
                <w:lang w:val="en-GB"/>
              </w:rPr>
              <w:br/>
            </w:r>
            <w:r w:rsidRPr="00396ECD">
              <w:rPr>
                <w:sz w:val="20"/>
                <w:szCs w:val="20"/>
                <w:lang w:val="en-GB"/>
              </w:rPr>
              <w:t>in plant-based and sustainable production</w:t>
            </w:r>
          </w:p>
        </w:tc>
      </w:tr>
      <w:tr w:rsidR="00116981" w:rsidRPr="00396ECD" w14:paraId="1DE33A78" w14:textId="77777777" w:rsidTr="00C12399">
        <w:trPr>
          <w:trHeight w:val="813"/>
        </w:trPr>
        <w:tc>
          <w:tcPr>
            <w:tcW w:w="1593" w:type="dxa"/>
            <w:vAlign w:val="center"/>
            <w:hideMark/>
          </w:tcPr>
          <w:p w14:paraId="0961F40D" w14:textId="77777777" w:rsidR="007E0240" w:rsidRPr="00396ECD" w:rsidRDefault="007E0240" w:rsidP="0089472B">
            <w:pPr>
              <w:rPr>
                <w:sz w:val="20"/>
                <w:szCs w:val="20"/>
                <w:lang w:val="en-GB"/>
              </w:rPr>
            </w:pPr>
            <w:r w:rsidRPr="00396ECD">
              <w:rPr>
                <w:sz w:val="20"/>
                <w:szCs w:val="20"/>
                <w:lang w:val="en-GB"/>
              </w:rPr>
              <w:t>Brazil (EMBRAPA)</w:t>
            </w:r>
          </w:p>
        </w:tc>
        <w:tc>
          <w:tcPr>
            <w:tcW w:w="1843" w:type="dxa"/>
            <w:vAlign w:val="center"/>
            <w:hideMark/>
          </w:tcPr>
          <w:p w14:paraId="0DDC46FB" w14:textId="37435559" w:rsidR="007E0240" w:rsidRPr="00396ECD" w:rsidRDefault="007E0240" w:rsidP="0089472B">
            <w:pPr>
              <w:rPr>
                <w:sz w:val="20"/>
                <w:szCs w:val="20"/>
                <w:lang w:val="en-GB"/>
              </w:rPr>
            </w:pPr>
            <w:r w:rsidRPr="00396ECD">
              <w:rPr>
                <w:sz w:val="20"/>
                <w:szCs w:val="20"/>
                <w:lang w:val="en-GB"/>
              </w:rPr>
              <w:t xml:space="preserve">Governmental </w:t>
            </w:r>
            <w:r w:rsidR="00C12399">
              <w:rPr>
                <w:sz w:val="20"/>
                <w:szCs w:val="20"/>
                <w:lang w:val="en-GB"/>
              </w:rPr>
              <w:br/>
            </w:r>
            <w:r w:rsidRPr="00396ECD">
              <w:rPr>
                <w:sz w:val="20"/>
                <w:szCs w:val="20"/>
                <w:lang w:val="en-GB"/>
              </w:rPr>
              <w:t>/ sectoral</w:t>
            </w:r>
          </w:p>
        </w:tc>
        <w:tc>
          <w:tcPr>
            <w:tcW w:w="1418" w:type="dxa"/>
            <w:vAlign w:val="center"/>
            <w:hideMark/>
          </w:tcPr>
          <w:p w14:paraId="569BBDC2" w14:textId="77777777" w:rsidR="007E0240" w:rsidRPr="00396ECD" w:rsidRDefault="007E0240" w:rsidP="0089472B">
            <w:pPr>
              <w:jc w:val="center"/>
              <w:rPr>
                <w:sz w:val="20"/>
                <w:szCs w:val="20"/>
                <w:lang w:val="en-GB"/>
              </w:rPr>
            </w:pPr>
            <w:r w:rsidRPr="00396ECD">
              <w:rPr>
                <w:sz w:val="20"/>
                <w:szCs w:val="20"/>
                <w:lang w:val="en-GB"/>
              </w:rPr>
              <w:t>10–20 years</w:t>
            </w:r>
          </w:p>
        </w:tc>
        <w:tc>
          <w:tcPr>
            <w:tcW w:w="1701" w:type="dxa"/>
            <w:vAlign w:val="center"/>
            <w:hideMark/>
          </w:tcPr>
          <w:p w14:paraId="2FCBAC9F" w14:textId="4E327602" w:rsidR="007E0240" w:rsidRPr="00396ECD" w:rsidRDefault="007E0240" w:rsidP="0089472B">
            <w:pPr>
              <w:rPr>
                <w:sz w:val="20"/>
                <w:szCs w:val="20"/>
                <w:lang w:val="en-GB"/>
              </w:rPr>
            </w:pPr>
            <w:r w:rsidRPr="00396ECD">
              <w:rPr>
                <w:sz w:val="20"/>
                <w:szCs w:val="20"/>
                <w:lang w:val="en-GB"/>
              </w:rPr>
              <w:t xml:space="preserve">Medium </w:t>
            </w:r>
            <w:r w:rsidR="00C12399">
              <w:rPr>
                <w:sz w:val="20"/>
                <w:szCs w:val="20"/>
                <w:lang w:val="en-GB"/>
              </w:rPr>
              <w:br/>
            </w:r>
            <w:r w:rsidRPr="00396ECD">
              <w:rPr>
                <w:sz w:val="20"/>
                <w:szCs w:val="20"/>
                <w:lang w:val="en-GB"/>
              </w:rPr>
              <w:t xml:space="preserve">(via state </w:t>
            </w:r>
            <w:r w:rsidR="00C12399">
              <w:rPr>
                <w:sz w:val="20"/>
                <w:szCs w:val="20"/>
                <w:lang w:val="en-GB"/>
              </w:rPr>
              <w:br/>
            </w:r>
            <w:r w:rsidRPr="00396ECD">
              <w:rPr>
                <w:sz w:val="20"/>
                <w:szCs w:val="20"/>
                <w:lang w:val="en-GB"/>
              </w:rPr>
              <w:t>programs)</w:t>
            </w:r>
          </w:p>
        </w:tc>
        <w:tc>
          <w:tcPr>
            <w:tcW w:w="2858" w:type="dxa"/>
            <w:vAlign w:val="center"/>
            <w:hideMark/>
          </w:tcPr>
          <w:p w14:paraId="33AA0DE1" w14:textId="77777777" w:rsidR="007E0240" w:rsidRPr="00396ECD" w:rsidRDefault="007E0240" w:rsidP="000F392C">
            <w:pPr>
              <w:ind w:left="176"/>
              <w:rPr>
                <w:sz w:val="20"/>
                <w:szCs w:val="20"/>
                <w:lang w:val="en-GB"/>
              </w:rPr>
            </w:pPr>
            <w:r w:rsidRPr="00396ECD">
              <w:rPr>
                <w:sz w:val="20"/>
                <w:szCs w:val="20"/>
                <w:lang w:val="en-GB"/>
              </w:rPr>
              <w:t>Climate adaptation, soybean expansion, agrotechnological breakthrough</w:t>
            </w:r>
          </w:p>
        </w:tc>
      </w:tr>
      <w:tr w:rsidR="00116981" w:rsidRPr="00396ECD" w14:paraId="14142F7E" w14:textId="77777777" w:rsidTr="00C12399">
        <w:trPr>
          <w:trHeight w:val="631"/>
        </w:trPr>
        <w:tc>
          <w:tcPr>
            <w:tcW w:w="1593" w:type="dxa"/>
            <w:vAlign w:val="center"/>
            <w:hideMark/>
          </w:tcPr>
          <w:p w14:paraId="3146DD3E" w14:textId="77777777" w:rsidR="007E0240" w:rsidRPr="00396ECD" w:rsidRDefault="007E0240" w:rsidP="0089472B">
            <w:pPr>
              <w:rPr>
                <w:sz w:val="20"/>
                <w:szCs w:val="20"/>
                <w:lang w:val="en-GB"/>
              </w:rPr>
            </w:pPr>
            <w:r w:rsidRPr="00396ECD">
              <w:rPr>
                <w:sz w:val="20"/>
                <w:szCs w:val="20"/>
                <w:lang w:val="en-GB"/>
              </w:rPr>
              <w:t>Israel (state + universities)</w:t>
            </w:r>
          </w:p>
        </w:tc>
        <w:tc>
          <w:tcPr>
            <w:tcW w:w="1843" w:type="dxa"/>
            <w:vAlign w:val="center"/>
            <w:hideMark/>
          </w:tcPr>
          <w:p w14:paraId="06A27097" w14:textId="2D2E12F9" w:rsidR="007E0240" w:rsidRPr="00396ECD" w:rsidRDefault="007E0240" w:rsidP="0089472B">
            <w:pPr>
              <w:rPr>
                <w:sz w:val="20"/>
                <w:szCs w:val="20"/>
                <w:lang w:val="en-GB"/>
              </w:rPr>
            </w:pPr>
            <w:r w:rsidRPr="00396ECD">
              <w:rPr>
                <w:sz w:val="20"/>
                <w:szCs w:val="20"/>
                <w:lang w:val="en-GB"/>
              </w:rPr>
              <w:t xml:space="preserve">Technological </w:t>
            </w:r>
            <w:r w:rsidR="00C12399">
              <w:rPr>
                <w:sz w:val="20"/>
                <w:szCs w:val="20"/>
                <w:lang w:val="en-GB"/>
              </w:rPr>
              <w:br/>
            </w:r>
            <w:r w:rsidRPr="00396ECD">
              <w:rPr>
                <w:sz w:val="20"/>
                <w:szCs w:val="20"/>
                <w:lang w:val="en-GB"/>
              </w:rPr>
              <w:t>foresight</w:t>
            </w:r>
          </w:p>
        </w:tc>
        <w:tc>
          <w:tcPr>
            <w:tcW w:w="1418" w:type="dxa"/>
            <w:vAlign w:val="center"/>
            <w:hideMark/>
          </w:tcPr>
          <w:p w14:paraId="20C5F4E6" w14:textId="77777777" w:rsidR="007E0240" w:rsidRPr="00396ECD" w:rsidRDefault="007E0240" w:rsidP="0089472B">
            <w:pPr>
              <w:jc w:val="center"/>
              <w:rPr>
                <w:sz w:val="20"/>
                <w:szCs w:val="20"/>
                <w:lang w:val="en-GB"/>
              </w:rPr>
            </w:pPr>
            <w:r w:rsidRPr="00396ECD">
              <w:rPr>
                <w:sz w:val="20"/>
                <w:szCs w:val="20"/>
                <w:lang w:val="en-GB"/>
              </w:rPr>
              <w:t>5–15 years</w:t>
            </w:r>
          </w:p>
        </w:tc>
        <w:tc>
          <w:tcPr>
            <w:tcW w:w="1701" w:type="dxa"/>
            <w:vAlign w:val="center"/>
            <w:hideMark/>
          </w:tcPr>
          <w:p w14:paraId="6550DD31" w14:textId="00F86686" w:rsidR="007E0240" w:rsidRPr="00396ECD" w:rsidRDefault="007E0240" w:rsidP="000F392C">
            <w:pPr>
              <w:ind w:right="-249"/>
              <w:rPr>
                <w:sz w:val="20"/>
                <w:szCs w:val="20"/>
                <w:lang w:val="en-GB"/>
              </w:rPr>
            </w:pPr>
            <w:r w:rsidRPr="00396ECD">
              <w:rPr>
                <w:sz w:val="20"/>
                <w:szCs w:val="20"/>
                <w:lang w:val="en-GB"/>
              </w:rPr>
              <w:t xml:space="preserve">High </w:t>
            </w:r>
            <w:r w:rsidR="000F392C">
              <w:rPr>
                <w:sz w:val="20"/>
                <w:szCs w:val="20"/>
                <w:lang w:val="en-GB"/>
              </w:rPr>
              <w:br/>
            </w:r>
            <w:r w:rsidRPr="00396ECD">
              <w:rPr>
                <w:sz w:val="20"/>
                <w:szCs w:val="20"/>
                <w:lang w:val="en-GB"/>
              </w:rPr>
              <w:t>(cooperative model)</w:t>
            </w:r>
          </w:p>
        </w:tc>
        <w:tc>
          <w:tcPr>
            <w:tcW w:w="2858" w:type="dxa"/>
            <w:vAlign w:val="center"/>
            <w:hideMark/>
          </w:tcPr>
          <w:p w14:paraId="6A427F22" w14:textId="77777777" w:rsidR="007E0240" w:rsidRPr="00396ECD" w:rsidRDefault="007E0240" w:rsidP="000F392C">
            <w:pPr>
              <w:ind w:left="176"/>
              <w:rPr>
                <w:sz w:val="20"/>
                <w:szCs w:val="20"/>
                <w:lang w:val="en-GB"/>
              </w:rPr>
            </w:pPr>
            <w:r w:rsidRPr="00396ECD">
              <w:rPr>
                <w:sz w:val="20"/>
                <w:szCs w:val="20"/>
                <w:lang w:val="en-GB"/>
              </w:rPr>
              <w:t>Drip irrigation, protected agriculture, global tech exports</w:t>
            </w:r>
          </w:p>
        </w:tc>
      </w:tr>
      <w:tr w:rsidR="00116981" w:rsidRPr="00396ECD" w14:paraId="42E9603F" w14:textId="77777777" w:rsidTr="00C12399">
        <w:trPr>
          <w:trHeight w:val="575"/>
        </w:trPr>
        <w:tc>
          <w:tcPr>
            <w:tcW w:w="1593" w:type="dxa"/>
            <w:vAlign w:val="center"/>
            <w:hideMark/>
          </w:tcPr>
          <w:p w14:paraId="656EBD14" w14:textId="55D33E02" w:rsidR="007E0240" w:rsidRPr="00396ECD" w:rsidRDefault="007E0240" w:rsidP="0089472B">
            <w:pPr>
              <w:rPr>
                <w:sz w:val="20"/>
                <w:szCs w:val="20"/>
                <w:lang w:val="en-GB"/>
              </w:rPr>
            </w:pPr>
            <w:r w:rsidRPr="00396ECD">
              <w:rPr>
                <w:sz w:val="20"/>
                <w:szCs w:val="20"/>
                <w:lang w:val="en-GB"/>
              </w:rPr>
              <w:t xml:space="preserve">Ukraine </w:t>
            </w:r>
            <w:r w:rsidR="00C12399">
              <w:rPr>
                <w:sz w:val="20"/>
                <w:szCs w:val="20"/>
                <w:lang w:val="en-GB"/>
              </w:rPr>
              <w:br/>
            </w:r>
            <w:r w:rsidRPr="00396ECD">
              <w:rPr>
                <w:sz w:val="20"/>
                <w:szCs w:val="20"/>
                <w:lang w:val="en-GB"/>
              </w:rPr>
              <w:t>(current state)</w:t>
            </w:r>
          </w:p>
        </w:tc>
        <w:tc>
          <w:tcPr>
            <w:tcW w:w="1843" w:type="dxa"/>
            <w:vAlign w:val="center"/>
            <w:hideMark/>
          </w:tcPr>
          <w:p w14:paraId="64588CF8" w14:textId="5B9A9F04" w:rsidR="007E0240" w:rsidRPr="00396ECD" w:rsidRDefault="007E0240" w:rsidP="0089472B">
            <w:pPr>
              <w:rPr>
                <w:sz w:val="20"/>
                <w:szCs w:val="20"/>
                <w:lang w:val="en-GB"/>
              </w:rPr>
            </w:pPr>
            <w:r w:rsidRPr="00396ECD">
              <w:rPr>
                <w:sz w:val="20"/>
                <w:szCs w:val="20"/>
                <w:lang w:val="en-GB"/>
              </w:rPr>
              <w:t xml:space="preserve">No systematic </w:t>
            </w:r>
            <w:r w:rsidR="00C12399">
              <w:rPr>
                <w:sz w:val="20"/>
                <w:szCs w:val="20"/>
                <w:lang w:val="en-GB"/>
              </w:rPr>
              <w:br/>
            </w:r>
            <w:r w:rsidRPr="00396ECD">
              <w:rPr>
                <w:sz w:val="20"/>
                <w:szCs w:val="20"/>
                <w:lang w:val="en-GB"/>
              </w:rPr>
              <w:t>approach</w:t>
            </w:r>
          </w:p>
        </w:tc>
        <w:tc>
          <w:tcPr>
            <w:tcW w:w="1418" w:type="dxa"/>
            <w:vAlign w:val="center"/>
            <w:hideMark/>
          </w:tcPr>
          <w:p w14:paraId="3424E4BB" w14:textId="77777777" w:rsidR="007E0240" w:rsidRPr="00396ECD" w:rsidRDefault="007E0240" w:rsidP="0089472B">
            <w:pPr>
              <w:jc w:val="center"/>
              <w:rPr>
                <w:sz w:val="20"/>
                <w:szCs w:val="20"/>
                <w:lang w:val="en-GB"/>
              </w:rPr>
            </w:pPr>
            <w:r w:rsidRPr="00396ECD">
              <w:rPr>
                <w:sz w:val="20"/>
                <w:szCs w:val="20"/>
                <w:lang w:val="en-GB"/>
              </w:rPr>
              <w:t>Up to 1 year</w:t>
            </w:r>
          </w:p>
        </w:tc>
        <w:tc>
          <w:tcPr>
            <w:tcW w:w="1701" w:type="dxa"/>
            <w:vAlign w:val="center"/>
            <w:hideMark/>
          </w:tcPr>
          <w:p w14:paraId="06679D39" w14:textId="77777777" w:rsidR="007E0240" w:rsidRPr="00396ECD" w:rsidRDefault="007E0240" w:rsidP="0089472B">
            <w:pPr>
              <w:rPr>
                <w:sz w:val="20"/>
                <w:szCs w:val="20"/>
                <w:lang w:val="en-GB"/>
              </w:rPr>
            </w:pPr>
            <w:r w:rsidRPr="00396ECD">
              <w:rPr>
                <w:sz w:val="20"/>
                <w:szCs w:val="20"/>
                <w:lang w:val="en-GB"/>
              </w:rPr>
              <w:t>Very low</w:t>
            </w:r>
          </w:p>
        </w:tc>
        <w:tc>
          <w:tcPr>
            <w:tcW w:w="2858" w:type="dxa"/>
            <w:vAlign w:val="center"/>
            <w:hideMark/>
          </w:tcPr>
          <w:p w14:paraId="50074B87" w14:textId="529D8B5E" w:rsidR="007E0240" w:rsidRPr="00396ECD" w:rsidRDefault="007E0240" w:rsidP="000F392C">
            <w:pPr>
              <w:ind w:left="176"/>
              <w:rPr>
                <w:sz w:val="20"/>
                <w:szCs w:val="20"/>
                <w:lang w:val="en-GB"/>
              </w:rPr>
            </w:pPr>
            <w:r w:rsidRPr="00396ECD">
              <w:rPr>
                <w:sz w:val="20"/>
                <w:szCs w:val="20"/>
                <w:lang w:val="en-GB"/>
              </w:rPr>
              <w:t xml:space="preserve">Reactive planning, low </w:t>
            </w:r>
            <w:r w:rsidR="000F392C">
              <w:rPr>
                <w:sz w:val="20"/>
                <w:szCs w:val="20"/>
                <w:lang w:val="en-GB"/>
              </w:rPr>
              <w:br/>
            </w:r>
            <w:r w:rsidRPr="00396ECD">
              <w:rPr>
                <w:sz w:val="20"/>
                <w:szCs w:val="20"/>
                <w:lang w:val="en-GB"/>
              </w:rPr>
              <w:t>marketing orientation</w:t>
            </w:r>
          </w:p>
        </w:tc>
      </w:tr>
    </w:tbl>
    <w:p w14:paraId="0E1E2170" w14:textId="77777777" w:rsidR="00460C45" w:rsidRPr="00396ECD" w:rsidRDefault="00486869" w:rsidP="0089472B">
      <w:pPr>
        <w:spacing w:before="60"/>
        <w:jc w:val="both"/>
        <w:rPr>
          <w:i/>
          <w:iCs/>
          <w:sz w:val="20"/>
          <w:szCs w:val="20"/>
          <w:lang w:val="en-GB"/>
        </w:rPr>
      </w:pPr>
      <w:r w:rsidRPr="00396ECD">
        <w:rPr>
          <w:rStyle w:val="Uwydatnienie"/>
          <w:i w:val="0"/>
          <w:iCs w:val="0"/>
          <w:sz w:val="20"/>
          <w:szCs w:val="20"/>
          <w:shd w:val="clear" w:color="auto" w:fill="FFFFFF"/>
          <w:lang w:val="en-GB"/>
        </w:rPr>
        <w:t>Source: compiled by the authors based on (</w:t>
      </w:r>
      <w:proofErr w:type="spellStart"/>
      <w:r w:rsidRPr="00396ECD">
        <w:rPr>
          <w:rStyle w:val="Uwydatnienie"/>
          <w:i w:val="0"/>
          <w:iCs w:val="0"/>
          <w:sz w:val="20"/>
          <w:szCs w:val="20"/>
          <w:shd w:val="clear" w:color="auto" w:fill="FFFFFF"/>
          <w:lang w:val="en-GB"/>
        </w:rPr>
        <w:t>Saguy</w:t>
      </w:r>
      <w:proofErr w:type="spellEnd"/>
      <w:r w:rsidRPr="00396ECD">
        <w:rPr>
          <w:rStyle w:val="Uwydatnienie"/>
          <w:i w:val="0"/>
          <w:iCs w:val="0"/>
          <w:sz w:val="20"/>
          <w:szCs w:val="20"/>
          <w:shd w:val="clear" w:color="auto" w:fill="FFFFFF"/>
          <w:lang w:val="en-GB"/>
        </w:rPr>
        <w:t xml:space="preserve"> et al., 2025; </w:t>
      </w:r>
      <w:proofErr w:type="spellStart"/>
      <w:r w:rsidRPr="00396ECD">
        <w:rPr>
          <w:rStyle w:val="Uwydatnienie"/>
          <w:i w:val="0"/>
          <w:iCs w:val="0"/>
          <w:sz w:val="20"/>
          <w:szCs w:val="20"/>
          <w:shd w:val="clear" w:color="auto" w:fill="FFFFFF"/>
          <w:lang w:val="en-GB"/>
        </w:rPr>
        <w:t>Savytskyi</w:t>
      </w:r>
      <w:proofErr w:type="spellEnd"/>
      <w:r w:rsidRPr="00396ECD">
        <w:rPr>
          <w:rStyle w:val="Uwydatnienie"/>
          <w:i w:val="0"/>
          <w:iCs w:val="0"/>
          <w:sz w:val="20"/>
          <w:szCs w:val="20"/>
          <w:shd w:val="clear" w:color="auto" w:fill="FFFFFF"/>
          <w:lang w:val="en-GB"/>
        </w:rPr>
        <w:t xml:space="preserve">, 2022; Petrenko et al., 2025; UCAB, 2026; </w:t>
      </w:r>
      <w:proofErr w:type="spellStart"/>
      <w:r w:rsidRPr="00396ECD">
        <w:rPr>
          <w:sz w:val="20"/>
          <w:szCs w:val="20"/>
          <w:lang w:val="en-GB"/>
        </w:rPr>
        <w:t>Bogonos</w:t>
      </w:r>
      <w:proofErr w:type="spellEnd"/>
      <w:r w:rsidRPr="00396ECD">
        <w:rPr>
          <w:sz w:val="20"/>
          <w:szCs w:val="20"/>
          <w:lang w:val="en-GB"/>
        </w:rPr>
        <w:t xml:space="preserve"> et al</w:t>
      </w:r>
      <w:r w:rsidRPr="00396ECD">
        <w:rPr>
          <w:i/>
          <w:iCs/>
          <w:sz w:val="20"/>
          <w:szCs w:val="20"/>
          <w:lang w:val="en-GB"/>
        </w:rPr>
        <w:t>.</w:t>
      </w:r>
      <w:r w:rsidRPr="00396ECD">
        <w:rPr>
          <w:rStyle w:val="Uwydatnienie"/>
          <w:i w:val="0"/>
          <w:iCs w:val="0"/>
          <w:sz w:val="20"/>
          <w:szCs w:val="20"/>
          <w:shd w:val="clear" w:color="auto" w:fill="FFFFFF"/>
          <w:lang w:val="en-GB"/>
        </w:rPr>
        <w:t>, 2023;</w:t>
      </w:r>
      <w:r w:rsidRPr="00396ECD">
        <w:rPr>
          <w:rStyle w:val="Uwydatnienie"/>
          <w:sz w:val="20"/>
          <w:szCs w:val="20"/>
          <w:shd w:val="clear" w:color="auto" w:fill="FFFFFF"/>
          <w:lang w:val="en-GB"/>
        </w:rPr>
        <w:t xml:space="preserve"> </w:t>
      </w:r>
      <w:proofErr w:type="spellStart"/>
      <w:r w:rsidRPr="00396ECD">
        <w:rPr>
          <w:sz w:val="20"/>
          <w:szCs w:val="20"/>
          <w:lang w:val="en-GB"/>
        </w:rPr>
        <w:t>Mykhnovetskyi</w:t>
      </w:r>
      <w:proofErr w:type="spellEnd"/>
      <w:r w:rsidRPr="00396ECD">
        <w:rPr>
          <w:sz w:val="20"/>
          <w:szCs w:val="20"/>
          <w:lang w:val="en-GB"/>
        </w:rPr>
        <w:t>, 2024</w:t>
      </w:r>
      <w:r w:rsidRPr="00396ECD">
        <w:rPr>
          <w:rStyle w:val="Uwydatnienie"/>
          <w:sz w:val="20"/>
          <w:szCs w:val="20"/>
          <w:shd w:val="clear" w:color="auto" w:fill="FFFFFF"/>
          <w:lang w:val="en-GB"/>
        </w:rPr>
        <w:t>).</w:t>
      </w:r>
    </w:p>
    <w:p w14:paraId="0A52A951" w14:textId="77777777" w:rsidR="00116981" w:rsidRPr="00396ECD" w:rsidRDefault="00116981" w:rsidP="00116981">
      <w:pPr>
        <w:pStyle w:val="Nagwek3"/>
        <w:ind w:firstLine="284"/>
        <w:jc w:val="both"/>
        <w:rPr>
          <w:color w:val="auto"/>
          <w:sz w:val="22"/>
          <w:szCs w:val="22"/>
          <w:lang w:val="en-GB"/>
        </w:rPr>
      </w:pPr>
    </w:p>
    <w:p w14:paraId="34F58348" w14:textId="4F99E455" w:rsidR="00C3576A" w:rsidRPr="00396ECD" w:rsidRDefault="00C3576A" w:rsidP="00116981">
      <w:pPr>
        <w:pStyle w:val="Nagwek3"/>
        <w:ind w:firstLine="284"/>
        <w:jc w:val="both"/>
        <w:rPr>
          <w:color w:val="auto"/>
          <w:sz w:val="22"/>
          <w:szCs w:val="22"/>
          <w:lang w:val="en-GB"/>
        </w:rPr>
      </w:pPr>
      <w:r w:rsidRPr="00396ECD">
        <w:rPr>
          <w:color w:val="auto"/>
          <w:sz w:val="22"/>
          <w:szCs w:val="22"/>
          <w:lang w:val="en-GB"/>
        </w:rPr>
        <w:t xml:space="preserve">An analysis of international experience </w:t>
      </w:r>
      <w:r w:rsidR="00E975FE">
        <w:rPr>
          <w:color w:val="auto"/>
          <w:sz w:val="22"/>
          <w:szCs w:val="22"/>
          <w:lang w:val="en-GB"/>
        </w:rPr>
        <w:t>enables us to formulate several key recommendations for domestic agricultural enterprises on implementing</w:t>
      </w:r>
      <w:r w:rsidRPr="00396ECD">
        <w:rPr>
          <w:color w:val="auto"/>
          <w:sz w:val="22"/>
          <w:szCs w:val="22"/>
          <w:lang w:val="en-GB"/>
        </w:rPr>
        <w:t xml:space="preserve"> marketing-oriented foresight. First, existing knowledge infrastructure should be actively utilized – international foresight reports from the FAO, OECD, leading universities, and consulting firms are publicly available and can serve as an excellent information base for conducting one</w:t>
      </w:r>
      <w:r w:rsidR="00E975FE">
        <w:rPr>
          <w:color w:val="auto"/>
          <w:sz w:val="22"/>
          <w:szCs w:val="22"/>
          <w:lang w:val="en-GB"/>
        </w:rPr>
        <w:t>'</w:t>
      </w:r>
      <w:r w:rsidRPr="00396ECD">
        <w:rPr>
          <w:color w:val="auto"/>
          <w:sz w:val="22"/>
          <w:szCs w:val="22"/>
          <w:lang w:val="en-GB"/>
        </w:rPr>
        <w:t>s own foresight analysis. Second, it is advisable to pool the efforts of small and medium-sized agricultural producers within foresight cooperatives or industry associations to reduce the transaction costs of foresight activities. Concretely, a foresight cooperative serving 10–15 farms in a region can be organized as a working group within an existing farmers</w:t>
      </w:r>
      <w:r w:rsidR="00E975FE">
        <w:rPr>
          <w:color w:val="auto"/>
          <w:sz w:val="22"/>
          <w:szCs w:val="22"/>
          <w:lang w:val="en-GB"/>
        </w:rPr>
        <w:t>'</w:t>
      </w:r>
      <w:r w:rsidRPr="00396ECD">
        <w:rPr>
          <w:color w:val="auto"/>
          <w:sz w:val="22"/>
          <w:szCs w:val="22"/>
          <w:lang w:val="en-GB"/>
        </w:rPr>
        <w:t xml:space="preserve"> association, meeting quarterly (two to three hours per session)</w:t>
      </w:r>
      <w:r w:rsidR="00E975FE">
        <w:rPr>
          <w:color w:val="auto"/>
          <w:sz w:val="22"/>
          <w:szCs w:val="22"/>
          <w:lang w:val="en-GB"/>
        </w:rPr>
        <w:t xml:space="preserve"> and facilitat</w:t>
      </w:r>
      <w:r w:rsidRPr="00396ECD">
        <w:rPr>
          <w:color w:val="auto"/>
          <w:sz w:val="22"/>
          <w:szCs w:val="22"/>
          <w:lang w:val="en-GB"/>
        </w:rPr>
        <w:t>ed by a</w:t>
      </w:r>
      <w:r w:rsidR="002D2110">
        <w:rPr>
          <w:color w:val="auto"/>
          <w:sz w:val="22"/>
          <w:szCs w:val="22"/>
          <w:lang w:val="en-GB"/>
        </w:rPr>
        <w:t> </w:t>
      </w:r>
      <w:r w:rsidRPr="00396ECD">
        <w:rPr>
          <w:color w:val="auto"/>
          <w:sz w:val="22"/>
          <w:szCs w:val="22"/>
          <w:lang w:val="en-GB"/>
        </w:rPr>
        <w:t>regional agrarian university extension specialist. Participation cost per farm: approximately USD 100–200 per year in advisory fees plus four to six hours of management time per quarter. The cooperative produces: a</w:t>
      </w:r>
      <w:r w:rsidR="002D2110">
        <w:rPr>
          <w:color w:val="auto"/>
          <w:sz w:val="22"/>
          <w:szCs w:val="22"/>
          <w:lang w:val="en-GB"/>
        </w:rPr>
        <w:t> </w:t>
      </w:r>
      <w:r w:rsidRPr="00396ECD">
        <w:rPr>
          <w:color w:val="auto"/>
          <w:sz w:val="22"/>
          <w:szCs w:val="22"/>
          <w:lang w:val="en-GB"/>
        </w:rPr>
        <w:t>shared market monitoring dashboard, one annual scenario update, and a consolidated environmental regulatory watch report. This model requires no new legal entities and is immediately actionable within Ukraine</w:t>
      </w:r>
      <w:r w:rsidR="00E975FE">
        <w:rPr>
          <w:color w:val="auto"/>
          <w:sz w:val="22"/>
          <w:szCs w:val="22"/>
          <w:lang w:val="en-GB"/>
        </w:rPr>
        <w:t>'</w:t>
      </w:r>
      <w:r w:rsidRPr="00396ECD">
        <w:rPr>
          <w:color w:val="auto"/>
          <w:sz w:val="22"/>
          <w:szCs w:val="22"/>
          <w:lang w:val="en-GB"/>
        </w:rPr>
        <w:t>s existing institutional framework. Third, it is important to build foresight not "from scratch," but based on the enterprise</w:t>
      </w:r>
      <w:r w:rsidR="00E975FE">
        <w:rPr>
          <w:color w:val="auto"/>
          <w:sz w:val="22"/>
          <w:szCs w:val="22"/>
          <w:lang w:val="en-GB"/>
        </w:rPr>
        <w:t>'</w:t>
      </w:r>
      <w:r w:rsidRPr="00396ECD">
        <w:rPr>
          <w:color w:val="auto"/>
          <w:sz w:val="22"/>
          <w:szCs w:val="22"/>
          <w:lang w:val="en-GB"/>
        </w:rPr>
        <w:t>s existing planning and marketing functions (</w:t>
      </w:r>
      <w:proofErr w:type="spellStart"/>
      <w:r w:rsidRPr="00396ECD">
        <w:rPr>
          <w:color w:val="auto"/>
          <w:sz w:val="22"/>
          <w:szCs w:val="22"/>
          <w:lang w:val="en-GB"/>
        </w:rPr>
        <w:t>Riabinina</w:t>
      </w:r>
      <w:proofErr w:type="spellEnd"/>
      <w:r w:rsidRPr="00396ECD">
        <w:rPr>
          <w:color w:val="auto"/>
          <w:sz w:val="22"/>
          <w:szCs w:val="22"/>
          <w:lang w:val="en-GB"/>
        </w:rPr>
        <w:t>, 2024). For a 300-hectare family farm, a</w:t>
      </w:r>
      <w:r w:rsidR="002D2110">
        <w:rPr>
          <w:color w:val="auto"/>
          <w:sz w:val="22"/>
          <w:szCs w:val="22"/>
          <w:lang w:val="en-GB"/>
        </w:rPr>
        <w:t> </w:t>
      </w:r>
      <w:r w:rsidRPr="00396ECD">
        <w:rPr>
          <w:color w:val="auto"/>
          <w:sz w:val="22"/>
          <w:szCs w:val="22"/>
          <w:lang w:val="en-GB"/>
        </w:rPr>
        <w:t>practical MOF entry point is a single annual half-day session in which the farm manager, a trusted agronomist, and one external advisor collectively review two to three market scenarios for the coming three years, identify weak signals to monitor, and update one page of strategic notes. This minimal version requires no software, no dedicated staff, and no more than USD 300–500 in facilitation costs per year.</w:t>
      </w:r>
    </w:p>
    <w:p w14:paraId="49BA2078" w14:textId="77777777" w:rsidR="00C3576A" w:rsidRPr="002D2110" w:rsidRDefault="00C3576A" w:rsidP="00116981">
      <w:pPr>
        <w:pStyle w:val="Nagwek3"/>
        <w:ind w:firstLine="284"/>
        <w:jc w:val="both"/>
        <w:rPr>
          <w:color w:val="auto"/>
          <w:spacing w:val="-2"/>
          <w:sz w:val="22"/>
          <w:szCs w:val="22"/>
          <w:lang w:val="en-GB"/>
        </w:rPr>
      </w:pPr>
      <w:r w:rsidRPr="002D2110">
        <w:rPr>
          <w:color w:val="auto"/>
          <w:spacing w:val="-2"/>
          <w:sz w:val="22"/>
          <w:szCs w:val="22"/>
          <w:lang w:val="en-GB"/>
        </w:rPr>
        <w:t xml:space="preserve">To obtain empirical data on the actual state of foresight practices and the marketing orientation of domestic agricultural enterprises, the authors conducted a structured survey of 130 representatives of the agricultural business in four regions of Left-Bank Ukraine (Petrenko et al., 2025). Enterprises were classified by size: small (up to 300 ha, 38% of the sample), medium (300–3,000 ha, 41%), large, and agricultural holdings (over 3,000 ha, 21%). The sectoral structure of the sample was as follows: crop production – 62%, mixed – 28%, livestock </w:t>
      </w:r>
      <w:r w:rsidRPr="002D2110">
        <w:rPr>
          <w:color w:val="auto"/>
          <w:spacing w:val="-2"/>
          <w:sz w:val="22"/>
          <w:szCs w:val="22"/>
          <w:lang w:val="en-GB"/>
        </w:rPr>
        <w:lastRenderedPageBreak/>
        <w:t>production – 10%. The summarized results of the two-wave survey conducted in 2021 and 2023 are presented below (Table 4).</w:t>
      </w:r>
    </w:p>
    <w:p w14:paraId="2BDC92DF" w14:textId="77777777" w:rsidR="00116981" w:rsidRPr="00396ECD" w:rsidRDefault="00116981" w:rsidP="00116981">
      <w:pPr>
        <w:pStyle w:val="Nagwek3"/>
        <w:ind w:firstLine="284"/>
        <w:jc w:val="both"/>
        <w:rPr>
          <w:color w:val="auto"/>
          <w:sz w:val="22"/>
          <w:szCs w:val="22"/>
          <w:lang w:val="en-GB"/>
        </w:rPr>
      </w:pPr>
    </w:p>
    <w:p w14:paraId="047C8818" w14:textId="65CA193F" w:rsidR="007E0240" w:rsidRPr="00396ECD" w:rsidRDefault="00C3576A" w:rsidP="00ED099C">
      <w:pPr>
        <w:pStyle w:val="Rtab"/>
        <w:rPr>
          <w:lang w:val="en-GB"/>
        </w:rPr>
      </w:pPr>
      <w:r w:rsidRPr="00396ECD">
        <w:rPr>
          <w:b/>
          <w:lang w:val="en-GB"/>
        </w:rPr>
        <w:t>Table 4.</w:t>
      </w:r>
      <w:r w:rsidRPr="00396ECD">
        <w:rPr>
          <w:lang w:val="en-GB"/>
        </w:rPr>
        <w:t xml:space="preserve"> Comparative Survey Results of Agrarian Enterprises Regarding Marketing Orientation and Foresight Practices (2021 vs 2023)</w:t>
      </w:r>
    </w:p>
    <w:tbl>
      <w:tblPr>
        <w:tblStyle w:val="Tabela-Siatka"/>
        <w:tblW w:w="0" w:type="auto"/>
        <w:tblInd w:w="108" w:type="dxa"/>
        <w:tblBorders>
          <w:left w:val="none" w:sz="0" w:space="0" w:color="auto"/>
          <w:right w:val="none" w:sz="0" w:space="0" w:color="auto"/>
          <w:insideV w:val="none" w:sz="0" w:space="0" w:color="auto"/>
        </w:tblBorders>
        <w:tblLayout w:type="fixed"/>
        <w:tblLook w:val="04A0" w:firstRow="1" w:lastRow="0" w:firstColumn="1" w:lastColumn="0" w:noHBand="0" w:noVBand="1"/>
      </w:tblPr>
      <w:tblGrid>
        <w:gridCol w:w="2663"/>
        <w:gridCol w:w="1121"/>
        <w:gridCol w:w="1261"/>
        <w:gridCol w:w="895"/>
        <w:gridCol w:w="3550"/>
      </w:tblGrid>
      <w:tr w:rsidR="00116981" w:rsidRPr="00396ECD" w14:paraId="693E968B" w14:textId="77777777" w:rsidTr="00C12399">
        <w:trPr>
          <w:trHeight w:val="575"/>
        </w:trPr>
        <w:tc>
          <w:tcPr>
            <w:tcW w:w="2663" w:type="dxa"/>
            <w:vAlign w:val="center"/>
            <w:hideMark/>
          </w:tcPr>
          <w:p w14:paraId="387DB4CB" w14:textId="77777777" w:rsidR="007E0240" w:rsidRPr="00396ECD" w:rsidRDefault="007E0240" w:rsidP="00ED099C">
            <w:pPr>
              <w:jc w:val="center"/>
              <w:rPr>
                <w:sz w:val="20"/>
                <w:szCs w:val="20"/>
                <w:lang w:val="en-GB"/>
              </w:rPr>
            </w:pPr>
            <w:r w:rsidRPr="00396ECD">
              <w:rPr>
                <w:sz w:val="20"/>
                <w:szCs w:val="20"/>
                <w:lang w:val="en-GB"/>
              </w:rPr>
              <w:t>Indicator</w:t>
            </w:r>
          </w:p>
        </w:tc>
        <w:tc>
          <w:tcPr>
            <w:tcW w:w="1121" w:type="dxa"/>
            <w:vAlign w:val="center"/>
            <w:hideMark/>
          </w:tcPr>
          <w:p w14:paraId="498DB2CD" w14:textId="4C4F1709" w:rsidR="007E0240" w:rsidRPr="00396ECD" w:rsidRDefault="007E0240" w:rsidP="00ED099C">
            <w:pPr>
              <w:jc w:val="center"/>
              <w:rPr>
                <w:sz w:val="20"/>
                <w:szCs w:val="20"/>
                <w:lang w:val="en-GB"/>
              </w:rPr>
            </w:pPr>
            <w:r w:rsidRPr="00396ECD">
              <w:rPr>
                <w:sz w:val="20"/>
                <w:szCs w:val="20"/>
                <w:lang w:val="en-GB"/>
              </w:rPr>
              <w:t xml:space="preserve">2021 </w:t>
            </w:r>
            <w:r w:rsidR="00C12399">
              <w:rPr>
                <w:sz w:val="20"/>
                <w:szCs w:val="20"/>
                <w:lang w:val="en-GB"/>
              </w:rPr>
              <w:br/>
            </w:r>
            <w:r w:rsidRPr="00396ECD">
              <w:rPr>
                <w:sz w:val="20"/>
                <w:szCs w:val="20"/>
                <w:lang w:val="en-GB"/>
              </w:rPr>
              <w:t>(Pre-war)</w:t>
            </w:r>
          </w:p>
        </w:tc>
        <w:tc>
          <w:tcPr>
            <w:tcW w:w="1261" w:type="dxa"/>
            <w:vAlign w:val="center"/>
            <w:hideMark/>
          </w:tcPr>
          <w:p w14:paraId="5C114141" w14:textId="11339142" w:rsidR="007E0240" w:rsidRPr="00396ECD" w:rsidRDefault="007E0240" w:rsidP="00ED099C">
            <w:pPr>
              <w:jc w:val="center"/>
              <w:rPr>
                <w:sz w:val="20"/>
                <w:szCs w:val="20"/>
                <w:lang w:val="en-GB"/>
              </w:rPr>
            </w:pPr>
            <w:r w:rsidRPr="00396ECD">
              <w:rPr>
                <w:sz w:val="20"/>
                <w:szCs w:val="20"/>
                <w:lang w:val="en-GB"/>
              </w:rPr>
              <w:t xml:space="preserve">2023 </w:t>
            </w:r>
            <w:r w:rsidR="00C12399">
              <w:rPr>
                <w:sz w:val="20"/>
                <w:szCs w:val="20"/>
                <w:lang w:val="en-GB"/>
              </w:rPr>
              <w:br/>
            </w:r>
            <w:r w:rsidRPr="00396ECD">
              <w:rPr>
                <w:sz w:val="20"/>
                <w:szCs w:val="20"/>
                <w:lang w:val="en-GB"/>
              </w:rPr>
              <w:t>(Wartime)</w:t>
            </w:r>
          </w:p>
        </w:tc>
        <w:tc>
          <w:tcPr>
            <w:tcW w:w="895" w:type="dxa"/>
            <w:vAlign w:val="center"/>
            <w:hideMark/>
          </w:tcPr>
          <w:p w14:paraId="1D015234" w14:textId="77777777" w:rsidR="007E0240" w:rsidRPr="00396ECD" w:rsidRDefault="007E0240" w:rsidP="00ED099C">
            <w:pPr>
              <w:jc w:val="center"/>
              <w:rPr>
                <w:sz w:val="20"/>
                <w:szCs w:val="20"/>
                <w:lang w:val="en-GB"/>
              </w:rPr>
            </w:pPr>
            <w:r w:rsidRPr="00396ECD">
              <w:rPr>
                <w:sz w:val="20"/>
                <w:szCs w:val="20"/>
                <w:lang w:val="en-GB"/>
              </w:rPr>
              <w:t>Change (p.p.)</w:t>
            </w:r>
          </w:p>
        </w:tc>
        <w:tc>
          <w:tcPr>
            <w:tcW w:w="3550" w:type="dxa"/>
            <w:vAlign w:val="center"/>
            <w:hideMark/>
          </w:tcPr>
          <w:p w14:paraId="56BB4478" w14:textId="77777777" w:rsidR="007E0240" w:rsidRPr="00396ECD" w:rsidRDefault="007E0240" w:rsidP="00ED099C">
            <w:pPr>
              <w:jc w:val="center"/>
              <w:rPr>
                <w:sz w:val="20"/>
                <w:szCs w:val="20"/>
                <w:lang w:val="en-GB"/>
              </w:rPr>
            </w:pPr>
            <w:r w:rsidRPr="00396ECD">
              <w:rPr>
                <w:sz w:val="20"/>
                <w:szCs w:val="20"/>
                <w:lang w:val="en-GB"/>
              </w:rPr>
              <w:t>Comment</w:t>
            </w:r>
          </w:p>
        </w:tc>
      </w:tr>
      <w:tr w:rsidR="00116981" w:rsidRPr="00396ECD" w14:paraId="4078BEDB" w14:textId="77777777" w:rsidTr="00C12399">
        <w:trPr>
          <w:trHeight w:val="567"/>
        </w:trPr>
        <w:tc>
          <w:tcPr>
            <w:tcW w:w="2663" w:type="dxa"/>
            <w:vAlign w:val="center"/>
            <w:hideMark/>
          </w:tcPr>
          <w:p w14:paraId="2122425E" w14:textId="77777777" w:rsidR="007E0240" w:rsidRPr="00396ECD" w:rsidRDefault="007E0240" w:rsidP="00ED099C">
            <w:pPr>
              <w:rPr>
                <w:sz w:val="20"/>
                <w:szCs w:val="20"/>
                <w:lang w:val="en-GB"/>
              </w:rPr>
            </w:pPr>
            <w:r w:rsidRPr="00396ECD">
              <w:rPr>
                <w:sz w:val="20"/>
                <w:szCs w:val="20"/>
                <w:lang w:val="en-GB"/>
              </w:rPr>
              <w:t>Planning horizon ≤ 1 year (share of enterprises)</w:t>
            </w:r>
          </w:p>
        </w:tc>
        <w:tc>
          <w:tcPr>
            <w:tcW w:w="1121" w:type="dxa"/>
            <w:vAlign w:val="center"/>
            <w:hideMark/>
          </w:tcPr>
          <w:p w14:paraId="3A58CAE5" w14:textId="77777777" w:rsidR="007E0240" w:rsidRPr="00396ECD" w:rsidRDefault="007E0240" w:rsidP="00ED099C">
            <w:pPr>
              <w:jc w:val="center"/>
              <w:rPr>
                <w:sz w:val="20"/>
                <w:szCs w:val="20"/>
                <w:lang w:val="en-GB"/>
              </w:rPr>
            </w:pPr>
            <w:r w:rsidRPr="00396ECD">
              <w:rPr>
                <w:sz w:val="20"/>
                <w:szCs w:val="20"/>
                <w:lang w:val="en-GB"/>
              </w:rPr>
              <w:t>63%</w:t>
            </w:r>
          </w:p>
        </w:tc>
        <w:tc>
          <w:tcPr>
            <w:tcW w:w="1261" w:type="dxa"/>
            <w:vAlign w:val="center"/>
            <w:hideMark/>
          </w:tcPr>
          <w:p w14:paraId="7B6C7640" w14:textId="77777777" w:rsidR="007E0240" w:rsidRPr="00396ECD" w:rsidRDefault="007E0240" w:rsidP="00ED099C">
            <w:pPr>
              <w:jc w:val="center"/>
              <w:rPr>
                <w:sz w:val="20"/>
                <w:szCs w:val="20"/>
                <w:lang w:val="en-GB"/>
              </w:rPr>
            </w:pPr>
            <w:r w:rsidRPr="00396ECD">
              <w:rPr>
                <w:sz w:val="20"/>
                <w:szCs w:val="20"/>
                <w:lang w:val="en-GB"/>
              </w:rPr>
              <w:t>79%</w:t>
            </w:r>
          </w:p>
        </w:tc>
        <w:tc>
          <w:tcPr>
            <w:tcW w:w="895" w:type="dxa"/>
            <w:vAlign w:val="center"/>
            <w:hideMark/>
          </w:tcPr>
          <w:p w14:paraId="0B0164E6" w14:textId="77777777" w:rsidR="007E0240" w:rsidRPr="00396ECD" w:rsidRDefault="007E0240" w:rsidP="00ED099C">
            <w:pPr>
              <w:jc w:val="center"/>
              <w:rPr>
                <w:sz w:val="20"/>
                <w:szCs w:val="20"/>
                <w:lang w:val="en-GB"/>
              </w:rPr>
            </w:pPr>
            <w:r w:rsidRPr="00396ECD">
              <w:rPr>
                <w:sz w:val="20"/>
                <w:szCs w:val="20"/>
                <w:lang w:val="en-GB"/>
              </w:rPr>
              <w:t>+16</w:t>
            </w:r>
          </w:p>
        </w:tc>
        <w:tc>
          <w:tcPr>
            <w:tcW w:w="3550" w:type="dxa"/>
            <w:vAlign w:val="center"/>
            <w:hideMark/>
          </w:tcPr>
          <w:p w14:paraId="4F88718B" w14:textId="77777777" w:rsidR="007E0240" w:rsidRPr="00396ECD" w:rsidRDefault="007E0240" w:rsidP="00ED099C">
            <w:pPr>
              <w:rPr>
                <w:sz w:val="20"/>
                <w:szCs w:val="20"/>
                <w:lang w:val="en-GB"/>
              </w:rPr>
            </w:pPr>
            <w:r w:rsidRPr="00396ECD">
              <w:rPr>
                <w:sz w:val="20"/>
                <w:szCs w:val="20"/>
                <w:lang w:val="en-GB"/>
              </w:rPr>
              <w:t>Crisis shortened planning horizon</w:t>
            </w:r>
          </w:p>
        </w:tc>
      </w:tr>
      <w:tr w:rsidR="00116981" w:rsidRPr="00396ECD" w14:paraId="04563AA6" w14:textId="77777777" w:rsidTr="00ED099C">
        <w:trPr>
          <w:trHeight w:val="420"/>
        </w:trPr>
        <w:tc>
          <w:tcPr>
            <w:tcW w:w="2663" w:type="dxa"/>
            <w:vAlign w:val="center"/>
            <w:hideMark/>
          </w:tcPr>
          <w:p w14:paraId="733EBDD5" w14:textId="5BBE9358" w:rsidR="007E0240" w:rsidRPr="00396ECD" w:rsidRDefault="007E0240" w:rsidP="00ED099C">
            <w:pPr>
              <w:rPr>
                <w:sz w:val="20"/>
                <w:szCs w:val="20"/>
                <w:lang w:val="en-GB"/>
              </w:rPr>
            </w:pPr>
            <w:r w:rsidRPr="00396ECD">
              <w:rPr>
                <w:sz w:val="20"/>
                <w:szCs w:val="20"/>
                <w:lang w:val="en-GB"/>
              </w:rPr>
              <w:t xml:space="preserve">Systematic monitoring </w:t>
            </w:r>
            <w:r w:rsidR="00ED099C" w:rsidRPr="00396ECD">
              <w:rPr>
                <w:sz w:val="20"/>
                <w:szCs w:val="20"/>
                <w:lang w:val="en-GB"/>
              </w:rPr>
              <w:br/>
            </w:r>
            <w:r w:rsidRPr="00396ECD">
              <w:rPr>
                <w:sz w:val="20"/>
                <w:szCs w:val="20"/>
                <w:lang w:val="en-GB"/>
              </w:rPr>
              <w:t>of consumer trends</w:t>
            </w:r>
          </w:p>
        </w:tc>
        <w:tc>
          <w:tcPr>
            <w:tcW w:w="1121" w:type="dxa"/>
            <w:vAlign w:val="center"/>
            <w:hideMark/>
          </w:tcPr>
          <w:p w14:paraId="49059242" w14:textId="77777777" w:rsidR="007E0240" w:rsidRPr="00396ECD" w:rsidRDefault="007E0240" w:rsidP="00ED099C">
            <w:pPr>
              <w:jc w:val="center"/>
              <w:rPr>
                <w:sz w:val="20"/>
                <w:szCs w:val="20"/>
                <w:lang w:val="en-GB"/>
              </w:rPr>
            </w:pPr>
            <w:r w:rsidRPr="00396ECD">
              <w:rPr>
                <w:sz w:val="20"/>
                <w:szCs w:val="20"/>
                <w:lang w:val="en-GB"/>
              </w:rPr>
              <w:t>34%</w:t>
            </w:r>
          </w:p>
        </w:tc>
        <w:tc>
          <w:tcPr>
            <w:tcW w:w="1261" w:type="dxa"/>
            <w:vAlign w:val="center"/>
            <w:hideMark/>
          </w:tcPr>
          <w:p w14:paraId="75C8CDCF" w14:textId="77777777" w:rsidR="007E0240" w:rsidRPr="00396ECD" w:rsidRDefault="007E0240" w:rsidP="00ED099C">
            <w:pPr>
              <w:jc w:val="center"/>
              <w:rPr>
                <w:sz w:val="20"/>
                <w:szCs w:val="20"/>
                <w:lang w:val="en-GB"/>
              </w:rPr>
            </w:pPr>
            <w:r w:rsidRPr="00396ECD">
              <w:rPr>
                <w:sz w:val="20"/>
                <w:szCs w:val="20"/>
                <w:lang w:val="en-GB"/>
              </w:rPr>
              <w:t>28%</w:t>
            </w:r>
          </w:p>
        </w:tc>
        <w:tc>
          <w:tcPr>
            <w:tcW w:w="895" w:type="dxa"/>
            <w:vAlign w:val="center"/>
            <w:hideMark/>
          </w:tcPr>
          <w:p w14:paraId="338C6441" w14:textId="77777777" w:rsidR="007E0240" w:rsidRPr="00396ECD" w:rsidRDefault="007E0240" w:rsidP="00ED099C">
            <w:pPr>
              <w:jc w:val="center"/>
              <w:rPr>
                <w:sz w:val="20"/>
                <w:szCs w:val="20"/>
                <w:lang w:val="en-GB"/>
              </w:rPr>
            </w:pPr>
            <w:r w:rsidRPr="00396ECD">
              <w:rPr>
                <w:sz w:val="20"/>
                <w:szCs w:val="20"/>
                <w:lang w:val="en-GB"/>
              </w:rPr>
              <w:t>–6</w:t>
            </w:r>
          </w:p>
        </w:tc>
        <w:tc>
          <w:tcPr>
            <w:tcW w:w="3550" w:type="dxa"/>
            <w:vAlign w:val="center"/>
            <w:hideMark/>
          </w:tcPr>
          <w:p w14:paraId="2BEED460" w14:textId="77777777" w:rsidR="007E0240" w:rsidRPr="00396ECD" w:rsidRDefault="005A0F8B" w:rsidP="00ED099C">
            <w:pPr>
              <w:rPr>
                <w:sz w:val="20"/>
                <w:szCs w:val="20"/>
                <w:lang w:val="en-GB"/>
              </w:rPr>
            </w:pPr>
            <w:r w:rsidRPr="00396ECD">
              <w:rPr>
                <w:sz w:val="20"/>
                <w:szCs w:val="20"/>
                <w:lang w:val="en-GB"/>
              </w:rPr>
              <w:t>Marketing is inferior to logistics &amp; security → Marketing is inferior to logistics &amp; security</w:t>
            </w:r>
          </w:p>
        </w:tc>
      </w:tr>
      <w:tr w:rsidR="00116981" w:rsidRPr="00396ECD" w14:paraId="2E563D9B" w14:textId="77777777" w:rsidTr="00C12399">
        <w:trPr>
          <w:trHeight w:val="567"/>
        </w:trPr>
        <w:tc>
          <w:tcPr>
            <w:tcW w:w="2663" w:type="dxa"/>
            <w:vAlign w:val="center"/>
            <w:hideMark/>
          </w:tcPr>
          <w:p w14:paraId="7B14A8A0" w14:textId="39276BA3" w:rsidR="007E0240" w:rsidRPr="00396ECD" w:rsidRDefault="007E0240" w:rsidP="00ED099C">
            <w:pPr>
              <w:rPr>
                <w:sz w:val="20"/>
                <w:szCs w:val="20"/>
                <w:lang w:val="en-GB"/>
              </w:rPr>
            </w:pPr>
            <w:r w:rsidRPr="00396ECD">
              <w:rPr>
                <w:sz w:val="20"/>
                <w:szCs w:val="20"/>
                <w:lang w:val="en-GB"/>
              </w:rPr>
              <w:t xml:space="preserve">Monitoring of competitive </w:t>
            </w:r>
            <w:r w:rsidR="00ED099C" w:rsidRPr="00396ECD">
              <w:rPr>
                <w:sz w:val="20"/>
                <w:szCs w:val="20"/>
                <w:lang w:val="en-GB"/>
              </w:rPr>
              <w:br/>
            </w:r>
            <w:r w:rsidRPr="00396ECD">
              <w:rPr>
                <w:sz w:val="20"/>
                <w:szCs w:val="20"/>
                <w:lang w:val="en-GB"/>
              </w:rPr>
              <w:t>environment</w:t>
            </w:r>
          </w:p>
        </w:tc>
        <w:tc>
          <w:tcPr>
            <w:tcW w:w="1121" w:type="dxa"/>
            <w:vAlign w:val="center"/>
            <w:hideMark/>
          </w:tcPr>
          <w:p w14:paraId="6295F669" w14:textId="77777777" w:rsidR="007E0240" w:rsidRPr="00396ECD" w:rsidRDefault="007E0240" w:rsidP="00ED099C">
            <w:pPr>
              <w:jc w:val="center"/>
              <w:rPr>
                <w:sz w:val="20"/>
                <w:szCs w:val="20"/>
                <w:lang w:val="en-GB"/>
              </w:rPr>
            </w:pPr>
            <w:r w:rsidRPr="00396ECD">
              <w:rPr>
                <w:sz w:val="20"/>
                <w:szCs w:val="20"/>
                <w:lang w:val="en-GB"/>
              </w:rPr>
              <w:t>47%</w:t>
            </w:r>
          </w:p>
        </w:tc>
        <w:tc>
          <w:tcPr>
            <w:tcW w:w="1261" w:type="dxa"/>
            <w:vAlign w:val="center"/>
            <w:hideMark/>
          </w:tcPr>
          <w:p w14:paraId="2E1B16C0" w14:textId="77777777" w:rsidR="007E0240" w:rsidRPr="00396ECD" w:rsidRDefault="007E0240" w:rsidP="00ED099C">
            <w:pPr>
              <w:jc w:val="center"/>
              <w:rPr>
                <w:sz w:val="20"/>
                <w:szCs w:val="20"/>
                <w:lang w:val="en-GB"/>
              </w:rPr>
            </w:pPr>
            <w:r w:rsidRPr="00396ECD">
              <w:rPr>
                <w:sz w:val="20"/>
                <w:szCs w:val="20"/>
                <w:lang w:val="en-GB"/>
              </w:rPr>
              <w:t>41%</w:t>
            </w:r>
          </w:p>
        </w:tc>
        <w:tc>
          <w:tcPr>
            <w:tcW w:w="895" w:type="dxa"/>
            <w:vAlign w:val="center"/>
            <w:hideMark/>
          </w:tcPr>
          <w:p w14:paraId="6044A036" w14:textId="77777777" w:rsidR="007E0240" w:rsidRPr="00396ECD" w:rsidRDefault="007E0240" w:rsidP="00ED099C">
            <w:pPr>
              <w:jc w:val="center"/>
              <w:rPr>
                <w:sz w:val="20"/>
                <w:szCs w:val="20"/>
                <w:lang w:val="en-GB"/>
              </w:rPr>
            </w:pPr>
            <w:r w:rsidRPr="00396ECD">
              <w:rPr>
                <w:sz w:val="20"/>
                <w:szCs w:val="20"/>
                <w:lang w:val="en-GB"/>
              </w:rPr>
              <w:t>–6</w:t>
            </w:r>
          </w:p>
        </w:tc>
        <w:tc>
          <w:tcPr>
            <w:tcW w:w="3550" w:type="dxa"/>
            <w:vAlign w:val="center"/>
            <w:hideMark/>
          </w:tcPr>
          <w:p w14:paraId="43C31700" w14:textId="77777777" w:rsidR="007E0240" w:rsidRPr="00396ECD" w:rsidRDefault="007E0240" w:rsidP="00ED099C">
            <w:pPr>
              <w:rPr>
                <w:sz w:val="20"/>
                <w:szCs w:val="20"/>
                <w:lang w:val="en-GB"/>
              </w:rPr>
            </w:pPr>
            <w:r w:rsidRPr="00396ECD">
              <w:rPr>
                <w:sz w:val="20"/>
                <w:szCs w:val="20"/>
                <w:lang w:val="en-GB"/>
              </w:rPr>
              <w:t>Decline due to operational overload</w:t>
            </w:r>
          </w:p>
        </w:tc>
      </w:tr>
      <w:tr w:rsidR="00116981" w:rsidRPr="00396ECD" w14:paraId="455BB350" w14:textId="77777777" w:rsidTr="00C12399">
        <w:trPr>
          <w:trHeight w:val="283"/>
        </w:trPr>
        <w:tc>
          <w:tcPr>
            <w:tcW w:w="2663" w:type="dxa"/>
            <w:vAlign w:val="center"/>
            <w:hideMark/>
          </w:tcPr>
          <w:p w14:paraId="3D863EA6" w14:textId="77777777" w:rsidR="007E0240" w:rsidRPr="00396ECD" w:rsidRDefault="007E0240" w:rsidP="00ED099C">
            <w:pPr>
              <w:rPr>
                <w:sz w:val="20"/>
                <w:szCs w:val="20"/>
                <w:lang w:val="en-GB"/>
              </w:rPr>
            </w:pPr>
            <w:r w:rsidRPr="00396ECD">
              <w:rPr>
                <w:sz w:val="20"/>
                <w:szCs w:val="20"/>
                <w:lang w:val="en-GB"/>
              </w:rPr>
              <w:t>Price monitoring</w:t>
            </w:r>
          </w:p>
        </w:tc>
        <w:tc>
          <w:tcPr>
            <w:tcW w:w="1121" w:type="dxa"/>
            <w:vAlign w:val="center"/>
            <w:hideMark/>
          </w:tcPr>
          <w:p w14:paraId="621E29E3" w14:textId="77777777" w:rsidR="007E0240" w:rsidRPr="00396ECD" w:rsidRDefault="007E0240" w:rsidP="00ED099C">
            <w:pPr>
              <w:jc w:val="center"/>
              <w:rPr>
                <w:sz w:val="20"/>
                <w:szCs w:val="20"/>
                <w:lang w:val="en-GB"/>
              </w:rPr>
            </w:pPr>
            <w:r w:rsidRPr="00396ECD">
              <w:rPr>
                <w:sz w:val="20"/>
                <w:szCs w:val="20"/>
                <w:lang w:val="en-GB"/>
              </w:rPr>
              <w:t>58%</w:t>
            </w:r>
          </w:p>
        </w:tc>
        <w:tc>
          <w:tcPr>
            <w:tcW w:w="1261" w:type="dxa"/>
            <w:vAlign w:val="center"/>
            <w:hideMark/>
          </w:tcPr>
          <w:p w14:paraId="3A39E386" w14:textId="77777777" w:rsidR="007E0240" w:rsidRPr="00396ECD" w:rsidRDefault="007E0240" w:rsidP="00ED099C">
            <w:pPr>
              <w:jc w:val="center"/>
              <w:rPr>
                <w:sz w:val="20"/>
                <w:szCs w:val="20"/>
                <w:lang w:val="en-GB"/>
              </w:rPr>
            </w:pPr>
            <w:r w:rsidRPr="00396ECD">
              <w:rPr>
                <w:sz w:val="20"/>
                <w:szCs w:val="20"/>
                <w:lang w:val="en-GB"/>
              </w:rPr>
              <w:t>64%</w:t>
            </w:r>
          </w:p>
        </w:tc>
        <w:tc>
          <w:tcPr>
            <w:tcW w:w="895" w:type="dxa"/>
            <w:vAlign w:val="center"/>
            <w:hideMark/>
          </w:tcPr>
          <w:p w14:paraId="59DA6165" w14:textId="77777777" w:rsidR="007E0240" w:rsidRPr="00396ECD" w:rsidRDefault="007E0240" w:rsidP="00ED099C">
            <w:pPr>
              <w:jc w:val="center"/>
              <w:rPr>
                <w:sz w:val="20"/>
                <w:szCs w:val="20"/>
                <w:lang w:val="en-GB"/>
              </w:rPr>
            </w:pPr>
            <w:r w:rsidRPr="00396ECD">
              <w:rPr>
                <w:sz w:val="20"/>
                <w:szCs w:val="20"/>
                <w:lang w:val="en-GB"/>
              </w:rPr>
              <w:t>+6</w:t>
            </w:r>
          </w:p>
        </w:tc>
        <w:tc>
          <w:tcPr>
            <w:tcW w:w="3550" w:type="dxa"/>
            <w:vAlign w:val="center"/>
            <w:hideMark/>
          </w:tcPr>
          <w:p w14:paraId="29D7581A" w14:textId="77777777" w:rsidR="007E0240" w:rsidRPr="00396ECD" w:rsidRDefault="007E0240" w:rsidP="00ED099C">
            <w:pPr>
              <w:rPr>
                <w:sz w:val="20"/>
                <w:szCs w:val="20"/>
                <w:lang w:val="en-GB"/>
              </w:rPr>
            </w:pPr>
            <w:r w:rsidRPr="00396ECD">
              <w:rPr>
                <w:sz w:val="20"/>
                <w:szCs w:val="20"/>
                <w:lang w:val="en-GB"/>
              </w:rPr>
              <w:t>Increased due to market volatility</w:t>
            </w:r>
          </w:p>
        </w:tc>
      </w:tr>
      <w:tr w:rsidR="00116981" w:rsidRPr="00396ECD" w14:paraId="60547630" w14:textId="77777777" w:rsidTr="00C12399">
        <w:trPr>
          <w:trHeight w:val="567"/>
        </w:trPr>
        <w:tc>
          <w:tcPr>
            <w:tcW w:w="2663" w:type="dxa"/>
            <w:vAlign w:val="center"/>
            <w:hideMark/>
          </w:tcPr>
          <w:p w14:paraId="69FAE40B" w14:textId="77777777" w:rsidR="007E0240" w:rsidRPr="00396ECD" w:rsidRDefault="007E0240" w:rsidP="00ED099C">
            <w:pPr>
              <w:rPr>
                <w:sz w:val="20"/>
                <w:szCs w:val="20"/>
                <w:lang w:val="en-GB"/>
              </w:rPr>
            </w:pPr>
            <w:r w:rsidRPr="00396ECD">
              <w:rPr>
                <w:sz w:val="20"/>
                <w:szCs w:val="20"/>
                <w:lang w:val="en-GB"/>
              </w:rPr>
              <w:t>Marketing orientation level (</w:t>
            </w:r>
            <w:proofErr w:type="spellStart"/>
            <w:r w:rsidRPr="00396ECD">
              <w:rPr>
                <w:sz w:val="20"/>
                <w:szCs w:val="20"/>
                <w:lang w:val="en-GB"/>
              </w:rPr>
              <w:t>Narver</w:t>
            </w:r>
            <w:proofErr w:type="spellEnd"/>
            <w:r w:rsidRPr="00396ECD">
              <w:rPr>
                <w:sz w:val="20"/>
                <w:szCs w:val="20"/>
                <w:lang w:val="en-GB"/>
              </w:rPr>
              <w:t>-Slater scale 0–5)</w:t>
            </w:r>
          </w:p>
        </w:tc>
        <w:tc>
          <w:tcPr>
            <w:tcW w:w="1121" w:type="dxa"/>
            <w:vAlign w:val="center"/>
            <w:hideMark/>
          </w:tcPr>
          <w:p w14:paraId="590B6DFC" w14:textId="77777777" w:rsidR="007E0240" w:rsidRPr="00396ECD" w:rsidRDefault="007E0240" w:rsidP="00ED099C">
            <w:pPr>
              <w:jc w:val="center"/>
              <w:rPr>
                <w:sz w:val="20"/>
                <w:szCs w:val="20"/>
                <w:lang w:val="en-GB"/>
              </w:rPr>
            </w:pPr>
            <w:r w:rsidRPr="00396ECD">
              <w:rPr>
                <w:sz w:val="20"/>
                <w:szCs w:val="20"/>
                <w:lang w:val="en-GB"/>
              </w:rPr>
              <w:t>2.8</w:t>
            </w:r>
          </w:p>
        </w:tc>
        <w:tc>
          <w:tcPr>
            <w:tcW w:w="1261" w:type="dxa"/>
            <w:vAlign w:val="center"/>
            <w:hideMark/>
          </w:tcPr>
          <w:p w14:paraId="26873D48" w14:textId="77777777" w:rsidR="007E0240" w:rsidRPr="00396ECD" w:rsidRDefault="007E0240" w:rsidP="00ED099C">
            <w:pPr>
              <w:jc w:val="center"/>
              <w:rPr>
                <w:sz w:val="20"/>
                <w:szCs w:val="20"/>
                <w:lang w:val="en-GB"/>
              </w:rPr>
            </w:pPr>
            <w:r w:rsidRPr="00396ECD">
              <w:rPr>
                <w:sz w:val="20"/>
                <w:szCs w:val="20"/>
                <w:lang w:val="en-GB"/>
              </w:rPr>
              <w:t>2.4</w:t>
            </w:r>
          </w:p>
        </w:tc>
        <w:tc>
          <w:tcPr>
            <w:tcW w:w="895" w:type="dxa"/>
            <w:vAlign w:val="center"/>
            <w:hideMark/>
          </w:tcPr>
          <w:p w14:paraId="2D46B9BD" w14:textId="77777777" w:rsidR="007E0240" w:rsidRPr="00396ECD" w:rsidRDefault="007E0240" w:rsidP="00ED099C">
            <w:pPr>
              <w:jc w:val="center"/>
              <w:rPr>
                <w:sz w:val="20"/>
                <w:szCs w:val="20"/>
                <w:lang w:val="en-GB"/>
              </w:rPr>
            </w:pPr>
            <w:r w:rsidRPr="00396ECD">
              <w:rPr>
                <w:sz w:val="20"/>
                <w:szCs w:val="20"/>
                <w:lang w:val="en-GB"/>
              </w:rPr>
              <w:t>–0.4</w:t>
            </w:r>
          </w:p>
        </w:tc>
        <w:tc>
          <w:tcPr>
            <w:tcW w:w="3550" w:type="dxa"/>
            <w:vAlign w:val="center"/>
            <w:hideMark/>
          </w:tcPr>
          <w:p w14:paraId="0D50658C" w14:textId="77777777" w:rsidR="007E0240" w:rsidRPr="00396ECD" w:rsidRDefault="007E0240" w:rsidP="00ED099C">
            <w:pPr>
              <w:rPr>
                <w:sz w:val="20"/>
                <w:szCs w:val="20"/>
                <w:lang w:val="en-GB"/>
              </w:rPr>
            </w:pPr>
            <w:r w:rsidRPr="00396ECD">
              <w:rPr>
                <w:sz w:val="20"/>
                <w:szCs w:val="20"/>
                <w:lang w:val="en-GB"/>
              </w:rPr>
              <w:t>Below average, negative trend</w:t>
            </w:r>
          </w:p>
        </w:tc>
      </w:tr>
      <w:tr w:rsidR="00116981" w:rsidRPr="00396ECD" w14:paraId="433390A5" w14:textId="77777777" w:rsidTr="00C12399">
        <w:trPr>
          <w:trHeight w:val="283"/>
        </w:trPr>
        <w:tc>
          <w:tcPr>
            <w:tcW w:w="2663" w:type="dxa"/>
            <w:vAlign w:val="center"/>
            <w:hideMark/>
          </w:tcPr>
          <w:p w14:paraId="2346F079" w14:textId="77777777" w:rsidR="007E0240" w:rsidRPr="00396ECD" w:rsidRDefault="007E0240" w:rsidP="00ED099C">
            <w:pPr>
              <w:rPr>
                <w:sz w:val="20"/>
                <w:szCs w:val="20"/>
                <w:lang w:val="en-GB"/>
              </w:rPr>
            </w:pPr>
            <w:r w:rsidRPr="00396ECD">
              <w:rPr>
                <w:sz w:val="20"/>
                <w:szCs w:val="20"/>
                <w:lang w:val="en-GB"/>
              </w:rPr>
              <w:t>Use of foresight methods</w:t>
            </w:r>
          </w:p>
        </w:tc>
        <w:tc>
          <w:tcPr>
            <w:tcW w:w="1121" w:type="dxa"/>
            <w:vAlign w:val="center"/>
            <w:hideMark/>
          </w:tcPr>
          <w:p w14:paraId="73840E0C" w14:textId="77777777" w:rsidR="007E0240" w:rsidRPr="00396ECD" w:rsidRDefault="007E0240" w:rsidP="00ED099C">
            <w:pPr>
              <w:jc w:val="center"/>
              <w:rPr>
                <w:sz w:val="20"/>
                <w:szCs w:val="20"/>
                <w:lang w:val="en-GB"/>
              </w:rPr>
            </w:pPr>
            <w:r w:rsidRPr="00396ECD">
              <w:rPr>
                <w:sz w:val="20"/>
                <w:szCs w:val="20"/>
                <w:lang w:val="en-GB"/>
              </w:rPr>
              <w:t>7%</w:t>
            </w:r>
          </w:p>
        </w:tc>
        <w:tc>
          <w:tcPr>
            <w:tcW w:w="1261" w:type="dxa"/>
            <w:vAlign w:val="center"/>
            <w:hideMark/>
          </w:tcPr>
          <w:p w14:paraId="2C1BD620" w14:textId="77777777" w:rsidR="007E0240" w:rsidRPr="00396ECD" w:rsidRDefault="007E0240" w:rsidP="00ED099C">
            <w:pPr>
              <w:jc w:val="center"/>
              <w:rPr>
                <w:sz w:val="20"/>
                <w:szCs w:val="20"/>
                <w:lang w:val="en-GB"/>
              </w:rPr>
            </w:pPr>
            <w:r w:rsidRPr="00396ECD">
              <w:rPr>
                <w:sz w:val="20"/>
                <w:szCs w:val="20"/>
                <w:lang w:val="en-GB"/>
              </w:rPr>
              <w:t>9%</w:t>
            </w:r>
          </w:p>
        </w:tc>
        <w:tc>
          <w:tcPr>
            <w:tcW w:w="895" w:type="dxa"/>
            <w:vAlign w:val="center"/>
            <w:hideMark/>
          </w:tcPr>
          <w:p w14:paraId="42F25587" w14:textId="77777777" w:rsidR="007E0240" w:rsidRPr="00396ECD" w:rsidRDefault="007E0240" w:rsidP="00ED099C">
            <w:pPr>
              <w:jc w:val="center"/>
              <w:rPr>
                <w:sz w:val="20"/>
                <w:szCs w:val="20"/>
                <w:lang w:val="en-GB"/>
              </w:rPr>
            </w:pPr>
            <w:r w:rsidRPr="00396ECD">
              <w:rPr>
                <w:sz w:val="20"/>
                <w:szCs w:val="20"/>
                <w:lang w:val="en-GB"/>
              </w:rPr>
              <w:t>+2</w:t>
            </w:r>
          </w:p>
        </w:tc>
        <w:tc>
          <w:tcPr>
            <w:tcW w:w="3550" w:type="dxa"/>
            <w:vAlign w:val="center"/>
            <w:hideMark/>
          </w:tcPr>
          <w:p w14:paraId="65C7F5F4" w14:textId="77777777" w:rsidR="007E0240" w:rsidRPr="00396ECD" w:rsidRDefault="007E0240" w:rsidP="00ED099C">
            <w:pPr>
              <w:rPr>
                <w:sz w:val="20"/>
                <w:szCs w:val="20"/>
                <w:lang w:val="en-GB"/>
              </w:rPr>
            </w:pPr>
            <w:r w:rsidRPr="00396ECD">
              <w:rPr>
                <w:sz w:val="20"/>
                <w:szCs w:val="20"/>
                <w:lang w:val="en-GB"/>
              </w:rPr>
              <w:t>Mostly large enterprises</w:t>
            </w:r>
          </w:p>
        </w:tc>
      </w:tr>
      <w:tr w:rsidR="00116981" w:rsidRPr="00396ECD" w14:paraId="5647C3DE" w14:textId="77777777" w:rsidTr="00C12399">
        <w:trPr>
          <w:trHeight w:val="567"/>
        </w:trPr>
        <w:tc>
          <w:tcPr>
            <w:tcW w:w="2663" w:type="dxa"/>
            <w:vAlign w:val="center"/>
            <w:hideMark/>
          </w:tcPr>
          <w:p w14:paraId="2C40DF36" w14:textId="77777777" w:rsidR="007E0240" w:rsidRPr="00396ECD" w:rsidRDefault="007E0240" w:rsidP="00ED099C">
            <w:pPr>
              <w:rPr>
                <w:sz w:val="20"/>
                <w:szCs w:val="20"/>
                <w:lang w:val="en-GB"/>
              </w:rPr>
            </w:pPr>
            <w:r w:rsidRPr="00396ECD">
              <w:rPr>
                <w:sz w:val="20"/>
                <w:szCs w:val="20"/>
                <w:lang w:val="en-GB"/>
              </w:rPr>
              <w:t>Exploration of new markets (incl. EU)</w:t>
            </w:r>
          </w:p>
        </w:tc>
        <w:tc>
          <w:tcPr>
            <w:tcW w:w="1121" w:type="dxa"/>
            <w:vAlign w:val="center"/>
            <w:hideMark/>
          </w:tcPr>
          <w:p w14:paraId="4FBFE937" w14:textId="77777777" w:rsidR="007E0240" w:rsidRPr="00396ECD" w:rsidRDefault="007E0240" w:rsidP="00ED099C">
            <w:pPr>
              <w:jc w:val="center"/>
              <w:rPr>
                <w:sz w:val="20"/>
                <w:szCs w:val="20"/>
                <w:lang w:val="en-GB"/>
              </w:rPr>
            </w:pPr>
            <w:r w:rsidRPr="00396ECD">
              <w:rPr>
                <w:sz w:val="20"/>
                <w:szCs w:val="20"/>
                <w:lang w:val="en-GB"/>
              </w:rPr>
              <w:t>18%</w:t>
            </w:r>
          </w:p>
        </w:tc>
        <w:tc>
          <w:tcPr>
            <w:tcW w:w="1261" w:type="dxa"/>
            <w:vAlign w:val="center"/>
            <w:hideMark/>
          </w:tcPr>
          <w:p w14:paraId="1062D194" w14:textId="77777777" w:rsidR="007E0240" w:rsidRPr="00396ECD" w:rsidRDefault="007E0240" w:rsidP="00ED099C">
            <w:pPr>
              <w:jc w:val="center"/>
              <w:rPr>
                <w:sz w:val="20"/>
                <w:szCs w:val="20"/>
                <w:lang w:val="en-GB"/>
              </w:rPr>
            </w:pPr>
            <w:r w:rsidRPr="00396ECD">
              <w:rPr>
                <w:sz w:val="20"/>
                <w:szCs w:val="20"/>
                <w:lang w:val="en-GB"/>
              </w:rPr>
              <w:t>41%</w:t>
            </w:r>
          </w:p>
        </w:tc>
        <w:tc>
          <w:tcPr>
            <w:tcW w:w="895" w:type="dxa"/>
            <w:vAlign w:val="center"/>
            <w:hideMark/>
          </w:tcPr>
          <w:p w14:paraId="3A0ED223" w14:textId="77777777" w:rsidR="007E0240" w:rsidRPr="00396ECD" w:rsidRDefault="007E0240" w:rsidP="00ED099C">
            <w:pPr>
              <w:jc w:val="center"/>
              <w:rPr>
                <w:sz w:val="20"/>
                <w:szCs w:val="20"/>
                <w:lang w:val="en-GB"/>
              </w:rPr>
            </w:pPr>
            <w:r w:rsidRPr="00396ECD">
              <w:rPr>
                <w:sz w:val="20"/>
                <w:szCs w:val="20"/>
                <w:lang w:val="en-GB"/>
              </w:rPr>
              <w:t>+23</w:t>
            </w:r>
          </w:p>
        </w:tc>
        <w:tc>
          <w:tcPr>
            <w:tcW w:w="3550" w:type="dxa"/>
            <w:vAlign w:val="center"/>
            <w:hideMark/>
          </w:tcPr>
          <w:p w14:paraId="65A06B78" w14:textId="77777777" w:rsidR="007E0240" w:rsidRPr="00396ECD" w:rsidRDefault="007E0240" w:rsidP="00ED099C">
            <w:pPr>
              <w:rPr>
                <w:sz w:val="20"/>
                <w:szCs w:val="20"/>
                <w:lang w:val="en-GB"/>
              </w:rPr>
            </w:pPr>
            <w:r w:rsidRPr="00396ECD">
              <w:rPr>
                <w:sz w:val="20"/>
                <w:szCs w:val="20"/>
                <w:lang w:val="en-GB"/>
              </w:rPr>
              <w:t>Forced reorientation</w:t>
            </w:r>
          </w:p>
        </w:tc>
      </w:tr>
      <w:tr w:rsidR="00116981" w:rsidRPr="00396ECD" w14:paraId="17CB76E8" w14:textId="77777777" w:rsidTr="00C12399">
        <w:trPr>
          <w:trHeight w:val="283"/>
        </w:trPr>
        <w:tc>
          <w:tcPr>
            <w:tcW w:w="2663" w:type="dxa"/>
            <w:vAlign w:val="center"/>
            <w:hideMark/>
          </w:tcPr>
          <w:p w14:paraId="1A31FD5C" w14:textId="77777777" w:rsidR="007E0240" w:rsidRPr="00396ECD" w:rsidRDefault="007E0240" w:rsidP="00ED099C">
            <w:pPr>
              <w:rPr>
                <w:sz w:val="20"/>
                <w:szCs w:val="20"/>
                <w:lang w:val="en-GB"/>
              </w:rPr>
            </w:pPr>
            <w:r w:rsidRPr="00396ECD">
              <w:rPr>
                <w:sz w:val="20"/>
                <w:szCs w:val="20"/>
                <w:lang w:val="en-GB"/>
              </w:rPr>
              <w:t>Interest in foresight methods</w:t>
            </w:r>
          </w:p>
        </w:tc>
        <w:tc>
          <w:tcPr>
            <w:tcW w:w="1121" w:type="dxa"/>
            <w:vAlign w:val="center"/>
            <w:hideMark/>
          </w:tcPr>
          <w:p w14:paraId="0AD16082" w14:textId="77777777" w:rsidR="007E0240" w:rsidRPr="00396ECD" w:rsidRDefault="007E0240" w:rsidP="00ED099C">
            <w:pPr>
              <w:jc w:val="center"/>
              <w:rPr>
                <w:sz w:val="20"/>
                <w:szCs w:val="20"/>
                <w:lang w:val="en-GB"/>
              </w:rPr>
            </w:pPr>
            <w:r w:rsidRPr="00396ECD">
              <w:rPr>
                <w:sz w:val="20"/>
                <w:szCs w:val="20"/>
                <w:lang w:val="en-GB"/>
              </w:rPr>
              <w:t>68%</w:t>
            </w:r>
          </w:p>
        </w:tc>
        <w:tc>
          <w:tcPr>
            <w:tcW w:w="1261" w:type="dxa"/>
            <w:vAlign w:val="center"/>
            <w:hideMark/>
          </w:tcPr>
          <w:p w14:paraId="1D70038A" w14:textId="77777777" w:rsidR="007E0240" w:rsidRPr="00396ECD" w:rsidRDefault="007E0240" w:rsidP="00ED099C">
            <w:pPr>
              <w:jc w:val="center"/>
              <w:rPr>
                <w:sz w:val="20"/>
                <w:szCs w:val="20"/>
                <w:lang w:val="en-GB"/>
              </w:rPr>
            </w:pPr>
            <w:r w:rsidRPr="00396ECD">
              <w:rPr>
                <w:sz w:val="20"/>
                <w:szCs w:val="20"/>
                <w:lang w:val="en-GB"/>
              </w:rPr>
              <w:t>72%</w:t>
            </w:r>
          </w:p>
        </w:tc>
        <w:tc>
          <w:tcPr>
            <w:tcW w:w="895" w:type="dxa"/>
            <w:vAlign w:val="center"/>
            <w:hideMark/>
          </w:tcPr>
          <w:p w14:paraId="6D449454" w14:textId="77777777" w:rsidR="007E0240" w:rsidRPr="00396ECD" w:rsidRDefault="007E0240" w:rsidP="00ED099C">
            <w:pPr>
              <w:jc w:val="center"/>
              <w:rPr>
                <w:sz w:val="20"/>
                <w:szCs w:val="20"/>
                <w:lang w:val="en-GB"/>
              </w:rPr>
            </w:pPr>
            <w:r w:rsidRPr="00396ECD">
              <w:rPr>
                <w:sz w:val="20"/>
                <w:szCs w:val="20"/>
                <w:lang w:val="en-GB"/>
              </w:rPr>
              <w:t>+4</w:t>
            </w:r>
          </w:p>
        </w:tc>
        <w:tc>
          <w:tcPr>
            <w:tcW w:w="3550" w:type="dxa"/>
            <w:vAlign w:val="center"/>
            <w:hideMark/>
          </w:tcPr>
          <w:p w14:paraId="7AFB5A7D" w14:textId="77777777" w:rsidR="007E0240" w:rsidRPr="00396ECD" w:rsidRDefault="007E0240" w:rsidP="00ED099C">
            <w:pPr>
              <w:rPr>
                <w:sz w:val="20"/>
                <w:szCs w:val="20"/>
                <w:lang w:val="en-GB"/>
              </w:rPr>
            </w:pPr>
            <w:r w:rsidRPr="00396ECD">
              <w:rPr>
                <w:sz w:val="20"/>
                <w:szCs w:val="20"/>
                <w:lang w:val="en-GB"/>
              </w:rPr>
              <w:t>Potential demand for support</w:t>
            </w:r>
          </w:p>
        </w:tc>
      </w:tr>
    </w:tbl>
    <w:p w14:paraId="739D61BE" w14:textId="3E5C3571" w:rsidR="00460C45" w:rsidRPr="00396ECD" w:rsidRDefault="00486869" w:rsidP="00ED099C">
      <w:pPr>
        <w:pStyle w:val="NormalnyWeb"/>
        <w:spacing w:before="60" w:beforeAutospacing="0" w:after="0" w:afterAutospacing="0"/>
        <w:jc w:val="both"/>
        <w:rPr>
          <w:sz w:val="20"/>
          <w:szCs w:val="20"/>
          <w:lang w:val="en-GB"/>
        </w:rPr>
      </w:pPr>
      <w:r w:rsidRPr="00396ECD">
        <w:rPr>
          <w:sz w:val="20"/>
          <w:szCs w:val="20"/>
          <w:shd w:val="clear" w:color="auto" w:fill="FFFFFF"/>
          <w:lang w:val="en-GB"/>
        </w:rPr>
        <w:t>Source: results of the author's survey (n</w:t>
      </w:r>
      <w:r w:rsidR="00ED099C" w:rsidRPr="00396ECD">
        <w:rPr>
          <w:sz w:val="20"/>
          <w:szCs w:val="20"/>
          <w:shd w:val="clear" w:color="auto" w:fill="FFFFFF"/>
          <w:lang w:val="en-GB"/>
        </w:rPr>
        <w:t xml:space="preserve"> </w:t>
      </w:r>
      <w:r w:rsidRPr="00396ECD">
        <w:rPr>
          <w:sz w:val="20"/>
          <w:szCs w:val="20"/>
          <w:shd w:val="clear" w:color="auto" w:fill="FFFFFF"/>
          <w:lang w:val="en-GB"/>
        </w:rPr>
        <w:t>=</w:t>
      </w:r>
      <w:r w:rsidR="00ED099C" w:rsidRPr="00396ECD">
        <w:rPr>
          <w:sz w:val="20"/>
          <w:szCs w:val="20"/>
          <w:shd w:val="clear" w:color="auto" w:fill="FFFFFF"/>
          <w:lang w:val="en-GB"/>
        </w:rPr>
        <w:t xml:space="preserve"> </w:t>
      </w:r>
      <w:r w:rsidRPr="00396ECD">
        <w:rPr>
          <w:sz w:val="20"/>
          <w:szCs w:val="20"/>
          <w:shd w:val="clear" w:color="auto" w:fill="FFFFFF"/>
          <w:lang w:val="en-GB"/>
        </w:rPr>
        <w:t>130), 2021 and 2023</w:t>
      </w:r>
    </w:p>
    <w:p w14:paraId="0CC6ECAD" w14:textId="77777777" w:rsidR="00116981" w:rsidRPr="00396ECD" w:rsidRDefault="00116981" w:rsidP="00116981">
      <w:pPr>
        <w:pStyle w:val="NormalnyWeb"/>
        <w:spacing w:before="0" w:beforeAutospacing="0" w:after="0" w:afterAutospacing="0"/>
        <w:ind w:firstLine="284"/>
        <w:jc w:val="both"/>
        <w:rPr>
          <w:sz w:val="22"/>
          <w:szCs w:val="22"/>
          <w:lang w:val="en-GB"/>
        </w:rPr>
      </w:pPr>
    </w:p>
    <w:p w14:paraId="77BBB074" w14:textId="3302C832" w:rsidR="00C3576A" w:rsidRPr="00396ECD" w:rsidRDefault="00C3576A" w:rsidP="00116981">
      <w:pPr>
        <w:pStyle w:val="NormalnyWeb"/>
        <w:spacing w:before="0" w:beforeAutospacing="0" w:after="0" w:afterAutospacing="0"/>
        <w:ind w:firstLine="284"/>
        <w:jc w:val="both"/>
        <w:rPr>
          <w:sz w:val="22"/>
          <w:szCs w:val="22"/>
          <w:lang w:val="en-GB"/>
        </w:rPr>
      </w:pPr>
      <w:r w:rsidRPr="00396ECD">
        <w:rPr>
          <w:sz w:val="22"/>
          <w:szCs w:val="22"/>
          <w:lang w:val="en-GB"/>
        </w:rPr>
        <w:t xml:space="preserve">The survey results allow us to draw several key conclusions. Regarding the planning horizon: 63% of surveyed companies in 2021 indicated that their primary strategic planning horizon did not exceed 1 year; only 12% planned for a 3–5-year horizon, and only 3% had experience planning for 5–10 years. By 2023, the situation had worsened – the share of enterprises with a purely short-term horizon rose to 79% (Forbes </w:t>
      </w:r>
      <w:proofErr w:type="spellStart"/>
      <w:r w:rsidRPr="00396ECD">
        <w:rPr>
          <w:sz w:val="22"/>
          <w:szCs w:val="22"/>
          <w:lang w:val="en-GB"/>
        </w:rPr>
        <w:t>Agro</w:t>
      </w:r>
      <w:proofErr w:type="spellEnd"/>
      <w:r w:rsidRPr="00396ECD">
        <w:rPr>
          <w:sz w:val="22"/>
          <w:szCs w:val="22"/>
          <w:lang w:val="en-GB"/>
        </w:rPr>
        <w:t>, 2026a). Clearly, such a shortened horizon is a significant constraint on effective foresight.</w:t>
      </w:r>
    </w:p>
    <w:p w14:paraId="766D4AD9" w14:textId="6FA9D422" w:rsidR="00460C45" w:rsidRPr="00396ECD" w:rsidRDefault="00C3576A" w:rsidP="00116981">
      <w:pPr>
        <w:pStyle w:val="NormalnyWeb"/>
        <w:spacing w:before="0" w:beforeAutospacing="0" w:after="0" w:afterAutospacing="0"/>
        <w:ind w:firstLine="284"/>
        <w:jc w:val="both"/>
        <w:rPr>
          <w:sz w:val="22"/>
          <w:szCs w:val="22"/>
          <w:lang w:val="en-GB"/>
        </w:rPr>
      </w:pPr>
      <w:r w:rsidRPr="00396ECD">
        <w:rPr>
          <w:sz w:val="22"/>
          <w:szCs w:val="22"/>
          <w:lang w:val="en-GB"/>
        </w:rPr>
        <w:t>Regarding marketing orientation</w:t>
      </w:r>
      <w:r w:rsidR="00E975FE">
        <w:rPr>
          <w:sz w:val="22"/>
          <w:szCs w:val="22"/>
          <w:lang w:val="en-GB"/>
        </w:rPr>
        <w:t xml:space="preserve">, only 34% of companies reported systematically collecting and </w:t>
      </w:r>
      <w:proofErr w:type="spellStart"/>
      <w:r w:rsidR="00E975FE">
        <w:rPr>
          <w:sz w:val="22"/>
          <w:szCs w:val="22"/>
          <w:lang w:val="en-GB"/>
        </w:rPr>
        <w:t>analyzing</w:t>
      </w:r>
      <w:proofErr w:type="spellEnd"/>
      <w:r w:rsidR="00E975FE">
        <w:rPr>
          <w:sz w:val="22"/>
          <w:szCs w:val="22"/>
          <w:lang w:val="en-GB"/>
        </w:rPr>
        <w:t xml:space="preserve"> information on consumer trends; 47% reported monitoring</w:t>
      </w:r>
      <w:r w:rsidRPr="00396ECD">
        <w:rPr>
          <w:sz w:val="22"/>
          <w:szCs w:val="22"/>
          <w:lang w:val="en-GB"/>
        </w:rPr>
        <w:t xml:space="preserve"> the competitive environment more or less regularly. The overall level of marketing orientation in the sample, assessed using the adapted </w:t>
      </w:r>
      <w:proofErr w:type="spellStart"/>
      <w:r w:rsidRPr="00396ECD">
        <w:rPr>
          <w:sz w:val="22"/>
          <w:szCs w:val="22"/>
          <w:lang w:val="en-GB"/>
        </w:rPr>
        <w:t>Narver</w:t>
      </w:r>
      <w:proofErr w:type="spellEnd"/>
      <w:r w:rsidRPr="00396ECD">
        <w:rPr>
          <w:sz w:val="22"/>
          <w:szCs w:val="22"/>
          <w:lang w:val="en-GB"/>
        </w:rPr>
        <w:t xml:space="preserve">-Slater scale, was 2.8 </w:t>
      </w:r>
      <w:r w:rsidR="00E975FE">
        <w:rPr>
          <w:sz w:val="22"/>
          <w:szCs w:val="22"/>
          <w:lang w:val="en-GB"/>
        </w:rPr>
        <w:t>out of</w:t>
      </w:r>
      <w:r w:rsidRPr="00396ECD">
        <w:rPr>
          <w:sz w:val="22"/>
          <w:szCs w:val="22"/>
          <w:lang w:val="en-GB"/>
        </w:rPr>
        <w:t xml:space="preserve"> 5 in 2021 and declined to 2.4 in 2023 – below average (Agribusiness in Ukraine, 2024).</w:t>
      </w:r>
    </w:p>
    <w:p w14:paraId="44B370FF" w14:textId="77777777" w:rsidR="00116981" w:rsidRPr="00396ECD" w:rsidRDefault="00116981" w:rsidP="00116981">
      <w:pPr>
        <w:pStyle w:val="NormalnyWeb"/>
        <w:spacing w:before="0" w:beforeAutospacing="0" w:after="0" w:afterAutospacing="0"/>
        <w:ind w:firstLine="284"/>
        <w:jc w:val="both"/>
        <w:rPr>
          <w:sz w:val="22"/>
          <w:szCs w:val="22"/>
          <w:lang w:val="en-GB"/>
        </w:rPr>
      </w:pPr>
    </w:p>
    <w:p w14:paraId="59DD58A6" w14:textId="77777777" w:rsidR="00AE21D1" w:rsidRPr="00396ECD" w:rsidRDefault="00AE21D1" w:rsidP="00ED099C">
      <w:pPr>
        <w:jc w:val="center"/>
        <w:rPr>
          <w:b/>
          <w:bCs/>
          <w:sz w:val="22"/>
          <w:szCs w:val="22"/>
          <w:shd w:val="clear" w:color="auto" w:fill="FFFFFF"/>
          <w:lang w:val="en-GB"/>
        </w:rPr>
      </w:pPr>
      <w:r w:rsidRPr="00396ECD">
        <w:rPr>
          <w:b/>
          <w:bCs/>
          <w:noProof/>
          <w:sz w:val="22"/>
          <w:szCs w:val="22"/>
          <w:shd w:val="clear" w:color="auto" w:fill="FFFFFF"/>
          <w:lang w:val="en-GB"/>
        </w:rPr>
        <w:drawing>
          <wp:inline distT="0" distB="0" distL="0" distR="0" wp14:anchorId="3831ACA5" wp14:editId="64B8FE3F">
            <wp:extent cx="5943600" cy="2904490"/>
            <wp:effectExtent l="0" t="0" r="0" b="0"/>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9"/>
                    <a:stretch>
                      <a:fillRect/>
                    </a:stretch>
                  </pic:blipFill>
                  <pic:spPr>
                    <a:xfrm>
                      <a:off x="0" y="0"/>
                      <a:ext cx="5943600" cy="2904490"/>
                    </a:xfrm>
                    <a:prstGeom prst="rect">
                      <a:avLst/>
                    </a:prstGeom>
                  </pic:spPr>
                </pic:pic>
              </a:graphicData>
            </a:graphic>
          </wp:inline>
        </w:drawing>
      </w:r>
    </w:p>
    <w:p w14:paraId="1B9EAED9" w14:textId="37D98D40" w:rsidR="00AE21D1" w:rsidRPr="00396ECD" w:rsidRDefault="00850D13" w:rsidP="00ED099C">
      <w:pPr>
        <w:pStyle w:val="Rrys"/>
        <w:rPr>
          <w:bCs/>
          <w:shd w:val="clear" w:color="auto" w:fill="FFFFFF"/>
          <w:lang w:val="en-GB"/>
        </w:rPr>
      </w:pPr>
      <w:r w:rsidRPr="00396ECD">
        <w:rPr>
          <w:b/>
          <w:bCs/>
          <w:shd w:val="clear" w:color="auto" w:fill="FFFFFF"/>
          <w:lang w:val="en-GB"/>
        </w:rPr>
        <w:t xml:space="preserve">Fig. </w:t>
      </w:r>
      <w:r w:rsidR="00ED099C" w:rsidRPr="00396ECD">
        <w:rPr>
          <w:b/>
          <w:bCs/>
          <w:shd w:val="clear" w:color="auto" w:fill="FFFFFF"/>
          <w:lang w:val="en-GB"/>
        </w:rPr>
        <w:t>4</w:t>
      </w:r>
      <w:r w:rsidRPr="00396ECD">
        <w:rPr>
          <w:b/>
          <w:bCs/>
          <w:shd w:val="clear" w:color="auto" w:fill="FFFFFF"/>
          <w:lang w:val="en-GB"/>
        </w:rPr>
        <w:t>.</w:t>
      </w:r>
      <w:r w:rsidRPr="00396ECD">
        <w:rPr>
          <w:shd w:val="clear" w:color="auto" w:fill="FFFFFF"/>
          <w:lang w:val="en-GB"/>
        </w:rPr>
        <w:t xml:space="preserve"> Dynamics of the Marketing Orientation Index (</w:t>
      </w:r>
      <w:proofErr w:type="spellStart"/>
      <w:r w:rsidRPr="00396ECD">
        <w:rPr>
          <w:shd w:val="clear" w:color="auto" w:fill="FFFFFF"/>
          <w:lang w:val="en-GB"/>
        </w:rPr>
        <w:t>Narver</w:t>
      </w:r>
      <w:proofErr w:type="spellEnd"/>
      <w:r w:rsidRPr="00396ECD">
        <w:rPr>
          <w:shd w:val="clear" w:color="auto" w:fill="FFFFFF"/>
          <w:lang w:val="en-GB"/>
        </w:rPr>
        <w:t>-Slater Scale, 0–5) and Foresight Adoption Rate (%) in Ukrainian Agrarian Enterprises, 2019–2024 (n</w:t>
      </w:r>
      <w:r w:rsidR="00B60EAE">
        <w:rPr>
          <w:shd w:val="clear" w:color="auto" w:fill="FFFFFF"/>
          <w:lang w:val="en-GB"/>
        </w:rPr>
        <w:t xml:space="preserve"> </w:t>
      </w:r>
      <w:r w:rsidRPr="00396ECD">
        <w:rPr>
          <w:shd w:val="clear" w:color="auto" w:fill="FFFFFF"/>
          <w:lang w:val="en-GB"/>
        </w:rPr>
        <w:t>=</w:t>
      </w:r>
      <w:r w:rsidR="00B60EAE">
        <w:rPr>
          <w:shd w:val="clear" w:color="auto" w:fill="FFFFFF"/>
          <w:lang w:val="en-GB"/>
        </w:rPr>
        <w:t xml:space="preserve"> </w:t>
      </w:r>
      <w:r w:rsidRPr="00396ECD">
        <w:rPr>
          <w:shd w:val="clear" w:color="auto" w:fill="FFFFFF"/>
          <w:lang w:val="en-GB"/>
        </w:rPr>
        <w:t xml:space="preserve">130, Kharkiv, Poltava, Dnipropetrovsk, Sumy Oblasts) </w:t>
      </w:r>
    </w:p>
    <w:p w14:paraId="31A68CCE" w14:textId="77777777" w:rsidR="005A0F8B" w:rsidRPr="00396ECD" w:rsidRDefault="005A0F8B" w:rsidP="00ED099C">
      <w:pPr>
        <w:jc w:val="both"/>
        <w:rPr>
          <w:i/>
          <w:iCs/>
          <w:sz w:val="20"/>
          <w:szCs w:val="20"/>
          <w:lang w:val="en-GB"/>
        </w:rPr>
      </w:pPr>
      <w:r w:rsidRPr="00396ECD">
        <w:rPr>
          <w:rStyle w:val="Uwydatnienie"/>
          <w:i w:val="0"/>
          <w:iCs w:val="0"/>
          <w:sz w:val="20"/>
          <w:szCs w:val="20"/>
          <w:shd w:val="clear" w:color="auto" w:fill="FFFFFF"/>
          <w:lang w:val="en-GB"/>
        </w:rPr>
        <w:t>Source: developed by the authors</w:t>
      </w:r>
    </w:p>
    <w:p w14:paraId="5AD4D566" w14:textId="100BC59A" w:rsidR="0070440C" w:rsidRPr="00396ECD" w:rsidRDefault="0070440C" w:rsidP="00116981">
      <w:pPr>
        <w:pStyle w:val="NormalnyWeb"/>
        <w:spacing w:before="0" w:beforeAutospacing="0" w:after="0" w:afterAutospacing="0"/>
        <w:ind w:firstLine="284"/>
        <w:jc w:val="both"/>
        <w:rPr>
          <w:sz w:val="22"/>
          <w:szCs w:val="22"/>
          <w:lang w:val="en-GB"/>
        </w:rPr>
      </w:pPr>
      <w:r w:rsidRPr="00396ECD">
        <w:rPr>
          <w:sz w:val="22"/>
          <w:szCs w:val="22"/>
          <w:lang w:val="en-GB"/>
        </w:rPr>
        <w:lastRenderedPageBreak/>
        <w:t xml:space="preserve">Regarding foresight practices specifically: 71% of companies reported no knowledge of foresight methods at all; 22% had heard of these methods but do not use them; only 7% utilize at least some elements of foresight analysis (most of these are large enterprises and agricultural holdings). At the same time, 68% of respondents in 2021 and 72% in 2023 expressed interest in learning about foresight methods provided that appropriate methodological support is provided. A comparison of the two survey waves reveals a noticeable increase in the share of companies actively exploring new markets (particularly EU markets): from 18% to 41%, reflecting a forced reorientation due to the blockade of traditional sea routes (TEUS, 2026). This fact is extremely important from a foresight perspective: it is precisely the pragmatic necessity of seeking new markets that drives enterprises toward a more systematic understanding of their </w:t>
      </w:r>
      <w:r w:rsidR="00E975FE">
        <w:rPr>
          <w:sz w:val="22"/>
          <w:szCs w:val="22"/>
          <w:lang w:val="en-GB"/>
        </w:rPr>
        <w:t>future market</w:t>
      </w:r>
      <w:r w:rsidRPr="00396ECD">
        <w:rPr>
          <w:sz w:val="22"/>
          <w:szCs w:val="22"/>
          <w:lang w:val="en-GB"/>
        </w:rPr>
        <w:t>.</w:t>
      </w:r>
    </w:p>
    <w:p w14:paraId="320B9DAC" w14:textId="7085353B" w:rsidR="0070440C" w:rsidRPr="00396ECD" w:rsidRDefault="0070440C" w:rsidP="00116981">
      <w:pPr>
        <w:pStyle w:val="NormalnyWeb"/>
        <w:spacing w:before="0" w:beforeAutospacing="0" w:after="0" w:afterAutospacing="0"/>
        <w:ind w:firstLine="284"/>
        <w:jc w:val="both"/>
        <w:rPr>
          <w:sz w:val="22"/>
          <w:szCs w:val="22"/>
          <w:lang w:val="en-GB"/>
        </w:rPr>
      </w:pPr>
      <w:r w:rsidRPr="00396ECD">
        <w:rPr>
          <w:sz w:val="22"/>
          <w:szCs w:val="22"/>
          <w:lang w:val="en-GB"/>
        </w:rPr>
        <w:t>An expanded analysis of the results reveals several additional important patterns. First, there is a positive correlation between a company</w:t>
      </w:r>
      <w:r w:rsidR="00E975FE">
        <w:rPr>
          <w:sz w:val="22"/>
          <w:szCs w:val="22"/>
          <w:lang w:val="en-GB"/>
        </w:rPr>
        <w:t>'</w:t>
      </w:r>
      <w:r w:rsidRPr="00396ECD">
        <w:rPr>
          <w:sz w:val="22"/>
          <w:szCs w:val="22"/>
          <w:lang w:val="en-GB"/>
        </w:rPr>
        <w:t xml:space="preserve">s size and the level of its marketing orientation and foresight competencies: large agricultural holdings have significantly higher scores on both measures, while small farms effectively lack access to foresight tools. Second, export-oriented enterprises demonstrate a significantly higher level of systematic monitoring of international markets and trends than enterprises operating primarily in the domestic market. Third, the top responses to the question about the main obstacles to implementing foresight are: lack of methodological knowledge (64%), limited financial resources (58%), lack of time among managers (49%), and distrust of long-term forecasts in an unstable environment (41%). Fourth, a preliminary comparison of the 5% of enterprises classified as </w:t>
      </w:r>
      <w:r w:rsidR="00E975FE">
        <w:rPr>
          <w:sz w:val="22"/>
          <w:szCs w:val="22"/>
          <w:lang w:val="en-GB"/>
        </w:rPr>
        <w:t>"</w:t>
      </w:r>
      <w:r w:rsidRPr="00396ECD">
        <w:rPr>
          <w:sz w:val="22"/>
          <w:szCs w:val="22"/>
          <w:lang w:val="en-GB"/>
        </w:rPr>
        <w:t>Advanced Level</w:t>
      </w:r>
      <w:r w:rsidR="00E975FE">
        <w:rPr>
          <w:sz w:val="22"/>
          <w:szCs w:val="22"/>
          <w:lang w:val="en-GB"/>
        </w:rPr>
        <w:t>"</w:t>
      </w:r>
      <w:r w:rsidRPr="00396ECD">
        <w:rPr>
          <w:sz w:val="22"/>
          <w:szCs w:val="22"/>
          <w:lang w:val="en-GB"/>
        </w:rPr>
        <w:t xml:space="preserve"> on the MOFEM readiness index against the remaining 95% provides an initial indication of the relationship between MOF orientation and business performance. Advanced-Level enterprises reported: a higher share of EU market exports (38% of revenue vs. 14% for lower-readiness groups); a higher rate of new product or market introduction in 2021–2023 (62% vs. 23%); and greater operational continuity during the 2022 disruption (71% maintained core operations vs. 39% for lower readiness groups). While the subgroup size (n ≈6–7 enterprises) precludes statistical inference, the directional consistency across all three performance indicators provides preliminary empirical support for the MOF framework. A controlled comparative study — tracking matched pairs of MOF-adopting and non-adopting enterprises over a three-to-five-year post-war recovery period — is identified as the priority direction for subsequent research.</w:t>
      </w:r>
    </w:p>
    <w:p w14:paraId="02AC8D61" w14:textId="77777777" w:rsidR="00460C45" w:rsidRPr="00396ECD" w:rsidRDefault="005B6ECD" w:rsidP="00116981">
      <w:pPr>
        <w:pStyle w:val="NormalnyWeb"/>
        <w:spacing w:before="0" w:beforeAutospacing="0" w:after="0" w:afterAutospacing="0"/>
        <w:ind w:firstLine="284"/>
        <w:jc w:val="both"/>
        <w:rPr>
          <w:sz w:val="22"/>
          <w:szCs w:val="22"/>
          <w:lang w:val="en-GB"/>
        </w:rPr>
      </w:pPr>
      <w:r w:rsidRPr="00396ECD">
        <w:rPr>
          <w:sz w:val="22"/>
          <w:szCs w:val="22"/>
          <w:lang w:val="en-GB"/>
        </w:rPr>
        <w:t>These results indicate that while the crisis context has heightened awareness of the need for strategic flexibility and the search for new opportunities, it has simultaneously made the conditions for implementing systematic foresight more challenging. Paradoxically, it is precisely during times of crisis and post-crisis that foresight becomes particularly valuable – but also particularly difficult to implement. This confirms the need not only to promote foresight approaches but also to develop simplified, resource-efficient foresight models adapted to the limited capabilities of the domestic agricultural sector.</w:t>
      </w:r>
    </w:p>
    <w:p w14:paraId="58EFA666" w14:textId="77777777" w:rsidR="00ED099C" w:rsidRPr="00396ECD" w:rsidRDefault="00ED099C" w:rsidP="00116981">
      <w:pPr>
        <w:pStyle w:val="NormalnyWeb"/>
        <w:spacing w:before="0" w:beforeAutospacing="0" w:after="0" w:afterAutospacing="0"/>
        <w:ind w:firstLine="284"/>
        <w:jc w:val="both"/>
        <w:rPr>
          <w:sz w:val="22"/>
          <w:szCs w:val="22"/>
          <w:lang w:val="en-GB"/>
        </w:rPr>
      </w:pPr>
    </w:p>
    <w:p w14:paraId="30B87710" w14:textId="77777777" w:rsidR="00A26214" w:rsidRPr="00396ECD" w:rsidRDefault="00A26214" w:rsidP="00ED099C">
      <w:pPr>
        <w:jc w:val="center"/>
        <w:rPr>
          <w:sz w:val="22"/>
          <w:szCs w:val="22"/>
          <w:lang w:val="en-GB"/>
        </w:rPr>
      </w:pPr>
      <w:r w:rsidRPr="00396ECD">
        <w:rPr>
          <w:noProof/>
          <w:sz w:val="22"/>
          <w:szCs w:val="22"/>
          <w:lang w:val="en-GB"/>
        </w:rPr>
        <w:drawing>
          <wp:inline distT="0" distB="0" distL="0" distR="0" wp14:anchorId="687A3A2B" wp14:editId="341676C9">
            <wp:extent cx="5943600" cy="3024505"/>
            <wp:effectExtent l="0" t="0" r="0" b="4445"/>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0"/>
                    <a:stretch>
                      <a:fillRect/>
                    </a:stretch>
                  </pic:blipFill>
                  <pic:spPr>
                    <a:xfrm>
                      <a:off x="0" y="0"/>
                      <a:ext cx="5943600" cy="3024505"/>
                    </a:xfrm>
                    <a:prstGeom prst="rect">
                      <a:avLst/>
                    </a:prstGeom>
                  </pic:spPr>
                </pic:pic>
              </a:graphicData>
            </a:graphic>
          </wp:inline>
        </w:drawing>
      </w:r>
    </w:p>
    <w:p w14:paraId="2FBC7CD4" w14:textId="428CB4A6" w:rsidR="00A26214" w:rsidRPr="00396ECD" w:rsidRDefault="0070440C" w:rsidP="00ED099C">
      <w:pPr>
        <w:pStyle w:val="Rrys"/>
        <w:rPr>
          <w:bCs/>
          <w:shd w:val="clear" w:color="auto" w:fill="FFFFFF"/>
          <w:lang w:val="en-GB"/>
        </w:rPr>
      </w:pPr>
      <w:r w:rsidRPr="00396ECD">
        <w:rPr>
          <w:b/>
          <w:bCs/>
          <w:shd w:val="clear" w:color="auto" w:fill="FFFFFF"/>
          <w:lang w:val="en-GB"/>
        </w:rPr>
        <w:t xml:space="preserve">Fig. </w:t>
      </w:r>
      <w:r w:rsidR="00ED099C" w:rsidRPr="00396ECD">
        <w:rPr>
          <w:b/>
          <w:bCs/>
          <w:shd w:val="clear" w:color="auto" w:fill="FFFFFF"/>
          <w:lang w:val="en-GB"/>
        </w:rPr>
        <w:t>5</w:t>
      </w:r>
      <w:r w:rsidRPr="00396ECD">
        <w:rPr>
          <w:b/>
          <w:bCs/>
          <w:shd w:val="clear" w:color="auto" w:fill="FFFFFF"/>
          <w:lang w:val="en-GB"/>
        </w:rPr>
        <w:t>.</w:t>
      </w:r>
      <w:r w:rsidRPr="00396ECD">
        <w:rPr>
          <w:shd w:val="clear" w:color="auto" w:fill="FFFFFF"/>
          <w:lang w:val="en-GB"/>
        </w:rPr>
        <w:t xml:space="preserve"> Matrix for Assessing the Readiness of Agrarian Enterprises for Marketing-Oriented Foresight (MOF) Implementation: Five-Block Evaluation Framework with Weighted Scoring (n</w:t>
      </w:r>
      <w:r w:rsidR="00ED099C" w:rsidRPr="00396ECD">
        <w:rPr>
          <w:shd w:val="clear" w:color="auto" w:fill="FFFFFF"/>
          <w:lang w:val="en-GB"/>
        </w:rPr>
        <w:t xml:space="preserve"> </w:t>
      </w:r>
      <w:r w:rsidRPr="00396ECD">
        <w:rPr>
          <w:shd w:val="clear" w:color="auto" w:fill="FFFFFF"/>
          <w:lang w:val="en-GB"/>
        </w:rPr>
        <w:t>=</w:t>
      </w:r>
      <w:r w:rsidR="00ED099C" w:rsidRPr="00396ECD">
        <w:rPr>
          <w:shd w:val="clear" w:color="auto" w:fill="FFFFFF"/>
          <w:lang w:val="en-GB"/>
        </w:rPr>
        <w:t xml:space="preserve"> </w:t>
      </w:r>
      <w:r w:rsidRPr="00396ECD">
        <w:rPr>
          <w:shd w:val="clear" w:color="auto" w:fill="FFFFFF"/>
          <w:lang w:val="en-GB"/>
        </w:rPr>
        <w:t>130, survey 2023)</w:t>
      </w:r>
    </w:p>
    <w:p w14:paraId="6D0D9D97" w14:textId="77777777" w:rsidR="005A0F8B" w:rsidRPr="00396ECD" w:rsidRDefault="005A0F8B" w:rsidP="00ED099C">
      <w:pPr>
        <w:jc w:val="both"/>
        <w:rPr>
          <w:i/>
          <w:iCs/>
          <w:sz w:val="20"/>
          <w:szCs w:val="20"/>
          <w:lang w:val="en-GB"/>
        </w:rPr>
      </w:pPr>
      <w:r w:rsidRPr="00396ECD">
        <w:rPr>
          <w:rStyle w:val="Uwydatnienie"/>
          <w:i w:val="0"/>
          <w:iCs w:val="0"/>
          <w:sz w:val="20"/>
          <w:szCs w:val="20"/>
          <w:shd w:val="clear" w:color="auto" w:fill="FFFFFF"/>
          <w:lang w:val="en-GB"/>
        </w:rPr>
        <w:t>Source: developed by the authors</w:t>
      </w:r>
    </w:p>
    <w:p w14:paraId="3A20F7D0" w14:textId="77777777" w:rsidR="00116981" w:rsidRPr="00396ECD" w:rsidRDefault="00116981" w:rsidP="00116981">
      <w:pPr>
        <w:pStyle w:val="NormalnyWeb"/>
        <w:spacing w:before="0" w:beforeAutospacing="0" w:after="0" w:afterAutospacing="0"/>
        <w:ind w:firstLine="284"/>
        <w:jc w:val="both"/>
        <w:rPr>
          <w:sz w:val="22"/>
          <w:szCs w:val="22"/>
          <w:lang w:val="en-GB"/>
        </w:rPr>
      </w:pPr>
    </w:p>
    <w:p w14:paraId="3E639C1F" w14:textId="0BC233FF" w:rsidR="00DC5361" w:rsidRPr="00396ECD" w:rsidRDefault="00DC5361" w:rsidP="00116981">
      <w:pPr>
        <w:pStyle w:val="NormalnyWeb"/>
        <w:spacing w:before="0" w:beforeAutospacing="0" w:after="0" w:afterAutospacing="0"/>
        <w:ind w:firstLine="284"/>
        <w:jc w:val="both"/>
        <w:rPr>
          <w:sz w:val="22"/>
          <w:szCs w:val="22"/>
          <w:lang w:val="en-GB"/>
        </w:rPr>
      </w:pPr>
      <w:r w:rsidRPr="00396ECD">
        <w:rPr>
          <w:sz w:val="22"/>
          <w:szCs w:val="22"/>
          <w:lang w:val="en-GB"/>
        </w:rPr>
        <w:lastRenderedPageBreak/>
        <w:t xml:space="preserve">The practical implementation of marketing-oriented foresight requires a preliminary assessment of the company's readiness. To this end, the authors have developed a methodological approach based on evaluating readiness across five key indicator blocks. Block 1 – "Strategic Thinking and Culture" – assesses the management team's propensity for long-term, strategic thinking, openness to uncertainty, and willingness to consider alternative future scenarios. Block 2 – "Marketing Orientation" – assesses the company's level of market orientation across three dimensions: customer orientation, competitor orientation, and cross-functional coordination. This block is critically important, as marketing orientation is a necessary condition for effective marketing-oriented foresight. Block 3 – "Information Capability" – assesses the company's ability to collect, process, and utilize external information. Block 4 – "Organizational Capability" – assesses the availability of organizational resources for foresight activities. Block 5 – "Market Position and Strategic Flexibility" – assesses the company's competitive position and its ability to </w:t>
      </w:r>
      <w:r w:rsidR="00E975FE">
        <w:rPr>
          <w:sz w:val="22"/>
          <w:szCs w:val="22"/>
          <w:lang w:val="en-GB"/>
        </w:rPr>
        <w:t>adapt its strategy</w:t>
      </w:r>
      <w:r w:rsidRPr="00396ECD">
        <w:rPr>
          <w:sz w:val="22"/>
          <w:szCs w:val="22"/>
          <w:lang w:val="en-GB"/>
        </w:rPr>
        <w:t xml:space="preserve"> to environmental changes.</w:t>
      </w:r>
    </w:p>
    <w:p w14:paraId="0E692B41" w14:textId="49858A79" w:rsidR="00DC5361" w:rsidRPr="00396ECD" w:rsidRDefault="00DC5361" w:rsidP="00116981">
      <w:pPr>
        <w:pStyle w:val="NormalnyWeb"/>
        <w:spacing w:before="0" w:beforeAutospacing="0" w:after="0" w:afterAutospacing="0"/>
        <w:ind w:firstLine="284"/>
        <w:jc w:val="both"/>
        <w:rPr>
          <w:sz w:val="22"/>
          <w:szCs w:val="22"/>
          <w:lang w:val="en-GB"/>
        </w:rPr>
      </w:pPr>
      <w:r w:rsidRPr="00396ECD">
        <w:rPr>
          <w:sz w:val="22"/>
          <w:szCs w:val="22"/>
          <w:lang w:val="en-GB"/>
        </w:rPr>
        <w:t>Each block is rated on a 10-point scale. Overall readiness for implementing marketing-oriented foresight is calculated as a weighted average index with different block weights: Block 1 – 20%, Block 2 – 30% (highest priority, as marketing orientation is at the core of the concept), Block 3 – 25%, Block 4 – 15%, Block 5 – 10%. Based on the assessment results, the company is classified into one of four readiness groups: "Beginner" (0–4 points), "Basic Level" (4–6 points), "Advanced Level" (6–8 points), "Leader" (8–10 points)</w:t>
      </w:r>
      <w:r w:rsidR="00544697" w:rsidRPr="00396ECD">
        <w:rPr>
          <w:sz w:val="22"/>
          <w:szCs w:val="22"/>
          <w:lang w:val="en-GB"/>
        </w:rPr>
        <w:t>—</w:t>
      </w:r>
      <w:r w:rsidRPr="00396ECD">
        <w:rPr>
          <w:sz w:val="22"/>
          <w:szCs w:val="22"/>
          <w:lang w:val="en-GB"/>
        </w:rPr>
        <w:t>and receives corresponding recommendations regarding the development trajectory of foresight competencies. Testing the methodology on the study sample showed that 79% of enterprises fall into the "Beginner" group, 16% into the "Basic Level" group, and only 5% into the "Advanced Level" group. No enterprise in the sample met the criteria for the "Leader" group.</w:t>
      </w:r>
    </w:p>
    <w:p w14:paraId="73AD15DB" w14:textId="77777777" w:rsidR="00DC5361" w:rsidRPr="00396ECD" w:rsidRDefault="00DC5361" w:rsidP="00116981">
      <w:pPr>
        <w:pStyle w:val="NormalnyWeb"/>
        <w:spacing w:before="0" w:beforeAutospacing="0" w:after="0" w:afterAutospacing="0"/>
        <w:ind w:firstLine="284"/>
        <w:jc w:val="both"/>
        <w:rPr>
          <w:sz w:val="22"/>
          <w:szCs w:val="22"/>
          <w:lang w:val="en-GB"/>
        </w:rPr>
      </w:pPr>
      <w:r w:rsidRPr="00396ECD">
        <w:rPr>
          <w:sz w:val="22"/>
          <w:szCs w:val="22"/>
          <w:lang w:val="en-GB"/>
        </w:rPr>
        <w:t>The digital transformation of the agricultural sector opens up fundamentally new opportunities for the development of marketing-oriented foresight, significantly expanding the methodological arsenal and reducing the transaction costs of foresight activities. Big data and predictive analytics enable the analysis of vast amounts of market, production, and consumer information that were previously inaccessible for systematic analysis. Of particular value to agricultural enterprises are: analysis of the dynamics of consumer preferences based on data from social networks, e-commerce platforms, and consumer reviews; analysis of price trends and trade flows based on data from international commodity exchanges; and analysis of weather trends and agroclimatic conditions based on data from weather stations and satellites.</w:t>
      </w:r>
    </w:p>
    <w:p w14:paraId="522C6A12" w14:textId="77777777" w:rsidR="00DC5361" w:rsidRPr="00396ECD" w:rsidRDefault="00DC5361" w:rsidP="00116981">
      <w:pPr>
        <w:pStyle w:val="NormalnyWeb"/>
        <w:spacing w:before="0" w:beforeAutospacing="0" w:after="0" w:afterAutospacing="0"/>
        <w:ind w:firstLine="284"/>
        <w:jc w:val="both"/>
        <w:rPr>
          <w:sz w:val="22"/>
          <w:szCs w:val="22"/>
          <w:lang w:val="en-GB"/>
        </w:rPr>
      </w:pPr>
      <w:r w:rsidRPr="00396ECD">
        <w:rPr>
          <w:sz w:val="22"/>
          <w:szCs w:val="22"/>
          <w:lang w:val="en-GB"/>
        </w:rPr>
        <w:t xml:space="preserve">Artificial intelligence and machine learning are transforming forecasting capabilities in the agricultural and market sectors. AI-based crop yield forecasting systems are already demonstrating accuracy that surpasses traditional agronomic estimates (AgroPortal.ua, 2025). Similar approaches are used to forecast prices in agricultural commodity markets, where AI models can account for a complex set of factors–from weather conditions in key production areas to geopolitical risks and trader </w:t>
      </w:r>
      <w:proofErr w:type="spellStart"/>
      <w:r w:rsidRPr="00396ECD">
        <w:rPr>
          <w:sz w:val="22"/>
          <w:szCs w:val="22"/>
          <w:lang w:val="en-GB"/>
        </w:rPr>
        <w:t>behavior</w:t>
      </w:r>
      <w:proofErr w:type="spellEnd"/>
      <w:r w:rsidRPr="00396ECD">
        <w:rPr>
          <w:sz w:val="22"/>
          <w:szCs w:val="22"/>
          <w:lang w:val="en-GB"/>
        </w:rPr>
        <w:t>.</w:t>
      </w:r>
    </w:p>
    <w:p w14:paraId="0CEE0398" w14:textId="474BF0A9" w:rsidR="00DC5361" w:rsidRPr="00396ECD" w:rsidRDefault="00DC5361" w:rsidP="00116981">
      <w:pPr>
        <w:pStyle w:val="NormalnyWeb"/>
        <w:spacing w:before="0" w:beforeAutospacing="0" w:after="0" w:afterAutospacing="0"/>
        <w:ind w:firstLine="284"/>
        <w:jc w:val="both"/>
        <w:rPr>
          <w:sz w:val="22"/>
          <w:szCs w:val="22"/>
          <w:lang w:val="en-GB"/>
        </w:rPr>
      </w:pPr>
      <w:r w:rsidRPr="00396ECD">
        <w:rPr>
          <w:sz w:val="22"/>
          <w:szCs w:val="22"/>
          <w:lang w:val="en-GB"/>
        </w:rPr>
        <w:t xml:space="preserve">Digital platforms and ecosystems are opening new channels for direct communication between agricultural producers and end consumers, providing a unique opportunity to track the evolution of consumer preferences in real time. Analysis of trends in search queries, social media, and food delivery platforms can </w:t>
      </w:r>
      <w:r w:rsidR="00E975FE">
        <w:rPr>
          <w:sz w:val="22"/>
          <w:szCs w:val="22"/>
          <w:lang w:val="en-GB"/>
        </w:rPr>
        <w:t xml:space="preserve">be </w:t>
      </w:r>
      <w:r w:rsidRPr="00396ECD">
        <w:rPr>
          <w:sz w:val="22"/>
          <w:szCs w:val="22"/>
          <w:lang w:val="en-GB"/>
        </w:rPr>
        <w:t>a source of "weak signals" for marketing-oriented foresight.</w:t>
      </w:r>
    </w:p>
    <w:p w14:paraId="220C8389" w14:textId="3FDE7C89" w:rsidR="00DC5361" w:rsidRPr="00396ECD" w:rsidRDefault="00DC5361" w:rsidP="00116981">
      <w:pPr>
        <w:pStyle w:val="NormalnyWeb"/>
        <w:spacing w:before="0" w:beforeAutospacing="0" w:after="0" w:afterAutospacing="0"/>
        <w:ind w:firstLine="284"/>
        <w:jc w:val="both"/>
        <w:rPr>
          <w:sz w:val="22"/>
          <w:szCs w:val="22"/>
          <w:lang w:val="en-GB"/>
        </w:rPr>
      </w:pPr>
      <w:r w:rsidRPr="00396ECD">
        <w:rPr>
          <w:sz w:val="22"/>
          <w:szCs w:val="22"/>
          <w:lang w:val="en-GB"/>
        </w:rPr>
        <w:t>At the same time, the development of digital foresight tools does not diminish</w:t>
      </w:r>
      <w:r w:rsidR="00E975FE">
        <w:rPr>
          <w:sz w:val="22"/>
          <w:szCs w:val="22"/>
          <w:lang w:val="en-GB"/>
        </w:rPr>
        <w:t xml:space="preserve"> but, in a certain sense, reinforces</w:t>
      </w:r>
      <w:r w:rsidRPr="00396ECD">
        <w:rPr>
          <w:sz w:val="22"/>
          <w:szCs w:val="22"/>
          <w:lang w:val="en-GB"/>
        </w:rPr>
        <w:t xml:space="preserve"> the importance of qualitative methods and human interpretation. Algorithms are good at identifying statistical patterns in large sets of structured data, but they are less effective at identifying qualitatively new, unprecedented trends and "wild cards". Therefore, the optimal model of digital marketing-oriented foresight involves a combination of powerful analytical tools and systematic expert work.</w:t>
      </w:r>
    </w:p>
    <w:p w14:paraId="551EE3C7" w14:textId="77777777" w:rsidR="00DC5361" w:rsidRPr="00396ECD" w:rsidRDefault="00DC5361" w:rsidP="00116981">
      <w:pPr>
        <w:pStyle w:val="NormalnyWeb"/>
        <w:spacing w:before="0" w:beforeAutospacing="0" w:after="0" w:afterAutospacing="0"/>
        <w:ind w:firstLine="284"/>
        <w:jc w:val="both"/>
        <w:rPr>
          <w:sz w:val="22"/>
          <w:szCs w:val="22"/>
          <w:lang w:val="en-GB"/>
        </w:rPr>
      </w:pPr>
      <w:r w:rsidRPr="00396ECD">
        <w:rPr>
          <w:sz w:val="22"/>
          <w:szCs w:val="22"/>
          <w:lang w:val="en-GB"/>
        </w:rPr>
        <w:t>Ukraine's post-war recovery and the prospect of European integration create a unique context for the development of marketing-oriented foresight in the agricultural sector. On the one hand, the scale of destruction and the need for rapid restoration of production capacity call into question the feasibility of long-term foresight. On the other hand, it is precisely in the context of large-scale restructuring that foresight becomes particularly valuable–as a tool that allows not merely to "restore what was," but to build the future while accounting for radically new conditions.</w:t>
      </w:r>
    </w:p>
    <w:p w14:paraId="1D152E4C" w14:textId="77777777" w:rsidR="00DC5361" w:rsidRPr="00396ECD" w:rsidRDefault="00DC5361" w:rsidP="00116981">
      <w:pPr>
        <w:pStyle w:val="NormalnyWeb"/>
        <w:spacing w:before="0" w:beforeAutospacing="0" w:after="0" w:afterAutospacing="0"/>
        <w:ind w:firstLine="284"/>
        <w:jc w:val="both"/>
        <w:rPr>
          <w:sz w:val="22"/>
          <w:szCs w:val="22"/>
          <w:lang w:val="en-GB"/>
        </w:rPr>
      </w:pPr>
      <w:r w:rsidRPr="00396ECD">
        <w:rPr>
          <w:sz w:val="22"/>
          <w:szCs w:val="22"/>
          <w:lang w:val="en-GB"/>
        </w:rPr>
        <w:t>Incorporating a foresight approach into the post-war recovery strategy for agricultural enterprises allows us to avoid the trap of "restoring to pre-war conditions" and to develop a more ambitious transformation program (UCAB, 2026). In particular, the restoration of production infrastructure presents a unique opportunity to transition to more efficient and environmentally friendly technologies: the costs of "green" solutions when building from scratch are significantly lower than when modernizing existing facilities.</w:t>
      </w:r>
    </w:p>
    <w:p w14:paraId="509DEDC1" w14:textId="6B4E23AE" w:rsidR="00DC5361" w:rsidRPr="00396ECD" w:rsidRDefault="00DC5361" w:rsidP="00116981">
      <w:pPr>
        <w:pStyle w:val="NormalnyWeb"/>
        <w:spacing w:before="0" w:beforeAutospacing="0" w:after="0" w:afterAutospacing="0"/>
        <w:ind w:firstLine="284"/>
        <w:jc w:val="both"/>
        <w:rPr>
          <w:sz w:val="22"/>
          <w:szCs w:val="22"/>
          <w:lang w:val="en-GB"/>
        </w:rPr>
      </w:pPr>
      <w:r w:rsidRPr="00396ECD">
        <w:rPr>
          <w:sz w:val="22"/>
          <w:szCs w:val="22"/>
          <w:lang w:val="en-GB"/>
        </w:rPr>
        <w:t xml:space="preserve">To quantitatively assess the effectiveness of marketing-oriented foresight in the context of post-war reconstruction, and to directly address the financial justification concern—given that 72% of surveyed enterprises cited limited financial resources as a primary barrier—the authors have developed the MOFEM (Marketing-Oriented Foresight Effectiveness Model). MOFEM integrates the marketing orientation index (MOI), the </w:t>
      </w:r>
      <w:r w:rsidRPr="00396ECD">
        <w:rPr>
          <w:sz w:val="22"/>
          <w:szCs w:val="22"/>
          <w:lang w:val="en-GB"/>
        </w:rPr>
        <w:lastRenderedPageBreak/>
        <w:t xml:space="preserve">foresight implementation index (FAI), and the external environment turbulence coefficient (τ), and includes an NPV decision rule enabling enterprises to evaluate whether foresight investment is financially justified for their specific scale of operations. The model is deliberately designed to be calculable without specialized software, using only data available to a typical agricultural enterprise (annual revenue, export share, current planning horizon, advisory expenditure). Applied to a representative small farm (annual revenue USD 150,000; foresight cost USD 1,000/year; conservative 2% market positioning improvement on 25% of output), the NPV of MOF implementation over a five-year horizon at an 8% discount rate is approximately USD 8,400 </w:t>
      </w:r>
      <w:r w:rsidR="002D2110">
        <w:rPr>
          <w:sz w:val="22"/>
          <w:szCs w:val="22"/>
          <w:lang w:val="en-GB"/>
        </w:rPr>
        <w:br/>
      </w:r>
      <w:r w:rsidRPr="00396ECD">
        <w:rPr>
          <w:sz w:val="22"/>
          <w:szCs w:val="22"/>
          <w:lang w:val="en-GB"/>
        </w:rPr>
        <w:t>— a positive return that justifies investment even under pessimistic assumptions. The main relationships of the model are presented below.</w:t>
      </w:r>
    </w:p>
    <w:p w14:paraId="55B6DE47" w14:textId="77777777" w:rsidR="00460C45" w:rsidRPr="006E1670" w:rsidRDefault="00460C45" w:rsidP="007902B4">
      <w:pPr>
        <w:pStyle w:val="Rn2"/>
        <w:spacing w:before="60" w:after="60"/>
        <w:rPr>
          <w:lang w:val="en-US"/>
        </w:rPr>
      </w:pPr>
      <w:r w:rsidRPr="006E1670">
        <w:rPr>
          <w:lang w:val="en-US"/>
        </w:rPr>
        <w:t>Marketing Forecasting Effectiveness Model (MOFEM)</w:t>
      </w:r>
    </w:p>
    <w:p w14:paraId="637A2979" w14:textId="77777777" w:rsidR="0069413E" w:rsidRPr="00396ECD" w:rsidRDefault="0069413E" w:rsidP="00116981">
      <w:pPr>
        <w:pStyle w:val="NormalnyWeb"/>
        <w:shd w:val="clear" w:color="auto" w:fill="FFFFFF" w:themeFill="background1"/>
        <w:spacing w:before="0" w:beforeAutospacing="0" w:after="0" w:afterAutospacing="0"/>
        <w:ind w:firstLine="284"/>
        <w:jc w:val="both"/>
        <w:rPr>
          <w:sz w:val="22"/>
          <w:szCs w:val="22"/>
          <w:lang w:val="en-GB"/>
        </w:rPr>
      </w:pPr>
      <w:r w:rsidRPr="00396ECD">
        <w:rPr>
          <w:sz w:val="22"/>
          <w:szCs w:val="22"/>
          <w:lang w:val="en-GB"/>
        </w:rPr>
        <w:t>This model formalises the relationship between an agrarian enterprise's marketing orientation capacity, foresight competence, and strategic competitiveness. It integrates: (</w:t>
      </w:r>
      <w:proofErr w:type="spellStart"/>
      <w:r w:rsidRPr="00396ECD">
        <w:rPr>
          <w:rStyle w:val="Uwydatnienie"/>
          <w:sz w:val="22"/>
          <w:szCs w:val="22"/>
          <w:lang w:val="en-GB"/>
        </w:rPr>
        <w:t>i</w:t>
      </w:r>
      <w:proofErr w:type="spellEnd"/>
      <w:r w:rsidRPr="00396ECD">
        <w:rPr>
          <w:sz w:val="22"/>
          <w:szCs w:val="22"/>
          <w:lang w:val="en-GB"/>
        </w:rPr>
        <w:t xml:space="preserve">) </w:t>
      </w:r>
      <w:proofErr w:type="spellStart"/>
      <w:r w:rsidRPr="00396ECD">
        <w:rPr>
          <w:sz w:val="22"/>
          <w:szCs w:val="22"/>
          <w:lang w:val="en-GB"/>
        </w:rPr>
        <w:t>Narver</w:t>
      </w:r>
      <w:proofErr w:type="spellEnd"/>
      <w:r w:rsidRPr="00396ECD">
        <w:rPr>
          <w:sz w:val="22"/>
          <w:szCs w:val="22"/>
          <w:lang w:val="en-GB"/>
        </w:rPr>
        <w:t xml:space="preserve"> &amp; Slater's (1990) market orientation construct; (</w:t>
      </w:r>
      <w:r w:rsidRPr="00396ECD">
        <w:rPr>
          <w:rStyle w:val="Uwydatnienie"/>
          <w:sz w:val="22"/>
          <w:szCs w:val="22"/>
          <w:lang w:val="en-GB"/>
        </w:rPr>
        <w:t>ii</w:t>
      </w:r>
      <w:r w:rsidRPr="00396ECD">
        <w:rPr>
          <w:sz w:val="22"/>
          <w:szCs w:val="22"/>
          <w:lang w:val="en-GB"/>
        </w:rPr>
        <w:t>) Popper's (2008) foresight methodology; (</w:t>
      </w:r>
      <w:r w:rsidRPr="00396ECD">
        <w:rPr>
          <w:rStyle w:val="Uwydatnienie"/>
          <w:sz w:val="22"/>
          <w:szCs w:val="22"/>
          <w:lang w:val="en-GB"/>
        </w:rPr>
        <w:t>iii</w:t>
      </w:r>
      <w:r w:rsidRPr="00396ECD">
        <w:rPr>
          <w:sz w:val="22"/>
          <w:szCs w:val="22"/>
          <w:lang w:val="en-GB"/>
        </w:rPr>
        <w:t>) scenario-based planning theory.</w:t>
      </w:r>
    </w:p>
    <w:p w14:paraId="6096056F" w14:textId="51EF2C04" w:rsidR="0069413E" w:rsidRPr="00396ECD" w:rsidRDefault="00ED099C" w:rsidP="00ED099C">
      <w:pPr>
        <w:pStyle w:val="Rn2"/>
        <w:rPr>
          <w:rFonts w:cs="Times New Roman"/>
          <w:caps/>
          <w:lang w:val="en-GB"/>
        </w:rPr>
      </w:pPr>
      <w:r w:rsidRPr="00396ECD">
        <w:rPr>
          <w:lang w:val="en-GB"/>
        </w:rPr>
        <w:t>Core Assumptions</w:t>
      </w:r>
    </w:p>
    <w:p w14:paraId="765B648A" w14:textId="6FBDF358" w:rsidR="002305BA" w:rsidRPr="00396ECD" w:rsidRDefault="0069413E" w:rsidP="00116981">
      <w:pPr>
        <w:pStyle w:val="NormalnyWeb"/>
        <w:shd w:val="clear" w:color="auto" w:fill="FFFFFF" w:themeFill="background1"/>
        <w:spacing w:before="0" w:beforeAutospacing="0" w:after="0" w:afterAutospacing="0"/>
        <w:ind w:firstLine="284"/>
        <w:jc w:val="both"/>
        <w:rPr>
          <w:sz w:val="22"/>
          <w:szCs w:val="22"/>
          <w:lang w:val="en-GB"/>
        </w:rPr>
      </w:pPr>
      <w:r w:rsidRPr="00396ECD">
        <w:rPr>
          <w:rStyle w:val="Pogrubienie"/>
          <w:sz w:val="22"/>
          <w:szCs w:val="22"/>
          <w:lang w:val="en-GB"/>
        </w:rPr>
        <w:t>A1.</w:t>
      </w:r>
      <w:r w:rsidRPr="00396ECD">
        <w:rPr>
          <w:sz w:val="22"/>
          <w:szCs w:val="22"/>
          <w:lang w:val="en-GB"/>
        </w:rPr>
        <w:t> Strategic competitiveness (C)=f(MOI, FAI, τ).</w:t>
      </w:r>
    </w:p>
    <w:p w14:paraId="2B2CED95" w14:textId="77777777" w:rsidR="002305BA" w:rsidRPr="00396ECD" w:rsidRDefault="0069413E" w:rsidP="00116981">
      <w:pPr>
        <w:pStyle w:val="NormalnyWeb"/>
        <w:shd w:val="clear" w:color="auto" w:fill="FFFFFF" w:themeFill="background1"/>
        <w:spacing w:before="0" w:beforeAutospacing="0" w:after="0" w:afterAutospacing="0"/>
        <w:ind w:firstLine="284"/>
        <w:jc w:val="both"/>
        <w:rPr>
          <w:sz w:val="22"/>
          <w:szCs w:val="22"/>
          <w:lang w:val="en-GB"/>
        </w:rPr>
      </w:pPr>
      <w:r w:rsidRPr="00396ECD">
        <w:rPr>
          <w:rStyle w:val="Pogrubienie"/>
          <w:sz w:val="22"/>
          <w:szCs w:val="22"/>
          <w:lang w:val="en-GB"/>
        </w:rPr>
        <w:t>A2.</w:t>
      </w:r>
      <w:r w:rsidRPr="00396ECD">
        <w:rPr>
          <w:sz w:val="22"/>
          <w:szCs w:val="22"/>
          <w:lang w:val="en-GB"/>
        </w:rPr>
        <w:t> Foresight effectiveness is amplified by marketing orientation: higher MOI → higher ROI on foresight.</w:t>
      </w:r>
    </w:p>
    <w:p w14:paraId="75A332E2" w14:textId="77777777" w:rsidR="0069413E" w:rsidRPr="00396ECD" w:rsidRDefault="0069413E" w:rsidP="00116981">
      <w:pPr>
        <w:pStyle w:val="NormalnyWeb"/>
        <w:shd w:val="clear" w:color="auto" w:fill="FFFFFF" w:themeFill="background1"/>
        <w:spacing w:before="0" w:beforeAutospacing="0" w:after="0" w:afterAutospacing="0"/>
        <w:ind w:firstLine="284"/>
        <w:jc w:val="both"/>
        <w:rPr>
          <w:sz w:val="22"/>
          <w:szCs w:val="22"/>
          <w:lang w:val="en-GB"/>
        </w:rPr>
      </w:pPr>
      <w:r w:rsidRPr="00396ECD">
        <w:rPr>
          <w:rStyle w:val="Pogrubienie"/>
          <w:sz w:val="22"/>
          <w:szCs w:val="22"/>
          <w:lang w:val="en-GB"/>
        </w:rPr>
        <w:t>A3.</w:t>
      </w:r>
      <w:r w:rsidRPr="00396ECD">
        <w:rPr>
          <w:sz w:val="22"/>
          <w:szCs w:val="22"/>
          <w:lang w:val="en-GB"/>
        </w:rPr>
        <w:t> All indices are normalised to [0, 1]; financial values in USD.</w:t>
      </w:r>
    </w:p>
    <w:p w14:paraId="10E40C6E" w14:textId="348FAE5C" w:rsidR="0069413E" w:rsidRPr="00396ECD" w:rsidRDefault="0069413E" w:rsidP="00ED099C">
      <w:pPr>
        <w:pStyle w:val="Rn2"/>
        <w:rPr>
          <w:lang w:val="en-GB"/>
        </w:rPr>
      </w:pPr>
      <w:r w:rsidRPr="00396ECD">
        <w:rPr>
          <w:lang w:val="en-GB"/>
        </w:rPr>
        <w:t>Section 2</w:t>
      </w:r>
      <w:r w:rsidR="009C2C1A">
        <w:rPr>
          <w:lang w:val="en-GB"/>
        </w:rPr>
        <w:t xml:space="preserve"> </w:t>
      </w:r>
      <w:r w:rsidR="009C2C1A" w:rsidRPr="009C2C1A">
        <w:rPr>
          <w:lang w:val="en-GB"/>
        </w:rPr>
        <w:t>·</w:t>
      </w:r>
      <w:r w:rsidRPr="00396ECD">
        <w:rPr>
          <w:lang w:val="en-GB"/>
        </w:rPr>
        <w:t xml:space="preserve"> Primary Indices</w:t>
      </w:r>
    </w:p>
    <w:p w14:paraId="17BD830C" w14:textId="327344D5" w:rsidR="0069413E" w:rsidRPr="00396ECD" w:rsidRDefault="0069413E" w:rsidP="00ED099C">
      <w:pPr>
        <w:pStyle w:val="Rn2"/>
        <w:rPr>
          <w:bCs/>
          <w:lang w:val="en-GB"/>
        </w:rPr>
      </w:pPr>
      <w:r w:rsidRPr="00396ECD">
        <w:rPr>
          <w:lang w:val="en-GB"/>
        </w:rPr>
        <w:t>2.1</w:t>
      </w:r>
      <w:r w:rsidR="00ED099C" w:rsidRPr="00396ECD">
        <w:rPr>
          <w:lang w:val="en-GB"/>
        </w:rPr>
        <w:t>.</w:t>
      </w:r>
      <w:r w:rsidRPr="00396ECD">
        <w:rPr>
          <w:lang w:val="en-GB"/>
        </w:rPr>
        <w:t xml:space="preserve"> Marketing Orientation Index (MOI)</w:t>
      </w:r>
    </w:p>
    <w:p w14:paraId="5C5927D8" w14:textId="77777777" w:rsidR="0069413E" w:rsidRPr="00396ECD" w:rsidRDefault="0069413E" w:rsidP="00116981">
      <w:pPr>
        <w:pStyle w:val="NormalnyWeb"/>
        <w:shd w:val="clear" w:color="auto" w:fill="FFFFFF" w:themeFill="background1"/>
        <w:spacing w:before="0" w:beforeAutospacing="0" w:after="0" w:afterAutospacing="0"/>
        <w:ind w:firstLine="284"/>
        <w:jc w:val="both"/>
        <w:rPr>
          <w:sz w:val="22"/>
          <w:szCs w:val="22"/>
          <w:lang w:val="en-GB"/>
        </w:rPr>
      </w:pPr>
      <w:r w:rsidRPr="00396ECD">
        <w:rPr>
          <w:sz w:val="22"/>
          <w:szCs w:val="22"/>
          <w:lang w:val="en-GB"/>
        </w:rPr>
        <w:t>Weighted composite of three sub-indices:</w:t>
      </w:r>
    </w:p>
    <w:p w14:paraId="635A640E" w14:textId="609470D8" w:rsidR="0069413E" w:rsidRPr="00396ECD" w:rsidRDefault="00280F7B" w:rsidP="00280F7B">
      <w:pPr>
        <w:shd w:val="clear" w:color="auto" w:fill="FFFFFF" w:themeFill="background1"/>
        <w:spacing w:before="60" w:after="60"/>
        <w:ind w:left="322"/>
        <w:jc w:val="both"/>
        <w:rPr>
          <w:sz w:val="22"/>
          <w:szCs w:val="22"/>
          <w:lang w:val="en-GB"/>
        </w:rPr>
      </w:pPr>
      <w:r w:rsidRPr="00396ECD">
        <w:rPr>
          <w:sz w:val="22"/>
          <w:szCs w:val="22"/>
          <w:lang w:val="en-GB"/>
        </w:rPr>
        <w:t xml:space="preserve">(1) </w:t>
      </w:r>
      <w:r w:rsidR="0069413E" w:rsidRPr="00396ECD">
        <w:rPr>
          <w:sz w:val="22"/>
          <w:szCs w:val="22"/>
          <w:lang w:val="en-GB"/>
        </w:rPr>
        <w:t>MOI=0.40</w:t>
      </w:r>
      <w:r w:rsidR="0069413E" w:rsidRPr="00396ECD">
        <w:rPr>
          <w:rFonts w:ascii="Cambria Math" w:hAnsi="Cambria Math" w:cs="Cambria Math"/>
          <w:sz w:val="22"/>
          <w:szCs w:val="22"/>
          <w:lang w:val="en-GB"/>
        </w:rPr>
        <w:t>⋅</w:t>
      </w:r>
      <w:r w:rsidR="0069413E" w:rsidRPr="00396ECD">
        <w:rPr>
          <w:sz w:val="22"/>
          <w:szCs w:val="22"/>
          <w:lang w:val="en-GB"/>
        </w:rPr>
        <w:t>CO+0.35</w:t>
      </w:r>
      <w:r w:rsidR="0069413E" w:rsidRPr="00396ECD">
        <w:rPr>
          <w:rFonts w:ascii="Cambria Math" w:hAnsi="Cambria Math" w:cs="Cambria Math"/>
          <w:sz w:val="22"/>
          <w:szCs w:val="22"/>
          <w:lang w:val="en-GB"/>
        </w:rPr>
        <w:t>⋅</w:t>
      </w:r>
      <w:r w:rsidR="0069413E" w:rsidRPr="00396ECD">
        <w:rPr>
          <w:sz w:val="22"/>
          <w:szCs w:val="22"/>
          <w:lang w:val="en-GB"/>
        </w:rPr>
        <w:t>CompO+0.25</w:t>
      </w:r>
      <w:r w:rsidR="0069413E" w:rsidRPr="00396ECD">
        <w:rPr>
          <w:rFonts w:ascii="Cambria Math" w:hAnsi="Cambria Math" w:cs="Cambria Math"/>
          <w:sz w:val="22"/>
          <w:szCs w:val="22"/>
          <w:lang w:val="en-GB"/>
        </w:rPr>
        <w:t>⋅</w:t>
      </w:r>
      <w:r w:rsidR="0069413E" w:rsidRPr="00396ECD">
        <w:rPr>
          <w:sz w:val="22"/>
          <w:szCs w:val="22"/>
          <w:lang w:val="en-GB"/>
        </w:rPr>
        <w:t>IC</w:t>
      </w:r>
    </w:p>
    <w:tbl>
      <w:tblPr>
        <w:tblStyle w:val="Tabela-Siatka"/>
        <w:tblW w:w="5524" w:type="dxa"/>
        <w:tblBorders>
          <w:left w:val="none" w:sz="0" w:space="0" w:color="auto"/>
          <w:right w:val="none" w:sz="0" w:space="0" w:color="auto"/>
          <w:insideV w:val="none" w:sz="0" w:space="0" w:color="auto"/>
        </w:tblBorders>
        <w:tblLook w:val="04A0" w:firstRow="1" w:lastRow="0" w:firstColumn="1" w:lastColumn="0" w:noHBand="0" w:noVBand="1"/>
      </w:tblPr>
      <w:tblGrid>
        <w:gridCol w:w="988"/>
        <w:gridCol w:w="3685"/>
        <w:gridCol w:w="851"/>
      </w:tblGrid>
      <w:tr w:rsidR="00116981" w:rsidRPr="00396ECD" w14:paraId="56BC94E2" w14:textId="77777777" w:rsidTr="00C12399">
        <w:trPr>
          <w:trHeight w:val="340"/>
        </w:trPr>
        <w:tc>
          <w:tcPr>
            <w:tcW w:w="988" w:type="dxa"/>
            <w:vAlign w:val="center"/>
            <w:hideMark/>
          </w:tcPr>
          <w:p w14:paraId="1DBD5E15" w14:textId="77777777" w:rsidR="0069413E" w:rsidRPr="00396ECD" w:rsidRDefault="00BC340C" w:rsidP="007902B4">
            <w:pPr>
              <w:shd w:val="clear" w:color="auto" w:fill="FFFFFF" w:themeFill="background1"/>
              <w:jc w:val="center"/>
              <w:rPr>
                <w:caps/>
                <w:sz w:val="22"/>
                <w:szCs w:val="22"/>
                <w:lang w:val="en-GB"/>
              </w:rPr>
            </w:pPr>
            <w:r w:rsidRPr="00396ECD">
              <w:rPr>
                <w:sz w:val="22"/>
                <w:szCs w:val="22"/>
                <w:lang w:val="en-GB"/>
              </w:rPr>
              <w:t>Symbol</w:t>
            </w:r>
          </w:p>
        </w:tc>
        <w:tc>
          <w:tcPr>
            <w:tcW w:w="3685" w:type="dxa"/>
            <w:vAlign w:val="center"/>
            <w:hideMark/>
          </w:tcPr>
          <w:p w14:paraId="04CEFBD0" w14:textId="77777777" w:rsidR="0069413E" w:rsidRPr="00396ECD" w:rsidRDefault="00BC340C" w:rsidP="007902B4">
            <w:pPr>
              <w:shd w:val="clear" w:color="auto" w:fill="FFFFFF" w:themeFill="background1"/>
              <w:jc w:val="center"/>
              <w:rPr>
                <w:caps/>
                <w:sz w:val="22"/>
                <w:szCs w:val="22"/>
                <w:lang w:val="en-GB"/>
              </w:rPr>
            </w:pPr>
            <w:r w:rsidRPr="00396ECD">
              <w:rPr>
                <w:sz w:val="22"/>
                <w:szCs w:val="22"/>
                <w:lang w:val="en-GB"/>
              </w:rPr>
              <w:t>Definition</w:t>
            </w:r>
          </w:p>
        </w:tc>
        <w:tc>
          <w:tcPr>
            <w:tcW w:w="851" w:type="dxa"/>
            <w:vAlign w:val="center"/>
            <w:hideMark/>
          </w:tcPr>
          <w:p w14:paraId="139F062C" w14:textId="77777777" w:rsidR="0069413E" w:rsidRPr="00396ECD" w:rsidRDefault="00BC340C" w:rsidP="007902B4">
            <w:pPr>
              <w:shd w:val="clear" w:color="auto" w:fill="FFFFFF" w:themeFill="background1"/>
              <w:jc w:val="center"/>
              <w:rPr>
                <w:caps/>
                <w:sz w:val="22"/>
                <w:szCs w:val="22"/>
                <w:lang w:val="en-GB"/>
              </w:rPr>
            </w:pPr>
            <w:r w:rsidRPr="00396ECD">
              <w:rPr>
                <w:sz w:val="22"/>
                <w:szCs w:val="22"/>
                <w:lang w:val="en-GB"/>
              </w:rPr>
              <w:t>Scale</w:t>
            </w:r>
          </w:p>
        </w:tc>
      </w:tr>
      <w:tr w:rsidR="00116981" w:rsidRPr="00396ECD" w14:paraId="38C5DB16" w14:textId="77777777" w:rsidTr="00C12399">
        <w:trPr>
          <w:trHeight w:val="283"/>
        </w:trPr>
        <w:tc>
          <w:tcPr>
            <w:tcW w:w="988" w:type="dxa"/>
            <w:noWrap/>
            <w:hideMark/>
          </w:tcPr>
          <w:p w14:paraId="1BA88635" w14:textId="77777777" w:rsidR="0069413E" w:rsidRPr="00396ECD" w:rsidRDefault="0069413E" w:rsidP="00ED099C">
            <w:pPr>
              <w:shd w:val="clear" w:color="auto" w:fill="FFFFFF" w:themeFill="background1"/>
              <w:jc w:val="both"/>
              <w:rPr>
                <w:sz w:val="22"/>
                <w:szCs w:val="22"/>
                <w:lang w:val="en-GB"/>
              </w:rPr>
            </w:pPr>
            <w:r w:rsidRPr="00396ECD">
              <w:rPr>
                <w:sz w:val="22"/>
                <w:szCs w:val="22"/>
                <w:lang w:val="en-GB"/>
              </w:rPr>
              <w:t>CO</w:t>
            </w:r>
          </w:p>
        </w:tc>
        <w:tc>
          <w:tcPr>
            <w:tcW w:w="3685" w:type="dxa"/>
            <w:hideMark/>
          </w:tcPr>
          <w:p w14:paraId="2B316C82" w14:textId="77777777" w:rsidR="0069413E" w:rsidRPr="00396ECD" w:rsidRDefault="0069413E" w:rsidP="00ED099C">
            <w:pPr>
              <w:shd w:val="clear" w:color="auto" w:fill="FFFFFF" w:themeFill="background1"/>
              <w:jc w:val="both"/>
              <w:rPr>
                <w:sz w:val="22"/>
                <w:szCs w:val="22"/>
                <w:lang w:val="en-GB"/>
              </w:rPr>
            </w:pPr>
            <w:r w:rsidRPr="00396ECD">
              <w:rPr>
                <w:sz w:val="22"/>
                <w:szCs w:val="22"/>
                <w:lang w:val="en-GB"/>
              </w:rPr>
              <w:t>Consumer Orientation sub-index</w:t>
            </w:r>
          </w:p>
        </w:tc>
        <w:tc>
          <w:tcPr>
            <w:tcW w:w="851" w:type="dxa"/>
            <w:hideMark/>
          </w:tcPr>
          <w:p w14:paraId="221C751F" w14:textId="77777777" w:rsidR="0069413E" w:rsidRPr="00396ECD" w:rsidRDefault="0069413E" w:rsidP="00ED099C">
            <w:pPr>
              <w:shd w:val="clear" w:color="auto" w:fill="FFFFFF" w:themeFill="background1"/>
              <w:jc w:val="center"/>
              <w:rPr>
                <w:sz w:val="22"/>
                <w:szCs w:val="22"/>
                <w:lang w:val="en-GB"/>
              </w:rPr>
            </w:pPr>
            <w:r w:rsidRPr="00396ECD">
              <w:rPr>
                <w:sz w:val="22"/>
                <w:szCs w:val="22"/>
                <w:lang w:val="en-GB"/>
              </w:rPr>
              <w:t>[0, 1]</w:t>
            </w:r>
          </w:p>
        </w:tc>
      </w:tr>
      <w:tr w:rsidR="00116981" w:rsidRPr="00396ECD" w14:paraId="59E541A4" w14:textId="77777777" w:rsidTr="00C12399">
        <w:trPr>
          <w:trHeight w:val="283"/>
        </w:trPr>
        <w:tc>
          <w:tcPr>
            <w:tcW w:w="988" w:type="dxa"/>
            <w:noWrap/>
            <w:hideMark/>
          </w:tcPr>
          <w:p w14:paraId="1972B702" w14:textId="77777777" w:rsidR="0069413E" w:rsidRPr="00396ECD" w:rsidRDefault="0069413E" w:rsidP="00ED099C">
            <w:pPr>
              <w:shd w:val="clear" w:color="auto" w:fill="FFFFFF" w:themeFill="background1"/>
              <w:jc w:val="both"/>
              <w:rPr>
                <w:sz w:val="22"/>
                <w:szCs w:val="22"/>
                <w:lang w:val="en-GB"/>
              </w:rPr>
            </w:pPr>
            <w:proofErr w:type="spellStart"/>
            <w:r w:rsidRPr="00396ECD">
              <w:rPr>
                <w:sz w:val="22"/>
                <w:szCs w:val="22"/>
                <w:lang w:val="en-GB"/>
              </w:rPr>
              <w:t>CompO</w:t>
            </w:r>
            <w:proofErr w:type="spellEnd"/>
          </w:p>
        </w:tc>
        <w:tc>
          <w:tcPr>
            <w:tcW w:w="3685" w:type="dxa"/>
            <w:hideMark/>
          </w:tcPr>
          <w:p w14:paraId="60E37D4C" w14:textId="77777777" w:rsidR="0069413E" w:rsidRPr="00396ECD" w:rsidRDefault="0069413E" w:rsidP="00ED099C">
            <w:pPr>
              <w:shd w:val="clear" w:color="auto" w:fill="FFFFFF" w:themeFill="background1"/>
              <w:jc w:val="both"/>
              <w:rPr>
                <w:sz w:val="22"/>
                <w:szCs w:val="22"/>
                <w:lang w:val="en-GB"/>
              </w:rPr>
            </w:pPr>
            <w:r w:rsidRPr="00396ECD">
              <w:rPr>
                <w:sz w:val="22"/>
                <w:szCs w:val="22"/>
                <w:lang w:val="en-GB"/>
              </w:rPr>
              <w:t>Competitor Orientation sub-index</w:t>
            </w:r>
          </w:p>
        </w:tc>
        <w:tc>
          <w:tcPr>
            <w:tcW w:w="851" w:type="dxa"/>
            <w:hideMark/>
          </w:tcPr>
          <w:p w14:paraId="124AC7F2" w14:textId="77777777" w:rsidR="0069413E" w:rsidRPr="00396ECD" w:rsidRDefault="0069413E" w:rsidP="00ED099C">
            <w:pPr>
              <w:shd w:val="clear" w:color="auto" w:fill="FFFFFF" w:themeFill="background1"/>
              <w:jc w:val="center"/>
              <w:rPr>
                <w:sz w:val="22"/>
                <w:szCs w:val="22"/>
                <w:lang w:val="en-GB"/>
              </w:rPr>
            </w:pPr>
            <w:r w:rsidRPr="00396ECD">
              <w:rPr>
                <w:sz w:val="22"/>
                <w:szCs w:val="22"/>
                <w:lang w:val="en-GB"/>
              </w:rPr>
              <w:t>[0, 1]</w:t>
            </w:r>
          </w:p>
        </w:tc>
      </w:tr>
      <w:tr w:rsidR="00116981" w:rsidRPr="00396ECD" w14:paraId="5E6D54A6" w14:textId="77777777" w:rsidTr="00C12399">
        <w:trPr>
          <w:trHeight w:val="283"/>
        </w:trPr>
        <w:tc>
          <w:tcPr>
            <w:tcW w:w="988" w:type="dxa"/>
            <w:noWrap/>
            <w:hideMark/>
          </w:tcPr>
          <w:p w14:paraId="4B14094B" w14:textId="77777777" w:rsidR="0069413E" w:rsidRPr="00396ECD" w:rsidRDefault="0069413E" w:rsidP="00ED099C">
            <w:pPr>
              <w:shd w:val="clear" w:color="auto" w:fill="FFFFFF" w:themeFill="background1"/>
              <w:jc w:val="both"/>
              <w:rPr>
                <w:sz w:val="22"/>
                <w:szCs w:val="22"/>
                <w:lang w:val="en-GB"/>
              </w:rPr>
            </w:pPr>
            <w:r w:rsidRPr="00396ECD">
              <w:rPr>
                <w:sz w:val="22"/>
                <w:szCs w:val="22"/>
                <w:lang w:val="en-GB"/>
              </w:rPr>
              <w:t>IC</w:t>
            </w:r>
          </w:p>
        </w:tc>
        <w:tc>
          <w:tcPr>
            <w:tcW w:w="3685" w:type="dxa"/>
            <w:hideMark/>
          </w:tcPr>
          <w:p w14:paraId="5AB55E7B" w14:textId="77777777" w:rsidR="0069413E" w:rsidRPr="00396ECD" w:rsidRDefault="0069413E" w:rsidP="00ED099C">
            <w:pPr>
              <w:shd w:val="clear" w:color="auto" w:fill="FFFFFF" w:themeFill="background1"/>
              <w:jc w:val="both"/>
              <w:rPr>
                <w:sz w:val="22"/>
                <w:szCs w:val="22"/>
                <w:lang w:val="en-GB"/>
              </w:rPr>
            </w:pPr>
            <w:proofErr w:type="spellStart"/>
            <w:r w:rsidRPr="00396ECD">
              <w:rPr>
                <w:sz w:val="22"/>
                <w:szCs w:val="22"/>
                <w:lang w:val="en-GB"/>
              </w:rPr>
              <w:t>Interfunctional</w:t>
            </w:r>
            <w:proofErr w:type="spellEnd"/>
            <w:r w:rsidRPr="00396ECD">
              <w:rPr>
                <w:sz w:val="22"/>
                <w:szCs w:val="22"/>
                <w:lang w:val="en-GB"/>
              </w:rPr>
              <w:t xml:space="preserve"> Coordination sub-index</w:t>
            </w:r>
          </w:p>
        </w:tc>
        <w:tc>
          <w:tcPr>
            <w:tcW w:w="851" w:type="dxa"/>
            <w:hideMark/>
          </w:tcPr>
          <w:p w14:paraId="7AF68586" w14:textId="77777777" w:rsidR="0069413E" w:rsidRPr="00396ECD" w:rsidRDefault="0069413E" w:rsidP="00ED099C">
            <w:pPr>
              <w:shd w:val="clear" w:color="auto" w:fill="FFFFFF" w:themeFill="background1"/>
              <w:jc w:val="center"/>
              <w:rPr>
                <w:sz w:val="22"/>
                <w:szCs w:val="22"/>
                <w:lang w:val="en-GB"/>
              </w:rPr>
            </w:pPr>
            <w:r w:rsidRPr="00396ECD">
              <w:rPr>
                <w:sz w:val="22"/>
                <w:szCs w:val="22"/>
                <w:lang w:val="en-GB"/>
              </w:rPr>
              <w:t>[0, 1]</w:t>
            </w:r>
          </w:p>
        </w:tc>
      </w:tr>
      <w:tr w:rsidR="00116981" w:rsidRPr="00396ECD" w14:paraId="27AD3B8B" w14:textId="77777777" w:rsidTr="00C12399">
        <w:trPr>
          <w:trHeight w:val="283"/>
        </w:trPr>
        <w:tc>
          <w:tcPr>
            <w:tcW w:w="988" w:type="dxa"/>
            <w:noWrap/>
            <w:hideMark/>
          </w:tcPr>
          <w:p w14:paraId="23553E98" w14:textId="77777777" w:rsidR="0069413E" w:rsidRPr="00396ECD" w:rsidRDefault="0069413E" w:rsidP="00ED099C">
            <w:pPr>
              <w:shd w:val="clear" w:color="auto" w:fill="FFFFFF" w:themeFill="background1"/>
              <w:jc w:val="both"/>
              <w:rPr>
                <w:sz w:val="22"/>
                <w:szCs w:val="22"/>
                <w:lang w:val="en-GB"/>
              </w:rPr>
            </w:pPr>
            <w:r w:rsidRPr="00396ECD">
              <w:rPr>
                <w:sz w:val="22"/>
                <w:szCs w:val="22"/>
                <w:lang w:val="en-GB"/>
              </w:rPr>
              <w:t>MOI</w:t>
            </w:r>
          </w:p>
        </w:tc>
        <w:tc>
          <w:tcPr>
            <w:tcW w:w="3685" w:type="dxa"/>
            <w:hideMark/>
          </w:tcPr>
          <w:p w14:paraId="184F2257" w14:textId="77777777" w:rsidR="0069413E" w:rsidRPr="00396ECD" w:rsidRDefault="0069413E" w:rsidP="00ED099C">
            <w:pPr>
              <w:shd w:val="clear" w:color="auto" w:fill="FFFFFF" w:themeFill="background1"/>
              <w:jc w:val="both"/>
              <w:rPr>
                <w:sz w:val="22"/>
                <w:szCs w:val="22"/>
                <w:lang w:val="en-GB"/>
              </w:rPr>
            </w:pPr>
            <w:r w:rsidRPr="00396ECD">
              <w:rPr>
                <w:sz w:val="22"/>
                <w:szCs w:val="22"/>
                <w:lang w:val="en-GB"/>
              </w:rPr>
              <w:t>Marketing Orientation Index</w:t>
            </w:r>
          </w:p>
        </w:tc>
        <w:tc>
          <w:tcPr>
            <w:tcW w:w="851" w:type="dxa"/>
            <w:hideMark/>
          </w:tcPr>
          <w:p w14:paraId="2EE52445" w14:textId="77777777" w:rsidR="0069413E" w:rsidRPr="00396ECD" w:rsidRDefault="0069413E" w:rsidP="00ED099C">
            <w:pPr>
              <w:shd w:val="clear" w:color="auto" w:fill="FFFFFF" w:themeFill="background1"/>
              <w:jc w:val="center"/>
              <w:rPr>
                <w:sz w:val="22"/>
                <w:szCs w:val="22"/>
                <w:lang w:val="en-GB"/>
              </w:rPr>
            </w:pPr>
            <w:r w:rsidRPr="00396ECD">
              <w:rPr>
                <w:sz w:val="22"/>
                <w:szCs w:val="22"/>
                <w:lang w:val="en-GB"/>
              </w:rPr>
              <w:t>[0, 1]</w:t>
            </w:r>
          </w:p>
        </w:tc>
      </w:tr>
    </w:tbl>
    <w:p w14:paraId="01753AB4" w14:textId="0B24794C" w:rsidR="0069413E" w:rsidRPr="00396ECD" w:rsidRDefault="0069413E" w:rsidP="00ED099C">
      <w:pPr>
        <w:pStyle w:val="Rn2"/>
        <w:rPr>
          <w:lang w:val="en-GB"/>
        </w:rPr>
      </w:pPr>
      <w:r w:rsidRPr="00396ECD">
        <w:rPr>
          <w:lang w:val="en-GB"/>
        </w:rPr>
        <w:t>2.2</w:t>
      </w:r>
      <w:r w:rsidR="00ED099C" w:rsidRPr="00396ECD">
        <w:rPr>
          <w:lang w:val="en-GB"/>
        </w:rPr>
        <w:t>.</w:t>
      </w:r>
      <w:r w:rsidRPr="00396ECD">
        <w:rPr>
          <w:lang w:val="en-GB"/>
        </w:rPr>
        <w:t xml:space="preserve"> Foresight Adoption Index (FAI)</w:t>
      </w:r>
    </w:p>
    <w:p w14:paraId="0959AACA" w14:textId="77777777" w:rsidR="0069413E" w:rsidRPr="00396ECD" w:rsidRDefault="0069413E" w:rsidP="00116981">
      <w:pPr>
        <w:pStyle w:val="NormalnyWeb"/>
        <w:shd w:val="clear" w:color="auto" w:fill="FFFFFF" w:themeFill="background1"/>
        <w:spacing w:before="0" w:beforeAutospacing="0" w:after="0" w:afterAutospacing="0"/>
        <w:ind w:firstLine="284"/>
        <w:jc w:val="both"/>
        <w:rPr>
          <w:sz w:val="22"/>
          <w:szCs w:val="22"/>
          <w:lang w:val="en-GB"/>
        </w:rPr>
      </w:pPr>
      <w:r w:rsidRPr="00396ECD">
        <w:rPr>
          <w:sz w:val="22"/>
          <w:szCs w:val="22"/>
          <w:lang w:val="en-GB"/>
        </w:rPr>
        <w:t>Depth and systematicity of foresight practice:</w:t>
      </w:r>
    </w:p>
    <w:p w14:paraId="4FF9BEFB" w14:textId="2151D214" w:rsidR="0069413E" w:rsidRPr="00396ECD" w:rsidRDefault="00280F7B" w:rsidP="00280F7B">
      <w:pPr>
        <w:shd w:val="clear" w:color="auto" w:fill="FFFFFF" w:themeFill="background1"/>
        <w:spacing w:before="60" w:after="60"/>
        <w:ind w:left="284"/>
        <w:jc w:val="both"/>
        <w:rPr>
          <w:sz w:val="22"/>
          <w:szCs w:val="22"/>
          <w:lang w:val="en-GB"/>
        </w:rPr>
      </w:pPr>
      <w:r w:rsidRPr="00396ECD">
        <w:rPr>
          <w:sz w:val="22"/>
          <w:szCs w:val="22"/>
          <w:lang w:val="en-GB"/>
        </w:rPr>
        <w:t xml:space="preserve">(2) </w:t>
      </w:r>
      <w:r w:rsidR="0069413E" w:rsidRPr="00396ECD">
        <w:rPr>
          <w:sz w:val="22"/>
          <w:szCs w:val="22"/>
          <w:lang w:val="en-GB"/>
        </w:rPr>
        <w:t>FAI=14(</w:t>
      </w:r>
      <w:proofErr w:type="spellStart"/>
      <w:r w:rsidR="0069413E" w:rsidRPr="00396ECD">
        <w:rPr>
          <w:sz w:val="22"/>
          <w:szCs w:val="22"/>
          <w:lang w:val="en-GB"/>
        </w:rPr>
        <w:t>Hnorm+Mscore+Idepth+Urate</w:t>
      </w:r>
      <w:proofErr w:type="spellEnd"/>
      <w:r w:rsidR="0069413E" w:rsidRPr="00396ECD">
        <w:rPr>
          <w:sz w:val="22"/>
          <w:szCs w:val="22"/>
          <w:lang w:val="en-GB"/>
        </w:rPr>
        <w:t>)</w:t>
      </w:r>
    </w:p>
    <w:tbl>
      <w:tblPr>
        <w:tblStyle w:val="Tabela-Siatka"/>
        <w:tblW w:w="5524" w:type="dxa"/>
        <w:tblBorders>
          <w:left w:val="none" w:sz="0" w:space="0" w:color="auto"/>
          <w:right w:val="none" w:sz="0" w:space="0" w:color="auto"/>
          <w:insideV w:val="none" w:sz="0" w:space="0" w:color="auto"/>
        </w:tblBorders>
        <w:tblLook w:val="04A0" w:firstRow="1" w:lastRow="0" w:firstColumn="1" w:lastColumn="0" w:noHBand="0" w:noVBand="1"/>
      </w:tblPr>
      <w:tblGrid>
        <w:gridCol w:w="988"/>
        <w:gridCol w:w="4536"/>
      </w:tblGrid>
      <w:tr w:rsidR="00116981" w:rsidRPr="00396ECD" w14:paraId="27FCEB34" w14:textId="77777777" w:rsidTr="00C12399">
        <w:trPr>
          <w:trHeight w:val="340"/>
        </w:trPr>
        <w:tc>
          <w:tcPr>
            <w:tcW w:w="988" w:type="dxa"/>
            <w:vAlign w:val="center"/>
            <w:hideMark/>
          </w:tcPr>
          <w:p w14:paraId="3B207FFC" w14:textId="77777777" w:rsidR="0069413E" w:rsidRPr="00396ECD" w:rsidRDefault="00BC340C" w:rsidP="007902B4">
            <w:pPr>
              <w:shd w:val="clear" w:color="auto" w:fill="FFFFFF" w:themeFill="background1"/>
              <w:jc w:val="center"/>
              <w:rPr>
                <w:caps/>
                <w:sz w:val="22"/>
                <w:szCs w:val="22"/>
                <w:lang w:val="en-GB"/>
              </w:rPr>
            </w:pPr>
            <w:r w:rsidRPr="00396ECD">
              <w:rPr>
                <w:sz w:val="22"/>
                <w:szCs w:val="22"/>
                <w:lang w:val="en-GB"/>
              </w:rPr>
              <w:t>Symbol</w:t>
            </w:r>
          </w:p>
        </w:tc>
        <w:tc>
          <w:tcPr>
            <w:tcW w:w="4536" w:type="dxa"/>
            <w:vAlign w:val="center"/>
            <w:hideMark/>
          </w:tcPr>
          <w:p w14:paraId="68DAABC7" w14:textId="77777777" w:rsidR="0069413E" w:rsidRPr="00396ECD" w:rsidRDefault="00BC340C" w:rsidP="007902B4">
            <w:pPr>
              <w:shd w:val="clear" w:color="auto" w:fill="FFFFFF" w:themeFill="background1"/>
              <w:jc w:val="center"/>
              <w:rPr>
                <w:caps/>
                <w:sz w:val="22"/>
                <w:szCs w:val="22"/>
                <w:lang w:val="en-GB"/>
              </w:rPr>
            </w:pPr>
            <w:r w:rsidRPr="00396ECD">
              <w:rPr>
                <w:sz w:val="22"/>
                <w:szCs w:val="22"/>
                <w:lang w:val="en-GB"/>
              </w:rPr>
              <w:t>Definition</w:t>
            </w:r>
          </w:p>
        </w:tc>
      </w:tr>
      <w:tr w:rsidR="00116981" w:rsidRPr="00396ECD" w14:paraId="256BDA0D" w14:textId="77777777" w:rsidTr="00C12399">
        <w:trPr>
          <w:trHeight w:val="283"/>
        </w:trPr>
        <w:tc>
          <w:tcPr>
            <w:tcW w:w="988" w:type="dxa"/>
            <w:noWrap/>
            <w:hideMark/>
          </w:tcPr>
          <w:p w14:paraId="2CD7F1AC" w14:textId="77777777" w:rsidR="0069413E" w:rsidRPr="00396ECD" w:rsidRDefault="0069413E" w:rsidP="00ED099C">
            <w:pPr>
              <w:shd w:val="clear" w:color="auto" w:fill="FFFFFF" w:themeFill="background1"/>
              <w:jc w:val="both"/>
              <w:rPr>
                <w:sz w:val="22"/>
                <w:szCs w:val="22"/>
                <w:lang w:val="en-GB"/>
              </w:rPr>
            </w:pPr>
            <w:proofErr w:type="spellStart"/>
            <w:r w:rsidRPr="00396ECD">
              <w:rPr>
                <w:sz w:val="22"/>
                <w:szCs w:val="22"/>
                <w:lang w:val="en-GB"/>
              </w:rPr>
              <w:t>Hnorm</w:t>
            </w:r>
            <w:proofErr w:type="spellEnd"/>
          </w:p>
        </w:tc>
        <w:tc>
          <w:tcPr>
            <w:tcW w:w="4536" w:type="dxa"/>
            <w:hideMark/>
          </w:tcPr>
          <w:p w14:paraId="735F2DC5" w14:textId="77777777" w:rsidR="0069413E" w:rsidRPr="00396ECD" w:rsidRDefault="0069413E" w:rsidP="00ED099C">
            <w:pPr>
              <w:shd w:val="clear" w:color="auto" w:fill="FFFFFF" w:themeFill="background1"/>
              <w:jc w:val="both"/>
              <w:rPr>
                <w:sz w:val="22"/>
                <w:szCs w:val="22"/>
                <w:lang w:val="en-GB"/>
              </w:rPr>
            </w:pPr>
            <w:r w:rsidRPr="00396ECD">
              <w:rPr>
                <w:sz w:val="22"/>
                <w:szCs w:val="22"/>
                <w:lang w:val="en-GB"/>
              </w:rPr>
              <w:t>Normalised planning horizon (max 10 years)</w:t>
            </w:r>
          </w:p>
        </w:tc>
      </w:tr>
      <w:tr w:rsidR="00116981" w:rsidRPr="00396ECD" w14:paraId="5FE9C0AC" w14:textId="77777777" w:rsidTr="00C12399">
        <w:trPr>
          <w:trHeight w:val="283"/>
        </w:trPr>
        <w:tc>
          <w:tcPr>
            <w:tcW w:w="988" w:type="dxa"/>
            <w:noWrap/>
            <w:hideMark/>
          </w:tcPr>
          <w:p w14:paraId="3598E563" w14:textId="77777777" w:rsidR="0069413E" w:rsidRPr="00396ECD" w:rsidRDefault="0069413E" w:rsidP="00ED099C">
            <w:pPr>
              <w:shd w:val="clear" w:color="auto" w:fill="FFFFFF" w:themeFill="background1"/>
              <w:jc w:val="both"/>
              <w:rPr>
                <w:sz w:val="22"/>
                <w:szCs w:val="22"/>
                <w:lang w:val="en-GB"/>
              </w:rPr>
            </w:pPr>
            <w:proofErr w:type="spellStart"/>
            <w:r w:rsidRPr="00396ECD">
              <w:rPr>
                <w:sz w:val="22"/>
                <w:szCs w:val="22"/>
                <w:lang w:val="en-GB"/>
              </w:rPr>
              <w:t>Mscore</w:t>
            </w:r>
            <w:proofErr w:type="spellEnd"/>
          </w:p>
        </w:tc>
        <w:tc>
          <w:tcPr>
            <w:tcW w:w="4536" w:type="dxa"/>
            <w:hideMark/>
          </w:tcPr>
          <w:p w14:paraId="45A4D770" w14:textId="77777777" w:rsidR="0069413E" w:rsidRPr="00396ECD" w:rsidRDefault="0069413E" w:rsidP="00ED099C">
            <w:pPr>
              <w:shd w:val="clear" w:color="auto" w:fill="FFFFFF" w:themeFill="background1"/>
              <w:jc w:val="both"/>
              <w:rPr>
                <w:sz w:val="22"/>
                <w:szCs w:val="22"/>
                <w:lang w:val="en-GB"/>
              </w:rPr>
            </w:pPr>
            <w:r w:rsidRPr="00396ECD">
              <w:rPr>
                <w:sz w:val="22"/>
                <w:szCs w:val="22"/>
                <w:lang w:val="en-GB"/>
              </w:rPr>
              <w:t>Foresight methods diversity (0–8 methods)</w:t>
            </w:r>
          </w:p>
        </w:tc>
      </w:tr>
      <w:tr w:rsidR="00116981" w:rsidRPr="00396ECD" w14:paraId="66998FC0" w14:textId="77777777" w:rsidTr="00C12399">
        <w:trPr>
          <w:trHeight w:val="283"/>
        </w:trPr>
        <w:tc>
          <w:tcPr>
            <w:tcW w:w="988" w:type="dxa"/>
            <w:noWrap/>
            <w:hideMark/>
          </w:tcPr>
          <w:p w14:paraId="25917049" w14:textId="77777777" w:rsidR="0069413E" w:rsidRPr="00396ECD" w:rsidRDefault="0069413E" w:rsidP="00ED099C">
            <w:pPr>
              <w:shd w:val="clear" w:color="auto" w:fill="FFFFFF" w:themeFill="background1"/>
              <w:jc w:val="both"/>
              <w:rPr>
                <w:sz w:val="22"/>
                <w:szCs w:val="22"/>
                <w:lang w:val="en-GB"/>
              </w:rPr>
            </w:pPr>
            <w:proofErr w:type="spellStart"/>
            <w:r w:rsidRPr="00396ECD">
              <w:rPr>
                <w:sz w:val="22"/>
                <w:szCs w:val="22"/>
                <w:lang w:val="en-GB"/>
              </w:rPr>
              <w:t>Idepth</w:t>
            </w:r>
            <w:proofErr w:type="spellEnd"/>
          </w:p>
        </w:tc>
        <w:tc>
          <w:tcPr>
            <w:tcW w:w="4536" w:type="dxa"/>
            <w:hideMark/>
          </w:tcPr>
          <w:p w14:paraId="578D6647" w14:textId="77777777" w:rsidR="0069413E" w:rsidRPr="00396ECD" w:rsidRDefault="0069413E" w:rsidP="00ED099C">
            <w:pPr>
              <w:shd w:val="clear" w:color="auto" w:fill="FFFFFF" w:themeFill="background1"/>
              <w:jc w:val="both"/>
              <w:rPr>
                <w:sz w:val="22"/>
                <w:szCs w:val="22"/>
                <w:lang w:val="en-GB"/>
              </w:rPr>
            </w:pPr>
            <w:r w:rsidRPr="00396ECD">
              <w:rPr>
                <w:sz w:val="22"/>
                <w:szCs w:val="22"/>
                <w:lang w:val="en-GB"/>
              </w:rPr>
              <w:t>Intelligence system sophistication [0,1]</w:t>
            </w:r>
          </w:p>
        </w:tc>
      </w:tr>
      <w:tr w:rsidR="00116981" w:rsidRPr="00396ECD" w14:paraId="302EC0EB" w14:textId="77777777" w:rsidTr="00C12399">
        <w:trPr>
          <w:trHeight w:val="283"/>
        </w:trPr>
        <w:tc>
          <w:tcPr>
            <w:tcW w:w="988" w:type="dxa"/>
            <w:noWrap/>
            <w:hideMark/>
          </w:tcPr>
          <w:p w14:paraId="2C2CB069" w14:textId="77777777" w:rsidR="0069413E" w:rsidRPr="00396ECD" w:rsidRDefault="0069413E" w:rsidP="00ED099C">
            <w:pPr>
              <w:shd w:val="clear" w:color="auto" w:fill="FFFFFF" w:themeFill="background1"/>
              <w:jc w:val="both"/>
              <w:rPr>
                <w:sz w:val="22"/>
                <w:szCs w:val="22"/>
                <w:lang w:val="en-GB"/>
              </w:rPr>
            </w:pPr>
            <w:r w:rsidRPr="00396ECD">
              <w:rPr>
                <w:sz w:val="22"/>
                <w:szCs w:val="22"/>
                <w:lang w:val="en-GB"/>
              </w:rPr>
              <w:t>Urate</w:t>
            </w:r>
          </w:p>
        </w:tc>
        <w:tc>
          <w:tcPr>
            <w:tcW w:w="4536" w:type="dxa"/>
            <w:hideMark/>
          </w:tcPr>
          <w:p w14:paraId="4978890E" w14:textId="77777777" w:rsidR="0069413E" w:rsidRPr="00396ECD" w:rsidRDefault="0069413E" w:rsidP="00ED099C">
            <w:pPr>
              <w:shd w:val="clear" w:color="auto" w:fill="FFFFFF" w:themeFill="background1"/>
              <w:jc w:val="both"/>
              <w:rPr>
                <w:sz w:val="22"/>
                <w:szCs w:val="22"/>
                <w:lang w:val="en-GB"/>
              </w:rPr>
            </w:pPr>
            <w:r w:rsidRPr="00396ECD">
              <w:rPr>
                <w:sz w:val="22"/>
                <w:szCs w:val="22"/>
                <w:lang w:val="en-GB"/>
              </w:rPr>
              <w:t>Strategy review frequency (per 2 years optimal)</w:t>
            </w:r>
          </w:p>
        </w:tc>
      </w:tr>
    </w:tbl>
    <w:p w14:paraId="342191D6" w14:textId="6AFE3DFE" w:rsidR="0069413E" w:rsidRPr="00396ECD" w:rsidRDefault="0069413E" w:rsidP="00E0120B">
      <w:pPr>
        <w:pStyle w:val="Rn2"/>
        <w:rPr>
          <w:lang w:val="en-GB"/>
        </w:rPr>
      </w:pPr>
      <w:r w:rsidRPr="00396ECD">
        <w:rPr>
          <w:lang w:val="en-GB"/>
        </w:rPr>
        <w:t>2.3</w:t>
      </w:r>
      <w:r w:rsidR="00E0120B" w:rsidRPr="00396ECD">
        <w:rPr>
          <w:lang w:val="en-GB"/>
        </w:rPr>
        <w:t>.</w:t>
      </w:r>
      <w:r w:rsidRPr="00396ECD">
        <w:rPr>
          <w:lang w:val="en-GB"/>
        </w:rPr>
        <w:t xml:space="preserve"> Environmental Turbulence (τ)</w:t>
      </w:r>
    </w:p>
    <w:p w14:paraId="06E49391" w14:textId="77777777" w:rsidR="0069413E" w:rsidRPr="00396ECD" w:rsidRDefault="0069413E" w:rsidP="00116981">
      <w:pPr>
        <w:pStyle w:val="NormalnyWeb"/>
        <w:shd w:val="clear" w:color="auto" w:fill="FFFFFF" w:themeFill="background1"/>
        <w:spacing w:before="0" w:beforeAutospacing="0" w:after="0" w:afterAutospacing="0"/>
        <w:ind w:firstLine="284"/>
        <w:jc w:val="both"/>
        <w:rPr>
          <w:sz w:val="22"/>
          <w:szCs w:val="22"/>
          <w:lang w:val="en-GB"/>
        </w:rPr>
      </w:pPr>
      <w:r w:rsidRPr="00396ECD">
        <w:rPr>
          <w:sz w:val="22"/>
          <w:szCs w:val="22"/>
          <w:lang w:val="en-GB"/>
        </w:rPr>
        <w:t>Market instability from five dimensions (Ansoff, 1979; adapted for agri-food):</w:t>
      </w:r>
    </w:p>
    <w:p w14:paraId="09FDC678" w14:textId="77777777" w:rsidR="0069413E" w:rsidRPr="00396ECD" w:rsidRDefault="0069413E" w:rsidP="00280F7B">
      <w:pPr>
        <w:shd w:val="clear" w:color="auto" w:fill="FFFFFF" w:themeFill="background1"/>
        <w:spacing w:before="60" w:after="60"/>
        <w:ind w:firstLine="284"/>
        <w:jc w:val="both"/>
        <w:rPr>
          <w:sz w:val="22"/>
          <w:szCs w:val="22"/>
          <w:lang w:val="en-GB"/>
        </w:rPr>
      </w:pPr>
      <w:r w:rsidRPr="00396ECD">
        <w:rPr>
          <w:rStyle w:val="eq-label"/>
          <w:sz w:val="22"/>
          <w:szCs w:val="22"/>
          <w:lang w:val="en-GB"/>
        </w:rPr>
        <w:t>(3)</w:t>
      </w:r>
      <w:r w:rsidRPr="00396ECD">
        <w:rPr>
          <w:rStyle w:val="eq-label"/>
          <w:b/>
          <w:bCs/>
          <w:sz w:val="22"/>
          <w:szCs w:val="22"/>
          <w:lang w:val="en-GB"/>
        </w:rPr>
        <w:t xml:space="preserve"> </w:t>
      </w:r>
      <w:r w:rsidRPr="00396ECD">
        <w:rPr>
          <w:sz w:val="22"/>
          <w:szCs w:val="22"/>
          <w:lang w:val="en-GB"/>
        </w:rPr>
        <w:t>τ=0.30P+0.25E+0.20T+0.15C+0.10G</w:t>
      </w:r>
    </w:p>
    <w:p w14:paraId="67B3A430" w14:textId="77777777" w:rsidR="0069413E" w:rsidRPr="00396ECD" w:rsidRDefault="0069413E" w:rsidP="00280F7B">
      <w:pPr>
        <w:pStyle w:val="NormalnyWeb"/>
        <w:spacing w:before="0" w:beforeAutospacing="0" w:after="0" w:afterAutospacing="0"/>
        <w:rPr>
          <w:sz w:val="22"/>
          <w:szCs w:val="22"/>
          <w:lang w:val="en-GB"/>
        </w:rPr>
      </w:pPr>
      <w:r w:rsidRPr="00396ECD">
        <w:rPr>
          <w:sz w:val="22"/>
          <w:szCs w:val="22"/>
          <w:lang w:val="en-GB"/>
        </w:rPr>
        <w:t>where: P – political stability [0,1]; E – economic volatility; T – tech disruption; C – climate impact; G – geopolitical risk. All normalised [0,1].</w:t>
      </w:r>
    </w:p>
    <w:p w14:paraId="71AEA0EC" w14:textId="44457CF0" w:rsidR="0069413E" w:rsidRPr="00396ECD" w:rsidRDefault="0069413E" w:rsidP="00E0120B">
      <w:pPr>
        <w:pStyle w:val="Rn2"/>
        <w:rPr>
          <w:lang w:val="en-GB"/>
        </w:rPr>
      </w:pPr>
      <w:r w:rsidRPr="00396ECD">
        <w:rPr>
          <w:lang w:val="en-GB"/>
        </w:rPr>
        <w:t>Section 3</w:t>
      </w:r>
      <w:r w:rsidR="009C2C1A">
        <w:rPr>
          <w:lang w:val="en-GB"/>
        </w:rPr>
        <w:t xml:space="preserve"> </w:t>
      </w:r>
      <w:r w:rsidR="009C2C1A" w:rsidRPr="009C2C1A">
        <w:rPr>
          <w:lang w:val="en-GB"/>
        </w:rPr>
        <w:t>·</w:t>
      </w:r>
      <w:r w:rsidRPr="00396ECD">
        <w:rPr>
          <w:lang w:val="en-GB"/>
        </w:rPr>
        <w:t xml:space="preserve"> Strategic Competitiveness Index (SCI)</w:t>
      </w:r>
    </w:p>
    <w:p w14:paraId="5360759E" w14:textId="0DC17945" w:rsidR="0069413E" w:rsidRPr="00396ECD" w:rsidRDefault="0069413E" w:rsidP="00280F7B">
      <w:pPr>
        <w:pStyle w:val="Rn2"/>
        <w:rPr>
          <w:bCs/>
          <w:lang w:val="en-GB"/>
        </w:rPr>
      </w:pPr>
      <w:r w:rsidRPr="00396ECD">
        <w:rPr>
          <w:lang w:val="en-GB"/>
        </w:rPr>
        <w:t>3.1</w:t>
      </w:r>
      <w:r w:rsidR="00280F7B" w:rsidRPr="00396ECD">
        <w:rPr>
          <w:lang w:val="en-GB"/>
        </w:rPr>
        <w:t>.</w:t>
      </w:r>
      <w:r w:rsidRPr="00396ECD">
        <w:rPr>
          <w:lang w:val="en-GB"/>
        </w:rPr>
        <w:t xml:space="preserve"> Core SCI Equation</w:t>
      </w:r>
    </w:p>
    <w:p w14:paraId="368D2037" w14:textId="77777777" w:rsidR="0069413E" w:rsidRPr="00396ECD" w:rsidRDefault="0069413E" w:rsidP="00116981">
      <w:pPr>
        <w:pStyle w:val="NormalnyWeb"/>
        <w:spacing w:before="0" w:beforeAutospacing="0" w:after="0" w:afterAutospacing="0"/>
        <w:ind w:firstLine="284"/>
        <w:jc w:val="both"/>
        <w:rPr>
          <w:sz w:val="22"/>
          <w:szCs w:val="22"/>
          <w:lang w:val="en-GB"/>
        </w:rPr>
      </w:pPr>
      <w:r w:rsidRPr="00396ECD">
        <w:rPr>
          <w:sz w:val="22"/>
          <w:szCs w:val="22"/>
          <w:lang w:val="en-GB"/>
        </w:rPr>
        <w:t>Competitiveness is modelled as a linear-additive function with interaction terms:</w:t>
      </w:r>
    </w:p>
    <w:p w14:paraId="5F19B472" w14:textId="77777777" w:rsidR="0069413E" w:rsidRPr="00396ECD" w:rsidRDefault="0069413E" w:rsidP="00280F7B">
      <w:pPr>
        <w:spacing w:before="60" w:after="60"/>
        <w:ind w:firstLine="284"/>
        <w:jc w:val="both"/>
        <w:rPr>
          <w:sz w:val="22"/>
          <w:szCs w:val="22"/>
          <w:lang w:val="en-GB"/>
        </w:rPr>
      </w:pPr>
      <w:r w:rsidRPr="00396ECD">
        <w:rPr>
          <w:rStyle w:val="eq-label"/>
          <w:sz w:val="22"/>
          <w:szCs w:val="22"/>
          <w:lang w:val="en-GB"/>
        </w:rPr>
        <w:t>(4)</w:t>
      </w:r>
      <w:r w:rsidRPr="00396ECD">
        <w:rPr>
          <w:rStyle w:val="eq-label"/>
          <w:b/>
          <w:bCs/>
          <w:sz w:val="22"/>
          <w:szCs w:val="22"/>
          <w:lang w:val="en-GB"/>
        </w:rPr>
        <w:t xml:space="preserve"> </w:t>
      </w:r>
      <w:r w:rsidRPr="00396ECD">
        <w:rPr>
          <w:sz w:val="22"/>
          <w:szCs w:val="22"/>
          <w:lang w:val="en-GB"/>
        </w:rPr>
        <w:t>SCI=0.18+0.31</w:t>
      </w:r>
      <w:r w:rsidRPr="00396ECD">
        <w:rPr>
          <w:rFonts w:ascii="Cambria Math" w:hAnsi="Cambria Math" w:cs="Cambria Math"/>
          <w:sz w:val="22"/>
          <w:szCs w:val="22"/>
          <w:lang w:val="en-GB"/>
        </w:rPr>
        <w:t>⋅</w:t>
      </w:r>
      <w:r w:rsidRPr="00396ECD">
        <w:rPr>
          <w:sz w:val="22"/>
          <w:szCs w:val="22"/>
          <w:lang w:val="en-GB"/>
        </w:rPr>
        <w:t>MOI+0.24</w:t>
      </w:r>
      <w:r w:rsidRPr="00396ECD">
        <w:rPr>
          <w:rFonts w:ascii="Cambria Math" w:hAnsi="Cambria Math" w:cs="Cambria Math"/>
          <w:sz w:val="22"/>
          <w:szCs w:val="22"/>
          <w:lang w:val="en-GB"/>
        </w:rPr>
        <w:t>⋅</w:t>
      </w:r>
      <w:r w:rsidRPr="00396ECD">
        <w:rPr>
          <w:sz w:val="22"/>
          <w:szCs w:val="22"/>
          <w:lang w:val="en-GB"/>
        </w:rPr>
        <w:t>FAI+0.27</w:t>
      </w:r>
      <w:r w:rsidRPr="00396ECD">
        <w:rPr>
          <w:rFonts w:ascii="Cambria Math" w:hAnsi="Cambria Math" w:cs="Cambria Math"/>
          <w:sz w:val="22"/>
          <w:szCs w:val="22"/>
          <w:lang w:val="en-GB"/>
        </w:rPr>
        <w:t>⋅</w:t>
      </w:r>
      <w:r w:rsidRPr="00396ECD">
        <w:rPr>
          <w:sz w:val="22"/>
          <w:szCs w:val="22"/>
          <w:lang w:val="en-GB"/>
        </w:rPr>
        <w:t>(MOI×FAI)+0.18</w:t>
      </w:r>
      <w:r w:rsidRPr="00396ECD">
        <w:rPr>
          <w:rFonts w:ascii="Cambria Math" w:hAnsi="Cambria Math" w:cs="Cambria Math"/>
          <w:sz w:val="22"/>
          <w:szCs w:val="22"/>
          <w:lang w:val="en-GB"/>
        </w:rPr>
        <w:t>⋅</w:t>
      </w:r>
      <w:r w:rsidRPr="00396ECD">
        <w:rPr>
          <w:sz w:val="22"/>
          <w:szCs w:val="22"/>
          <w:lang w:val="en-GB"/>
        </w:rPr>
        <w:t>(</w:t>
      </w:r>
      <w:proofErr w:type="spellStart"/>
      <w:r w:rsidRPr="00396ECD">
        <w:rPr>
          <w:sz w:val="22"/>
          <w:szCs w:val="22"/>
          <w:lang w:val="en-GB"/>
        </w:rPr>
        <w:t>τ×FAI</w:t>
      </w:r>
      <w:proofErr w:type="spellEnd"/>
      <w:r w:rsidRPr="00396ECD">
        <w:rPr>
          <w:sz w:val="22"/>
          <w:szCs w:val="22"/>
          <w:lang w:val="en-GB"/>
        </w:rPr>
        <w:t>)</w:t>
      </w:r>
    </w:p>
    <w:p w14:paraId="782C6AC7" w14:textId="77777777" w:rsidR="0069413E" w:rsidRPr="00396ECD" w:rsidRDefault="0069413E" w:rsidP="00116981">
      <w:pPr>
        <w:pStyle w:val="NormalnyWeb"/>
        <w:spacing w:before="0" w:beforeAutospacing="0" w:after="0" w:afterAutospacing="0"/>
        <w:ind w:firstLine="284"/>
        <w:jc w:val="both"/>
        <w:rPr>
          <w:sz w:val="22"/>
          <w:szCs w:val="22"/>
          <w:lang w:val="en-GB"/>
        </w:rPr>
      </w:pPr>
      <w:r w:rsidRPr="00396ECD">
        <w:rPr>
          <w:rStyle w:val="Pogrubienie"/>
          <w:b w:val="0"/>
          <w:bCs w:val="0"/>
          <w:sz w:val="22"/>
          <w:szCs w:val="22"/>
          <w:lang w:val="en-GB"/>
        </w:rPr>
        <w:t>Interpretation:</w:t>
      </w:r>
      <w:r w:rsidRPr="00396ECD">
        <w:rPr>
          <w:sz w:val="22"/>
          <w:szCs w:val="22"/>
          <w:lang w:val="en-GB"/>
        </w:rPr>
        <w:t xml:space="preserve"> The term (MOI×FAI) captures the synergy: foresight becomes more effective when paired with strong marketing orientation. The term (</w:t>
      </w:r>
      <w:proofErr w:type="spellStart"/>
      <w:r w:rsidRPr="00396ECD">
        <w:rPr>
          <w:sz w:val="22"/>
          <w:szCs w:val="22"/>
          <w:lang w:val="en-GB"/>
        </w:rPr>
        <w:t>τ×FAI</w:t>
      </w:r>
      <w:proofErr w:type="spellEnd"/>
      <w:r w:rsidRPr="00396ECD">
        <w:rPr>
          <w:sz w:val="22"/>
          <w:szCs w:val="22"/>
          <w:lang w:val="en-GB"/>
        </w:rPr>
        <w:t>) shows how foresight value scales with environmental uncertainty.</w:t>
      </w:r>
    </w:p>
    <w:p w14:paraId="5B094DAD" w14:textId="0ADE8610" w:rsidR="0069413E" w:rsidRPr="00396ECD" w:rsidRDefault="0069413E" w:rsidP="00280F7B">
      <w:pPr>
        <w:pStyle w:val="Rn2"/>
        <w:rPr>
          <w:lang w:val="en-GB"/>
        </w:rPr>
      </w:pPr>
      <w:r w:rsidRPr="00396ECD">
        <w:rPr>
          <w:lang w:val="en-GB"/>
        </w:rPr>
        <w:lastRenderedPageBreak/>
        <w:t>3.2</w:t>
      </w:r>
      <w:r w:rsidR="00280F7B" w:rsidRPr="00396ECD">
        <w:rPr>
          <w:lang w:val="en-GB"/>
        </w:rPr>
        <w:t>.</w:t>
      </w:r>
      <w:r w:rsidRPr="00396ECD">
        <w:rPr>
          <w:lang w:val="en-GB"/>
        </w:rPr>
        <w:t xml:space="preserve"> Scenario Analysis</w:t>
      </w:r>
    </w:p>
    <w:p w14:paraId="0EF5C995" w14:textId="77777777" w:rsidR="0069413E" w:rsidRPr="00396ECD" w:rsidRDefault="0069413E" w:rsidP="00116981">
      <w:pPr>
        <w:pStyle w:val="NormalnyWeb"/>
        <w:spacing w:before="0" w:beforeAutospacing="0" w:after="0" w:afterAutospacing="0"/>
        <w:ind w:firstLine="284"/>
        <w:jc w:val="both"/>
        <w:rPr>
          <w:sz w:val="22"/>
          <w:szCs w:val="22"/>
          <w:lang w:val="en-GB"/>
        </w:rPr>
      </w:pPr>
      <w:r w:rsidRPr="00396ECD">
        <w:rPr>
          <w:sz w:val="22"/>
          <w:szCs w:val="22"/>
          <w:lang w:val="en-GB"/>
        </w:rPr>
        <w:t>Under two canonical scenarios reflecting agrarian market conditions (2024–2026):</w:t>
      </w:r>
    </w:p>
    <w:tbl>
      <w:tblPr>
        <w:tblStyle w:val="Tabela-Siatka"/>
        <w:tblW w:w="8364" w:type="dxa"/>
        <w:tblBorders>
          <w:left w:val="none" w:sz="0" w:space="0" w:color="auto"/>
          <w:right w:val="none" w:sz="0" w:space="0" w:color="auto"/>
          <w:insideV w:val="none" w:sz="0" w:space="0" w:color="auto"/>
        </w:tblBorders>
        <w:tblLayout w:type="fixed"/>
        <w:tblLook w:val="04A0" w:firstRow="1" w:lastRow="0" w:firstColumn="1" w:lastColumn="0" w:noHBand="0" w:noVBand="1"/>
      </w:tblPr>
      <w:tblGrid>
        <w:gridCol w:w="1134"/>
        <w:gridCol w:w="1276"/>
        <w:gridCol w:w="4536"/>
        <w:gridCol w:w="1418"/>
      </w:tblGrid>
      <w:tr w:rsidR="00116981" w:rsidRPr="00396ECD" w14:paraId="7DFE2A97" w14:textId="77777777" w:rsidTr="00C12399">
        <w:trPr>
          <w:trHeight w:val="340"/>
        </w:trPr>
        <w:tc>
          <w:tcPr>
            <w:tcW w:w="1134" w:type="dxa"/>
            <w:vAlign w:val="center"/>
            <w:hideMark/>
          </w:tcPr>
          <w:p w14:paraId="0643038B" w14:textId="77777777" w:rsidR="0069413E" w:rsidRPr="00396ECD" w:rsidRDefault="00BC340C" w:rsidP="00280F7B">
            <w:pPr>
              <w:jc w:val="center"/>
              <w:rPr>
                <w:caps/>
                <w:sz w:val="22"/>
                <w:szCs w:val="22"/>
                <w:lang w:val="en-GB"/>
              </w:rPr>
            </w:pPr>
            <w:r w:rsidRPr="00396ECD">
              <w:rPr>
                <w:sz w:val="22"/>
                <w:szCs w:val="22"/>
                <w:lang w:val="en-GB"/>
              </w:rPr>
              <w:t>Scenario</w:t>
            </w:r>
          </w:p>
        </w:tc>
        <w:tc>
          <w:tcPr>
            <w:tcW w:w="1276" w:type="dxa"/>
            <w:vAlign w:val="center"/>
            <w:hideMark/>
          </w:tcPr>
          <w:p w14:paraId="53EB97A1" w14:textId="77777777" w:rsidR="0069413E" w:rsidRPr="00396ECD" w:rsidRDefault="00BC340C" w:rsidP="00280F7B">
            <w:pPr>
              <w:jc w:val="center"/>
              <w:rPr>
                <w:caps/>
                <w:sz w:val="22"/>
                <w:szCs w:val="22"/>
                <w:lang w:val="en-GB"/>
              </w:rPr>
            </w:pPr>
            <w:r w:rsidRPr="00396ECD">
              <w:rPr>
                <w:sz w:val="22"/>
                <w:szCs w:val="22"/>
                <w:lang w:val="en-GB"/>
              </w:rPr>
              <w:t>Probability</w:t>
            </w:r>
          </w:p>
        </w:tc>
        <w:tc>
          <w:tcPr>
            <w:tcW w:w="4536" w:type="dxa"/>
            <w:vAlign w:val="center"/>
            <w:hideMark/>
          </w:tcPr>
          <w:p w14:paraId="1024D4CE" w14:textId="77777777" w:rsidR="0069413E" w:rsidRPr="00396ECD" w:rsidRDefault="00BC340C" w:rsidP="00280F7B">
            <w:pPr>
              <w:jc w:val="center"/>
              <w:rPr>
                <w:caps/>
                <w:sz w:val="22"/>
                <w:szCs w:val="22"/>
                <w:lang w:val="en-GB"/>
              </w:rPr>
            </w:pPr>
            <w:r w:rsidRPr="00396ECD">
              <w:rPr>
                <w:sz w:val="22"/>
                <w:szCs w:val="22"/>
                <w:lang w:val="en-GB"/>
              </w:rPr>
              <w:t>Characterisation</w:t>
            </w:r>
          </w:p>
        </w:tc>
        <w:tc>
          <w:tcPr>
            <w:tcW w:w="1418" w:type="dxa"/>
            <w:vAlign w:val="center"/>
            <w:hideMark/>
          </w:tcPr>
          <w:p w14:paraId="7004AA17" w14:textId="77777777" w:rsidR="0069413E" w:rsidRPr="00396ECD" w:rsidRDefault="00BC340C" w:rsidP="00280F7B">
            <w:pPr>
              <w:jc w:val="center"/>
              <w:rPr>
                <w:caps/>
                <w:sz w:val="22"/>
                <w:szCs w:val="22"/>
                <w:lang w:val="en-GB"/>
              </w:rPr>
            </w:pPr>
            <w:r w:rsidRPr="00396ECD">
              <w:rPr>
                <w:sz w:val="22"/>
                <w:szCs w:val="22"/>
                <w:lang w:val="en-GB"/>
              </w:rPr>
              <w:t>Shock vector</w:t>
            </w:r>
          </w:p>
        </w:tc>
      </w:tr>
      <w:tr w:rsidR="00116981" w:rsidRPr="00396ECD" w14:paraId="2BEADDC7" w14:textId="77777777" w:rsidTr="00596124">
        <w:trPr>
          <w:trHeight w:val="604"/>
        </w:trPr>
        <w:tc>
          <w:tcPr>
            <w:tcW w:w="1134" w:type="dxa"/>
            <w:noWrap/>
            <w:vAlign w:val="center"/>
            <w:hideMark/>
          </w:tcPr>
          <w:p w14:paraId="1AB4D4F9" w14:textId="77777777" w:rsidR="0069413E" w:rsidRPr="00396ECD" w:rsidRDefault="0069413E" w:rsidP="00280F7B">
            <w:pPr>
              <w:rPr>
                <w:sz w:val="22"/>
                <w:szCs w:val="22"/>
                <w:lang w:val="en-GB"/>
              </w:rPr>
            </w:pPr>
            <w:r w:rsidRPr="00396ECD">
              <w:rPr>
                <w:rStyle w:val="Pogrubienie"/>
                <w:b w:val="0"/>
                <w:bCs w:val="0"/>
                <w:sz w:val="22"/>
                <w:szCs w:val="22"/>
                <w:lang w:val="en-GB"/>
              </w:rPr>
              <w:t>S1: Stable Growth</w:t>
            </w:r>
          </w:p>
        </w:tc>
        <w:tc>
          <w:tcPr>
            <w:tcW w:w="1276" w:type="dxa"/>
            <w:vAlign w:val="center"/>
            <w:hideMark/>
          </w:tcPr>
          <w:p w14:paraId="265B2083" w14:textId="77777777" w:rsidR="0069413E" w:rsidRPr="00396ECD" w:rsidRDefault="0069413E" w:rsidP="00280F7B">
            <w:pPr>
              <w:jc w:val="center"/>
              <w:rPr>
                <w:sz w:val="22"/>
                <w:szCs w:val="22"/>
                <w:lang w:val="en-GB"/>
              </w:rPr>
            </w:pPr>
            <w:r w:rsidRPr="00396ECD">
              <w:rPr>
                <w:sz w:val="22"/>
                <w:szCs w:val="22"/>
                <w:lang w:val="en-GB"/>
              </w:rPr>
              <w:t>0.50</w:t>
            </w:r>
          </w:p>
        </w:tc>
        <w:tc>
          <w:tcPr>
            <w:tcW w:w="4536" w:type="dxa"/>
            <w:vAlign w:val="center"/>
            <w:hideMark/>
          </w:tcPr>
          <w:p w14:paraId="10FB0315" w14:textId="547BA2C6" w:rsidR="0069413E" w:rsidRPr="00396ECD" w:rsidRDefault="0069413E" w:rsidP="00280F7B">
            <w:pPr>
              <w:rPr>
                <w:sz w:val="22"/>
                <w:szCs w:val="22"/>
                <w:lang w:val="en-GB"/>
              </w:rPr>
            </w:pPr>
            <w:r w:rsidRPr="00396ECD">
              <w:rPr>
                <w:sz w:val="22"/>
                <w:szCs w:val="22"/>
                <w:lang w:val="en-GB"/>
              </w:rPr>
              <w:t xml:space="preserve">Moderate regulation, commodity prices stable, </w:t>
            </w:r>
            <w:r w:rsidR="00280F7B" w:rsidRPr="00396ECD">
              <w:rPr>
                <w:sz w:val="22"/>
                <w:szCs w:val="22"/>
                <w:lang w:val="en-GB"/>
              </w:rPr>
              <w:br/>
            </w:r>
            <w:r w:rsidRPr="00396ECD">
              <w:rPr>
                <w:sz w:val="22"/>
                <w:szCs w:val="22"/>
                <w:lang w:val="en-GB"/>
              </w:rPr>
              <w:t>mild tech disruption</w:t>
            </w:r>
          </w:p>
        </w:tc>
        <w:tc>
          <w:tcPr>
            <w:tcW w:w="1418" w:type="dxa"/>
            <w:vAlign w:val="center"/>
            <w:hideMark/>
          </w:tcPr>
          <w:p w14:paraId="08B1E6AB" w14:textId="14077CD5" w:rsidR="0069413E" w:rsidRPr="00396ECD" w:rsidRDefault="0069413E" w:rsidP="00280F7B">
            <w:pPr>
              <w:jc w:val="center"/>
              <w:rPr>
                <w:sz w:val="22"/>
                <w:szCs w:val="22"/>
                <w:lang w:val="en-GB"/>
              </w:rPr>
            </w:pPr>
            <w:r w:rsidRPr="00396ECD">
              <w:rPr>
                <w:sz w:val="22"/>
                <w:szCs w:val="22"/>
                <w:lang w:val="en-GB"/>
              </w:rPr>
              <w:t>λ1</w:t>
            </w:r>
            <w:r w:rsidR="007902B4">
              <w:rPr>
                <w:sz w:val="22"/>
                <w:szCs w:val="22"/>
                <w:lang w:val="en-GB"/>
              </w:rPr>
              <w:t xml:space="preserve"> </w:t>
            </w:r>
            <w:r w:rsidRPr="00396ECD">
              <w:rPr>
                <w:sz w:val="22"/>
                <w:szCs w:val="22"/>
                <w:lang w:val="en-GB"/>
              </w:rPr>
              <w:t>=</w:t>
            </w:r>
            <w:r w:rsidR="007902B4">
              <w:rPr>
                <w:sz w:val="22"/>
                <w:szCs w:val="22"/>
                <w:lang w:val="en-GB"/>
              </w:rPr>
              <w:t xml:space="preserve"> </w:t>
            </w:r>
            <w:r w:rsidRPr="00396ECD">
              <w:rPr>
                <w:sz w:val="22"/>
                <w:szCs w:val="22"/>
                <w:lang w:val="en-GB"/>
              </w:rPr>
              <w:t>1.30</w:t>
            </w:r>
          </w:p>
        </w:tc>
      </w:tr>
      <w:tr w:rsidR="00116981" w:rsidRPr="00396ECD" w14:paraId="22A6AB34" w14:textId="77777777" w:rsidTr="00596124">
        <w:trPr>
          <w:trHeight w:val="645"/>
        </w:trPr>
        <w:tc>
          <w:tcPr>
            <w:tcW w:w="1134" w:type="dxa"/>
            <w:noWrap/>
            <w:vAlign w:val="center"/>
            <w:hideMark/>
          </w:tcPr>
          <w:p w14:paraId="6C4AE2D9" w14:textId="77777777" w:rsidR="0069413E" w:rsidRPr="00396ECD" w:rsidRDefault="0069413E" w:rsidP="00280F7B">
            <w:pPr>
              <w:rPr>
                <w:sz w:val="22"/>
                <w:szCs w:val="22"/>
                <w:lang w:val="en-GB"/>
              </w:rPr>
            </w:pPr>
            <w:r w:rsidRPr="00396ECD">
              <w:rPr>
                <w:rStyle w:val="Pogrubienie"/>
                <w:b w:val="0"/>
                <w:bCs w:val="0"/>
                <w:sz w:val="22"/>
                <w:szCs w:val="22"/>
                <w:lang w:val="en-GB"/>
              </w:rPr>
              <w:t>S2: High Volatility</w:t>
            </w:r>
          </w:p>
        </w:tc>
        <w:tc>
          <w:tcPr>
            <w:tcW w:w="1276" w:type="dxa"/>
            <w:vAlign w:val="center"/>
            <w:hideMark/>
          </w:tcPr>
          <w:p w14:paraId="0FED8A95" w14:textId="77777777" w:rsidR="0069413E" w:rsidRPr="00396ECD" w:rsidRDefault="0069413E" w:rsidP="00280F7B">
            <w:pPr>
              <w:jc w:val="center"/>
              <w:rPr>
                <w:sz w:val="22"/>
                <w:szCs w:val="22"/>
                <w:lang w:val="en-GB"/>
              </w:rPr>
            </w:pPr>
            <w:r w:rsidRPr="00396ECD">
              <w:rPr>
                <w:sz w:val="22"/>
                <w:szCs w:val="22"/>
                <w:lang w:val="en-GB"/>
              </w:rPr>
              <w:t>0.50</w:t>
            </w:r>
          </w:p>
        </w:tc>
        <w:tc>
          <w:tcPr>
            <w:tcW w:w="4536" w:type="dxa"/>
            <w:vAlign w:val="center"/>
            <w:hideMark/>
          </w:tcPr>
          <w:p w14:paraId="26EA3166" w14:textId="26207054" w:rsidR="0069413E" w:rsidRPr="00396ECD" w:rsidRDefault="0069413E" w:rsidP="00280F7B">
            <w:pPr>
              <w:rPr>
                <w:sz w:val="22"/>
                <w:szCs w:val="22"/>
                <w:lang w:val="en-GB"/>
              </w:rPr>
            </w:pPr>
            <w:r w:rsidRPr="00396ECD">
              <w:rPr>
                <w:sz w:val="22"/>
                <w:szCs w:val="22"/>
                <w:lang w:val="en-GB"/>
              </w:rPr>
              <w:t xml:space="preserve">Policy uncertainty, price swings, climate shocks, </w:t>
            </w:r>
            <w:r w:rsidR="00280F7B" w:rsidRPr="00396ECD">
              <w:rPr>
                <w:sz w:val="22"/>
                <w:szCs w:val="22"/>
                <w:lang w:val="en-GB"/>
              </w:rPr>
              <w:br/>
            </w:r>
            <w:r w:rsidRPr="00396ECD">
              <w:rPr>
                <w:sz w:val="22"/>
                <w:szCs w:val="22"/>
                <w:lang w:val="en-GB"/>
              </w:rPr>
              <w:t>geopolitical risk</w:t>
            </w:r>
          </w:p>
        </w:tc>
        <w:tc>
          <w:tcPr>
            <w:tcW w:w="1418" w:type="dxa"/>
            <w:vAlign w:val="center"/>
            <w:hideMark/>
          </w:tcPr>
          <w:p w14:paraId="0175E389" w14:textId="619BFEB1" w:rsidR="0069413E" w:rsidRPr="00396ECD" w:rsidRDefault="0069413E" w:rsidP="00280F7B">
            <w:pPr>
              <w:jc w:val="center"/>
              <w:rPr>
                <w:sz w:val="22"/>
                <w:szCs w:val="22"/>
                <w:lang w:val="en-GB"/>
              </w:rPr>
            </w:pPr>
            <w:r w:rsidRPr="00396ECD">
              <w:rPr>
                <w:sz w:val="22"/>
                <w:szCs w:val="22"/>
                <w:lang w:val="en-GB"/>
              </w:rPr>
              <w:t>λ2</w:t>
            </w:r>
            <w:r w:rsidR="007902B4">
              <w:rPr>
                <w:sz w:val="22"/>
                <w:szCs w:val="22"/>
                <w:lang w:val="en-GB"/>
              </w:rPr>
              <w:t xml:space="preserve"> </w:t>
            </w:r>
            <w:r w:rsidRPr="00396ECD">
              <w:rPr>
                <w:sz w:val="22"/>
                <w:szCs w:val="22"/>
                <w:lang w:val="en-GB"/>
              </w:rPr>
              <w:t>=</w:t>
            </w:r>
            <w:r w:rsidR="007902B4">
              <w:rPr>
                <w:sz w:val="22"/>
                <w:szCs w:val="22"/>
                <w:lang w:val="en-GB"/>
              </w:rPr>
              <w:t xml:space="preserve"> </w:t>
            </w:r>
            <w:r w:rsidRPr="00396ECD">
              <w:rPr>
                <w:sz w:val="22"/>
                <w:szCs w:val="22"/>
                <w:lang w:val="en-GB"/>
              </w:rPr>
              <w:t>0.75</w:t>
            </w:r>
          </w:p>
        </w:tc>
      </w:tr>
    </w:tbl>
    <w:p w14:paraId="6F02B8B7" w14:textId="77777777" w:rsidR="00C95604" w:rsidRPr="00396ECD" w:rsidRDefault="00C95604" w:rsidP="00116981">
      <w:pPr>
        <w:pStyle w:val="NormalnyWeb"/>
        <w:spacing w:before="0" w:beforeAutospacing="0" w:after="0" w:afterAutospacing="0"/>
        <w:ind w:firstLine="284"/>
        <w:jc w:val="both"/>
        <w:rPr>
          <w:sz w:val="22"/>
          <w:szCs w:val="22"/>
          <w:lang w:val="en-GB"/>
        </w:rPr>
      </w:pPr>
    </w:p>
    <w:p w14:paraId="56752D1E" w14:textId="77777777" w:rsidR="0069413E" w:rsidRPr="00396ECD" w:rsidRDefault="0069413E" w:rsidP="00116981">
      <w:pPr>
        <w:pStyle w:val="NormalnyWeb"/>
        <w:spacing w:before="0" w:beforeAutospacing="0" w:after="0" w:afterAutospacing="0"/>
        <w:ind w:firstLine="284"/>
        <w:jc w:val="both"/>
        <w:rPr>
          <w:sz w:val="22"/>
          <w:szCs w:val="22"/>
          <w:lang w:val="en-GB"/>
        </w:rPr>
      </w:pPr>
      <w:r w:rsidRPr="00396ECD">
        <w:rPr>
          <w:sz w:val="22"/>
          <w:szCs w:val="22"/>
          <w:lang w:val="en-GB"/>
        </w:rPr>
        <w:t>Expected SCI across scenarios:</w:t>
      </w:r>
    </w:p>
    <w:p w14:paraId="6850B808" w14:textId="77777777" w:rsidR="0069413E" w:rsidRPr="00396ECD" w:rsidRDefault="0069413E" w:rsidP="00280F7B">
      <w:pPr>
        <w:spacing w:before="60" w:after="60"/>
        <w:ind w:firstLine="284"/>
        <w:jc w:val="both"/>
        <w:rPr>
          <w:sz w:val="22"/>
          <w:szCs w:val="22"/>
          <w:lang w:val="en-GB"/>
        </w:rPr>
      </w:pPr>
      <w:r w:rsidRPr="00396ECD">
        <w:rPr>
          <w:rStyle w:val="eq-label"/>
          <w:sz w:val="22"/>
          <w:szCs w:val="22"/>
          <w:lang w:val="en-GB"/>
        </w:rPr>
        <w:t>(5)</w:t>
      </w:r>
      <w:r w:rsidRPr="00396ECD">
        <w:rPr>
          <w:rStyle w:val="eq-label"/>
          <w:b/>
          <w:bCs/>
          <w:sz w:val="22"/>
          <w:szCs w:val="22"/>
          <w:lang w:val="en-GB"/>
        </w:rPr>
        <w:t xml:space="preserve"> </w:t>
      </w:r>
      <w:r w:rsidRPr="00396ECD">
        <w:rPr>
          <w:sz w:val="22"/>
          <w:szCs w:val="22"/>
          <w:lang w:val="en-GB"/>
        </w:rPr>
        <w:t>E[SCI]=0.50</w:t>
      </w:r>
      <w:r w:rsidRPr="00396ECD">
        <w:rPr>
          <w:rFonts w:ascii="Cambria Math" w:hAnsi="Cambria Math" w:cs="Cambria Math"/>
          <w:sz w:val="22"/>
          <w:szCs w:val="22"/>
          <w:lang w:val="en-GB"/>
        </w:rPr>
        <w:t>⋅</w:t>
      </w:r>
      <w:r w:rsidRPr="00396ECD">
        <w:rPr>
          <w:sz w:val="22"/>
          <w:szCs w:val="22"/>
          <w:lang w:val="en-GB"/>
        </w:rPr>
        <w:t>λ1</w:t>
      </w:r>
      <w:r w:rsidRPr="00396ECD">
        <w:rPr>
          <w:rFonts w:ascii="Cambria Math" w:hAnsi="Cambria Math" w:cs="Cambria Math"/>
          <w:sz w:val="22"/>
          <w:szCs w:val="22"/>
          <w:lang w:val="en-GB"/>
        </w:rPr>
        <w:t>⋅</w:t>
      </w:r>
      <w:r w:rsidRPr="00396ECD">
        <w:rPr>
          <w:sz w:val="22"/>
          <w:szCs w:val="22"/>
          <w:lang w:val="en-GB"/>
        </w:rPr>
        <w:t>SCI+0.50</w:t>
      </w:r>
      <w:r w:rsidRPr="00396ECD">
        <w:rPr>
          <w:rFonts w:ascii="Cambria Math" w:hAnsi="Cambria Math" w:cs="Cambria Math"/>
          <w:sz w:val="22"/>
          <w:szCs w:val="22"/>
          <w:lang w:val="en-GB"/>
        </w:rPr>
        <w:t>⋅</w:t>
      </w:r>
      <w:r w:rsidRPr="00396ECD">
        <w:rPr>
          <w:sz w:val="22"/>
          <w:szCs w:val="22"/>
          <w:lang w:val="en-GB"/>
        </w:rPr>
        <w:t>λ2</w:t>
      </w:r>
      <w:r w:rsidRPr="00396ECD">
        <w:rPr>
          <w:rFonts w:ascii="Cambria Math" w:hAnsi="Cambria Math" w:cs="Cambria Math"/>
          <w:sz w:val="22"/>
          <w:szCs w:val="22"/>
          <w:lang w:val="en-GB"/>
        </w:rPr>
        <w:t>⋅</w:t>
      </w:r>
      <w:r w:rsidRPr="00396ECD">
        <w:rPr>
          <w:sz w:val="22"/>
          <w:szCs w:val="22"/>
          <w:lang w:val="en-GB"/>
        </w:rPr>
        <w:t>SCI</w:t>
      </w:r>
    </w:p>
    <w:p w14:paraId="7BB0E677" w14:textId="77777777" w:rsidR="0069413E" w:rsidRPr="00396ECD" w:rsidRDefault="0069413E" w:rsidP="00280F7B">
      <w:pPr>
        <w:pStyle w:val="Rn2"/>
        <w:rPr>
          <w:lang w:val="en-GB"/>
        </w:rPr>
      </w:pPr>
      <w:r w:rsidRPr="00396ECD">
        <w:rPr>
          <w:lang w:val="en-GB"/>
        </w:rPr>
        <w:t>Section 4 · MOF Investment Value</w:t>
      </w:r>
    </w:p>
    <w:p w14:paraId="4C866215" w14:textId="27BDEB32" w:rsidR="0069413E" w:rsidRPr="00396ECD" w:rsidRDefault="0069413E" w:rsidP="00280F7B">
      <w:pPr>
        <w:pStyle w:val="Rn2"/>
        <w:rPr>
          <w:bCs/>
          <w:lang w:val="en-GB"/>
        </w:rPr>
      </w:pPr>
      <w:r w:rsidRPr="00396ECD">
        <w:rPr>
          <w:lang w:val="en-GB"/>
        </w:rPr>
        <w:t>4.1</w:t>
      </w:r>
      <w:r w:rsidR="00280F7B" w:rsidRPr="00396ECD">
        <w:rPr>
          <w:lang w:val="en-GB"/>
        </w:rPr>
        <w:t>.</w:t>
      </w:r>
      <w:r w:rsidRPr="00396ECD">
        <w:rPr>
          <w:lang w:val="en-GB"/>
        </w:rPr>
        <w:t xml:space="preserve"> Foresight Value (Annual)</w:t>
      </w:r>
    </w:p>
    <w:p w14:paraId="5A6DAD66" w14:textId="77777777" w:rsidR="0069413E" w:rsidRPr="00396ECD" w:rsidRDefault="0069413E" w:rsidP="00116981">
      <w:pPr>
        <w:pStyle w:val="NormalnyWeb"/>
        <w:spacing w:before="0" w:beforeAutospacing="0" w:after="0" w:afterAutospacing="0"/>
        <w:ind w:firstLine="284"/>
        <w:jc w:val="both"/>
        <w:rPr>
          <w:sz w:val="22"/>
          <w:szCs w:val="22"/>
          <w:lang w:val="en-GB"/>
        </w:rPr>
      </w:pPr>
      <w:r w:rsidRPr="00396ECD">
        <w:rPr>
          <w:sz w:val="22"/>
          <w:szCs w:val="22"/>
          <w:lang w:val="en-GB"/>
        </w:rPr>
        <w:t>The annual economic benefit of foresight adoption, computed from improved competitiveness:</w:t>
      </w:r>
    </w:p>
    <w:p w14:paraId="3CA1FFDE" w14:textId="77777777" w:rsidR="0069413E" w:rsidRPr="00396ECD" w:rsidRDefault="0069413E" w:rsidP="006E1B99">
      <w:pPr>
        <w:spacing w:before="60" w:after="60"/>
        <w:ind w:firstLine="284"/>
        <w:jc w:val="both"/>
        <w:rPr>
          <w:sz w:val="22"/>
          <w:szCs w:val="22"/>
          <w:lang w:val="en-GB"/>
        </w:rPr>
      </w:pPr>
      <w:r w:rsidRPr="00396ECD">
        <w:rPr>
          <w:rStyle w:val="eq-label"/>
          <w:sz w:val="22"/>
          <w:szCs w:val="22"/>
          <w:lang w:val="en-GB"/>
        </w:rPr>
        <w:t>(6)</w:t>
      </w:r>
      <w:r w:rsidRPr="00396ECD">
        <w:rPr>
          <w:rStyle w:val="eq-label"/>
          <w:b/>
          <w:bCs/>
          <w:sz w:val="22"/>
          <w:szCs w:val="22"/>
          <w:lang w:val="en-GB"/>
        </w:rPr>
        <w:t xml:space="preserve"> </w:t>
      </w:r>
      <w:r w:rsidRPr="00396ECD">
        <w:rPr>
          <w:sz w:val="22"/>
          <w:szCs w:val="22"/>
          <w:lang w:val="en-GB"/>
        </w:rPr>
        <w:t>FV=R</w:t>
      </w:r>
      <w:r w:rsidRPr="00396ECD">
        <w:rPr>
          <w:rFonts w:ascii="Cambria Math" w:hAnsi="Cambria Math" w:cs="Cambria Math"/>
          <w:sz w:val="22"/>
          <w:szCs w:val="22"/>
          <w:lang w:val="en-GB"/>
        </w:rPr>
        <w:t>⋅</w:t>
      </w:r>
      <w:r w:rsidRPr="00396ECD">
        <w:rPr>
          <w:sz w:val="22"/>
          <w:szCs w:val="22"/>
          <w:lang w:val="en-GB"/>
        </w:rPr>
        <w:t>(ΔSCI)−CF</w:t>
      </w:r>
    </w:p>
    <w:p w14:paraId="2DE1AB03" w14:textId="47EA55F3" w:rsidR="0069413E" w:rsidRPr="00396ECD" w:rsidRDefault="0069413E" w:rsidP="00280F7B">
      <w:pPr>
        <w:pStyle w:val="NormalnyWeb"/>
        <w:spacing w:before="0" w:beforeAutospacing="0" w:after="0" w:afterAutospacing="0"/>
        <w:rPr>
          <w:sz w:val="22"/>
          <w:szCs w:val="22"/>
          <w:lang w:val="en-GB"/>
        </w:rPr>
      </w:pPr>
      <w:r w:rsidRPr="00396ECD">
        <w:rPr>
          <w:sz w:val="22"/>
          <w:szCs w:val="22"/>
          <w:lang w:val="en-GB"/>
        </w:rPr>
        <w:t>where:</w:t>
      </w:r>
      <w:r w:rsidRPr="00396ECD">
        <w:rPr>
          <w:sz w:val="22"/>
          <w:szCs w:val="22"/>
          <w:lang w:val="en-GB"/>
        </w:rPr>
        <w:br/>
      </w:r>
      <w:r w:rsidRPr="00396ECD">
        <w:rPr>
          <w:rStyle w:val="Pogrubienie"/>
          <w:b w:val="0"/>
          <w:bCs w:val="0"/>
          <w:sz w:val="22"/>
          <w:szCs w:val="22"/>
          <w:lang w:val="en-GB"/>
        </w:rPr>
        <w:t>R</w:t>
      </w:r>
      <w:r w:rsidR="00280F7B" w:rsidRPr="00396ECD">
        <w:rPr>
          <w:b/>
          <w:bCs/>
          <w:sz w:val="22"/>
          <w:szCs w:val="22"/>
          <w:lang w:val="en-GB"/>
        </w:rPr>
        <w:t xml:space="preserve"> </w:t>
      </w:r>
      <w:r w:rsidR="00B60EAE">
        <w:rPr>
          <w:sz w:val="22"/>
          <w:szCs w:val="22"/>
          <w:lang w:val="en-GB"/>
        </w:rPr>
        <w:t>–</w:t>
      </w:r>
      <w:r w:rsidRPr="00396ECD">
        <w:rPr>
          <w:sz w:val="22"/>
          <w:szCs w:val="22"/>
          <w:lang w:val="en-GB"/>
        </w:rPr>
        <w:t xml:space="preserve"> annual enterprise revenue (USD)</w:t>
      </w:r>
      <w:r w:rsidRPr="00396ECD">
        <w:rPr>
          <w:sz w:val="22"/>
          <w:szCs w:val="22"/>
          <w:lang w:val="en-GB"/>
        </w:rPr>
        <w:br/>
      </w:r>
      <w:r w:rsidRPr="00396ECD">
        <w:rPr>
          <w:rStyle w:val="Pogrubienie"/>
          <w:b w:val="0"/>
          <w:bCs w:val="0"/>
          <w:sz w:val="22"/>
          <w:szCs w:val="22"/>
          <w:lang w:val="en-GB"/>
        </w:rPr>
        <w:t>ΔSCI</w:t>
      </w:r>
      <w:r w:rsidR="00280F7B" w:rsidRPr="00396ECD">
        <w:rPr>
          <w:sz w:val="22"/>
          <w:szCs w:val="22"/>
          <w:lang w:val="en-GB"/>
        </w:rPr>
        <w:t xml:space="preserve"> </w:t>
      </w:r>
      <w:r w:rsidR="00B60EAE">
        <w:rPr>
          <w:sz w:val="22"/>
          <w:szCs w:val="22"/>
          <w:lang w:val="en-GB"/>
        </w:rPr>
        <w:t>–</w:t>
      </w:r>
      <w:r w:rsidRPr="00396ECD">
        <w:rPr>
          <w:sz w:val="22"/>
          <w:szCs w:val="22"/>
          <w:lang w:val="en-GB"/>
        </w:rPr>
        <w:t xml:space="preserve"> improvement in Strategic Competitiveness Index post-MOF adoption</w:t>
      </w:r>
      <w:r w:rsidRPr="00396ECD">
        <w:rPr>
          <w:sz w:val="22"/>
          <w:szCs w:val="22"/>
          <w:lang w:val="en-GB"/>
        </w:rPr>
        <w:br/>
      </w:r>
      <w:r w:rsidRPr="00396ECD">
        <w:rPr>
          <w:rStyle w:val="Pogrubienie"/>
          <w:b w:val="0"/>
          <w:bCs w:val="0"/>
          <w:sz w:val="22"/>
          <w:szCs w:val="22"/>
          <w:lang w:val="en-GB"/>
        </w:rPr>
        <w:t>CF</w:t>
      </w:r>
      <w:r w:rsidR="00280F7B" w:rsidRPr="00396ECD">
        <w:rPr>
          <w:b/>
          <w:bCs/>
          <w:sz w:val="22"/>
          <w:szCs w:val="22"/>
          <w:lang w:val="en-GB"/>
        </w:rPr>
        <w:t xml:space="preserve"> </w:t>
      </w:r>
      <w:r w:rsidR="00B60EAE">
        <w:rPr>
          <w:sz w:val="22"/>
          <w:szCs w:val="22"/>
          <w:lang w:val="en-GB"/>
        </w:rPr>
        <w:t>–</w:t>
      </w:r>
      <w:r w:rsidRPr="00396ECD">
        <w:rPr>
          <w:sz w:val="22"/>
          <w:szCs w:val="22"/>
          <w:lang w:val="en-GB"/>
        </w:rPr>
        <w:t xml:space="preserve"> annual foresight system cost (USD)</w:t>
      </w:r>
    </w:p>
    <w:p w14:paraId="456A50E1" w14:textId="78A79E06" w:rsidR="0069413E" w:rsidRPr="00396ECD" w:rsidRDefault="0069413E" w:rsidP="00280F7B">
      <w:pPr>
        <w:pStyle w:val="Rn2"/>
        <w:rPr>
          <w:lang w:val="en-GB"/>
        </w:rPr>
      </w:pPr>
      <w:r w:rsidRPr="00396ECD">
        <w:rPr>
          <w:lang w:val="en-GB"/>
        </w:rPr>
        <w:t>4.2</w:t>
      </w:r>
      <w:r w:rsidR="00280F7B" w:rsidRPr="00396ECD">
        <w:rPr>
          <w:lang w:val="en-GB"/>
        </w:rPr>
        <w:t>.</w:t>
      </w:r>
      <w:r w:rsidRPr="00396ECD">
        <w:rPr>
          <w:lang w:val="en-GB"/>
        </w:rPr>
        <w:t xml:space="preserve"> Net Present Value (Simplified)</w:t>
      </w:r>
    </w:p>
    <w:p w14:paraId="1AADA9D2" w14:textId="555C655E" w:rsidR="0069413E" w:rsidRPr="00396ECD" w:rsidRDefault="0069413E" w:rsidP="00116981">
      <w:pPr>
        <w:pStyle w:val="NormalnyWeb"/>
        <w:spacing w:before="0" w:beforeAutospacing="0" w:after="0" w:afterAutospacing="0"/>
        <w:ind w:firstLine="284"/>
        <w:jc w:val="both"/>
        <w:rPr>
          <w:sz w:val="22"/>
          <w:szCs w:val="22"/>
          <w:lang w:val="en-GB"/>
        </w:rPr>
      </w:pPr>
      <w:r w:rsidRPr="00396ECD">
        <w:rPr>
          <w:sz w:val="22"/>
          <w:szCs w:val="22"/>
          <w:lang w:val="en-GB"/>
        </w:rPr>
        <w:t xml:space="preserve">Over a 5-year horizon with </w:t>
      </w:r>
      <w:r w:rsidR="00E975FE">
        <w:rPr>
          <w:sz w:val="22"/>
          <w:szCs w:val="22"/>
          <w:lang w:val="en-GB"/>
        </w:rPr>
        <w:t xml:space="preserve">an </w:t>
      </w:r>
      <w:r w:rsidRPr="00396ECD">
        <w:rPr>
          <w:sz w:val="22"/>
          <w:szCs w:val="22"/>
          <w:lang w:val="en-GB"/>
        </w:rPr>
        <w:t>8% discount rate:</w:t>
      </w:r>
    </w:p>
    <w:p w14:paraId="1358AE37" w14:textId="3279A660" w:rsidR="0069413E" w:rsidRPr="00396ECD" w:rsidRDefault="0069413E" w:rsidP="00280F7B">
      <w:pPr>
        <w:spacing w:before="60" w:after="60"/>
        <w:ind w:left="709" w:hanging="425"/>
        <w:jc w:val="both"/>
        <w:rPr>
          <w:sz w:val="22"/>
          <w:szCs w:val="22"/>
          <w:lang w:val="en-GB"/>
        </w:rPr>
      </w:pPr>
      <w:r w:rsidRPr="00396ECD">
        <w:rPr>
          <w:rStyle w:val="eq-label"/>
          <w:sz w:val="22"/>
          <w:szCs w:val="22"/>
          <w:lang w:val="en-GB"/>
        </w:rPr>
        <w:t>(7)</w:t>
      </w:r>
      <w:r w:rsidR="00280F7B" w:rsidRPr="00396ECD">
        <w:rPr>
          <w:rStyle w:val="eq-label"/>
          <w:b/>
          <w:bCs/>
          <w:sz w:val="22"/>
          <w:szCs w:val="22"/>
          <w:lang w:val="en-GB"/>
        </w:rPr>
        <w:t xml:space="preserve"> </w:t>
      </w:r>
      <w:r w:rsidRPr="00396ECD">
        <w:rPr>
          <w:sz w:val="22"/>
          <w:szCs w:val="22"/>
          <w:lang w:val="en-GB"/>
        </w:rPr>
        <w:t>NPV=∑t=15FVt(1.08)t−I0</w:t>
      </w:r>
    </w:p>
    <w:p w14:paraId="4C202E0D" w14:textId="2257A989" w:rsidR="0069413E" w:rsidRPr="00396ECD" w:rsidRDefault="0069413E" w:rsidP="00116981">
      <w:pPr>
        <w:pStyle w:val="NormalnyWeb"/>
        <w:spacing w:before="0" w:beforeAutospacing="0" w:after="0" w:afterAutospacing="0"/>
        <w:ind w:firstLine="284"/>
        <w:jc w:val="both"/>
        <w:rPr>
          <w:sz w:val="22"/>
          <w:szCs w:val="22"/>
          <w:lang w:val="en-GB"/>
        </w:rPr>
      </w:pPr>
      <w:r w:rsidRPr="00396ECD">
        <w:rPr>
          <w:rStyle w:val="Pogrubienie"/>
          <w:b w:val="0"/>
          <w:bCs w:val="0"/>
          <w:sz w:val="22"/>
          <w:szCs w:val="22"/>
          <w:lang w:val="en-GB"/>
        </w:rPr>
        <w:t>Decision rule:</w:t>
      </w:r>
      <w:r w:rsidRPr="00396ECD">
        <w:rPr>
          <w:sz w:val="22"/>
          <w:szCs w:val="22"/>
          <w:lang w:val="en-GB"/>
        </w:rPr>
        <w:t xml:space="preserve"> NPV</w:t>
      </w:r>
      <w:r w:rsidR="007902B4">
        <w:rPr>
          <w:sz w:val="22"/>
          <w:szCs w:val="22"/>
          <w:lang w:val="en-GB"/>
        </w:rPr>
        <w:t xml:space="preserve"> </w:t>
      </w:r>
      <w:r w:rsidRPr="00396ECD">
        <w:rPr>
          <w:sz w:val="22"/>
          <w:szCs w:val="22"/>
          <w:lang w:val="en-GB"/>
        </w:rPr>
        <w:t>&gt;</w:t>
      </w:r>
      <w:r w:rsidR="007902B4">
        <w:rPr>
          <w:sz w:val="22"/>
          <w:szCs w:val="22"/>
          <w:lang w:val="en-GB"/>
        </w:rPr>
        <w:t xml:space="preserve"> </w:t>
      </w:r>
      <w:r w:rsidRPr="00396ECD">
        <w:rPr>
          <w:sz w:val="22"/>
          <w:szCs w:val="22"/>
          <w:lang w:val="en-GB"/>
        </w:rPr>
        <w:t>0 → implement MOF; NPV≤0 → defer or redesign.</w:t>
      </w:r>
    </w:p>
    <w:p w14:paraId="099379CC" w14:textId="17593210" w:rsidR="0069413E" w:rsidRPr="00396ECD" w:rsidRDefault="0069413E" w:rsidP="00280F7B">
      <w:pPr>
        <w:pStyle w:val="Rn2"/>
        <w:rPr>
          <w:lang w:val="en-GB"/>
        </w:rPr>
      </w:pPr>
      <w:r w:rsidRPr="00396ECD">
        <w:rPr>
          <w:lang w:val="en-GB"/>
        </w:rPr>
        <w:t>4.3</w:t>
      </w:r>
      <w:r w:rsidR="00280F7B" w:rsidRPr="00396ECD">
        <w:rPr>
          <w:lang w:val="en-GB"/>
        </w:rPr>
        <w:t>.</w:t>
      </w:r>
      <w:r w:rsidRPr="00396ECD">
        <w:rPr>
          <w:lang w:val="en-GB"/>
        </w:rPr>
        <w:t xml:space="preserve"> Readiness Assessment Index (RAI)</w:t>
      </w:r>
    </w:p>
    <w:p w14:paraId="79B44F1D" w14:textId="77777777" w:rsidR="0069413E" w:rsidRPr="00396ECD" w:rsidRDefault="0069413E" w:rsidP="00116981">
      <w:pPr>
        <w:pStyle w:val="NormalnyWeb"/>
        <w:spacing w:before="0" w:beforeAutospacing="0" w:after="0" w:afterAutospacing="0"/>
        <w:ind w:firstLine="284"/>
        <w:jc w:val="both"/>
        <w:rPr>
          <w:sz w:val="22"/>
          <w:szCs w:val="22"/>
          <w:lang w:val="en-GB"/>
        </w:rPr>
      </w:pPr>
      <w:r w:rsidRPr="00396ECD">
        <w:rPr>
          <w:sz w:val="22"/>
          <w:szCs w:val="22"/>
          <w:lang w:val="en-GB"/>
        </w:rPr>
        <w:t>Diagnostic metric for organisational readiness to execute foresight:</w:t>
      </w:r>
    </w:p>
    <w:p w14:paraId="154BFABB" w14:textId="4E90AE2B" w:rsidR="0069413E" w:rsidRPr="00396ECD" w:rsidRDefault="0069413E" w:rsidP="00280F7B">
      <w:pPr>
        <w:spacing w:before="60" w:after="60"/>
        <w:ind w:firstLine="284"/>
        <w:jc w:val="both"/>
        <w:rPr>
          <w:sz w:val="22"/>
          <w:szCs w:val="22"/>
          <w:lang w:val="en-GB"/>
        </w:rPr>
      </w:pPr>
      <w:r w:rsidRPr="00396ECD">
        <w:rPr>
          <w:rStyle w:val="eq-label"/>
          <w:sz w:val="22"/>
          <w:szCs w:val="22"/>
          <w:lang w:val="en-GB"/>
        </w:rPr>
        <w:t>(8)</w:t>
      </w:r>
      <w:r w:rsidR="00280F7B" w:rsidRPr="00396ECD">
        <w:rPr>
          <w:rStyle w:val="eq-label"/>
          <w:b/>
          <w:bCs/>
          <w:sz w:val="22"/>
          <w:szCs w:val="22"/>
          <w:lang w:val="en-GB"/>
        </w:rPr>
        <w:t xml:space="preserve"> </w:t>
      </w:r>
      <w:r w:rsidRPr="00396ECD">
        <w:rPr>
          <w:sz w:val="22"/>
          <w:szCs w:val="22"/>
          <w:lang w:val="en-GB"/>
        </w:rPr>
        <w:t>RAI=0.30(MOI×10)+0.25(FAI×10)+0.20Mdepth+0.15Lsupport+0.10τ</w:t>
      </w:r>
    </w:p>
    <w:p w14:paraId="1EDEA0B1" w14:textId="77777777" w:rsidR="0069413E" w:rsidRPr="00396ECD" w:rsidRDefault="0069413E" w:rsidP="00116981">
      <w:pPr>
        <w:pStyle w:val="NormalnyWeb"/>
        <w:spacing w:before="0" w:beforeAutospacing="0" w:after="0" w:afterAutospacing="0"/>
        <w:ind w:firstLine="284"/>
        <w:jc w:val="both"/>
        <w:rPr>
          <w:sz w:val="22"/>
          <w:szCs w:val="22"/>
          <w:lang w:val="en-GB"/>
        </w:rPr>
      </w:pPr>
      <w:r w:rsidRPr="00396ECD">
        <w:rPr>
          <w:rStyle w:val="Pogrubienie"/>
          <w:b w:val="0"/>
          <w:bCs w:val="0"/>
          <w:sz w:val="22"/>
          <w:szCs w:val="22"/>
          <w:lang w:val="en-GB"/>
        </w:rPr>
        <w:t>Classification:</w:t>
      </w:r>
      <w:r w:rsidRPr="00396ECD">
        <w:rPr>
          <w:sz w:val="22"/>
          <w:szCs w:val="22"/>
          <w:lang w:val="en-GB"/>
        </w:rPr>
        <w:t xml:space="preserve"> RAI &lt; 4 → Beginner | 4–6 → Basic | 6–8 → Advanced | &gt;8 → Leader</w:t>
      </w:r>
    </w:p>
    <w:p w14:paraId="6DFB0172" w14:textId="77777777" w:rsidR="00116981" w:rsidRPr="00396ECD" w:rsidRDefault="00116981" w:rsidP="00116981">
      <w:pPr>
        <w:pStyle w:val="Nagwek3"/>
        <w:ind w:firstLine="284"/>
        <w:jc w:val="both"/>
        <w:rPr>
          <w:color w:val="auto"/>
          <w:sz w:val="22"/>
          <w:szCs w:val="22"/>
          <w:lang w:val="en-GB"/>
        </w:rPr>
      </w:pPr>
    </w:p>
    <w:p w14:paraId="5DC76816" w14:textId="49470478" w:rsidR="00DC5361" w:rsidRPr="00396ECD" w:rsidRDefault="00DC5361" w:rsidP="00116981">
      <w:pPr>
        <w:pStyle w:val="Nagwek3"/>
        <w:ind w:firstLine="284"/>
        <w:jc w:val="both"/>
        <w:rPr>
          <w:color w:val="auto"/>
          <w:sz w:val="22"/>
          <w:szCs w:val="22"/>
          <w:lang w:val="en-GB"/>
        </w:rPr>
      </w:pPr>
      <w:r w:rsidRPr="00396ECD">
        <w:rPr>
          <w:color w:val="auto"/>
          <w:sz w:val="22"/>
          <w:szCs w:val="22"/>
          <w:lang w:val="en-GB"/>
        </w:rPr>
        <w:t xml:space="preserve">European integration opens up new analytical horizons for marketing-oriented foresight. Accession to the EU will entail the gradual implementation of the EU's Common Agricultural Policy (CAP) in Ukraine, </w:t>
      </w:r>
      <w:r w:rsidR="00E975FE">
        <w:rPr>
          <w:color w:val="auto"/>
          <w:sz w:val="22"/>
          <w:szCs w:val="22"/>
          <w:lang w:val="en-GB"/>
        </w:rPr>
        <w:t>significantly transforming</w:t>
      </w:r>
      <w:r w:rsidRPr="00396ECD">
        <w:rPr>
          <w:color w:val="auto"/>
          <w:sz w:val="22"/>
          <w:szCs w:val="22"/>
          <w:lang w:val="en-GB"/>
        </w:rPr>
        <w:t xml:space="preserve"> the operating conditions for domestic agricultural producers. Foresight analysis of the regulatory transformation associated with the CAP and Farm to Fork strategy </w:t>
      </w:r>
      <w:r w:rsidR="00E975FE">
        <w:rPr>
          <w:color w:val="auto"/>
          <w:sz w:val="22"/>
          <w:szCs w:val="22"/>
          <w:lang w:val="en-GB"/>
        </w:rPr>
        <w:t>enables</w:t>
      </w:r>
      <w:r w:rsidRPr="00396ECD">
        <w:rPr>
          <w:color w:val="auto"/>
          <w:sz w:val="22"/>
          <w:szCs w:val="22"/>
          <w:lang w:val="en-GB"/>
        </w:rPr>
        <w:t xml:space="preserve"> early identification of both challenges (increasing environmental requirements, possible reductions in subsidies for intensive farms) and opportunities (access to EU support programs for organic production, agroecological measures, and digitalization).</w:t>
      </w:r>
    </w:p>
    <w:p w14:paraId="45F10043" w14:textId="7A0CCB5B" w:rsidR="00DC5361" w:rsidRPr="00396ECD" w:rsidRDefault="00DC5361" w:rsidP="00116981">
      <w:pPr>
        <w:pStyle w:val="Nagwek3"/>
        <w:ind w:firstLine="284"/>
        <w:jc w:val="both"/>
        <w:rPr>
          <w:color w:val="auto"/>
          <w:sz w:val="22"/>
          <w:szCs w:val="22"/>
          <w:lang w:val="en-GB"/>
        </w:rPr>
      </w:pPr>
      <w:r w:rsidRPr="00396ECD">
        <w:rPr>
          <w:color w:val="auto"/>
          <w:sz w:val="22"/>
          <w:szCs w:val="22"/>
          <w:lang w:val="en-GB"/>
        </w:rPr>
        <w:t xml:space="preserve">Particular attention should be paid to foresight in the field of agroecological technologies and organic production. Ukraine has significant potential in this area–extensive areas of uncontaminated land, traditions of organic farming in several regions, and growing demand for organic products in EU countries. Foresight analysis in this area should determine </w:t>
      </w:r>
      <w:r w:rsidR="00E975FE">
        <w:rPr>
          <w:color w:val="auto"/>
          <w:sz w:val="22"/>
          <w:szCs w:val="22"/>
          <w:lang w:val="en-GB"/>
        </w:rPr>
        <w:t>the conditions and timeframe under which</w:t>
      </w:r>
      <w:r w:rsidRPr="00396ECD">
        <w:rPr>
          <w:color w:val="auto"/>
          <w:sz w:val="22"/>
          <w:szCs w:val="22"/>
          <w:lang w:val="en-GB"/>
        </w:rPr>
        <w:t xml:space="preserve"> Ukraine could become a significant player in the EU organic market (Tkachenko, 2025). To systematize the relationships between an agricultural enterprise's level of marketing orientation and the scale and complexity of foresight activities that are realistic for it, a readiness matrix is proposed. Table 5 shows the relationship between the components of marketing orientation and the corresponding elements of the foresight system.</w:t>
      </w:r>
    </w:p>
    <w:p w14:paraId="2A84531B" w14:textId="77777777" w:rsidR="00116981" w:rsidRPr="00396ECD" w:rsidRDefault="00116981" w:rsidP="00116981">
      <w:pPr>
        <w:pStyle w:val="Nagwek3"/>
        <w:ind w:firstLine="284"/>
        <w:jc w:val="both"/>
        <w:rPr>
          <w:color w:val="auto"/>
          <w:sz w:val="22"/>
          <w:szCs w:val="22"/>
          <w:lang w:val="en-GB"/>
        </w:rPr>
      </w:pPr>
    </w:p>
    <w:p w14:paraId="3601EE5D" w14:textId="77777777" w:rsidR="00596124" w:rsidRDefault="00596124">
      <w:pPr>
        <w:rPr>
          <w:rFonts w:eastAsiaTheme="minorHAnsi" w:cstheme="minorBidi"/>
          <w:b/>
          <w:kern w:val="2"/>
          <w:sz w:val="20"/>
          <w:szCs w:val="22"/>
          <w:lang w:val="en-GB" w:eastAsia="en-US"/>
          <w14:ligatures w14:val="standardContextual"/>
        </w:rPr>
      </w:pPr>
      <w:r>
        <w:rPr>
          <w:b/>
          <w:lang w:val="en-GB"/>
        </w:rPr>
        <w:br w:type="page"/>
      </w:r>
    </w:p>
    <w:p w14:paraId="49A3F63C" w14:textId="580E41DF" w:rsidR="007E0240" w:rsidRPr="00396ECD" w:rsidRDefault="00DC5361" w:rsidP="009F5B13">
      <w:pPr>
        <w:pStyle w:val="Rtab"/>
        <w:rPr>
          <w:lang w:val="en-GB"/>
        </w:rPr>
      </w:pPr>
      <w:r w:rsidRPr="00396ECD">
        <w:rPr>
          <w:b/>
          <w:lang w:val="en-GB"/>
        </w:rPr>
        <w:lastRenderedPageBreak/>
        <w:t>Table 5.</w:t>
      </w:r>
      <w:r w:rsidRPr="00396ECD">
        <w:rPr>
          <w:lang w:val="en-GB"/>
        </w:rPr>
        <w:t xml:space="preserve"> Interrelation Between Marketing Orientation Components and Elements of Marketing-Oriented Foresight in Agrarian Enterprises </w:t>
      </w:r>
    </w:p>
    <w:tbl>
      <w:tblPr>
        <w:tblStyle w:val="Tabela-Siatka"/>
        <w:tblW w:w="9401" w:type="dxa"/>
        <w:tblInd w:w="108" w:type="dxa"/>
        <w:tblBorders>
          <w:left w:val="none" w:sz="0" w:space="0" w:color="auto"/>
          <w:right w:val="none" w:sz="0" w:space="0" w:color="auto"/>
          <w:insideV w:val="none" w:sz="0" w:space="0" w:color="auto"/>
        </w:tblBorders>
        <w:tblLook w:val="04A0" w:firstRow="1" w:lastRow="0" w:firstColumn="1" w:lastColumn="0" w:noHBand="0" w:noVBand="1"/>
      </w:tblPr>
      <w:tblGrid>
        <w:gridCol w:w="1699"/>
        <w:gridCol w:w="2259"/>
        <w:gridCol w:w="1860"/>
        <w:gridCol w:w="1729"/>
        <w:gridCol w:w="1854"/>
      </w:tblGrid>
      <w:tr w:rsidR="00116981" w:rsidRPr="00396ECD" w14:paraId="18A895F7" w14:textId="77777777" w:rsidTr="00AE3341">
        <w:trPr>
          <w:trHeight w:val="757"/>
        </w:trPr>
        <w:tc>
          <w:tcPr>
            <w:tcW w:w="1699" w:type="dxa"/>
            <w:vAlign w:val="center"/>
            <w:hideMark/>
          </w:tcPr>
          <w:p w14:paraId="322A4B37" w14:textId="207E064E" w:rsidR="007E0240" w:rsidRPr="00396ECD" w:rsidRDefault="007E0240" w:rsidP="00AE3341">
            <w:pPr>
              <w:ind w:left="-215"/>
              <w:jc w:val="center"/>
              <w:rPr>
                <w:sz w:val="20"/>
                <w:szCs w:val="20"/>
                <w:lang w:val="en-GB"/>
              </w:rPr>
            </w:pPr>
            <w:r w:rsidRPr="00396ECD">
              <w:rPr>
                <w:sz w:val="20"/>
                <w:szCs w:val="20"/>
                <w:lang w:val="en-GB"/>
              </w:rPr>
              <w:t xml:space="preserve">Component </w:t>
            </w:r>
            <w:r w:rsidR="007902B4">
              <w:rPr>
                <w:sz w:val="20"/>
                <w:szCs w:val="20"/>
                <w:lang w:val="en-GB"/>
              </w:rPr>
              <w:br/>
            </w:r>
            <w:r w:rsidRPr="00396ECD">
              <w:rPr>
                <w:sz w:val="20"/>
                <w:szCs w:val="20"/>
                <w:lang w:val="en-GB"/>
              </w:rPr>
              <w:t xml:space="preserve">of Marketing </w:t>
            </w:r>
            <w:r w:rsidR="007902B4">
              <w:rPr>
                <w:sz w:val="20"/>
                <w:szCs w:val="20"/>
                <w:lang w:val="en-GB"/>
              </w:rPr>
              <w:br/>
            </w:r>
            <w:r w:rsidRPr="00396ECD">
              <w:rPr>
                <w:sz w:val="20"/>
                <w:szCs w:val="20"/>
                <w:lang w:val="en-GB"/>
              </w:rPr>
              <w:t>Orientation</w:t>
            </w:r>
          </w:p>
        </w:tc>
        <w:tc>
          <w:tcPr>
            <w:tcW w:w="0" w:type="auto"/>
            <w:vAlign w:val="center"/>
            <w:hideMark/>
          </w:tcPr>
          <w:p w14:paraId="1B945AA5" w14:textId="77777777" w:rsidR="007E0240" w:rsidRPr="00396ECD" w:rsidRDefault="007E0240" w:rsidP="009F5B13">
            <w:pPr>
              <w:jc w:val="center"/>
              <w:rPr>
                <w:sz w:val="20"/>
                <w:szCs w:val="20"/>
                <w:lang w:val="en-GB"/>
              </w:rPr>
            </w:pPr>
            <w:r w:rsidRPr="00396ECD">
              <w:rPr>
                <w:sz w:val="20"/>
                <w:szCs w:val="20"/>
                <w:lang w:val="en-GB"/>
              </w:rPr>
              <w:t>Content (</w:t>
            </w:r>
            <w:proofErr w:type="spellStart"/>
            <w:r w:rsidRPr="00396ECD">
              <w:rPr>
                <w:sz w:val="20"/>
                <w:szCs w:val="20"/>
                <w:lang w:val="en-GB"/>
              </w:rPr>
              <w:t>Narver</w:t>
            </w:r>
            <w:proofErr w:type="spellEnd"/>
            <w:r w:rsidRPr="00396ECD">
              <w:rPr>
                <w:sz w:val="20"/>
                <w:szCs w:val="20"/>
                <w:lang w:val="en-GB"/>
              </w:rPr>
              <w:t>-Slater)</w:t>
            </w:r>
          </w:p>
        </w:tc>
        <w:tc>
          <w:tcPr>
            <w:tcW w:w="1860" w:type="dxa"/>
            <w:vAlign w:val="center"/>
            <w:hideMark/>
          </w:tcPr>
          <w:p w14:paraId="2566215E" w14:textId="77777777" w:rsidR="007E0240" w:rsidRPr="00396ECD" w:rsidRDefault="007E0240" w:rsidP="009F5B13">
            <w:pPr>
              <w:jc w:val="center"/>
              <w:rPr>
                <w:sz w:val="20"/>
                <w:szCs w:val="20"/>
                <w:lang w:val="en-GB"/>
              </w:rPr>
            </w:pPr>
            <w:r w:rsidRPr="00396ECD">
              <w:rPr>
                <w:sz w:val="20"/>
                <w:szCs w:val="20"/>
                <w:lang w:val="en-GB"/>
              </w:rPr>
              <w:t>Corresponding Foresight Element</w:t>
            </w:r>
          </w:p>
        </w:tc>
        <w:tc>
          <w:tcPr>
            <w:tcW w:w="1729" w:type="dxa"/>
            <w:vAlign w:val="center"/>
            <w:hideMark/>
          </w:tcPr>
          <w:p w14:paraId="5A1ADA2E" w14:textId="1DC49C74" w:rsidR="007E0240" w:rsidRPr="00396ECD" w:rsidRDefault="007E0240" w:rsidP="00AE3341">
            <w:pPr>
              <w:ind w:left="-219"/>
              <w:jc w:val="center"/>
              <w:rPr>
                <w:sz w:val="20"/>
                <w:szCs w:val="20"/>
                <w:lang w:val="en-GB"/>
              </w:rPr>
            </w:pPr>
            <w:r w:rsidRPr="00396ECD">
              <w:rPr>
                <w:sz w:val="20"/>
                <w:szCs w:val="20"/>
                <w:lang w:val="en-GB"/>
              </w:rPr>
              <w:t xml:space="preserve">Foresight </w:t>
            </w:r>
            <w:r w:rsidR="007902B4">
              <w:rPr>
                <w:sz w:val="20"/>
                <w:szCs w:val="20"/>
                <w:lang w:val="en-GB"/>
              </w:rPr>
              <w:br/>
            </w:r>
            <w:r w:rsidRPr="00396ECD">
              <w:rPr>
                <w:sz w:val="20"/>
                <w:szCs w:val="20"/>
                <w:lang w:val="en-GB"/>
              </w:rPr>
              <w:t>Methods</w:t>
            </w:r>
          </w:p>
        </w:tc>
        <w:tc>
          <w:tcPr>
            <w:tcW w:w="1854" w:type="dxa"/>
            <w:vAlign w:val="center"/>
            <w:hideMark/>
          </w:tcPr>
          <w:p w14:paraId="5330F80B" w14:textId="77777777" w:rsidR="007E0240" w:rsidRPr="00396ECD" w:rsidRDefault="007E0240" w:rsidP="009F5B13">
            <w:pPr>
              <w:jc w:val="center"/>
              <w:rPr>
                <w:sz w:val="20"/>
                <w:szCs w:val="20"/>
                <w:lang w:val="en-GB"/>
              </w:rPr>
            </w:pPr>
            <w:r w:rsidRPr="00396ECD">
              <w:rPr>
                <w:sz w:val="20"/>
                <w:szCs w:val="20"/>
                <w:lang w:val="en-GB"/>
              </w:rPr>
              <w:t>Expected Result</w:t>
            </w:r>
          </w:p>
        </w:tc>
      </w:tr>
      <w:tr w:rsidR="00116981" w:rsidRPr="00396ECD" w14:paraId="74CEF848" w14:textId="77777777" w:rsidTr="00AE3341">
        <w:trPr>
          <w:trHeight w:val="785"/>
        </w:trPr>
        <w:tc>
          <w:tcPr>
            <w:tcW w:w="1699" w:type="dxa"/>
            <w:vAlign w:val="center"/>
            <w:hideMark/>
          </w:tcPr>
          <w:p w14:paraId="168DE1A6" w14:textId="5D2AB0D8" w:rsidR="007E0240" w:rsidRPr="00396ECD" w:rsidRDefault="007E0240" w:rsidP="00AE3341">
            <w:pPr>
              <w:ind w:left="163"/>
              <w:rPr>
                <w:sz w:val="20"/>
                <w:szCs w:val="20"/>
                <w:lang w:val="en-GB"/>
              </w:rPr>
            </w:pPr>
            <w:r w:rsidRPr="00396ECD">
              <w:rPr>
                <w:sz w:val="20"/>
                <w:szCs w:val="20"/>
                <w:lang w:val="en-GB"/>
              </w:rPr>
              <w:t xml:space="preserve">Customer </w:t>
            </w:r>
            <w:r w:rsidR="007902B4">
              <w:rPr>
                <w:sz w:val="20"/>
                <w:szCs w:val="20"/>
                <w:lang w:val="en-GB"/>
              </w:rPr>
              <w:br/>
            </w:r>
            <w:r w:rsidRPr="00396ECD">
              <w:rPr>
                <w:sz w:val="20"/>
                <w:szCs w:val="20"/>
                <w:lang w:val="en-GB"/>
              </w:rPr>
              <w:t>Orientation</w:t>
            </w:r>
          </w:p>
        </w:tc>
        <w:tc>
          <w:tcPr>
            <w:tcW w:w="0" w:type="auto"/>
            <w:vAlign w:val="center"/>
            <w:hideMark/>
          </w:tcPr>
          <w:p w14:paraId="5C166AA1" w14:textId="5F62D340" w:rsidR="007E0240" w:rsidRPr="00396ECD" w:rsidRDefault="007E0240" w:rsidP="009F5B13">
            <w:pPr>
              <w:rPr>
                <w:sz w:val="20"/>
                <w:szCs w:val="20"/>
                <w:lang w:val="en-GB"/>
              </w:rPr>
            </w:pPr>
            <w:r w:rsidRPr="00396ECD">
              <w:rPr>
                <w:sz w:val="20"/>
                <w:szCs w:val="20"/>
                <w:lang w:val="en-GB"/>
              </w:rPr>
              <w:t xml:space="preserve">Systematic study </w:t>
            </w:r>
            <w:r w:rsidR="00AE3341">
              <w:rPr>
                <w:sz w:val="20"/>
                <w:szCs w:val="20"/>
                <w:lang w:val="en-GB"/>
              </w:rPr>
              <w:br/>
            </w:r>
            <w:r w:rsidRPr="00396ECD">
              <w:rPr>
                <w:sz w:val="20"/>
                <w:szCs w:val="20"/>
                <w:lang w:val="en-GB"/>
              </w:rPr>
              <w:t xml:space="preserve">of current and latent </w:t>
            </w:r>
            <w:r w:rsidR="00AE3341">
              <w:rPr>
                <w:sz w:val="20"/>
                <w:szCs w:val="20"/>
                <w:lang w:val="en-GB"/>
              </w:rPr>
              <w:br/>
            </w:r>
            <w:r w:rsidRPr="00396ECD">
              <w:rPr>
                <w:sz w:val="20"/>
                <w:szCs w:val="20"/>
                <w:lang w:val="en-GB"/>
              </w:rPr>
              <w:t>customer needs</w:t>
            </w:r>
          </w:p>
        </w:tc>
        <w:tc>
          <w:tcPr>
            <w:tcW w:w="1860" w:type="dxa"/>
            <w:vAlign w:val="center"/>
            <w:hideMark/>
          </w:tcPr>
          <w:p w14:paraId="63058DB5" w14:textId="77777777" w:rsidR="007E0240" w:rsidRPr="00396ECD" w:rsidRDefault="007E0240" w:rsidP="009F5B13">
            <w:pPr>
              <w:rPr>
                <w:sz w:val="20"/>
                <w:szCs w:val="20"/>
                <w:lang w:val="en-GB"/>
              </w:rPr>
            </w:pPr>
            <w:r w:rsidRPr="00396ECD">
              <w:rPr>
                <w:sz w:val="20"/>
                <w:szCs w:val="20"/>
                <w:lang w:val="en-GB"/>
              </w:rPr>
              <w:t>Forecasting evolution of consumer preferences</w:t>
            </w:r>
          </w:p>
        </w:tc>
        <w:tc>
          <w:tcPr>
            <w:tcW w:w="1729" w:type="dxa"/>
            <w:vAlign w:val="center"/>
            <w:hideMark/>
          </w:tcPr>
          <w:p w14:paraId="671A562F" w14:textId="77777777" w:rsidR="007E0240" w:rsidRPr="00396ECD" w:rsidRDefault="007E0240" w:rsidP="009F5B13">
            <w:pPr>
              <w:rPr>
                <w:sz w:val="20"/>
                <w:szCs w:val="20"/>
                <w:lang w:val="en-GB"/>
              </w:rPr>
            </w:pPr>
            <w:r w:rsidRPr="00396ECD">
              <w:rPr>
                <w:sz w:val="20"/>
                <w:szCs w:val="20"/>
                <w:lang w:val="en-GB"/>
              </w:rPr>
              <w:t>Weak signals analysis, Delphi, Big Data</w:t>
            </w:r>
          </w:p>
        </w:tc>
        <w:tc>
          <w:tcPr>
            <w:tcW w:w="1854" w:type="dxa"/>
            <w:vAlign w:val="center"/>
            <w:hideMark/>
          </w:tcPr>
          <w:p w14:paraId="78692575" w14:textId="77777777" w:rsidR="007E0240" w:rsidRPr="00396ECD" w:rsidRDefault="00C95604" w:rsidP="009F5B13">
            <w:pPr>
              <w:rPr>
                <w:sz w:val="20"/>
                <w:szCs w:val="20"/>
                <w:lang w:val="en-GB"/>
              </w:rPr>
            </w:pPr>
            <w:r w:rsidRPr="00396ECD">
              <w:rPr>
                <w:sz w:val="20"/>
                <w:szCs w:val="20"/>
                <w:lang w:val="en-GB"/>
              </w:rPr>
              <w:t>Identification of promising niches → promising niches</w:t>
            </w:r>
          </w:p>
        </w:tc>
      </w:tr>
      <w:tr w:rsidR="00116981" w:rsidRPr="00396ECD" w14:paraId="1D7E87A8" w14:textId="77777777" w:rsidTr="00AE3341">
        <w:trPr>
          <w:trHeight w:val="924"/>
        </w:trPr>
        <w:tc>
          <w:tcPr>
            <w:tcW w:w="1699" w:type="dxa"/>
            <w:vAlign w:val="center"/>
            <w:hideMark/>
          </w:tcPr>
          <w:p w14:paraId="4317C8E2" w14:textId="49CF3100" w:rsidR="007E0240" w:rsidRPr="00396ECD" w:rsidRDefault="007E0240" w:rsidP="00AE3341">
            <w:pPr>
              <w:ind w:left="163"/>
              <w:rPr>
                <w:sz w:val="20"/>
                <w:szCs w:val="20"/>
                <w:lang w:val="en-GB"/>
              </w:rPr>
            </w:pPr>
            <w:r w:rsidRPr="00396ECD">
              <w:rPr>
                <w:sz w:val="20"/>
                <w:szCs w:val="20"/>
                <w:lang w:val="en-GB"/>
              </w:rPr>
              <w:t xml:space="preserve">Competitor </w:t>
            </w:r>
            <w:r w:rsidR="007902B4">
              <w:rPr>
                <w:sz w:val="20"/>
                <w:szCs w:val="20"/>
                <w:lang w:val="en-GB"/>
              </w:rPr>
              <w:br/>
            </w:r>
            <w:r w:rsidRPr="00396ECD">
              <w:rPr>
                <w:sz w:val="20"/>
                <w:szCs w:val="20"/>
                <w:lang w:val="en-GB"/>
              </w:rPr>
              <w:t>Orientation</w:t>
            </w:r>
          </w:p>
        </w:tc>
        <w:tc>
          <w:tcPr>
            <w:tcW w:w="0" w:type="auto"/>
            <w:vAlign w:val="center"/>
            <w:hideMark/>
          </w:tcPr>
          <w:p w14:paraId="02826125" w14:textId="0E985951" w:rsidR="007E0240" w:rsidRPr="00396ECD" w:rsidRDefault="007E0240" w:rsidP="009F5B13">
            <w:pPr>
              <w:rPr>
                <w:sz w:val="20"/>
                <w:szCs w:val="20"/>
                <w:lang w:val="en-GB"/>
              </w:rPr>
            </w:pPr>
            <w:r w:rsidRPr="00396ECD">
              <w:rPr>
                <w:sz w:val="20"/>
                <w:szCs w:val="20"/>
                <w:lang w:val="en-GB"/>
              </w:rPr>
              <w:t>Monitoring strengths, weaknesses, strategies of</w:t>
            </w:r>
            <w:r w:rsidR="00AE3341">
              <w:rPr>
                <w:sz w:val="20"/>
                <w:szCs w:val="20"/>
                <w:lang w:val="en-GB"/>
              </w:rPr>
              <w:t> </w:t>
            </w:r>
            <w:r w:rsidRPr="00396ECD">
              <w:rPr>
                <w:sz w:val="20"/>
                <w:szCs w:val="20"/>
                <w:lang w:val="en-GB"/>
              </w:rPr>
              <w:t>competitors</w:t>
            </w:r>
          </w:p>
        </w:tc>
        <w:tc>
          <w:tcPr>
            <w:tcW w:w="1860" w:type="dxa"/>
            <w:vAlign w:val="center"/>
            <w:hideMark/>
          </w:tcPr>
          <w:p w14:paraId="5ED57027" w14:textId="77777777" w:rsidR="007E0240" w:rsidRPr="00396ECD" w:rsidRDefault="007E0240" w:rsidP="009F5B13">
            <w:pPr>
              <w:rPr>
                <w:sz w:val="20"/>
                <w:szCs w:val="20"/>
                <w:lang w:val="en-GB"/>
              </w:rPr>
            </w:pPr>
            <w:r w:rsidRPr="00396ECD">
              <w:rPr>
                <w:sz w:val="20"/>
                <w:szCs w:val="20"/>
                <w:lang w:val="en-GB"/>
              </w:rPr>
              <w:t>Scenario modelling of competitive environment</w:t>
            </w:r>
          </w:p>
        </w:tc>
        <w:tc>
          <w:tcPr>
            <w:tcW w:w="1729" w:type="dxa"/>
            <w:vAlign w:val="center"/>
            <w:hideMark/>
          </w:tcPr>
          <w:p w14:paraId="3D3C6C5A" w14:textId="77777777" w:rsidR="007E0240" w:rsidRPr="00396ECD" w:rsidRDefault="007E0240" w:rsidP="009F5B13">
            <w:pPr>
              <w:rPr>
                <w:sz w:val="20"/>
                <w:szCs w:val="20"/>
                <w:lang w:val="en-GB"/>
              </w:rPr>
            </w:pPr>
            <w:r w:rsidRPr="00396ECD">
              <w:rPr>
                <w:sz w:val="20"/>
                <w:szCs w:val="20"/>
                <w:lang w:val="en-GB"/>
              </w:rPr>
              <w:t>Scenario planning, PESTLE, cross-impact</w:t>
            </w:r>
          </w:p>
        </w:tc>
        <w:tc>
          <w:tcPr>
            <w:tcW w:w="1854" w:type="dxa"/>
            <w:vAlign w:val="center"/>
            <w:hideMark/>
          </w:tcPr>
          <w:p w14:paraId="52157D8E" w14:textId="77777777" w:rsidR="007E0240" w:rsidRPr="00396ECD" w:rsidRDefault="007E0240" w:rsidP="009F5B13">
            <w:pPr>
              <w:rPr>
                <w:sz w:val="20"/>
                <w:szCs w:val="20"/>
                <w:lang w:val="en-GB"/>
              </w:rPr>
            </w:pPr>
            <w:r w:rsidRPr="00396ECD">
              <w:rPr>
                <w:sz w:val="20"/>
                <w:szCs w:val="20"/>
                <w:lang w:val="en-GB"/>
              </w:rPr>
              <w:t>Robust competitive strategies</w:t>
            </w:r>
          </w:p>
        </w:tc>
      </w:tr>
      <w:tr w:rsidR="00116981" w:rsidRPr="00396ECD" w14:paraId="5A4E16EA" w14:textId="77777777" w:rsidTr="00AE3341">
        <w:trPr>
          <w:trHeight w:val="784"/>
        </w:trPr>
        <w:tc>
          <w:tcPr>
            <w:tcW w:w="1699" w:type="dxa"/>
            <w:vAlign w:val="center"/>
            <w:hideMark/>
          </w:tcPr>
          <w:p w14:paraId="1A26EE0F" w14:textId="77777777" w:rsidR="007E0240" w:rsidRPr="00396ECD" w:rsidRDefault="007E0240" w:rsidP="00AE3341">
            <w:pPr>
              <w:ind w:left="163"/>
              <w:rPr>
                <w:sz w:val="20"/>
                <w:szCs w:val="20"/>
                <w:lang w:val="en-GB"/>
              </w:rPr>
            </w:pPr>
            <w:proofErr w:type="spellStart"/>
            <w:r w:rsidRPr="00396ECD">
              <w:rPr>
                <w:sz w:val="20"/>
                <w:szCs w:val="20"/>
                <w:lang w:val="en-GB"/>
              </w:rPr>
              <w:t>Interfunctional</w:t>
            </w:r>
            <w:proofErr w:type="spellEnd"/>
            <w:r w:rsidRPr="00396ECD">
              <w:rPr>
                <w:sz w:val="20"/>
                <w:szCs w:val="20"/>
                <w:lang w:val="en-GB"/>
              </w:rPr>
              <w:t xml:space="preserve"> Coordination</w:t>
            </w:r>
          </w:p>
        </w:tc>
        <w:tc>
          <w:tcPr>
            <w:tcW w:w="0" w:type="auto"/>
            <w:vAlign w:val="center"/>
            <w:hideMark/>
          </w:tcPr>
          <w:p w14:paraId="62876780" w14:textId="05A721B7" w:rsidR="007E0240" w:rsidRPr="00396ECD" w:rsidRDefault="007E0240" w:rsidP="009F5B13">
            <w:pPr>
              <w:rPr>
                <w:sz w:val="20"/>
                <w:szCs w:val="20"/>
                <w:lang w:val="en-GB"/>
              </w:rPr>
            </w:pPr>
            <w:r w:rsidRPr="00396ECD">
              <w:rPr>
                <w:sz w:val="20"/>
                <w:szCs w:val="20"/>
                <w:lang w:val="en-GB"/>
              </w:rPr>
              <w:t xml:space="preserve">Information sharing </w:t>
            </w:r>
            <w:r w:rsidR="00AE3341">
              <w:rPr>
                <w:sz w:val="20"/>
                <w:szCs w:val="20"/>
                <w:lang w:val="en-GB"/>
              </w:rPr>
              <w:br/>
            </w:r>
            <w:r w:rsidRPr="00396ECD">
              <w:rPr>
                <w:sz w:val="20"/>
                <w:szCs w:val="20"/>
                <w:lang w:val="en-GB"/>
              </w:rPr>
              <w:t>and coordination across departments</w:t>
            </w:r>
          </w:p>
        </w:tc>
        <w:tc>
          <w:tcPr>
            <w:tcW w:w="1860" w:type="dxa"/>
            <w:vAlign w:val="center"/>
            <w:hideMark/>
          </w:tcPr>
          <w:p w14:paraId="7F9A8039" w14:textId="77777777" w:rsidR="007E0240" w:rsidRPr="00396ECD" w:rsidRDefault="007E0240" w:rsidP="009F5B13">
            <w:pPr>
              <w:rPr>
                <w:sz w:val="20"/>
                <w:szCs w:val="20"/>
                <w:lang w:val="en-GB"/>
              </w:rPr>
            </w:pPr>
            <w:r w:rsidRPr="00396ECD">
              <w:rPr>
                <w:sz w:val="20"/>
                <w:szCs w:val="20"/>
                <w:lang w:val="en-GB"/>
              </w:rPr>
              <w:t>Integration of foresight into strategic management</w:t>
            </w:r>
          </w:p>
        </w:tc>
        <w:tc>
          <w:tcPr>
            <w:tcW w:w="1729" w:type="dxa"/>
            <w:vAlign w:val="center"/>
            <w:hideMark/>
          </w:tcPr>
          <w:p w14:paraId="65360C08" w14:textId="77777777" w:rsidR="007E0240" w:rsidRPr="00396ECD" w:rsidRDefault="007E0240" w:rsidP="009F5B13">
            <w:pPr>
              <w:rPr>
                <w:sz w:val="20"/>
                <w:szCs w:val="20"/>
                <w:lang w:val="en-GB"/>
              </w:rPr>
            </w:pPr>
            <w:r w:rsidRPr="00396ECD">
              <w:rPr>
                <w:sz w:val="20"/>
                <w:szCs w:val="20"/>
                <w:lang w:val="en-GB"/>
              </w:rPr>
              <w:t>Foresight sessions, workshops</w:t>
            </w:r>
          </w:p>
        </w:tc>
        <w:tc>
          <w:tcPr>
            <w:tcW w:w="1854" w:type="dxa"/>
            <w:vAlign w:val="center"/>
            <w:hideMark/>
          </w:tcPr>
          <w:p w14:paraId="65787C86" w14:textId="77777777" w:rsidR="007E0240" w:rsidRPr="00396ECD" w:rsidRDefault="007E0240" w:rsidP="009F5B13">
            <w:pPr>
              <w:rPr>
                <w:sz w:val="20"/>
                <w:szCs w:val="20"/>
                <w:lang w:val="en-GB"/>
              </w:rPr>
            </w:pPr>
            <w:r w:rsidRPr="00396ECD">
              <w:rPr>
                <w:sz w:val="20"/>
                <w:szCs w:val="20"/>
                <w:lang w:val="en-GB"/>
              </w:rPr>
              <w:t>Culture of strategic anticipation</w:t>
            </w:r>
          </w:p>
        </w:tc>
      </w:tr>
    </w:tbl>
    <w:p w14:paraId="00D200FA" w14:textId="77777777" w:rsidR="008B2903" w:rsidRPr="00AE3341" w:rsidRDefault="00486869" w:rsidP="009F5B13">
      <w:pPr>
        <w:spacing w:before="60"/>
        <w:jc w:val="both"/>
        <w:rPr>
          <w:i/>
          <w:iCs/>
          <w:sz w:val="20"/>
          <w:szCs w:val="20"/>
          <w:lang w:val="en-GB"/>
        </w:rPr>
      </w:pPr>
      <w:r w:rsidRPr="00AE3341">
        <w:rPr>
          <w:rStyle w:val="Uwydatnienie"/>
          <w:i w:val="0"/>
          <w:iCs w:val="0"/>
          <w:sz w:val="20"/>
          <w:szCs w:val="20"/>
          <w:shd w:val="clear" w:color="auto" w:fill="FFFFFF"/>
          <w:lang w:val="en-GB"/>
        </w:rPr>
        <w:t xml:space="preserve">Source: developed by the authors </w:t>
      </w:r>
    </w:p>
    <w:p w14:paraId="137C34DD" w14:textId="6DDC982D" w:rsidR="002D5C39" w:rsidRPr="00396ECD" w:rsidRDefault="00396ECD" w:rsidP="009F5B13">
      <w:pPr>
        <w:pStyle w:val="Rn1"/>
        <w:rPr>
          <w:lang w:val="en-GB"/>
        </w:rPr>
      </w:pPr>
      <w:r w:rsidRPr="00396ECD">
        <w:rPr>
          <w:lang w:val="en-GB"/>
        </w:rPr>
        <w:t xml:space="preserve">5. </w:t>
      </w:r>
      <w:r w:rsidR="002D5C39" w:rsidRPr="00396ECD">
        <w:rPr>
          <w:lang w:val="en-GB"/>
        </w:rPr>
        <w:t>Discussion</w:t>
      </w:r>
    </w:p>
    <w:p w14:paraId="1F04C50D" w14:textId="2444E60D" w:rsidR="003F13E8" w:rsidRPr="00396ECD" w:rsidRDefault="003F13E8" w:rsidP="00116981">
      <w:pPr>
        <w:pStyle w:val="NormalnyWeb"/>
        <w:spacing w:before="0" w:beforeAutospacing="0" w:after="0" w:afterAutospacing="0"/>
        <w:ind w:firstLine="284"/>
        <w:jc w:val="both"/>
        <w:rPr>
          <w:sz w:val="22"/>
          <w:szCs w:val="22"/>
          <w:lang w:val="en-GB"/>
        </w:rPr>
      </w:pPr>
      <w:r w:rsidRPr="00396ECD">
        <w:rPr>
          <w:sz w:val="22"/>
          <w:szCs w:val="22"/>
          <w:lang w:val="en-GB"/>
        </w:rPr>
        <w:t>The proposed concept of marketing-oriented foresight for agricultural enterprises is based on the purposeful integration of three well-established scientific traditions: foresight methodology (Popper, 2008), the concept of marketing orientation (</w:t>
      </w:r>
      <w:proofErr w:type="spellStart"/>
      <w:r w:rsidRPr="00396ECD">
        <w:rPr>
          <w:sz w:val="22"/>
          <w:szCs w:val="22"/>
          <w:lang w:val="en-GB"/>
        </w:rPr>
        <w:t>Narver</w:t>
      </w:r>
      <w:proofErr w:type="spellEnd"/>
      <w:r w:rsidRPr="00396ECD">
        <w:rPr>
          <w:sz w:val="22"/>
          <w:szCs w:val="22"/>
          <w:lang w:val="en-GB"/>
        </w:rPr>
        <w:t xml:space="preserve"> &amp; Slater, 1990), and strategic planning theory. The authors explicitly acknowledge that each component is established in its own right. The claim to novelty rests not on the components themselves but on three dimensions of the integration: (1) the firm-level decision architecture that operationalizes foresight within a marketing orientation framework, rather than at national or sectoral level; (2) the explicit embedding of environmental regulatory intelligence — CBAM, biodiversity disclosure, soil health metrics — as primary foresight inputs, which has no direct precedent in the pre-Green Deal agricultural management literature; and (3) the empirical calibration of the framework to Ukrainian agribusiness conditions, which exhibit an unusual combination of high export orientation, low institutional capacity, and acute geopolitical disruption. Whether this constitutes </w:t>
      </w:r>
      <w:r w:rsidR="00E975FE">
        <w:rPr>
          <w:sz w:val="22"/>
          <w:szCs w:val="22"/>
          <w:lang w:val="en-GB"/>
        </w:rPr>
        <w:t>"</w:t>
      </w:r>
      <w:r w:rsidRPr="00396ECD">
        <w:rPr>
          <w:sz w:val="22"/>
          <w:szCs w:val="22"/>
          <w:lang w:val="en-GB"/>
        </w:rPr>
        <w:t>true</w:t>
      </w:r>
      <w:r w:rsidR="00E975FE">
        <w:rPr>
          <w:sz w:val="22"/>
          <w:szCs w:val="22"/>
          <w:lang w:val="en-GB"/>
        </w:rPr>
        <w:t>"</w:t>
      </w:r>
      <w:r w:rsidRPr="00396ECD">
        <w:rPr>
          <w:sz w:val="22"/>
          <w:szCs w:val="22"/>
          <w:lang w:val="en-GB"/>
        </w:rPr>
        <w:t xml:space="preserve"> conceptual innovation or a valuable synthesis is ultimately a matter of disciplinary convention; the authors submit that purposeful, empirically grounded synthesis that produces a practically deployable framework represents a legitimate and needed contribution to applied agricultural management research. At the same time, the study reveals </w:t>
      </w:r>
      <w:r w:rsidR="00E975FE">
        <w:rPr>
          <w:sz w:val="22"/>
          <w:szCs w:val="22"/>
          <w:lang w:val="en-GB"/>
        </w:rPr>
        <w:t>several debatable issues that warrant</w:t>
      </w:r>
      <w:r w:rsidRPr="00396ECD">
        <w:rPr>
          <w:sz w:val="22"/>
          <w:szCs w:val="22"/>
          <w:lang w:val="en-GB"/>
        </w:rPr>
        <w:t xml:space="preserve"> separate attention.</w:t>
      </w:r>
    </w:p>
    <w:p w14:paraId="15083CA2" w14:textId="0F9BE956" w:rsidR="003F13E8" w:rsidRPr="00396ECD" w:rsidRDefault="003F13E8" w:rsidP="00116981">
      <w:pPr>
        <w:pStyle w:val="NormalnyWeb"/>
        <w:spacing w:before="0" w:beforeAutospacing="0" w:after="0" w:afterAutospacing="0"/>
        <w:ind w:firstLine="284"/>
        <w:jc w:val="both"/>
        <w:rPr>
          <w:sz w:val="22"/>
          <w:szCs w:val="22"/>
          <w:lang w:val="en-GB"/>
        </w:rPr>
      </w:pPr>
      <w:r w:rsidRPr="00396ECD">
        <w:rPr>
          <w:sz w:val="22"/>
          <w:szCs w:val="22"/>
          <w:lang w:val="en-GB"/>
        </w:rPr>
        <w:t xml:space="preserve">The first issue concerns the alignment of the time horizons of marketing planning and foresight. Traditional marketing planning, particularly in the agricultural sector, is largely focused on short- and medium-term horizons (1–3 years), whereas foresight operates on </w:t>
      </w:r>
      <w:r w:rsidR="00E975FE">
        <w:rPr>
          <w:sz w:val="22"/>
          <w:szCs w:val="22"/>
          <w:lang w:val="en-GB"/>
        </w:rPr>
        <w:t>5–20-year horizon</w:t>
      </w:r>
      <w:r w:rsidRPr="00396ECD">
        <w:rPr>
          <w:sz w:val="22"/>
          <w:szCs w:val="22"/>
          <w:lang w:val="en-GB"/>
        </w:rPr>
        <w:t xml:space="preserve">s. Our results indicate that an attempt to </w:t>
      </w:r>
      <w:r w:rsidR="00E975FE">
        <w:rPr>
          <w:sz w:val="22"/>
          <w:szCs w:val="22"/>
          <w:lang w:val="en-GB"/>
        </w:rPr>
        <w:t>combine these approaches mechanically</w:t>
      </w:r>
      <w:r w:rsidRPr="00396ECD">
        <w:rPr>
          <w:sz w:val="22"/>
          <w:szCs w:val="22"/>
          <w:lang w:val="en-GB"/>
        </w:rPr>
        <w:t xml:space="preserve"> can lead to contradictions in strategic priorities. The solution lies in a</w:t>
      </w:r>
      <w:r w:rsidR="00AE3341">
        <w:rPr>
          <w:sz w:val="22"/>
          <w:szCs w:val="22"/>
          <w:lang w:val="en-GB"/>
        </w:rPr>
        <w:t> </w:t>
      </w:r>
      <w:r w:rsidRPr="00396ECD">
        <w:rPr>
          <w:sz w:val="22"/>
          <w:szCs w:val="22"/>
          <w:lang w:val="en-GB"/>
        </w:rPr>
        <w:t xml:space="preserve">hierarchical structure of marketing-oriented foresight, where long-term foresight </w:t>
      </w:r>
      <w:r w:rsidR="00E975FE">
        <w:rPr>
          <w:sz w:val="22"/>
          <w:szCs w:val="22"/>
          <w:lang w:val="en-GB"/>
        </w:rPr>
        <w:t>provides the framework for developing medium-term marketing strategies, and the latter, in turn, determine the priorities for</w:t>
      </w:r>
      <w:r w:rsidRPr="00396ECD">
        <w:rPr>
          <w:sz w:val="22"/>
          <w:szCs w:val="22"/>
          <w:lang w:val="en-GB"/>
        </w:rPr>
        <w:t xml:space="preserve"> short-term marketing planning (Forbes Ukraine, 2026c).</w:t>
      </w:r>
    </w:p>
    <w:p w14:paraId="780AD7D2" w14:textId="42C46901" w:rsidR="003F13E8" w:rsidRPr="00396ECD" w:rsidRDefault="003F13E8" w:rsidP="00116981">
      <w:pPr>
        <w:pStyle w:val="NormalnyWeb"/>
        <w:spacing w:before="0" w:beforeAutospacing="0" w:after="0" w:afterAutospacing="0"/>
        <w:ind w:firstLine="284"/>
        <w:jc w:val="both"/>
        <w:rPr>
          <w:sz w:val="22"/>
          <w:szCs w:val="22"/>
          <w:lang w:val="en-GB"/>
        </w:rPr>
      </w:pPr>
      <w:r w:rsidRPr="00396ECD">
        <w:rPr>
          <w:sz w:val="22"/>
          <w:szCs w:val="22"/>
          <w:lang w:val="en-GB"/>
        </w:rPr>
        <w:t xml:space="preserve">The second issue concerns the limitations of foresight application in small agricultural enterprises, </w:t>
      </w:r>
      <w:r w:rsidR="00E975FE">
        <w:rPr>
          <w:sz w:val="22"/>
          <w:szCs w:val="22"/>
          <w:lang w:val="en-GB"/>
        </w:rPr>
        <w:t>specifically the costs and organizational burden of MOF implementation</w:t>
      </w:r>
      <w:r w:rsidRPr="00396ECD">
        <w:rPr>
          <w:sz w:val="22"/>
          <w:szCs w:val="22"/>
          <w:lang w:val="en-GB"/>
        </w:rPr>
        <w:t>. Critics may argue that foresight is a tool primarily accessible to large companies and government institutions, while small farms simply lack the resources and expertise to implement it. This criticism is partially justified–full-scale implementation of foresight in a large corporate style does indeed require significant resources. However, a simplified MOF implementation for a small farm (up to 300 ha) need not be prohibitively expensive. Based on the survey data and analogous advisory cost structures in EU candidate countries (</w:t>
      </w:r>
      <w:proofErr w:type="spellStart"/>
      <w:r w:rsidRPr="00396ECD">
        <w:rPr>
          <w:sz w:val="22"/>
          <w:szCs w:val="22"/>
          <w:lang w:val="en-GB"/>
        </w:rPr>
        <w:t>Bogonos</w:t>
      </w:r>
      <w:proofErr w:type="spellEnd"/>
      <w:r w:rsidRPr="00396ECD">
        <w:rPr>
          <w:sz w:val="22"/>
          <w:szCs w:val="22"/>
          <w:lang w:val="en-GB"/>
        </w:rPr>
        <w:t xml:space="preserve"> et al., 2023), a realistic annual cost estimate for a minimum viable MOF system comprises: two half-day scenario planning sessions per year facilitated by an agricultural advisory service (≈20–40 hours of advisory time, approximately USD 600–1,200 at regional advisory tariffs); subscription to two or three open-access </w:t>
      </w:r>
      <w:proofErr w:type="spellStart"/>
      <w:r w:rsidRPr="00396ECD">
        <w:rPr>
          <w:sz w:val="22"/>
          <w:szCs w:val="22"/>
          <w:lang w:val="en-GB"/>
        </w:rPr>
        <w:t>agri</w:t>
      </w:r>
      <w:proofErr w:type="spellEnd"/>
      <w:r w:rsidRPr="00396ECD">
        <w:rPr>
          <w:sz w:val="22"/>
          <w:szCs w:val="22"/>
          <w:lang w:val="en-GB"/>
        </w:rPr>
        <w:t xml:space="preserve">-market intelligence sources (e.g., USDA WASDE, Agribusiness Ukraine bulletin) at no direct cost; and management time allocated to monitoring </w:t>
      </w:r>
      <w:r w:rsidR="00AE3341">
        <w:rPr>
          <w:sz w:val="22"/>
          <w:szCs w:val="22"/>
          <w:lang w:val="en-GB"/>
        </w:rPr>
        <w:br/>
      </w:r>
      <w:r w:rsidRPr="00396ECD">
        <w:rPr>
          <w:sz w:val="22"/>
          <w:szCs w:val="22"/>
          <w:lang w:val="en-GB"/>
        </w:rPr>
        <w:t>(≈8–10 hours per quarter, valued at opportunity cost). Total annual cost: approximately USD 800–1,500 for a</w:t>
      </w:r>
      <w:r w:rsidR="00AE3341">
        <w:rPr>
          <w:sz w:val="22"/>
          <w:szCs w:val="22"/>
          <w:lang w:val="en-GB"/>
        </w:rPr>
        <w:t> </w:t>
      </w:r>
      <w:r w:rsidRPr="00396ECD">
        <w:rPr>
          <w:sz w:val="22"/>
          <w:szCs w:val="22"/>
          <w:lang w:val="en-GB"/>
        </w:rPr>
        <w:t xml:space="preserve">small farm. For a farm with annual revenue of USD 150,000, this represents 0.5–1.0% of turnover — a level that is consistent with the advisory expenditure benchmarks of comparable EU farms. Even under conservative assumptions, if improved market positioning enables a 2–3% premium on 20% of output, the NPV of foresight investment over five years is strongly positive. The cooperative foresight model further reduces per-farm cost: </w:t>
      </w:r>
      <w:r w:rsidRPr="00396ECD">
        <w:rPr>
          <w:sz w:val="22"/>
          <w:szCs w:val="22"/>
          <w:lang w:val="en-GB"/>
        </w:rPr>
        <w:lastRenderedPageBreak/>
        <w:t xml:space="preserve">if ten farms in a regional association share facilitation costs, the individual contribution falls below USD 150 per year. This model is operational in the Netherlands (via Wageningen UR advisory networks) and in Poland (via agricultural chambers), providing precedent for Ukrainian implementation through the existing network of regional agrarian universities and </w:t>
      </w:r>
      <w:proofErr w:type="spellStart"/>
      <w:r w:rsidRPr="00396ECD">
        <w:rPr>
          <w:sz w:val="22"/>
          <w:szCs w:val="22"/>
          <w:lang w:val="en-GB"/>
        </w:rPr>
        <w:t>Derzhavna</w:t>
      </w:r>
      <w:proofErr w:type="spellEnd"/>
      <w:r w:rsidRPr="00396ECD">
        <w:rPr>
          <w:sz w:val="22"/>
          <w:szCs w:val="22"/>
          <w:lang w:val="en-GB"/>
        </w:rPr>
        <w:t xml:space="preserve"> </w:t>
      </w:r>
      <w:proofErr w:type="spellStart"/>
      <w:r w:rsidRPr="00396ECD">
        <w:rPr>
          <w:sz w:val="22"/>
          <w:szCs w:val="22"/>
          <w:lang w:val="en-GB"/>
        </w:rPr>
        <w:t>sluzhba</w:t>
      </w:r>
      <w:proofErr w:type="spellEnd"/>
      <w:r w:rsidRPr="00396ECD">
        <w:rPr>
          <w:sz w:val="22"/>
          <w:szCs w:val="22"/>
          <w:lang w:val="en-GB"/>
        </w:rPr>
        <w:t xml:space="preserve"> </w:t>
      </w:r>
      <w:proofErr w:type="spellStart"/>
      <w:r w:rsidRPr="00396ECD">
        <w:rPr>
          <w:sz w:val="22"/>
          <w:szCs w:val="22"/>
          <w:lang w:val="en-GB"/>
        </w:rPr>
        <w:t>zainiatosti</w:t>
      </w:r>
      <w:proofErr w:type="spellEnd"/>
      <w:r w:rsidRPr="00396ECD">
        <w:rPr>
          <w:sz w:val="22"/>
          <w:szCs w:val="22"/>
          <w:lang w:val="en-GB"/>
        </w:rPr>
        <w:t xml:space="preserve"> extension offices.</w:t>
      </w:r>
    </w:p>
    <w:p w14:paraId="530687FD" w14:textId="20D115D7" w:rsidR="003F13E8" w:rsidRPr="00396ECD" w:rsidRDefault="003F13E8" w:rsidP="00116981">
      <w:pPr>
        <w:pStyle w:val="NormalnyWeb"/>
        <w:spacing w:before="0" w:beforeAutospacing="0" w:after="0" w:afterAutospacing="0"/>
        <w:ind w:firstLine="284"/>
        <w:jc w:val="both"/>
        <w:rPr>
          <w:sz w:val="22"/>
          <w:szCs w:val="22"/>
          <w:lang w:val="en-GB"/>
        </w:rPr>
      </w:pPr>
      <w:r w:rsidRPr="00396ECD">
        <w:rPr>
          <w:sz w:val="22"/>
          <w:szCs w:val="22"/>
          <w:lang w:val="en-GB"/>
        </w:rPr>
        <w:t>The third issue concerns the interaction between foresight and current crisis management. In the context of military conflict and its aftermath, many agricultural enterprises are forced to focus all their resources on survival in the here and now. Any long-term investments – including those in knowledge and analysis – are often viewed as a luxury. Yet the experience of enterprises that survived previous crises (the 1997–1998 Asian crisis, the 2008–2009 global financial crisis, and the COVID-19 crisis) demonstrates clearly: companies that maintained a strategic perspective at the height of the crisis recovered faster and emerged more competitive (</w:t>
      </w:r>
      <w:proofErr w:type="spellStart"/>
      <w:r w:rsidRPr="00396ECD">
        <w:rPr>
          <w:sz w:val="22"/>
          <w:szCs w:val="22"/>
          <w:lang w:val="en-GB"/>
        </w:rPr>
        <w:t>Penkova</w:t>
      </w:r>
      <w:proofErr w:type="spellEnd"/>
      <w:r w:rsidRPr="00396ECD">
        <w:rPr>
          <w:sz w:val="22"/>
          <w:szCs w:val="22"/>
          <w:lang w:val="en-GB"/>
        </w:rPr>
        <w:t xml:space="preserve"> &amp; </w:t>
      </w:r>
      <w:proofErr w:type="spellStart"/>
      <w:r w:rsidRPr="00396ECD">
        <w:rPr>
          <w:sz w:val="22"/>
          <w:szCs w:val="22"/>
          <w:lang w:val="en-GB"/>
        </w:rPr>
        <w:t>Kharenko</w:t>
      </w:r>
      <w:proofErr w:type="spellEnd"/>
      <w:r w:rsidRPr="00396ECD">
        <w:rPr>
          <w:sz w:val="22"/>
          <w:szCs w:val="22"/>
          <w:lang w:val="en-GB"/>
        </w:rPr>
        <w:t xml:space="preserve">, 2023). Ukrainian evidence from 2022–2024 echoes this pattern. The Kernel </w:t>
      </w:r>
      <w:proofErr w:type="spellStart"/>
      <w:r w:rsidRPr="00396ECD">
        <w:rPr>
          <w:sz w:val="22"/>
          <w:szCs w:val="22"/>
          <w:lang w:val="en-GB"/>
        </w:rPr>
        <w:t>agro</w:t>
      </w:r>
      <w:proofErr w:type="spellEnd"/>
      <w:r w:rsidRPr="00396ECD">
        <w:rPr>
          <w:sz w:val="22"/>
          <w:szCs w:val="22"/>
          <w:lang w:val="en-GB"/>
        </w:rPr>
        <w:t>-holding, despite severe operational disruptions in the first months of the full-scale invasion, retained its strategic planning unit and launched a systematic scenario analysis of EU export routes as early as mid-2022; by 2024, it</w:t>
      </w:r>
      <w:r w:rsidR="00AE3341">
        <w:rPr>
          <w:sz w:val="22"/>
          <w:szCs w:val="22"/>
          <w:lang w:val="en-GB"/>
        </w:rPr>
        <w:t> </w:t>
      </w:r>
      <w:r w:rsidRPr="00396ECD">
        <w:rPr>
          <w:sz w:val="22"/>
          <w:szCs w:val="22"/>
          <w:lang w:val="en-GB"/>
        </w:rPr>
        <w:t xml:space="preserve">had successfully redirected a substantial share of sunflower oil exports through Danube ports and secured new contracts in the EU market. Similarly, </w:t>
      </w:r>
      <w:r w:rsidR="00E975FE">
        <w:rPr>
          <w:sz w:val="22"/>
          <w:szCs w:val="22"/>
          <w:lang w:val="en-GB"/>
        </w:rPr>
        <w:t>several</w:t>
      </w:r>
      <w:r w:rsidRPr="00396ECD">
        <w:rPr>
          <w:sz w:val="22"/>
          <w:szCs w:val="22"/>
          <w:lang w:val="en-GB"/>
        </w:rPr>
        <w:t xml:space="preserve"> mid-sized grain producers in Poltava and Sumy oblasts that participated in the authors</w:t>
      </w:r>
      <w:r w:rsidR="00E975FE">
        <w:rPr>
          <w:sz w:val="22"/>
          <w:szCs w:val="22"/>
          <w:lang w:val="en-GB"/>
        </w:rPr>
        <w:t>'</w:t>
      </w:r>
      <w:r w:rsidRPr="00396ECD">
        <w:rPr>
          <w:sz w:val="22"/>
          <w:szCs w:val="22"/>
          <w:lang w:val="en-GB"/>
        </w:rPr>
        <w:t xml:space="preserve"> survey reported that maintaining systematic price and demand monitoring throughout 2022–2023 – even in a simplified form – allowed them to lock in </w:t>
      </w:r>
      <w:proofErr w:type="spellStart"/>
      <w:r w:rsidRPr="00396ECD">
        <w:rPr>
          <w:sz w:val="22"/>
          <w:szCs w:val="22"/>
          <w:lang w:val="en-GB"/>
        </w:rPr>
        <w:t>favorable</w:t>
      </w:r>
      <w:proofErr w:type="spellEnd"/>
      <w:r w:rsidRPr="00396ECD">
        <w:rPr>
          <w:sz w:val="22"/>
          <w:szCs w:val="22"/>
          <w:lang w:val="en-GB"/>
        </w:rPr>
        <w:t xml:space="preserve"> forward contracts and outperform peers that had completely suspended market analysis. These cases illustrate that foresight transforms under wartime conditions, </w:t>
      </w:r>
      <w:r w:rsidR="00E975FE">
        <w:rPr>
          <w:sz w:val="22"/>
          <w:szCs w:val="22"/>
          <w:lang w:val="en-GB"/>
        </w:rPr>
        <w:t>emphasizing shorter horizons and recovery scenarios, ye</w:t>
      </w:r>
      <w:r w:rsidRPr="00396ECD">
        <w:rPr>
          <w:sz w:val="22"/>
          <w:szCs w:val="22"/>
          <w:lang w:val="en-GB"/>
        </w:rPr>
        <w:t>t does not lose its strategic value. Enterprises that preserve even a minimal foresight culture during crisis are better positioned for post-war reconstruction.</w:t>
      </w:r>
    </w:p>
    <w:p w14:paraId="3C9BDE56" w14:textId="0D1A896D" w:rsidR="003F13E8" w:rsidRPr="00396ECD" w:rsidRDefault="0012711B" w:rsidP="00116981">
      <w:pPr>
        <w:pStyle w:val="NormalnyWeb"/>
        <w:spacing w:before="0" w:beforeAutospacing="0" w:after="0" w:afterAutospacing="0"/>
        <w:ind w:firstLine="284"/>
        <w:jc w:val="both"/>
        <w:rPr>
          <w:sz w:val="22"/>
          <w:szCs w:val="22"/>
          <w:lang w:val="en-GB"/>
        </w:rPr>
      </w:pPr>
      <w:r w:rsidRPr="00396ECD">
        <w:rPr>
          <w:sz w:val="22"/>
          <w:szCs w:val="22"/>
          <w:lang w:val="en-GB"/>
        </w:rPr>
        <w:t xml:space="preserve">The fourth issue concerns a fundamental tension </w:t>
      </w:r>
      <w:r w:rsidR="00E975FE">
        <w:rPr>
          <w:sz w:val="22"/>
          <w:szCs w:val="22"/>
          <w:lang w:val="en-GB"/>
        </w:rPr>
        <w:t>revealed by the survey data and</w:t>
      </w:r>
      <w:r w:rsidRPr="00396ECD">
        <w:rPr>
          <w:sz w:val="22"/>
          <w:szCs w:val="22"/>
          <w:lang w:val="en-GB"/>
        </w:rPr>
        <w:t xml:space="preserve"> requires explicit theoretical resolution. The survey shows that wartime conditions </w:t>
      </w:r>
      <w:r w:rsidR="00E975FE">
        <w:rPr>
          <w:sz w:val="22"/>
          <w:szCs w:val="22"/>
          <w:lang w:val="en-GB"/>
        </w:rPr>
        <w:t>shortened planning horizons, not lengthened them</w:t>
      </w:r>
      <w:r w:rsidRPr="00396ECD">
        <w:rPr>
          <w:sz w:val="22"/>
          <w:szCs w:val="22"/>
          <w:lang w:val="en-GB"/>
        </w:rPr>
        <w:t xml:space="preserve">: 79% of firms operated within a one-year horizon in 2023, compared to 63% in 2021. This directly contradicts any naïve prescription that firms should simply </w:t>
      </w:r>
      <w:r w:rsidR="00E975FE">
        <w:rPr>
          <w:sz w:val="22"/>
          <w:szCs w:val="22"/>
          <w:lang w:val="en-GB"/>
        </w:rPr>
        <w:t>"</w:t>
      </w:r>
      <w:r w:rsidRPr="00396ECD">
        <w:rPr>
          <w:sz w:val="22"/>
          <w:szCs w:val="22"/>
          <w:lang w:val="en-GB"/>
        </w:rPr>
        <w:t>adopt foresight</w:t>
      </w:r>
      <w:r w:rsidR="00E975FE">
        <w:rPr>
          <w:sz w:val="22"/>
          <w:szCs w:val="22"/>
          <w:lang w:val="en-GB"/>
        </w:rPr>
        <w:t>"</w:t>
      </w:r>
      <w:r w:rsidRPr="00396ECD">
        <w:rPr>
          <w:sz w:val="22"/>
          <w:szCs w:val="22"/>
          <w:lang w:val="en-GB"/>
        </w:rPr>
        <w:t xml:space="preserve"> during or after a crisis. The resolution lies in distinguishing between the foresight horizon and the foresight intensity. Crisis conditions do not require firms to plan for 10–20 years; they require firms to maintain structured awareness of the strategic landscape even while operating tactically. The MOF framework accommodates this by design: Block 6 (Monitoring and Updating) functions as a continuous low-cost intelligence activity that remains active even when Block 4 (Scenario Planning) is suspended during acute crisis phases. The evidence from enterprises that outperformed peers during 2022–2023 confirms that what distinguished them was not the use of 10-year scenarios but the maintenance of systematic market monitoring — essentially the environmental sensing component of MOF. This is consistent with the dynamic capabilities literature (</w:t>
      </w:r>
      <w:proofErr w:type="spellStart"/>
      <w:r w:rsidRPr="00396ECD">
        <w:rPr>
          <w:sz w:val="22"/>
          <w:szCs w:val="22"/>
          <w:lang w:val="en-GB"/>
        </w:rPr>
        <w:t>Haarhaus</w:t>
      </w:r>
      <w:proofErr w:type="spellEnd"/>
      <w:r w:rsidRPr="00396ECD">
        <w:rPr>
          <w:sz w:val="22"/>
          <w:szCs w:val="22"/>
          <w:lang w:val="en-GB"/>
        </w:rPr>
        <w:t xml:space="preserve"> &amp; Liening, 2020): resilience is built not by planning for every contingency but by developing organizational routines that enable rapid strategic reorientation. The post-war transition from crisis foresight (3–5-year horizon) to full MOF (5–20-year horizon) should be triggered by explicit readiness indicators: stabilization of logistics networks, restoration of at least 70% of pre-war production capacity, and re-establishment of export contract continuity. Enterprises that begin building MOF competencies now — even in minimal form — will be better positioned to activate the full framework when these conditions are met. The value of foresight lies not in prediction accuracy but in expanding strategic flexibility. It prepares the organization for a broader spectrum of possible futures and fosters a culture of strategic thinking. In the environmental regulatory domain, this means maintaining awareness of multiple CBAM trajectories rather than betting on a single most likely outcome.</w:t>
      </w:r>
    </w:p>
    <w:p w14:paraId="42AD5286" w14:textId="75F788A3" w:rsidR="002D5C39" w:rsidRPr="00396ECD" w:rsidRDefault="003F13E8" w:rsidP="00116981">
      <w:pPr>
        <w:pStyle w:val="NormalnyWeb"/>
        <w:spacing w:before="0" w:beforeAutospacing="0" w:after="0" w:afterAutospacing="0"/>
        <w:ind w:firstLine="284"/>
        <w:jc w:val="both"/>
        <w:rPr>
          <w:sz w:val="22"/>
          <w:szCs w:val="22"/>
          <w:lang w:val="en-GB"/>
        </w:rPr>
      </w:pPr>
      <w:r w:rsidRPr="00396ECD">
        <w:rPr>
          <w:sz w:val="22"/>
          <w:szCs w:val="22"/>
          <w:lang w:val="en-GB"/>
        </w:rPr>
        <w:t>The role of the state and support institutions in developing a foresight culture in the agricultural sector deserves special attention (AgroPortal.ua, 2025). A comparative analysis shows that in countries with a developed foresight culture in the agricultural sector, it was precisely state and institutional support that played a</w:t>
      </w:r>
      <w:r w:rsidR="00AE3341">
        <w:rPr>
          <w:sz w:val="22"/>
          <w:szCs w:val="22"/>
          <w:lang w:val="en-GB"/>
        </w:rPr>
        <w:t> </w:t>
      </w:r>
      <w:r w:rsidRPr="00396ECD">
        <w:rPr>
          <w:sz w:val="22"/>
          <w:szCs w:val="22"/>
          <w:lang w:val="en-GB"/>
        </w:rPr>
        <w:t>key role–through the funding of sector-specific foresight research, the inclusion of foresight methods in agricultural education programs, and the development of advisory services with relevant expertise. In Ukraine, this institutional support remains weak for now, which is a significant constraint on the spread of foresight practices among a wide range of agricultural producers.</w:t>
      </w:r>
    </w:p>
    <w:p w14:paraId="3993AFAB" w14:textId="59D0DC35" w:rsidR="00D6127A" w:rsidRPr="00396ECD" w:rsidRDefault="00D65F3A" w:rsidP="00116981">
      <w:pPr>
        <w:pStyle w:val="NormalnyWeb"/>
        <w:spacing w:before="0" w:beforeAutospacing="0" w:after="0" w:afterAutospacing="0"/>
        <w:ind w:firstLine="284"/>
        <w:jc w:val="both"/>
        <w:rPr>
          <w:sz w:val="22"/>
          <w:szCs w:val="22"/>
          <w:lang w:val="en-GB"/>
        </w:rPr>
      </w:pPr>
      <w:r w:rsidRPr="00396ECD">
        <w:rPr>
          <w:sz w:val="22"/>
          <w:szCs w:val="22"/>
          <w:lang w:val="en-GB"/>
        </w:rPr>
        <w:t>A notable inconsistency emerges from the survey results: while 72% of respondents express interest in foresight methods, only 9% systematically monitor environmental regulatory trends (</w:t>
      </w:r>
      <w:r w:rsidR="00E975FE">
        <w:rPr>
          <w:sz w:val="22"/>
          <w:szCs w:val="22"/>
          <w:lang w:val="en-GB"/>
        </w:rPr>
        <w:t>such as CBAM, deforestation, and</w:t>
      </w:r>
      <w:r w:rsidRPr="00396ECD">
        <w:rPr>
          <w:sz w:val="22"/>
          <w:szCs w:val="22"/>
          <w:lang w:val="en-GB"/>
        </w:rPr>
        <w:t xml:space="preserve"> soil health directives). This gap raises a legitimate question that deserves a direct answer: if firms currently lack even basic environmental monitoring capacity, why should they be expected to implement a</w:t>
      </w:r>
      <w:r w:rsidR="00AE3341">
        <w:rPr>
          <w:sz w:val="22"/>
          <w:szCs w:val="22"/>
          <w:lang w:val="en-GB"/>
        </w:rPr>
        <w:t> </w:t>
      </w:r>
      <w:r w:rsidRPr="00396ECD">
        <w:rPr>
          <w:sz w:val="22"/>
          <w:szCs w:val="22"/>
          <w:lang w:val="en-GB"/>
        </w:rPr>
        <w:t xml:space="preserve">more complex MOF system? The answer is that environmental monitoring need not precede MOF — it is one of the outputs MOF is designed to institutionalize. The six-block model (Fig. 3) begins with Block 2 (Environmental Monitoring), which is explicitly designed as an entry-level activity requiring minimal investment (see cost analysis in the second issue above). For large enterprises, compliance monitoring of CBAM </w:t>
      </w:r>
      <w:r w:rsidRPr="00396ECD">
        <w:rPr>
          <w:sz w:val="22"/>
          <w:szCs w:val="22"/>
          <w:lang w:val="en-GB"/>
        </w:rPr>
        <w:lastRenderedPageBreak/>
        <w:t xml:space="preserve">and biodiversity requirements can be embedded in existing export compliance departments. For small farms, access to environmental regulatory intelligence can be provided through cooperative structures or advisory services without requiring in-house expertise. The </w:t>
      </w:r>
      <w:proofErr w:type="spellStart"/>
      <w:r w:rsidRPr="00396ECD">
        <w:rPr>
          <w:sz w:val="22"/>
          <w:szCs w:val="22"/>
          <w:lang w:val="en-GB"/>
        </w:rPr>
        <w:t>behavioral</w:t>
      </w:r>
      <w:proofErr w:type="spellEnd"/>
      <w:r w:rsidRPr="00396ECD">
        <w:rPr>
          <w:sz w:val="22"/>
          <w:szCs w:val="22"/>
          <w:lang w:val="en-GB"/>
        </w:rPr>
        <w:t xml:space="preserve"> and structural changes needed to bridge this gap are therefore: (1) mandated environmental disclosure as part of EU market access requirements, which will create external pressure regardless of MOF adoption; (2) advisory service capacity building, already underway through EU pre-accession support programs (TAIEX, IPARD); and (3) industry association foresight initiatives, which lower individual firm barriers by pooling monitoring costs. The 9% figure thus reflects a current baseline, not a ceiling — and MOF is one mechanism designed to raise it. This inconsistency, rather than weakening the central argument, actually strengthens the case for MOF as a structured framework that converts an ad-hoc compliance burden into a strategic intelligence asset.</w:t>
      </w:r>
    </w:p>
    <w:p w14:paraId="0E43AAE3" w14:textId="4CD2BFBA" w:rsidR="002D5C39" w:rsidRPr="00396ECD" w:rsidRDefault="00396ECD" w:rsidP="009F5B13">
      <w:pPr>
        <w:pStyle w:val="Rn1"/>
        <w:rPr>
          <w:lang w:val="en-GB"/>
        </w:rPr>
      </w:pPr>
      <w:r w:rsidRPr="00396ECD">
        <w:rPr>
          <w:lang w:val="en-GB"/>
        </w:rPr>
        <w:t xml:space="preserve">6. </w:t>
      </w:r>
      <w:r w:rsidR="002D5C39" w:rsidRPr="00396ECD">
        <w:rPr>
          <w:lang w:val="en-GB"/>
        </w:rPr>
        <w:t>Conclusions</w:t>
      </w:r>
    </w:p>
    <w:p w14:paraId="54FF6F86" w14:textId="6FDB53BA" w:rsidR="002D5C39" w:rsidRPr="00396ECD" w:rsidRDefault="002D5C39" w:rsidP="00116981">
      <w:pPr>
        <w:pStyle w:val="NormalnyWeb"/>
        <w:spacing w:before="0" w:beforeAutospacing="0" w:after="0" w:afterAutospacing="0"/>
        <w:ind w:firstLine="284"/>
        <w:jc w:val="both"/>
        <w:rPr>
          <w:sz w:val="22"/>
          <w:szCs w:val="22"/>
          <w:lang w:val="en-GB"/>
        </w:rPr>
      </w:pPr>
      <w:r w:rsidRPr="00396ECD">
        <w:rPr>
          <w:sz w:val="22"/>
          <w:szCs w:val="22"/>
          <w:lang w:val="en-GB"/>
        </w:rPr>
        <w:t>The present study allows us to draw the following main conclusions. First, marketing-oriented foresight represents a natural evolution of strategic management in agricultural enterprises amid increasing turbulence in the external environment. It synthesizes the most effective elements of foresight methodology and the concept of marketing orientation, adapting them to the specifics of the agricultural business. The author</w:t>
      </w:r>
      <w:r w:rsidR="00E975FE">
        <w:rPr>
          <w:sz w:val="22"/>
          <w:szCs w:val="22"/>
          <w:lang w:val="en-GB"/>
        </w:rPr>
        <w:t>'</w:t>
      </w:r>
      <w:r w:rsidRPr="00396ECD">
        <w:rPr>
          <w:sz w:val="22"/>
          <w:szCs w:val="22"/>
          <w:lang w:val="en-GB"/>
        </w:rPr>
        <w:t>s definition of marketing-oriented foresight emphasizes its systematic nature, practical management focus, and integration into the enterprise</w:t>
      </w:r>
      <w:r w:rsidR="00E975FE">
        <w:rPr>
          <w:sz w:val="22"/>
          <w:szCs w:val="22"/>
          <w:lang w:val="en-GB"/>
        </w:rPr>
        <w:t>'</w:t>
      </w:r>
      <w:r w:rsidRPr="00396ECD">
        <w:rPr>
          <w:sz w:val="22"/>
          <w:szCs w:val="22"/>
          <w:lang w:val="en-GB"/>
        </w:rPr>
        <w:t>s strategic management.</w:t>
      </w:r>
    </w:p>
    <w:p w14:paraId="66665632" w14:textId="77777777" w:rsidR="002D5C39" w:rsidRPr="00396ECD" w:rsidRDefault="002D5C39" w:rsidP="00116981">
      <w:pPr>
        <w:pStyle w:val="NormalnyWeb"/>
        <w:spacing w:before="0" w:beforeAutospacing="0" w:after="0" w:afterAutospacing="0"/>
        <w:ind w:firstLine="284"/>
        <w:jc w:val="both"/>
        <w:rPr>
          <w:sz w:val="22"/>
          <w:szCs w:val="22"/>
          <w:lang w:val="en-GB"/>
        </w:rPr>
      </w:pPr>
      <w:r w:rsidRPr="00396ECD">
        <w:rPr>
          <w:sz w:val="22"/>
          <w:szCs w:val="22"/>
          <w:lang w:val="en-GB"/>
        </w:rPr>
        <w:t>Second, the methodological arsenal of marketing-oriented foresight is sufficiently broad to allow each enterprise to select methods appropriate to its resources and competencies. Key methods include scenario planning, weak signal analysis, and the Delphi method, while large enterprises can supplement these with quantitative forecasting models and Big Data tools.</w:t>
      </w:r>
    </w:p>
    <w:p w14:paraId="7F05B94A" w14:textId="77777777" w:rsidR="002D5C39" w:rsidRPr="00AE3341" w:rsidRDefault="002D5C39" w:rsidP="00116981">
      <w:pPr>
        <w:pStyle w:val="NormalnyWeb"/>
        <w:spacing w:before="0" w:beforeAutospacing="0" w:after="0" w:afterAutospacing="0"/>
        <w:ind w:firstLine="284"/>
        <w:jc w:val="both"/>
        <w:rPr>
          <w:spacing w:val="-2"/>
          <w:sz w:val="22"/>
          <w:szCs w:val="22"/>
          <w:lang w:val="en-GB"/>
        </w:rPr>
      </w:pPr>
      <w:r w:rsidRPr="00AE3341">
        <w:rPr>
          <w:spacing w:val="-2"/>
          <w:sz w:val="22"/>
          <w:szCs w:val="22"/>
          <w:lang w:val="en-GB"/>
        </w:rPr>
        <w:t>Third, an analysis of key market trends–digitalization, climate change, the transformation of food consumption patterns, and regulatory transformation in the context of European integration–indicates that the 5–10-year horizon is critically important for the strategic positioning of domestic agricultural enterprises. It is within this time frame that the market positions of players who will prove competitive in the EU and global food markets will be determined.</w:t>
      </w:r>
    </w:p>
    <w:p w14:paraId="19A25920" w14:textId="36F1C7BE" w:rsidR="002D5C39" w:rsidRPr="00396ECD" w:rsidRDefault="002D5C39" w:rsidP="00116981">
      <w:pPr>
        <w:pStyle w:val="NormalnyWeb"/>
        <w:spacing w:before="0" w:beforeAutospacing="0" w:after="0" w:afterAutospacing="0"/>
        <w:ind w:firstLine="284"/>
        <w:jc w:val="both"/>
        <w:rPr>
          <w:sz w:val="22"/>
          <w:szCs w:val="22"/>
          <w:lang w:val="en-GB"/>
        </w:rPr>
      </w:pPr>
      <w:r w:rsidRPr="00396ECD">
        <w:rPr>
          <w:sz w:val="22"/>
          <w:szCs w:val="22"/>
          <w:lang w:val="en-GB"/>
        </w:rPr>
        <w:t>Fourth, the proposed structural-functional model of marketing-oriented foresight is scalable and can be used by enterprises of various sizes. For small farms, cooperative foresight within the framework of farmers</w:t>
      </w:r>
      <w:r w:rsidR="00E975FE">
        <w:rPr>
          <w:sz w:val="22"/>
          <w:szCs w:val="22"/>
          <w:lang w:val="en-GB"/>
        </w:rPr>
        <w:t>'</w:t>
      </w:r>
      <w:r w:rsidRPr="00396ECD">
        <w:rPr>
          <w:sz w:val="22"/>
          <w:szCs w:val="22"/>
          <w:lang w:val="en-GB"/>
        </w:rPr>
        <w:t xml:space="preserve"> associations is particularly recommended, as well as the active use of publicly available industry foresight materials.</w:t>
      </w:r>
    </w:p>
    <w:p w14:paraId="0441E33D" w14:textId="1E7DC030" w:rsidR="002D5C39" w:rsidRPr="00396ECD" w:rsidRDefault="002D5C39" w:rsidP="00116981">
      <w:pPr>
        <w:pStyle w:val="NormalnyWeb"/>
        <w:spacing w:before="0" w:beforeAutospacing="0" w:after="0" w:afterAutospacing="0"/>
        <w:ind w:firstLine="284"/>
        <w:jc w:val="both"/>
        <w:rPr>
          <w:sz w:val="22"/>
          <w:szCs w:val="22"/>
          <w:lang w:val="en-GB"/>
        </w:rPr>
      </w:pPr>
      <w:r w:rsidRPr="00396ECD">
        <w:rPr>
          <w:sz w:val="22"/>
          <w:szCs w:val="22"/>
          <w:lang w:val="en-GB"/>
        </w:rPr>
        <w:t xml:space="preserve">Fifth, the </w:t>
      </w:r>
      <w:r w:rsidR="00E975FE">
        <w:rPr>
          <w:sz w:val="22"/>
          <w:szCs w:val="22"/>
          <w:lang w:val="en-GB"/>
        </w:rPr>
        <w:t>empirical study reveals a significant lag in the levels of marketing orientation and foresight competencies among domestic agricultural enterprises relative</w:t>
      </w:r>
      <w:r w:rsidRPr="00396ECD">
        <w:rPr>
          <w:sz w:val="22"/>
          <w:szCs w:val="22"/>
          <w:lang w:val="en-GB"/>
        </w:rPr>
        <w:t xml:space="preserve"> to leading international practices. The overall marketing orientation index of the sample (2.8 points out of 5 in 2021 and 2.4 in 2023 on the </w:t>
      </w:r>
      <w:proofErr w:type="spellStart"/>
      <w:r w:rsidRPr="00396ECD">
        <w:rPr>
          <w:sz w:val="22"/>
          <w:szCs w:val="22"/>
          <w:lang w:val="en-GB"/>
        </w:rPr>
        <w:t>Narver</w:t>
      </w:r>
      <w:proofErr w:type="spellEnd"/>
      <w:r w:rsidRPr="00396ECD">
        <w:rPr>
          <w:sz w:val="22"/>
          <w:szCs w:val="22"/>
          <w:lang w:val="en-GB"/>
        </w:rPr>
        <w:t>-Sleater scale), as well as the virtually zero level of foresight method usage (only 7% in 2021 and 9% in 2023, predominantly among large enterprises)</w:t>
      </w:r>
      <w:r w:rsidR="00E975FE">
        <w:rPr>
          <w:sz w:val="22"/>
          <w:szCs w:val="22"/>
          <w:lang w:val="en-GB"/>
        </w:rPr>
        <w:t>,</w:t>
      </w:r>
      <w:r w:rsidRPr="00396ECD">
        <w:rPr>
          <w:sz w:val="22"/>
          <w:szCs w:val="22"/>
          <w:lang w:val="en-GB"/>
        </w:rPr>
        <w:t xml:space="preserve"> indicate the need for systematic efforts in the areas of education, consulting services, and state agricultural policy.</w:t>
      </w:r>
    </w:p>
    <w:p w14:paraId="6EB760FE" w14:textId="6E6403AB" w:rsidR="002D5C39" w:rsidRPr="00396ECD" w:rsidRDefault="002D5C39" w:rsidP="00116981">
      <w:pPr>
        <w:pStyle w:val="NormalnyWeb"/>
        <w:spacing w:before="0" w:beforeAutospacing="0" w:after="0" w:afterAutospacing="0"/>
        <w:ind w:firstLine="284"/>
        <w:jc w:val="both"/>
        <w:rPr>
          <w:sz w:val="22"/>
          <w:szCs w:val="22"/>
          <w:lang w:val="en-GB"/>
        </w:rPr>
      </w:pPr>
      <w:r w:rsidRPr="00396ECD">
        <w:rPr>
          <w:sz w:val="22"/>
          <w:szCs w:val="22"/>
          <w:lang w:val="en-GB"/>
        </w:rPr>
        <w:t xml:space="preserve">Sixth, post-war recovery and European integration are creating a unique </w:t>
      </w:r>
      <w:r w:rsidR="00E975FE">
        <w:rPr>
          <w:sz w:val="22"/>
          <w:szCs w:val="22"/>
          <w:lang w:val="en-GB"/>
        </w:rPr>
        <w:t>"</w:t>
      </w:r>
      <w:r w:rsidRPr="00396ECD">
        <w:rPr>
          <w:sz w:val="22"/>
          <w:szCs w:val="22"/>
          <w:lang w:val="en-GB"/>
        </w:rPr>
        <w:t>window of opportunity</w:t>
      </w:r>
      <w:r w:rsidR="00E975FE">
        <w:rPr>
          <w:sz w:val="22"/>
          <w:szCs w:val="22"/>
          <w:lang w:val="en-GB"/>
        </w:rPr>
        <w:t>"</w:t>
      </w:r>
      <w:r w:rsidRPr="00396ECD">
        <w:rPr>
          <w:sz w:val="22"/>
          <w:szCs w:val="22"/>
          <w:lang w:val="en-GB"/>
        </w:rPr>
        <w:t xml:space="preserve"> for t</w:t>
      </w:r>
      <w:r w:rsidR="00E975FE">
        <w:rPr>
          <w:sz w:val="22"/>
          <w:szCs w:val="22"/>
          <w:lang w:val="en-GB"/>
        </w:rPr>
        <w:t>ransforming Ukraine's agricultural sector through</w:t>
      </w:r>
      <w:r w:rsidRPr="00396ECD">
        <w:rPr>
          <w:sz w:val="22"/>
          <w:szCs w:val="22"/>
          <w:lang w:val="en-GB"/>
        </w:rPr>
        <w:t xml:space="preserve"> a foresight-oriented approach. Right now, as recovery is just beginning, there is an opportunity to build not </w:t>
      </w:r>
      <w:r w:rsidR="00E975FE">
        <w:rPr>
          <w:sz w:val="22"/>
          <w:szCs w:val="22"/>
          <w:lang w:val="en-GB"/>
        </w:rPr>
        <w:t>"</w:t>
      </w:r>
      <w:r w:rsidRPr="00396ECD">
        <w:rPr>
          <w:sz w:val="22"/>
          <w:szCs w:val="22"/>
          <w:lang w:val="en-GB"/>
        </w:rPr>
        <w:t>what was,</w:t>
      </w:r>
      <w:r w:rsidR="00E975FE">
        <w:rPr>
          <w:sz w:val="22"/>
          <w:szCs w:val="22"/>
          <w:lang w:val="en-GB"/>
        </w:rPr>
        <w:t>"</w:t>
      </w:r>
      <w:r w:rsidRPr="00396ECD">
        <w:rPr>
          <w:sz w:val="22"/>
          <w:szCs w:val="22"/>
          <w:lang w:val="en-GB"/>
        </w:rPr>
        <w:t xml:space="preserve"> but a competitive agricultural sector of the future. A necessary condition for achieving this is the systematic inclusion of environmental variables (carbon efficiency, biodiversity, circularity) into the marketing-oriented foresight framework — not as an add-on, but as a core component of the MOFEM model</w:t>
      </w:r>
      <w:r w:rsidR="00E975FE">
        <w:rPr>
          <w:sz w:val="22"/>
          <w:szCs w:val="22"/>
          <w:lang w:val="en-GB"/>
        </w:rPr>
        <w:t>'</w:t>
      </w:r>
      <w:r w:rsidRPr="00396ECD">
        <w:rPr>
          <w:sz w:val="22"/>
          <w:szCs w:val="22"/>
          <w:lang w:val="en-GB"/>
        </w:rPr>
        <w:t>s turbulence coefficient (τ) and strategic response block.</w:t>
      </w:r>
    </w:p>
    <w:p w14:paraId="0C10D535" w14:textId="506F5B66" w:rsidR="002D5C39" w:rsidRPr="00396ECD" w:rsidRDefault="002D5C39" w:rsidP="00116981">
      <w:pPr>
        <w:pStyle w:val="NormalnyWeb"/>
        <w:spacing w:before="0" w:beforeAutospacing="0" w:after="0" w:afterAutospacing="0"/>
        <w:ind w:firstLine="284"/>
        <w:jc w:val="both"/>
        <w:rPr>
          <w:sz w:val="22"/>
          <w:szCs w:val="22"/>
          <w:lang w:val="en-GB"/>
        </w:rPr>
      </w:pPr>
      <w:r w:rsidRPr="00396ECD">
        <w:rPr>
          <w:sz w:val="22"/>
          <w:szCs w:val="22"/>
          <w:lang w:val="en-GB"/>
        </w:rPr>
        <w:t>Prospects for further research include testing the proposed model of marketing-oriented foresight at specific agricultural enterprises in various regions and specializations, developing detailed sectoral development scenarios for individual subsectors of Ukraine</w:t>
      </w:r>
      <w:r w:rsidR="00E975FE">
        <w:rPr>
          <w:sz w:val="22"/>
          <w:szCs w:val="22"/>
          <w:lang w:val="en-GB"/>
        </w:rPr>
        <w:t>'</w:t>
      </w:r>
      <w:r w:rsidRPr="00396ECD">
        <w:rPr>
          <w:sz w:val="22"/>
          <w:szCs w:val="22"/>
          <w:lang w:val="en-GB"/>
        </w:rPr>
        <w:t xml:space="preserve">s agricultural market (grains, oilseeds, vegetable growing, livestock, organic production), as well as studying the role of foresight in the formation of agri-food clusters and regional </w:t>
      </w:r>
      <w:proofErr w:type="spellStart"/>
      <w:r w:rsidRPr="00396ECD">
        <w:rPr>
          <w:sz w:val="22"/>
          <w:szCs w:val="22"/>
          <w:lang w:val="en-GB"/>
        </w:rPr>
        <w:t>agrosystems</w:t>
      </w:r>
      <w:proofErr w:type="spellEnd"/>
      <w:r w:rsidRPr="00396ECD">
        <w:rPr>
          <w:sz w:val="22"/>
          <w:szCs w:val="22"/>
          <w:lang w:val="en-GB"/>
        </w:rPr>
        <w:t>.</w:t>
      </w:r>
    </w:p>
    <w:p w14:paraId="5195BE55" w14:textId="77777777" w:rsidR="00751F61" w:rsidRPr="00396ECD" w:rsidRDefault="0075053C" w:rsidP="009F5B13">
      <w:pPr>
        <w:pStyle w:val="Rn2"/>
        <w:rPr>
          <w:lang w:val="en-GB"/>
        </w:rPr>
      </w:pPr>
      <w:r w:rsidRPr="00396ECD">
        <w:rPr>
          <w:lang w:val="en-GB"/>
        </w:rPr>
        <w:t>References</w:t>
      </w:r>
    </w:p>
    <w:p w14:paraId="506640BF" w14:textId="77777777" w:rsidR="00804164" w:rsidRPr="00396ECD" w:rsidRDefault="00804164" w:rsidP="009F5B13">
      <w:pPr>
        <w:pStyle w:val="Rlit"/>
        <w:rPr>
          <w:lang w:val="en-GB"/>
        </w:rPr>
      </w:pPr>
      <w:r w:rsidRPr="00396ECD">
        <w:rPr>
          <w:lang w:val="en-GB"/>
        </w:rPr>
        <w:t xml:space="preserve">Aaltonen, A., &amp; Sanders, T. (2017). The nature of strategic foresight research: A systematic literature review. </w:t>
      </w:r>
      <w:r w:rsidRPr="00396ECD">
        <w:rPr>
          <w:i/>
          <w:iCs/>
          <w:lang w:val="en-GB"/>
        </w:rPr>
        <w:t>Technological Forecasting and Social Change</w:t>
      </w:r>
      <w:r w:rsidRPr="00396ECD">
        <w:rPr>
          <w:lang w:val="en-GB"/>
        </w:rPr>
        <w:t xml:space="preserve">, </w:t>
      </w:r>
      <w:r w:rsidRPr="00396ECD">
        <w:rPr>
          <w:i/>
          <w:iCs/>
          <w:lang w:val="en-GB"/>
        </w:rPr>
        <w:t>116</w:t>
      </w:r>
      <w:r w:rsidRPr="00396ECD">
        <w:rPr>
          <w:lang w:val="en-GB"/>
        </w:rPr>
        <w:t xml:space="preserve">, 87–97. </w:t>
      </w:r>
      <w:hyperlink r:id="rId21" w:tgtFrame="_blank" w:history="1">
        <w:r w:rsidRPr="00396ECD">
          <w:rPr>
            <w:lang w:val="en-GB"/>
          </w:rPr>
          <w:t>https://doi.org/10.1016/j.techfore.2016.09.015</w:t>
        </w:r>
      </w:hyperlink>
    </w:p>
    <w:p w14:paraId="7DCEC789" w14:textId="77777777" w:rsidR="00804164" w:rsidRPr="00396ECD" w:rsidRDefault="00804164" w:rsidP="009F5B13">
      <w:pPr>
        <w:pStyle w:val="Rlit"/>
        <w:rPr>
          <w:lang w:val="en-GB"/>
        </w:rPr>
      </w:pPr>
      <w:r w:rsidRPr="00396ECD">
        <w:rPr>
          <w:lang w:val="en-GB"/>
        </w:rPr>
        <w:t xml:space="preserve">Agribusiness in Ukraine. (2024). </w:t>
      </w:r>
      <w:r w:rsidRPr="00396ECD">
        <w:rPr>
          <w:i/>
          <w:iCs/>
          <w:lang w:val="en-GB"/>
        </w:rPr>
        <w:t>Infographic report: Agribusiness of Ukraine 2023/24</w:t>
      </w:r>
      <w:r w:rsidRPr="00396ECD">
        <w:rPr>
          <w:lang w:val="en-GB"/>
        </w:rPr>
        <w:t xml:space="preserve">. </w:t>
      </w:r>
      <w:hyperlink r:id="rId22" w:tgtFrame="_blank" w:history="1">
        <w:r w:rsidRPr="00396ECD">
          <w:rPr>
            <w:lang w:val="en-GB"/>
          </w:rPr>
          <w:t>https://agribusinessinukraine.com/get_file/id/the-infographics-report-ukrainian-agribusiness-2024-eng.pdf</w:t>
        </w:r>
      </w:hyperlink>
    </w:p>
    <w:p w14:paraId="00C9BF0C" w14:textId="77777777" w:rsidR="00804164" w:rsidRPr="00396ECD" w:rsidRDefault="00804164" w:rsidP="009F5B13">
      <w:pPr>
        <w:pStyle w:val="Rlit"/>
        <w:rPr>
          <w:lang w:val="en-GB"/>
        </w:rPr>
      </w:pPr>
      <w:r w:rsidRPr="00396ECD">
        <w:rPr>
          <w:lang w:val="en-GB"/>
        </w:rPr>
        <w:t xml:space="preserve">AgroPortal.ua. (2025). </w:t>
      </w:r>
      <w:r w:rsidRPr="00396ECD">
        <w:rPr>
          <w:i/>
          <w:iCs/>
          <w:lang w:val="en-GB"/>
        </w:rPr>
        <w:t>A platform aimed at digitalizing the agricultural sector has been launched in Ukraine</w:t>
      </w:r>
      <w:r w:rsidRPr="00396ECD">
        <w:rPr>
          <w:lang w:val="en-GB"/>
        </w:rPr>
        <w:t xml:space="preserve">. </w:t>
      </w:r>
      <w:hyperlink r:id="rId23" w:history="1">
        <w:r w:rsidRPr="00396ECD">
          <w:rPr>
            <w:rStyle w:val="Hipercze"/>
            <w:color w:val="auto"/>
            <w:u w:val="none"/>
            <w:lang w:val="en-GB"/>
          </w:rPr>
          <w:t>https://agroportal.ua/news/ukraina/v-ukrajini-zapustili-komunikaciynu-platformu-napravlenu-na-cifrovizaciyu-agrosektoru</w:t>
        </w:r>
      </w:hyperlink>
      <w:r w:rsidRPr="00396ECD">
        <w:rPr>
          <w:lang w:val="en-GB"/>
        </w:rPr>
        <w:t xml:space="preserve"> </w:t>
      </w:r>
    </w:p>
    <w:p w14:paraId="56B2CE9A" w14:textId="4158FB47" w:rsidR="00804164" w:rsidRPr="00396ECD" w:rsidRDefault="00804164" w:rsidP="009F5B13">
      <w:pPr>
        <w:pStyle w:val="Rlit"/>
        <w:rPr>
          <w:rStyle w:val="Hipercze"/>
          <w:color w:val="auto"/>
          <w:u w:val="none"/>
          <w:lang w:val="en-GB"/>
        </w:rPr>
      </w:pPr>
      <w:r w:rsidRPr="00396ECD">
        <w:rPr>
          <w:rStyle w:val="Hipercze"/>
          <w:color w:val="auto"/>
          <w:u w:val="none"/>
          <w:lang w:val="en-GB"/>
        </w:rPr>
        <w:lastRenderedPageBreak/>
        <w:t xml:space="preserve">Aleinikova, O.V., </w:t>
      </w:r>
      <w:proofErr w:type="spellStart"/>
      <w:r w:rsidRPr="00396ECD">
        <w:rPr>
          <w:rStyle w:val="Hipercze"/>
          <w:color w:val="auto"/>
          <w:u w:val="none"/>
          <w:lang w:val="en-GB"/>
        </w:rPr>
        <w:t>Datsii</w:t>
      </w:r>
      <w:proofErr w:type="spellEnd"/>
      <w:r w:rsidRPr="00396ECD">
        <w:rPr>
          <w:rStyle w:val="Hipercze"/>
          <w:color w:val="auto"/>
          <w:u w:val="none"/>
          <w:lang w:val="en-GB"/>
        </w:rPr>
        <w:t xml:space="preserve">, O.I., Kalina, I.I., </w:t>
      </w:r>
      <w:proofErr w:type="spellStart"/>
      <w:r w:rsidRPr="00396ECD">
        <w:rPr>
          <w:rStyle w:val="Hipercze"/>
          <w:color w:val="auto"/>
          <w:u w:val="none"/>
          <w:lang w:val="en-GB"/>
        </w:rPr>
        <w:t>Zavgorodnia</w:t>
      </w:r>
      <w:proofErr w:type="spellEnd"/>
      <w:r w:rsidRPr="00396ECD">
        <w:rPr>
          <w:rStyle w:val="Hipercze"/>
          <w:color w:val="auto"/>
          <w:u w:val="none"/>
          <w:lang w:val="en-GB"/>
        </w:rPr>
        <w:t xml:space="preserve">, A.A., Yeremenko, </w:t>
      </w:r>
      <w:proofErr w:type="spellStart"/>
      <w:r w:rsidRPr="00396ECD">
        <w:rPr>
          <w:rStyle w:val="Hipercze"/>
          <w:color w:val="auto"/>
          <w:u w:val="none"/>
          <w:lang w:val="en-GB"/>
        </w:rPr>
        <w:t>Yu.O</w:t>
      </w:r>
      <w:proofErr w:type="spellEnd"/>
      <w:r w:rsidRPr="00396ECD">
        <w:rPr>
          <w:rStyle w:val="Hipercze"/>
          <w:color w:val="auto"/>
          <w:u w:val="none"/>
          <w:lang w:val="en-GB"/>
        </w:rPr>
        <w:t xml:space="preserve">., &amp; </w:t>
      </w:r>
      <w:proofErr w:type="spellStart"/>
      <w:r w:rsidRPr="00396ECD">
        <w:rPr>
          <w:rStyle w:val="Hipercze"/>
          <w:color w:val="auto"/>
          <w:u w:val="none"/>
          <w:lang w:val="en-GB"/>
        </w:rPr>
        <w:t>Nitsenko</w:t>
      </w:r>
      <w:proofErr w:type="spellEnd"/>
      <w:r w:rsidRPr="00396ECD">
        <w:rPr>
          <w:rStyle w:val="Hipercze"/>
          <w:color w:val="auto"/>
          <w:u w:val="none"/>
          <w:lang w:val="en-GB"/>
        </w:rPr>
        <w:t xml:space="preserve">, V.S. (2023). Digital technologies as a reason and tool for dynamic transformation of territory marketing. </w:t>
      </w:r>
      <w:proofErr w:type="spellStart"/>
      <w:r w:rsidRPr="00396ECD">
        <w:rPr>
          <w:rStyle w:val="Hipercze"/>
          <w:i/>
          <w:iCs/>
          <w:color w:val="auto"/>
          <w:u w:val="none"/>
          <w:lang w:val="en-GB"/>
        </w:rPr>
        <w:t>Naukovyi</w:t>
      </w:r>
      <w:proofErr w:type="spellEnd"/>
      <w:r w:rsidRPr="00396ECD">
        <w:rPr>
          <w:rStyle w:val="Hipercze"/>
          <w:i/>
          <w:iCs/>
          <w:color w:val="auto"/>
          <w:u w:val="none"/>
          <w:lang w:val="en-GB"/>
        </w:rPr>
        <w:t xml:space="preserve"> </w:t>
      </w:r>
      <w:proofErr w:type="spellStart"/>
      <w:r w:rsidRPr="00396ECD">
        <w:rPr>
          <w:rStyle w:val="Hipercze"/>
          <w:i/>
          <w:iCs/>
          <w:color w:val="auto"/>
          <w:u w:val="none"/>
          <w:lang w:val="en-GB"/>
        </w:rPr>
        <w:t>Visnyk</w:t>
      </w:r>
      <w:proofErr w:type="spellEnd"/>
      <w:r w:rsidRPr="00396ECD">
        <w:rPr>
          <w:rStyle w:val="Hipercze"/>
          <w:i/>
          <w:iCs/>
          <w:color w:val="auto"/>
          <w:u w:val="none"/>
          <w:lang w:val="en-GB"/>
        </w:rPr>
        <w:t xml:space="preserve"> </w:t>
      </w:r>
      <w:proofErr w:type="spellStart"/>
      <w:r w:rsidRPr="00396ECD">
        <w:rPr>
          <w:rStyle w:val="Hipercze"/>
          <w:i/>
          <w:iCs/>
          <w:color w:val="auto"/>
          <w:u w:val="none"/>
          <w:lang w:val="en-GB"/>
        </w:rPr>
        <w:t>Natsionalnoho</w:t>
      </w:r>
      <w:proofErr w:type="spellEnd"/>
      <w:r w:rsidRPr="00396ECD">
        <w:rPr>
          <w:rStyle w:val="Hipercze"/>
          <w:i/>
          <w:iCs/>
          <w:color w:val="auto"/>
          <w:u w:val="none"/>
          <w:lang w:val="en-GB"/>
        </w:rPr>
        <w:t xml:space="preserve"> </w:t>
      </w:r>
      <w:proofErr w:type="spellStart"/>
      <w:r w:rsidRPr="00396ECD">
        <w:rPr>
          <w:rStyle w:val="Hipercze"/>
          <w:i/>
          <w:iCs/>
          <w:color w:val="auto"/>
          <w:u w:val="none"/>
          <w:lang w:val="en-GB"/>
        </w:rPr>
        <w:t>Hirnychoho</w:t>
      </w:r>
      <w:proofErr w:type="spellEnd"/>
      <w:r w:rsidRPr="00396ECD">
        <w:rPr>
          <w:rStyle w:val="Hipercze"/>
          <w:i/>
          <w:iCs/>
          <w:color w:val="auto"/>
          <w:u w:val="none"/>
          <w:lang w:val="en-GB"/>
        </w:rPr>
        <w:t xml:space="preserve"> </w:t>
      </w:r>
      <w:proofErr w:type="spellStart"/>
      <w:r w:rsidRPr="00396ECD">
        <w:rPr>
          <w:rStyle w:val="Hipercze"/>
          <w:i/>
          <w:iCs/>
          <w:color w:val="auto"/>
          <w:u w:val="none"/>
          <w:lang w:val="en-GB"/>
        </w:rPr>
        <w:t>Universytetu</w:t>
      </w:r>
      <w:proofErr w:type="spellEnd"/>
      <w:r w:rsidRPr="00396ECD">
        <w:rPr>
          <w:rStyle w:val="Hipercze"/>
          <w:color w:val="auto"/>
          <w:u w:val="none"/>
          <w:lang w:val="en-GB"/>
        </w:rPr>
        <w:t xml:space="preserve">, </w:t>
      </w:r>
      <w:r w:rsidRPr="00396ECD">
        <w:rPr>
          <w:rStyle w:val="Hipercze"/>
          <w:i/>
          <w:iCs/>
          <w:color w:val="auto"/>
          <w:u w:val="none"/>
          <w:lang w:val="en-GB"/>
        </w:rPr>
        <w:t>1</w:t>
      </w:r>
      <w:r w:rsidRPr="00396ECD">
        <w:rPr>
          <w:rStyle w:val="Hipercze"/>
          <w:color w:val="auto"/>
          <w:u w:val="none"/>
          <w:lang w:val="en-GB"/>
        </w:rPr>
        <w:t>, 154</w:t>
      </w:r>
      <w:r w:rsidR="00396ECD">
        <w:rPr>
          <w:rStyle w:val="Hipercze"/>
          <w:color w:val="auto"/>
          <w:u w:val="none"/>
          <w:lang w:val="en-GB"/>
        </w:rPr>
        <w:t>–</w:t>
      </w:r>
      <w:r w:rsidRPr="00396ECD">
        <w:rPr>
          <w:rStyle w:val="Hipercze"/>
          <w:color w:val="auto"/>
          <w:u w:val="none"/>
          <w:lang w:val="en-GB"/>
        </w:rPr>
        <w:t xml:space="preserve">159. </w:t>
      </w:r>
      <w:hyperlink r:id="rId24" w:history="1">
        <w:r w:rsidRPr="00396ECD">
          <w:rPr>
            <w:rStyle w:val="Hipercze"/>
            <w:color w:val="auto"/>
            <w:u w:val="none"/>
            <w:lang w:val="en-GB"/>
          </w:rPr>
          <w:t>https://doi.org/10.33271/nvngu/2023-1/154</w:t>
        </w:r>
      </w:hyperlink>
    </w:p>
    <w:p w14:paraId="24ACE056" w14:textId="77777777" w:rsidR="00804164" w:rsidRPr="00396ECD" w:rsidRDefault="00804164" w:rsidP="009F5B13">
      <w:pPr>
        <w:pStyle w:val="Rlit"/>
        <w:rPr>
          <w:lang w:val="en-GB"/>
        </w:rPr>
      </w:pPr>
      <w:r w:rsidRPr="00396ECD">
        <w:rPr>
          <w:lang w:val="en-GB"/>
        </w:rPr>
        <w:t xml:space="preserve">arkH3. (2025). </w:t>
      </w:r>
      <w:r w:rsidRPr="00396ECD">
        <w:rPr>
          <w:i/>
          <w:iCs/>
          <w:lang w:val="en-GB"/>
        </w:rPr>
        <w:t>Why do we need systemic foresight?</w:t>
      </w:r>
      <w:r w:rsidRPr="00396ECD">
        <w:rPr>
          <w:lang w:val="en-GB"/>
        </w:rPr>
        <w:t xml:space="preserve"> </w:t>
      </w:r>
      <w:hyperlink r:id="rId25" w:tgtFrame="_blank" w:history="1">
        <w:r w:rsidRPr="00396ECD">
          <w:rPr>
            <w:lang w:val="en-GB"/>
          </w:rPr>
          <w:t>https://www.arkh3.com/blog/why-do-we-need-systemic-foresight</w:t>
        </w:r>
      </w:hyperlink>
    </w:p>
    <w:p w14:paraId="172701E3" w14:textId="77777777" w:rsidR="00804164" w:rsidRPr="00396ECD" w:rsidRDefault="00804164" w:rsidP="009F5B13">
      <w:pPr>
        <w:pStyle w:val="Rlit"/>
        <w:rPr>
          <w:lang w:val="en-GB"/>
        </w:rPr>
      </w:pPr>
      <w:r w:rsidRPr="006E1670">
        <w:rPr>
          <w:lang w:val="de-DE"/>
        </w:rPr>
        <w:t xml:space="preserve">Beierlein, J.G., &amp; Woolverton, M.W. (1991). </w:t>
      </w:r>
      <w:r w:rsidRPr="00396ECD">
        <w:rPr>
          <w:i/>
          <w:iCs/>
          <w:lang w:val="en-GB"/>
        </w:rPr>
        <w:t>Agribusiness Marketing: The Management Perspective</w:t>
      </w:r>
      <w:r w:rsidRPr="00396ECD">
        <w:rPr>
          <w:lang w:val="en-GB"/>
        </w:rPr>
        <w:t>. Prentice Hall, Englewood Cliffs, New Jersey.</w:t>
      </w:r>
    </w:p>
    <w:p w14:paraId="4E800F3F" w14:textId="77777777" w:rsidR="00804164" w:rsidRPr="00396ECD" w:rsidRDefault="00804164" w:rsidP="009F5B13">
      <w:pPr>
        <w:pStyle w:val="Rlit"/>
        <w:rPr>
          <w:lang w:val="en-GB"/>
        </w:rPr>
      </w:pPr>
      <w:r w:rsidRPr="00396ECD">
        <w:rPr>
          <w:lang w:val="en-GB"/>
        </w:rPr>
        <w:t xml:space="preserve">Bento, V.A., Russo, A., Dutra, E., Ribeiro, A. F. C., Gouveia, C. M., &amp; Trigo, R. M. (2022). Persistence versus dynamical seasonal forecasts of cereal crop yields. </w:t>
      </w:r>
      <w:r w:rsidRPr="00396ECD">
        <w:rPr>
          <w:i/>
          <w:iCs/>
          <w:lang w:val="en-GB"/>
        </w:rPr>
        <w:t>Sci Rep</w:t>
      </w:r>
      <w:r w:rsidRPr="00396ECD">
        <w:rPr>
          <w:lang w:val="en-GB"/>
        </w:rPr>
        <w:t xml:space="preserve">, </w:t>
      </w:r>
      <w:r w:rsidRPr="00396ECD">
        <w:rPr>
          <w:i/>
          <w:iCs/>
          <w:lang w:val="en-GB"/>
        </w:rPr>
        <w:t>12</w:t>
      </w:r>
      <w:r w:rsidRPr="00396ECD">
        <w:rPr>
          <w:lang w:val="en-GB"/>
        </w:rPr>
        <w:t xml:space="preserve">, 7422. </w:t>
      </w:r>
      <w:hyperlink r:id="rId26" w:tgtFrame="_blank" w:history="1">
        <w:r w:rsidRPr="00396ECD">
          <w:rPr>
            <w:lang w:val="en-GB"/>
          </w:rPr>
          <w:t>https://doi.org/10.1038/s41598-022-11228-2</w:t>
        </w:r>
      </w:hyperlink>
    </w:p>
    <w:p w14:paraId="21D5BD0E" w14:textId="77777777" w:rsidR="00804164" w:rsidRPr="00396ECD" w:rsidRDefault="00804164" w:rsidP="009F5B13">
      <w:pPr>
        <w:pStyle w:val="Rlit"/>
        <w:rPr>
          <w:lang w:val="en-GB"/>
        </w:rPr>
      </w:pPr>
      <w:proofErr w:type="spellStart"/>
      <w:r w:rsidRPr="00396ECD">
        <w:rPr>
          <w:lang w:val="en-GB"/>
        </w:rPr>
        <w:t>Bogonos</w:t>
      </w:r>
      <w:proofErr w:type="spellEnd"/>
      <w:r w:rsidRPr="00396ECD">
        <w:rPr>
          <w:lang w:val="en-GB"/>
        </w:rPr>
        <w:t xml:space="preserve">, M., Chmil, A., </w:t>
      </w:r>
      <w:proofErr w:type="spellStart"/>
      <w:r w:rsidRPr="00396ECD">
        <w:rPr>
          <w:lang w:val="en-GB"/>
        </w:rPr>
        <w:t>Nazarkina</w:t>
      </w:r>
      <w:proofErr w:type="spellEnd"/>
      <w:r w:rsidRPr="00396ECD">
        <w:rPr>
          <w:lang w:val="en-GB"/>
        </w:rPr>
        <w:t xml:space="preserve">, R., </w:t>
      </w:r>
      <w:proofErr w:type="spellStart"/>
      <w:r w:rsidRPr="00396ECD">
        <w:rPr>
          <w:lang w:val="en-GB"/>
        </w:rPr>
        <w:t>Nykolyuk</w:t>
      </w:r>
      <w:proofErr w:type="spellEnd"/>
      <w:r w:rsidRPr="00396ECD">
        <w:rPr>
          <w:lang w:val="en-GB"/>
        </w:rPr>
        <w:t xml:space="preserve">, O., </w:t>
      </w:r>
      <w:proofErr w:type="spellStart"/>
      <w:r w:rsidRPr="00396ECD">
        <w:rPr>
          <w:lang w:val="en-GB"/>
        </w:rPr>
        <w:t>Pyvovar</w:t>
      </w:r>
      <w:proofErr w:type="spellEnd"/>
      <w:r w:rsidRPr="00396ECD">
        <w:rPr>
          <w:lang w:val="en-GB"/>
        </w:rPr>
        <w:t xml:space="preserve">, P., &amp; </w:t>
      </w:r>
      <w:proofErr w:type="spellStart"/>
      <w:r w:rsidRPr="00396ECD">
        <w:rPr>
          <w:lang w:val="en-GB"/>
        </w:rPr>
        <w:t>Stolnikovych</w:t>
      </w:r>
      <w:proofErr w:type="spellEnd"/>
      <w:r w:rsidRPr="00396ECD">
        <w:rPr>
          <w:lang w:val="en-GB"/>
        </w:rPr>
        <w:t xml:space="preserve">, H. (2023). Agricultural Outlook Ukraine 2024-2033: Report-summary. Kyiv School of Economics. </w:t>
      </w:r>
      <w:hyperlink r:id="rId27" w:tgtFrame="_blank" w:history="1">
        <w:r w:rsidRPr="00396ECD">
          <w:rPr>
            <w:lang w:val="en-GB"/>
          </w:rPr>
          <w:t>https://kse.ua/wp-content/uploads/2024/04/UA-Outlook-2024-2033-Report-1.pdf</w:t>
        </w:r>
      </w:hyperlink>
    </w:p>
    <w:p w14:paraId="1FC27B69" w14:textId="77777777" w:rsidR="00804164" w:rsidRPr="00396ECD" w:rsidRDefault="00804164" w:rsidP="009F5B13">
      <w:pPr>
        <w:pStyle w:val="Rlit"/>
        <w:rPr>
          <w:rStyle w:val="Pogrubienie"/>
          <w:b w:val="0"/>
          <w:bCs w:val="0"/>
          <w:lang w:val="en-GB"/>
        </w:rPr>
      </w:pPr>
      <w:proofErr w:type="spellStart"/>
      <w:r w:rsidRPr="00396ECD">
        <w:rPr>
          <w:rStyle w:val="Pogrubienie"/>
          <w:b w:val="0"/>
          <w:bCs w:val="0"/>
          <w:lang w:val="en-GB"/>
        </w:rPr>
        <w:t>Chukurna</w:t>
      </w:r>
      <w:proofErr w:type="spellEnd"/>
      <w:r w:rsidRPr="00396ECD">
        <w:rPr>
          <w:rStyle w:val="Pogrubienie"/>
          <w:b w:val="0"/>
          <w:bCs w:val="0"/>
          <w:lang w:val="en-GB"/>
        </w:rPr>
        <w:t xml:space="preserve">, O., </w:t>
      </w:r>
      <w:proofErr w:type="spellStart"/>
      <w:r w:rsidRPr="00396ECD">
        <w:rPr>
          <w:rStyle w:val="Pogrubienie"/>
          <w:b w:val="0"/>
          <w:bCs w:val="0"/>
          <w:lang w:val="en-GB"/>
        </w:rPr>
        <w:t>Tardaskina</w:t>
      </w:r>
      <w:proofErr w:type="spellEnd"/>
      <w:r w:rsidRPr="00396ECD">
        <w:rPr>
          <w:rStyle w:val="Pogrubienie"/>
          <w:b w:val="0"/>
          <w:bCs w:val="0"/>
          <w:lang w:val="en-GB"/>
        </w:rPr>
        <w:t xml:space="preserve">, T., </w:t>
      </w:r>
      <w:proofErr w:type="spellStart"/>
      <w:r w:rsidRPr="00396ECD">
        <w:rPr>
          <w:rStyle w:val="Pogrubienie"/>
          <w:b w:val="0"/>
          <w:bCs w:val="0"/>
          <w:lang w:val="en-GB"/>
        </w:rPr>
        <w:t>Chaikovska</w:t>
      </w:r>
      <w:proofErr w:type="spellEnd"/>
      <w:r w:rsidRPr="00396ECD">
        <w:rPr>
          <w:rStyle w:val="Pogrubienie"/>
          <w:b w:val="0"/>
          <w:bCs w:val="0"/>
          <w:lang w:val="en-GB"/>
        </w:rPr>
        <w:t xml:space="preserve">, M., Nitsenko, V., Tolkachova, H., &amp; </w:t>
      </w:r>
      <w:proofErr w:type="spellStart"/>
      <w:r w:rsidRPr="00396ECD">
        <w:rPr>
          <w:rStyle w:val="Pogrubienie"/>
          <w:b w:val="0"/>
          <w:bCs w:val="0"/>
          <w:lang w:val="en-GB"/>
        </w:rPr>
        <w:t>Kholostenko</w:t>
      </w:r>
      <w:proofErr w:type="spellEnd"/>
      <w:r w:rsidRPr="00396ECD">
        <w:rPr>
          <w:rStyle w:val="Pogrubienie"/>
          <w:b w:val="0"/>
          <w:bCs w:val="0"/>
          <w:lang w:val="en-GB"/>
        </w:rPr>
        <w:t xml:space="preserve">, Y. (2025). Methodological principles of forming a marketing GTM strategy for an IT product in the digital economy. </w:t>
      </w:r>
      <w:proofErr w:type="spellStart"/>
      <w:r w:rsidRPr="00396ECD">
        <w:rPr>
          <w:rStyle w:val="Pogrubienie"/>
          <w:b w:val="0"/>
          <w:bCs w:val="0"/>
          <w:i/>
          <w:iCs/>
          <w:lang w:val="en-GB"/>
        </w:rPr>
        <w:t>Naukovyi</w:t>
      </w:r>
      <w:proofErr w:type="spellEnd"/>
      <w:r w:rsidRPr="00396ECD">
        <w:rPr>
          <w:rStyle w:val="Pogrubienie"/>
          <w:b w:val="0"/>
          <w:bCs w:val="0"/>
          <w:i/>
          <w:iCs/>
          <w:lang w:val="en-GB"/>
        </w:rPr>
        <w:t xml:space="preserve"> </w:t>
      </w:r>
      <w:proofErr w:type="spellStart"/>
      <w:r w:rsidRPr="00396ECD">
        <w:rPr>
          <w:rStyle w:val="Pogrubienie"/>
          <w:b w:val="0"/>
          <w:bCs w:val="0"/>
          <w:i/>
          <w:iCs/>
          <w:lang w:val="en-GB"/>
        </w:rPr>
        <w:t>Visnyk</w:t>
      </w:r>
      <w:proofErr w:type="spellEnd"/>
      <w:r w:rsidRPr="00396ECD">
        <w:rPr>
          <w:rStyle w:val="Pogrubienie"/>
          <w:b w:val="0"/>
          <w:bCs w:val="0"/>
          <w:i/>
          <w:iCs/>
          <w:lang w:val="en-GB"/>
        </w:rPr>
        <w:t xml:space="preserve"> </w:t>
      </w:r>
      <w:proofErr w:type="spellStart"/>
      <w:r w:rsidRPr="00396ECD">
        <w:rPr>
          <w:rStyle w:val="Pogrubienie"/>
          <w:b w:val="0"/>
          <w:bCs w:val="0"/>
          <w:i/>
          <w:iCs/>
          <w:lang w:val="en-GB"/>
        </w:rPr>
        <w:t>Natsionalnoho</w:t>
      </w:r>
      <w:proofErr w:type="spellEnd"/>
      <w:r w:rsidRPr="00396ECD">
        <w:rPr>
          <w:rStyle w:val="Pogrubienie"/>
          <w:b w:val="0"/>
          <w:bCs w:val="0"/>
          <w:i/>
          <w:iCs/>
          <w:lang w:val="en-GB"/>
        </w:rPr>
        <w:t xml:space="preserve"> </w:t>
      </w:r>
      <w:proofErr w:type="spellStart"/>
      <w:r w:rsidRPr="00396ECD">
        <w:rPr>
          <w:rStyle w:val="Pogrubienie"/>
          <w:b w:val="0"/>
          <w:bCs w:val="0"/>
          <w:i/>
          <w:iCs/>
          <w:lang w:val="en-GB"/>
        </w:rPr>
        <w:t>Hirnychoho</w:t>
      </w:r>
      <w:proofErr w:type="spellEnd"/>
      <w:r w:rsidRPr="00396ECD">
        <w:rPr>
          <w:rStyle w:val="Pogrubienie"/>
          <w:b w:val="0"/>
          <w:bCs w:val="0"/>
          <w:i/>
          <w:iCs/>
          <w:lang w:val="en-GB"/>
        </w:rPr>
        <w:t xml:space="preserve"> </w:t>
      </w:r>
      <w:proofErr w:type="spellStart"/>
      <w:r w:rsidRPr="00396ECD">
        <w:rPr>
          <w:rStyle w:val="Pogrubienie"/>
          <w:b w:val="0"/>
          <w:bCs w:val="0"/>
          <w:i/>
          <w:iCs/>
          <w:lang w:val="en-GB"/>
        </w:rPr>
        <w:t>Universytetu</w:t>
      </w:r>
      <w:proofErr w:type="spellEnd"/>
      <w:r w:rsidRPr="00396ECD">
        <w:rPr>
          <w:rStyle w:val="Pogrubienie"/>
          <w:b w:val="0"/>
          <w:bCs w:val="0"/>
          <w:lang w:val="en-GB"/>
        </w:rPr>
        <w:t xml:space="preserve">, </w:t>
      </w:r>
      <w:r w:rsidRPr="00396ECD">
        <w:rPr>
          <w:rStyle w:val="Pogrubienie"/>
          <w:b w:val="0"/>
          <w:bCs w:val="0"/>
          <w:i/>
          <w:iCs/>
          <w:lang w:val="en-GB"/>
        </w:rPr>
        <w:t>5</w:t>
      </w:r>
      <w:r w:rsidRPr="00396ECD">
        <w:rPr>
          <w:rStyle w:val="Pogrubienie"/>
          <w:b w:val="0"/>
          <w:bCs w:val="0"/>
          <w:lang w:val="en-GB"/>
        </w:rPr>
        <w:t xml:space="preserve">, 162–176. </w:t>
      </w:r>
      <w:hyperlink r:id="rId28" w:history="1">
        <w:r w:rsidRPr="00396ECD">
          <w:rPr>
            <w:rStyle w:val="Hipercze"/>
            <w:color w:val="auto"/>
            <w:u w:val="none"/>
            <w:lang w:val="en-GB"/>
          </w:rPr>
          <w:t>https://doi.org/10.33271/nvngu/2025-5/162</w:t>
        </w:r>
      </w:hyperlink>
    </w:p>
    <w:p w14:paraId="03051CE7" w14:textId="0589F4A3" w:rsidR="00804164" w:rsidRPr="00396ECD" w:rsidRDefault="00804164" w:rsidP="009F5B13">
      <w:pPr>
        <w:pStyle w:val="Rlit"/>
        <w:rPr>
          <w:rStyle w:val="Pogrubienie"/>
          <w:b w:val="0"/>
          <w:bCs w:val="0"/>
          <w:lang w:val="en-GB"/>
        </w:rPr>
      </w:pPr>
      <w:r w:rsidRPr="00396ECD">
        <w:rPr>
          <w:rStyle w:val="Pogrubienie"/>
          <w:b w:val="0"/>
          <w:bCs w:val="0"/>
          <w:lang w:val="en-GB"/>
        </w:rPr>
        <w:t xml:space="preserve">Corallo, A., Latino, M. E., </w:t>
      </w:r>
      <w:proofErr w:type="spellStart"/>
      <w:r w:rsidRPr="00396ECD">
        <w:rPr>
          <w:rStyle w:val="Pogrubienie"/>
          <w:b w:val="0"/>
          <w:bCs w:val="0"/>
          <w:lang w:val="en-GB"/>
        </w:rPr>
        <w:t>Menegoli</w:t>
      </w:r>
      <w:proofErr w:type="spellEnd"/>
      <w:r w:rsidRPr="00396ECD">
        <w:rPr>
          <w:rStyle w:val="Pogrubienie"/>
          <w:b w:val="0"/>
          <w:bCs w:val="0"/>
          <w:lang w:val="en-GB"/>
        </w:rPr>
        <w:t xml:space="preserve">, M., &amp; </w:t>
      </w:r>
      <w:proofErr w:type="spellStart"/>
      <w:r w:rsidRPr="00396ECD">
        <w:rPr>
          <w:rStyle w:val="Pogrubienie"/>
          <w:b w:val="0"/>
          <w:bCs w:val="0"/>
          <w:lang w:val="en-GB"/>
        </w:rPr>
        <w:t>Signore</w:t>
      </w:r>
      <w:proofErr w:type="spellEnd"/>
      <w:r w:rsidRPr="00396ECD">
        <w:rPr>
          <w:rStyle w:val="Pogrubienie"/>
          <w:b w:val="0"/>
          <w:bCs w:val="0"/>
          <w:lang w:val="en-GB"/>
        </w:rPr>
        <w:t xml:space="preserve">, F. (2024). Impact of natural disaster on consumer behaviour: Italian case of Xylella fastidiosa. </w:t>
      </w:r>
      <w:r w:rsidRPr="00396ECD">
        <w:rPr>
          <w:rStyle w:val="Pogrubienie"/>
          <w:b w:val="0"/>
          <w:bCs w:val="0"/>
          <w:i/>
          <w:iCs/>
          <w:lang w:val="en-GB"/>
        </w:rPr>
        <w:t>Intellectual Economics</w:t>
      </w:r>
      <w:r w:rsidRPr="00396ECD">
        <w:rPr>
          <w:rStyle w:val="Pogrubienie"/>
          <w:b w:val="0"/>
          <w:bCs w:val="0"/>
          <w:lang w:val="en-GB"/>
        </w:rPr>
        <w:t xml:space="preserve">, </w:t>
      </w:r>
      <w:r w:rsidRPr="005E76B5">
        <w:rPr>
          <w:rStyle w:val="Pogrubienie"/>
          <w:b w:val="0"/>
          <w:bCs w:val="0"/>
          <w:i/>
          <w:iCs/>
          <w:lang w:val="en-GB"/>
        </w:rPr>
        <w:t>18</w:t>
      </w:r>
      <w:r w:rsidRPr="00396ECD">
        <w:rPr>
          <w:rStyle w:val="Pogrubienie"/>
          <w:b w:val="0"/>
          <w:bCs w:val="0"/>
          <w:lang w:val="en-GB"/>
        </w:rPr>
        <w:t>(1), 177</w:t>
      </w:r>
      <w:r w:rsidR="005E76B5">
        <w:rPr>
          <w:rStyle w:val="Pogrubienie"/>
          <w:b w:val="0"/>
          <w:bCs w:val="0"/>
          <w:lang w:val="en-GB"/>
        </w:rPr>
        <w:t>–</w:t>
      </w:r>
      <w:r w:rsidRPr="00396ECD">
        <w:rPr>
          <w:rStyle w:val="Pogrubienie"/>
          <w:b w:val="0"/>
          <w:bCs w:val="0"/>
          <w:lang w:val="en-GB"/>
        </w:rPr>
        <w:t>192. https://doi.org/10.13165/IE-24-18-1-08</w:t>
      </w:r>
    </w:p>
    <w:p w14:paraId="76326E68" w14:textId="77777777" w:rsidR="00804164" w:rsidRPr="00396ECD" w:rsidRDefault="00804164" w:rsidP="009F5B13">
      <w:pPr>
        <w:pStyle w:val="Rlit"/>
        <w:rPr>
          <w:lang w:val="en-GB"/>
        </w:rPr>
      </w:pPr>
      <w:r w:rsidRPr="00396ECD">
        <w:rPr>
          <w:lang w:val="en-GB"/>
        </w:rPr>
        <w:t xml:space="preserve">Deloitte Insights. (2021). </w:t>
      </w:r>
      <w:r w:rsidRPr="00396ECD">
        <w:rPr>
          <w:i/>
          <w:iCs/>
          <w:lang w:val="en-GB"/>
        </w:rPr>
        <w:t>Future of Food: The case for change</w:t>
      </w:r>
      <w:r w:rsidRPr="00396ECD">
        <w:rPr>
          <w:lang w:val="en-GB"/>
        </w:rPr>
        <w:t xml:space="preserve">. </w:t>
      </w:r>
      <w:hyperlink r:id="rId29" w:tgtFrame="_blank" w:history="1">
        <w:r w:rsidRPr="00396ECD">
          <w:rPr>
            <w:lang w:val="en-GB"/>
          </w:rPr>
          <w:t>https://www.deloitte.com/global/en/industries/consumer/about/future-of-food.html</w:t>
        </w:r>
      </w:hyperlink>
    </w:p>
    <w:p w14:paraId="07C2773C" w14:textId="3D75ED8B" w:rsidR="00804164" w:rsidRPr="00396ECD" w:rsidRDefault="00804164" w:rsidP="005E76B5">
      <w:pPr>
        <w:pStyle w:val="Rlit"/>
        <w:jc w:val="left"/>
        <w:rPr>
          <w:rStyle w:val="Hipercze"/>
          <w:color w:val="auto"/>
          <w:u w:val="none"/>
          <w:lang w:val="en-GB"/>
        </w:rPr>
      </w:pPr>
      <w:proofErr w:type="spellStart"/>
      <w:r w:rsidRPr="00396ECD">
        <w:rPr>
          <w:rStyle w:val="Hipercze"/>
          <w:color w:val="auto"/>
          <w:u w:val="none"/>
          <w:lang w:val="en-GB"/>
        </w:rPr>
        <w:t>Dvornyk</w:t>
      </w:r>
      <w:proofErr w:type="spellEnd"/>
      <w:r w:rsidRPr="00396ECD">
        <w:rPr>
          <w:rStyle w:val="Hipercze"/>
          <w:color w:val="auto"/>
          <w:u w:val="none"/>
          <w:lang w:val="en-GB"/>
        </w:rPr>
        <w:t xml:space="preserve">, O., &amp; </w:t>
      </w:r>
      <w:proofErr w:type="spellStart"/>
      <w:r w:rsidRPr="00396ECD">
        <w:rPr>
          <w:rStyle w:val="Hipercze"/>
          <w:color w:val="auto"/>
          <w:u w:val="none"/>
          <w:lang w:val="en-GB"/>
        </w:rPr>
        <w:t>Garafonova</w:t>
      </w:r>
      <w:proofErr w:type="spellEnd"/>
      <w:r w:rsidRPr="00396ECD">
        <w:rPr>
          <w:rStyle w:val="Hipercze"/>
          <w:color w:val="auto"/>
          <w:u w:val="none"/>
          <w:lang w:val="en-GB"/>
        </w:rPr>
        <w:t xml:space="preserve">, O. (2025). Methodology for the early detection of weak signals for adaptive enterprise management. </w:t>
      </w:r>
      <w:r w:rsidRPr="00396ECD">
        <w:rPr>
          <w:rStyle w:val="Hipercze"/>
          <w:i/>
          <w:iCs/>
          <w:color w:val="auto"/>
          <w:u w:val="none"/>
          <w:lang w:val="en-GB"/>
        </w:rPr>
        <w:t>Collection of Scientific Papers "Scientific Notes"</w:t>
      </w:r>
      <w:r w:rsidRPr="005E76B5">
        <w:rPr>
          <w:rStyle w:val="Hipercze"/>
          <w:color w:val="auto"/>
          <w:u w:val="none"/>
          <w:lang w:val="en-GB"/>
        </w:rPr>
        <w:t xml:space="preserve">, </w:t>
      </w:r>
      <w:r w:rsidRPr="005E76B5">
        <w:rPr>
          <w:rStyle w:val="Hipercze"/>
          <w:i/>
          <w:iCs/>
          <w:color w:val="auto"/>
          <w:u w:val="none"/>
          <w:lang w:val="en-GB"/>
        </w:rPr>
        <w:t>41</w:t>
      </w:r>
      <w:r w:rsidRPr="00396ECD">
        <w:rPr>
          <w:rStyle w:val="Hipercze"/>
          <w:color w:val="auto"/>
          <w:u w:val="none"/>
          <w:lang w:val="en-GB"/>
        </w:rPr>
        <w:t>(4), 88</w:t>
      </w:r>
      <w:r w:rsidR="005E76B5">
        <w:rPr>
          <w:rStyle w:val="Hipercze"/>
          <w:color w:val="auto"/>
          <w:u w:val="none"/>
          <w:lang w:val="en-GB"/>
        </w:rPr>
        <w:t>–</w:t>
      </w:r>
      <w:r w:rsidRPr="00396ECD">
        <w:rPr>
          <w:rStyle w:val="Hipercze"/>
          <w:color w:val="auto"/>
          <w:u w:val="none"/>
          <w:lang w:val="en-GB"/>
        </w:rPr>
        <w:t xml:space="preserve">102. </w:t>
      </w:r>
      <w:hyperlink r:id="rId30" w:history="1">
        <w:r w:rsidRPr="00396ECD">
          <w:rPr>
            <w:rStyle w:val="Hipercze"/>
            <w:color w:val="auto"/>
            <w:u w:val="none"/>
            <w:lang w:val="en-GB"/>
          </w:rPr>
          <w:t>http://doi.org/10.33111/vz_kneu.41.25.04.06.040.046</w:t>
        </w:r>
      </w:hyperlink>
    </w:p>
    <w:p w14:paraId="4A64EF1F" w14:textId="77777777" w:rsidR="00804164" w:rsidRPr="00396ECD" w:rsidRDefault="00804164" w:rsidP="009F5B13">
      <w:pPr>
        <w:pStyle w:val="Rlit"/>
        <w:rPr>
          <w:lang w:val="en-GB"/>
        </w:rPr>
      </w:pPr>
      <w:r w:rsidRPr="00396ECD">
        <w:rPr>
          <w:lang w:val="en-GB"/>
        </w:rPr>
        <w:t xml:space="preserve">European Commission. (2020). </w:t>
      </w:r>
      <w:r w:rsidRPr="00396ECD">
        <w:rPr>
          <w:i/>
          <w:iCs/>
          <w:lang w:val="en-GB"/>
        </w:rPr>
        <w:t>Farm to fork strategy for a fair, healthy and environmentally-friendly food system</w:t>
      </w:r>
      <w:r w:rsidRPr="00396ECD">
        <w:rPr>
          <w:lang w:val="en-GB"/>
        </w:rPr>
        <w:t xml:space="preserve">. </w:t>
      </w:r>
      <w:hyperlink r:id="rId31" w:tgtFrame="_blank" w:history="1">
        <w:r w:rsidRPr="00396ECD">
          <w:rPr>
            <w:lang w:val="en-GB"/>
          </w:rPr>
          <w:t>https://www.metrofood.eu/images/news/Farm_to_Fork_Strategy__for_a_fair_healthy_and_environmentally-friendly_food_system.pdf</w:t>
        </w:r>
      </w:hyperlink>
    </w:p>
    <w:p w14:paraId="1D364631" w14:textId="77777777" w:rsidR="00804164" w:rsidRPr="00396ECD" w:rsidRDefault="00804164" w:rsidP="005E76B5">
      <w:pPr>
        <w:pStyle w:val="Rlit"/>
        <w:jc w:val="left"/>
        <w:rPr>
          <w:lang w:val="en-GB"/>
        </w:rPr>
      </w:pPr>
      <w:r w:rsidRPr="00396ECD">
        <w:rPr>
          <w:lang w:val="en-GB"/>
        </w:rPr>
        <w:t xml:space="preserve">FAO. (2018). </w:t>
      </w:r>
      <w:r w:rsidRPr="00396ECD">
        <w:rPr>
          <w:i/>
          <w:iCs/>
          <w:lang w:val="en-GB"/>
        </w:rPr>
        <w:t>The future of food and agriculture: Alternative pathways to 2050</w:t>
      </w:r>
      <w:r w:rsidRPr="00396ECD">
        <w:rPr>
          <w:lang w:val="en-GB"/>
        </w:rPr>
        <w:t xml:space="preserve">. </w:t>
      </w:r>
      <w:hyperlink r:id="rId32" w:tgtFrame="_blank" w:history="1">
        <w:r w:rsidRPr="00396ECD">
          <w:rPr>
            <w:lang w:val="en-GB"/>
          </w:rPr>
          <w:t>https://openknowledge.fao.org/server/api/core/bitstreams/e51e0cf0-4ece-428c-8227-ff6c51b06b16/content</w:t>
        </w:r>
      </w:hyperlink>
    </w:p>
    <w:p w14:paraId="462F75AE" w14:textId="77777777" w:rsidR="00804164" w:rsidRPr="00396ECD" w:rsidRDefault="00804164" w:rsidP="005E76B5">
      <w:pPr>
        <w:pStyle w:val="Rlit"/>
        <w:jc w:val="left"/>
        <w:rPr>
          <w:lang w:val="en-GB"/>
        </w:rPr>
      </w:pPr>
      <w:r w:rsidRPr="00396ECD">
        <w:rPr>
          <w:lang w:val="en-GB"/>
        </w:rPr>
        <w:t xml:space="preserve">Forbes Ukraine. (2026). </w:t>
      </w:r>
      <w:r w:rsidRPr="00396ECD">
        <w:rPr>
          <w:i/>
          <w:iCs/>
          <w:lang w:val="en-GB"/>
        </w:rPr>
        <w:t xml:space="preserve">Forbes </w:t>
      </w:r>
      <w:proofErr w:type="spellStart"/>
      <w:r w:rsidRPr="00396ECD">
        <w:rPr>
          <w:i/>
          <w:iCs/>
          <w:lang w:val="en-GB"/>
        </w:rPr>
        <w:t>Agro</w:t>
      </w:r>
      <w:proofErr w:type="spellEnd"/>
      <w:r w:rsidRPr="00396ECD">
        <w:rPr>
          <w:i/>
          <w:iCs/>
          <w:lang w:val="en-GB"/>
        </w:rPr>
        <w:t xml:space="preserve"> 2026: How New Standards Are Changing the Ukrainian </w:t>
      </w:r>
      <w:proofErr w:type="spellStart"/>
      <w:r w:rsidRPr="00396ECD">
        <w:rPr>
          <w:i/>
          <w:iCs/>
          <w:lang w:val="en-GB"/>
        </w:rPr>
        <w:t>Agro</w:t>
      </w:r>
      <w:proofErr w:type="spellEnd"/>
      <w:r w:rsidRPr="00396ECD">
        <w:rPr>
          <w:i/>
          <w:iCs/>
          <w:lang w:val="en-GB"/>
        </w:rPr>
        <w:t xml:space="preserve"> Model</w:t>
      </w:r>
      <w:r w:rsidRPr="00396ECD">
        <w:rPr>
          <w:lang w:val="en-GB"/>
        </w:rPr>
        <w:t xml:space="preserve">. </w:t>
      </w:r>
      <w:hyperlink r:id="rId33" w:history="1">
        <w:r w:rsidRPr="00396ECD">
          <w:rPr>
            <w:rStyle w:val="Hipercze"/>
            <w:color w:val="auto"/>
            <w:u w:val="none"/>
            <w:lang w:val="en-GB"/>
          </w:rPr>
          <w:t>https://forbes.ua/news/forbes-agro-2026-yak-novi-standarti-zminyuyut-model-ukrainskogo-agro-02032026-36755</w:t>
        </w:r>
      </w:hyperlink>
      <w:r w:rsidRPr="00396ECD">
        <w:rPr>
          <w:lang w:val="en-GB"/>
        </w:rPr>
        <w:t xml:space="preserve"> </w:t>
      </w:r>
    </w:p>
    <w:p w14:paraId="25C270AD" w14:textId="66A3323F" w:rsidR="00804164" w:rsidRPr="00396ECD" w:rsidRDefault="00804164" w:rsidP="005E76B5">
      <w:pPr>
        <w:pStyle w:val="Rlit"/>
        <w:jc w:val="left"/>
        <w:rPr>
          <w:lang w:val="en-GB"/>
        </w:rPr>
      </w:pPr>
      <w:r w:rsidRPr="006E1670">
        <w:rPr>
          <w:lang w:val="de-DE"/>
        </w:rPr>
        <w:t xml:space="preserve">Goedde, L., Katz, J., </w:t>
      </w:r>
      <w:proofErr w:type="spellStart"/>
      <w:r w:rsidRPr="006E1670">
        <w:rPr>
          <w:lang w:val="de-DE"/>
        </w:rPr>
        <w:t>Ménard</w:t>
      </w:r>
      <w:proofErr w:type="spellEnd"/>
      <w:r w:rsidRPr="006E1670">
        <w:rPr>
          <w:lang w:val="de-DE"/>
        </w:rPr>
        <w:t xml:space="preserve">, A., &amp; </w:t>
      </w:r>
      <w:proofErr w:type="spellStart"/>
      <w:r w:rsidRPr="006E1670">
        <w:rPr>
          <w:lang w:val="de-DE"/>
        </w:rPr>
        <w:t>Revellat</w:t>
      </w:r>
      <w:proofErr w:type="spellEnd"/>
      <w:r w:rsidRPr="006E1670">
        <w:rPr>
          <w:lang w:val="de-DE"/>
        </w:rPr>
        <w:t xml:space="preserve">, J. (2020). </w:t>
      </w:r>
      <w:r w:rsidRPr="00396ECD">
        <w:rPr>
          <w:lang w:val="en-GB"/>
        </w:rPr>
        <w:t>Agriculture</w:t>
      </w:r>
      <w:r w:rsidR="00E975FE">
        <w:rPr>
          <w:lang w:val="en-GB"/>
        </w:rPr>
        <w:t>'</w:t>
      </w:r>
      <w:r w:rsidRPr="00396ECD">
        <w:rPr>
          <w:lang w:val="en-GB"/>
        </w:rPr>
        <w:t xml:space="preserve">s connected future: How technology can yield new growth. </w:t>
      </w:r>
      <w:r w:rsidRPr="00396ECD">
        <w:rPr>
          <w:i/>
          <w:iCs/>
          <w:lang w:val="en-GB"/>
        </w:rPr>
        <w:t>McKinsey.</w:t>
      </w:r>
      <w:r w:rsidRPr="00396ECD">
        <w:rPr>
          <w:lang w:val="en-GB"/>
        </w:rPr>
        <w:t xml:space="preserve"> </w:t>
      </w:r>
      <w:hyperlink r:id="rId34" w:tgtFrame="_blank" w:history="1">
        <w:r w:rsidRPr="00396ECD">
          <w:rPr>
            <w:lang w:val="en-GB"/>
          </w:rPr>
          <w:t>https://www.mckinsey.com/industries/agriculture/our-insights/agricultures-connected-future-how-technology-can-yield-new-growth</w:t>
        </w:r>
      </w:hyperlink>
    </w:p>
    <w:p w14:paraId="2F6955DF" w14:textId="747557DD" w:rsidR="00804164" w:rsidRPr="00396ECD" w:rsidRDefault="00804164" w:rsidP="005E76B5">
      <w:pPr>
        <w:pStyle w:val="Rlit"/>
        <w:jc w:val="left"/>
        <w:rPr>
          <w:rStyle w:val="Pogrubienie"/>
          <w:b w:val="0"/>
          <w:bCs w:val="0"/>
          <w:lang w:val="en-GB"/>
        </w:rPr>
      </w:pPr>
      <w:r w:rsidRPr="00396ECD">
        <w:rPr>
          <w:rStyle w:val="Pogrubienie"/>
          <w:b w:val="0"/>
          <w:bCs w:val="0"/>
          <w:lang w:val="en-GB"/>
        </w:rPr>
        <w:t xml:space="preserve">Guliyev, M., Hajiyeva, L., Muradova, H., &amp; Huseynova, L. (2025). Impact of government open data initiatives on innovation, entrepreneurship, and economic growth. </w:t>
      </w:r>
      <w:r w:rsidRPr="00396ECD">
        <w:rPr>
          <w:rStyle w:val="Pogrubienie"/>
          <w:b w:val="0"/>
          <w:bCs w:val="0"/>
          <w:i/>
          <w:iCs/>
          <w:lang w:val="en-GB"/>
        </w:rPr>
        <w:t>Intellectual Economics</w:t>
      </w:r>
      <w:r w:rsidRPr="00396ECD">
        <w:rPr>
          <w:rStyle w:val="Pogrubienie"/>
          <w:b w:val="0"/>
          <w:bCs w:val="0"/>
          <w:lang w:val="en-GB"/>
        </w:rPr>
        <w:t xml:space="preserve">, </w:t>
      </w:r>
      <w:r w:rsidRPr="005E76B5">
        <w:rPr>
          <w:rStyle w:val="Pogrubienie"/>
          <w:b w:val="0"/>
          <w:bCs w:val="0"/>
          <w:i/>
          <w:iCs/>
          <w:lang w:val="en-GB"/>
        </w:rPr>
        <w:t>19</w:t>
      </w:r>
      <w:r w:rsidRPr="00396ECD">
        <w:rPr>
          <w:rStyle w:val="Pogrubienie"/>
          <w:b w:val="0"/>
          <w:bCs w:val="0"/>
          <w:lang w:val="en-GB"/>
        </w:rPr>
        <w:t>(1), 32</w:t>
      </w:r>
      <w:r w:rsidR="005E76B5">
        <w:rPr>
          <w:rStyle w:val="Pogrubienie"/>
          <w:b w:val="0"/>
          <w:bCs w:val="0"/>
          <w:lang w:val="en-GB"/>
        </w:rPr>
        <w:t>–</w:t>
      </w:r>
      <w:r w:rsidRPr="00396ECD">
        <w:rPr>
          <w:rStyle w:val="Pogrubienie"/>
          <w:b w:val="0"/>
          <w:bCs w:val="0"/>
          <w:lang w:val="en-GB"/>
        </w:rPr>
        <w:t xml:space="preserve">61. </w:t>
      </w:r>
      <w:r w:rsidR="005E76B5">
        <w:rPr>
          <w:rStyle w:val="Pogrubienie"/>
          <w:b w:val="0"/>
          <w:bCs w:val="0"/>
          <w:lang w:val="en-GB"/>
        </w:rPr>
        <w:br/>
      </w:r>
      <w:r w:rsidRPr="00396ECD">
        <w:rPr>
          <w:rStyle w:val="Pogrubienie"/>
          <w:b w:val="0"/>
          <w:bCs w:val="0"/>
          <w:lang w:val="en-GB"/>
        </w:rPr>
        <w:t>https://doi.org/10.13165/IE-25-19-1-02</w:t>
      </w:r>
    </w:p>
    <w:p w14:paraId="77100840" w14:textId="54B8B31E" w:rsidR="00804164" w:rsidRPr="00396ECD" w:rsidRDefault="00804164" w:rsidP="005E76B5">
      <w:pPr>
        <w:pStyle w:val="Rlit"/>
        <w:jc w:val="left"/>
        <w:rPr>
          <w:lang w:val="en-GB"/>
        </w:rPr>
      </w:pPr>
      <w:r w:rsidRPr="00396ECD">
        <w:rPr>
          <w:lang w:val="en-GB"/>
        </w:rPr>
        <w:t xml:space="preserve">Haarhaus, T., &amp; Liening, A. (2020). Building dynamic capabilities to cope with environmental uncertainty: The role of strategic foresight. </w:t>
      </w:r>
      <w:r w:rsidRPr="00396ECD">
        <w:rPr>
          <w:i/>
          <w:iCs/>
          <w:lang w:val="en-GB"/>
        </w:rPr>
        <w:t>Technological Forecasting and Social Change</w:t>
      </w:r>
      <w:r w:rsidRPr="00396ECD">
        <w:rPr>
          <w:lang w:val="en-GB"/>
        </w:rPr>
        <w:t xml:space="preserve">, </w:t>
      </w:r>
      <w:r w:rsidRPr="005E76B5">
        <w:rPr>
          <w:i/>
          <w:iCs/>
          <w:lang w:val="en-GB"/>
        </w:rPr>
        <w:t>155</w:t>
      </w:r>
      <w:r w:rsidRPr="00396ECD">
        <w:rPr>
          <w:lang w:val="en-GB"/>
        </w:rPr>
        <w:t xml:space="preserve">, 120033. </w:t>
      </w:r>
      <w:r w:rsidR="005E76B5">
        <w:rPr>
          <w:lang w:val="en-GB"/>
        </w:rPr>
        <w:br/>
      </w:r>
      <w:r w:rsidRPr="00396ECD">
        <w:rPr>
          <w:lang w:val="en-GB"/>
        </w:rPr>
        <w:t>https://doi.org/10.1016/j.techfore.2020.120033</w:t>
      </w:r>
    </w:p>
    <w:p w14:paraId="3D1980F4" w14:textId="171626DE" w:rsidR="00804164" w:rsidRPr="00396ECD" w:rsidRDefault="00804164" w:rsidP="005E76B5">
      <w:pPr>
        <w:pStyle w:val="Rlit"/>
        <w:jc w:val="left"/>
        <w:rPr>
          <w:rStyle w:val="Hipercze"/>
          <w:color w:val="auto"/>
          <w:u w:val="none"/>
          <w:lang w:val="en-GB"/>
        </w:rPr>
      </w:pPr>
      <w:r w:rsidRPr="006E1670">
        <w:rPr>
          <w:lang w:val="de-DE"/>
        </w:rPr>
        <w:t xml:space="preserve">Häberli, C., Steiner, B., &amp; Carlson, M. (2025). </w:t>
      </w:r>
      <w:r w:rsidRPr="00396ECD">
        <w:rPr>
          <w:lang w:val="en-GB"/>
        </w:rPr>
        <w:t>Would the CBAM promote greener African-EU agri-food trade? Insights from a joint economic-legal assessment.</w:t>
      </w:r>
      <w:r w:rsidR="005E76B5">
        <w:rPr>
          <w:lang w:val="en-GB"/>
        </w:rPr>
        <w:t xml:space="preserve"> </w:t>
      </w:r>
      <w:r w:rsidRPr="00396ECD">
        <w:rPr>
          <w:i/>
          <w:iCs/>
          <w:lang w:val="en-GB"/>
        </w:rPr>
        <w:t>Environmental Research: Food Systems</w:t>
      </w:r>
      <w:r w:rsidRPr="00396ECD">
        <w:rPr>
          <w:lang w:val="en-GB"/>
        </w:rPr>
        <w:t xml:space="preserve">, </w:t>
      </w:r>
      <w:r w:rsidRPr="005E76B5">
        <w:rPr>
          <w:i/>
          <w:iCs/>
          <w:lang w:val="en-GB"/>
        </w:rPr>
        <w:t>2</w:t>
      </w:r>
      <w:r w:rsidRPr="00396ECD">
        <w:rPr>
          <w:lang w:val="en-GB"/>
        </w:rPr>
        <w:t>, 032002.</w:t>
      </w:r>
      <w:r w:rsidR="005E76B5">
        <w:rPr>
          <w:lang w:val="en-GB"/>
        </w:rPr>
        <w:t xml:space="preserve"> </w:t>
      </w:r>
      <w:hyperlink r:id="rId35" w:tgtFrame="_blank" w:history="1">
        <w:r w:rsidRPr="00396ECD">
          <w:rPr>
            <w:rStyle w:val="Hipercze"/>
            <w:color w:val="auto"/>
            <w:u w:val="none"/>
            <w:lang w:val="en-GB"/>
          </w:rPr>
          <w:t>https://doi.org/10.1088/2976-601X/adebf3</w:t>
        </w:r>
      </w:hyperlink>
      <w:r w:rsidRPr="00396ECD">
        <w:rPr>
          <w:lang w:val="en-GB"/>
        </w:rPr>
        <w:t> </w:t>
      </w:r>
    </w:p>
    <w:p w14:paraId="1674D44E" w14:textId="77777777" w:rsidR="00804164" w:rsidRPr="00396ECD" w:rsidRDefault="00804164" w:rsidP="009F5B13">
      <w:pPr>
        <w:pStyle w:val="Rlit"/>
        <w:rPr>
          <w:lang w:val="en-GB"/>
        </w:rPr>
      </w:pPr>
      <w:proofErr w:type="spellStart"/>
      <w:r w:rsidRPr="00396ECD">
        <w:rPr>
          <w:lang w:val="en-GB"/>
        </w:rPr>
        <w:t>Iastremska</w:t>
      </w:r>
      <w:proofErr w:type="spellEnd"/>
      <w:r w:rsidRPr="00396ECD">
        <w:rPr>
          <w:lang w:val="en-GB"/>
        </w:rPr>
        <w:t xml:space="preserve">, O. (2025). The use of informational and communication foresight, as well as organizational foresight in the process of enterprise strategizing. </w:t>
      </w:r>
      <w:r w:rsidRPr="00396ECD">
        <w:rPr>
          <w:i/>
          <w:iCs/>
          <w:lang w:val="en-GB"/>
        </w:rPr>
        <w:t>Economy and Society</w:t>
      </w:r>
      <w:r w:rsidRPr="00396ECD">
        <w:rPr>
          <w:lang w:val="en-GB"/>
        </w:rPr>
        <w:t xml:space="preserve">, </w:t>
      </w:r>
      <w:r w:rsidRPr="0095507A">
        <w:rPr>
          <w:i/>
          <w:iCs/>
          <w:lang w:val="en-GB"/>
        </w:rPr>
        <w:t>73</w:t>
      </w:r>
      <w:r w:rsidRPr="00396ECD">
        <w:rPr>
          <w:lang w:val="en-GB"/>
        </w:rPr>
        <w:t xml:space="preserve">. </w:t>
      </w:r>
      <w:hyperlink r:id="rId36" w:history="1">
        <w:r w:rsidRPr="00396ECD">
          <w:rPr>
            <w:rStyle w:val="Hipercze"/>
            <w:color w:val="auto"/>
            <w:u w:val="none"/>
            <w:lang w:val="en-GB"/>
          </w:rPr>
          <w:t>https://doi.org/10.32782/2524-0072/2025-73-83</w:t>
        </w:r>
      </w:hyperlink>
      <w:r w:rsidRPr="00396ECD">
        <w:rPr>
          <w:lang w:val="en-GB"/>
        </w:rPr>
        <w:t xml:space="preserve"> </w:t>
      </w:r>
    </w:p>
    <w:p w14:paraId="201806D0" w14:textId="77777777" w:rsidR="00804164" w:rsidRPr="00396ECD" w:rsidRDefault="00804164" w:rsidP="009F5B13">
      <w:pPr>
        <w:pStyle w:val="Rlit"/>
        <w:rPr>
          <w:lang w:val="en-GB"/>
        </w:rPr>
      </w:pPr>
      <w:r w:rsidRPr="00396ECD">
        <w:rPr>
          <w:lang w:val="en-GB"/>
        </w:rPr>
        <w:t xml:space="preserve">Jacobsen, B., &amp; Hirvensalo, I. (2024). 5 Benefits of Systematic Future Foresight. </w:t>
      </w:r>
      <w:r w:rsidRPr="00396ECD">
        <w:rPr>
          <w:i/>
          <w:iCs/>
          <w:lang w:val="en-GB"/>
        </w:rPr>
        <w:t>Futures Platform.</w:t>
      </w:r>
      <w:r w:rsidRPr="00396ECD">
        <w:rPr>
          <w:lang w:val="en-GB"/>
        </w:rPr>
        <w:t xml:space="preserve"> </w:t>
      </w:r>
      <w:hyperlink r:id="rId37" w:tgtFrame="_blank" w:history="1">
        <w:r w:rsidRPr="00396ECD">
          <w:rPr>
            <w:lang w:val="en-GB"/>
          </w:rPr>
          <w:t>https://www.futuresplatform.com/blog/5-benefits-systematic-foresight-activity</w:t>
        </w:r>
      </w:hyperlink>
    </w:p>
    <w:p w14:paraId="54CA2BFC" w14:textId="77777777" w:rsidR="00804164" w:rsidRPr="00396ECD" w:rsidRDefault="00804164" w:rsidP="009F5B13">
      <w:pPr>
        <w:pStyle w:val="Rlit"/>
        <w:rPr>
          <w:lang w:val="en-GB"/>
        </w:rPr>
      </w:pPr>
      <w:r w:rsidRPr="006E1670">
        <w:rPr>
          <w:lang w:val="de-DE"/>
        </w:rPr>
        <w:t xml:space="preserve">Kahn, H., &amp; Wiener, A. J. (1967). </w:t>
      </w:r>
      <w:r w:rsidRPr="00396ECD">
        <w:rPr>
          <w:i/>
          <w:iCs/>
          <w:lang w:val="en-GB"/>
        </w:rPr>
        <w:t>The year 2000: A framework for speculation on the next thirty-three years</w:t>
      </w:r>
      <w:r w:rsidRPr="00396ECD">
        <w:rPr>
          <w:lang w:val="en-GB"/>
        </w:rPr>
        <w:t>. London: MacMillan Publishing Company.</w:t>
      </w:r>
    </w:p>
    <w:p w14:paraId="6B0634E4" w14:textId="77108EE3" w:rsidR="00804164" w:rsidRPr="00396ECD" w:rsidRDefault="00804164" w:rsidP="009F5B13">
      <w:pPr>
        <w:pStyle w:val="Rlit"/>
        <w:rPr>
          <w:rStyle w:val="Pogrubienie"/>
          <w:b w:val="0"/>
          <w:bCs w:val="0"/>
          <w:lang w:val="en-GB"/>
        </w:rPr>
      </w:pPr>
      <w:proofErr w:type="spellStart"/>
      <w:r w:rsidRPr="00396ECD">
        <w:rPr>
          <w:rStyle w:val="Pogrubienie"/>
          <w:b w:val="0"/>
          <w:bCs w:val="0"/>
          <w:lang w:val="en-GB"/>
        </w:rPr>
        <w:t>Karbovska</w:t>
      </w:r>
      <w:proofErr w:type="spellEnd"/>
      <w:r w:rsidRPr="00396ECD">
        <w:rPr>
          <w:rStyle w:val="Pogrubienie"/>
          <w:b w:val="0"/>
          <w:bCs w:val="0"/>
          <w:lang w:val="en-GB"/>
        </w:rPr>
        <w:t xml:space="preserve">, L., </w:t>
      </w:r>
      <w:proofErr w:type="spellStart"/>
      <w:r w:rsidRPr="00396ECD">
        <w:rPr>
          <w:rStyle w:val="Pogrubienie"/>
          <w:b w:val="0"/>
          <w:bCs w:val="0"/>
          <w:lang w:val="en-GB"/>
        </w:rPr>
        <w:t>Shuliar</w:t>
      </w:r>
      <w:proofErr w:type="spellEnd"/>
      <w:r w:rsidRPr="00396ECD">
        <w:rPr>
          <w:rStyle w:val="Pogrubienie"/>
          <w:b w:val="0"/>
          <w:bCs w:val="0"/>
          <w:lang w:val="en-GB"/>
        </w:rPr>
        <w:t xml:space="preserve">, N., </w:t>
      </w:r>
      <w:proofErr w:type="spellStart"/>
      <w:r w:rsidRPr="00396ECD">
        <w:rPr>
          <w:rStyle w:val="Pogrubienie"/>
          <w:b w:val="0"/>
          <w:bCs w:val="0"/>
          <w:lang w:val="en-GB"/>
        </w:rPr>
        <w:t>Bratus</w:t>
      </w:r>
      <w:proofErr w:type="spellEnd"/>
      <w:r w:rsidRPr="00396ECD">
        <w:rPr>
          <w:rStyle w:val="Pogrubienie"/>
          <w:b w:val="0"/>
          <w:bCs w:val="0"/>
          <w:lang w:val="en-GB"/>
        </w:rPr>
        <w:t xml:space="preserve">, H., Kalina, I., &amp; </w:t>
      </w:r>
      <w:proofErr w:type="spellStart"/>
      <w:r w:rsidRPr="00396ECD">
        <w:rPr>
          <w:rStyle w:val="Pogrubienie"/>
          <w:b w:val="0"/>
          <w:bCs w:val="0"/>
          <w:lang w:val="en-GB"/>
        </w:rPr>
        <w:t>Kryshtal</w:t>
      </w:r>
      <w:proofErr w:type="spellEnd"/>
      <w:r w:rsidRPr="00396ECD">
        <w:rPr>
          <w:rStyle w:val="Pogrubienie"/>
          <w:b w:val="0"/>
          <w:bCs w:val="0"/>
          <w:lang w:val="en-GB"/>
        </w:rPr>
        <w:t xml:space="preserve">, Н. (2026). Marketing strategic planning of enterprises in the mining sector of the Ukrainian economy. </w:t>
      </w:r>
      <w:proofErr w:type="spellStart"/>
      <w:r w:rsidRPr="00396ECD">
        <w:rPr>
          <w:rStyle w:val="Pogrubienie"/>
          <w:b w:val="0"/>
          <w:bCs w:val="0"/>
          <w:i/>
          <w:iCs/>
          <w:lang w:val="en-GB"/>
        </w:rPr>
        <w:t>Naukovyi</w:t>
      </w:r>
      <w:proofErr w:type="spellEnd"/>
      <w:r w:rsidRPr="00396ECD">
        <w:rPr>
          <w:rStyle w:val="Pogrubienie"/>
          <w:b w:val="0"/>
          <w:bCs w:val="0"/>
          <w:i/>
          <w:iCs/>
          <w:lang w:val="en-GB"/>
        </w:rPr>
        <w:t xml:space="preserve"> </w:t>
      </w:r>
      <w:proofErr w:type="spellStart"/>
      <w:r w:rsidRPr="00396ECD">
        <w:rPr>
          <w:rStyle w:val="Pogrubienie"/>
          <w:b w:val="0"/>
          <w:bCs w:val="0"/>
          <w:i/>
          <w:iCs/>
          <w:lang w:val="en-GB"/>
        </w:rPr>
        <w:t>Visnyk</w:t>
      </w:r>
      <w:proofErr w:type="spellEnd"/>
      <w:r w:rsidRPr="00396ECD">
        <w:rPr>
          <w:rStyle w:val="Pogrubienie"/>
          <w:b w:val="0"/>
          <w:bCs w:val="0"/>
          <w:i/>
          <w:iCs/>
          <w:lang w:val="en-GB"/>
        </w:rPr>
        <w:t xml:space="preserve"> </w:t>
      </w:r>
      <w:proofErr w:type="spellStart"/>
      <w:r w:rsidRPr="00396ECD">
        <w:rPr>
          <w:rStyle w:val="Pogrubienie"/>
          <w:b w:val="0"/>
          <w:bCs w:val="0"/>
          <w:i/>
          <w:iCs/>
          <w:lang w:val="en-GB"/>
        </w:rPr>
        <w:t>Natsionalnoho</w:t>
      </w:r>
      <w:proofErr w:type="spellEnd"/>
      <w:r w:rsidRPr="00396ECD">
        <w:rPr>
          <w:rStyle w:val="Pogrubienie"/>
          <w:b w:val="0"/>
          <w:bCs w:val="0"/>
          <w:i/>
          <w:iCs/>
          <w:lang w:val="en-GB"/>
        </w:rPr>
        <w:t xml:space="preserve"> </w:t>
      </w:r>
      <w:proofErr w:type="spellStart"/>
      <w:r w:rsidRPr="00396ECD">
        <w:rPr>
          <w:rStyle w:val="Pogrubienie"/>
          <w:b w:val="0"/>
          <w:bCs w:val="0"/>
          <w:i/>
          <w:iCs/>
          <w:lang w:val="en-GB"/>
        </w:rPr>
        <w:t>Hirnychoho</w:t>
      </w:r>
      <w:proofErr w:type="spellEnd"/>
      <w:r w:rsidRPr="00396ECD">
        <w:rPr>
          <w:rStyle w:val="Pogrubienie"/>
          <w:b w:val="0"/>
          <w:bCs w:val="0"/>
          <w:i/>
          <w:iCs/>
          <w:lang w:val="en-GB"/>
        </w:rPr>
        <w:t xml:space="preserve"> </w:t>
      </w:r>
      <w:proofErr w:type="spellStart"/>
      <w:r w:rsidRPr="00396ECD">
        <w:rPr>
          <w:rStyle w:val="Pogrubienie"/>
          <w:b w:val="0"/>
          <w:bCs w:val="0"/>
          <w:i/>
          <w:iCs/>
          <w:lang w:val="en-GB"/>
        </w:rPr>
        <w:t>Universytetu</w:t>
      </w:r>
      <w:proofErr w:type="spellEnd"/>
      <w:r w:rsidRPr="00396ECD">
        <w:rPr>
          <w:rStyle w:val="Pogrubienie"/>
          <w:b w:val="0"/>
          <w:bCs w:val="0"/>
          <w:lang w:val="en-GB"/>
        </w:rPr>
        <w:t xml:space="preserve">, </w:t>
      </w:r>
      <w:r w:rsidRPr="002A2803">
        <w:rPr>
          <w:rStyle w:val="Pogrubienie"/>
          <w:b w:val="0"/>
          <w:bCs w:val="0"/>
          <w:i/>
          <w:iCs/>
          <w:lang w:val="en-GB"/>
        </w:rPr>
        <w:t>2</w:t>
      </w:r>
      <w:r w:rsidRPr="00396ECD">
        <w:rPr>
          <w:rStyle w:val="Pogrubienie"/>
          <w:b w:val="0"/>
          <w:bCs w:val="0"/>
          <w:lang w:val="en-GB"/>
        </w:rPr>
        <w:t>, 224</w:t>
      </w:r>
      <w:r w:rsidR="002A2803">
        <w:rPr>
          <w:rStyle w:val="Pogrubienie"/>
          <w:b w:val="0"/>
          <w:bCs w:val="0"/>
          <w:lang w:val="en-GB"/>
        </w:rPr>
        <w:t>–</w:t>
      </w:r>
      <w:r w:rsidRPr="00396ECD">
        <w:rPr>
          <w:rStyle w:val="Pogrubienie"/>
          <w:b w:val="0"/>
          <w:bCs w:val="0"/>
          <w:lang w:val="en-GB"/>
        </w:rPr>
        <w:t xml:space="preserve">231. </w:t>
      </w:r>
      <w:hyperlink r:id="rId38" w:history="1">
        <w:r w:rsidRPr="00396ECD">
          <w:rPr>
            <w:rStyle w:val="Hipercze"/>
            <w:color w:val="auto"/>
            <w:u w:val="none"/>
            <w:lang w:val="en-GB"/>
          </w:rPr>
          <w:t>https://doi.org/10.33271/nvngu/2026-2/224</w:t>
        </w:r>
      </w:hyperlink>
    </w:p>
    <w:p w14:paraId="68280091" w14:textId="1C8BA52A" w:rsidR="00804164" w:rsidRPr="00396ECD" w:rsidRDefault="00804164" w:rsidP="009F5B13">
      <w:pPr>
        <w:pStyle w:val="Rlit"/>
        <w:rPr>
          <w:lang w:val="en-GB"/>
        </w:rPr>
      </w:pPr>
      <w:r w:rsidRPr="00396ECD">
        <w:rPr>
          <w:lang w:val="en-GB"/>
        </w:rPr>
        <w:t xml:space="preserve">Kohli, A.K., &amp; Jaworski, B.J. (1990). Market Orientation: The Construct, Research Propositions, and Managerial Implications. </w:t>
      </w:r>
      <w:r w:rsidRPr="00396ECD">
        <w:rPr>
          <w:i/>
          <w:iCs/>
          <w:lang w:val="en-GB"/>
        </w:rPr>
        <w:t>Journal of Marketing</w:t>
      </w:r>
      <w:r w:rsidRPr="00396ECD">
        <w:rPr>
          <w:lang w:val="en-GB"/>
        </w:rPr>
        <w:t xml:space="preserve">, </w:t>
      </w:r>
      <w:r w:rsidRPr="002A2803">
        <w:rPr>
          <w:i/>
          <w:iCs/>
          <w:lang w:val="en-GB"/>
        </w:rPr>
        <w:t>54</w:t>
      </w:r>
      <w:r w:rsidRPr="00396ECD">
        <w:rPr>
          <w:lang w:val="en-GB"/>
        </w:rPr>
        <w:t>(2), 1</w:t>
      </w:r>
      <w:r w:rsidR="002A2803">
        <w:rPr>
          <w:lang w:val="en-GB"/>
        </w:rPr>
        <w:t>–</w:t>
      </w:r>
      <w:r w:rsidRPr="00396ECD">
        <w:rPr>
          <w:lang w:val="en-GB"/>
        </w:rPr>
        <w:t>18. http://dx.doi.org/10.2307/1251866</w:t>
      </w:r>
    </w:p>
    <w:p w14:paraId="61AAB0B0" w14:textId="77777777" w:rsidR="00804164" w:rsidRPr="002A2803" w:rsidRDefault="00804164" w:rsidP="009F5B13">
      <w:pPr>
        <w:pStyle w:val="Rlit"/>
        <w:rPr>
          <w:spacing w:val="-4"/>
          <w:lang w:val="en-GB"/>
        </w:rPr>
      </w:pPr>
      <w:r w:rsidRPr="002A2803">
        <w:rPr>
          <w:spacing w:val="-4"/>
          <w:lang w:val="en-GB"/>
        </w:rPr>
        <w:t xml:space="preserve">Kotler, Ph., &amp; Trias de Bes, F. (2003). </w:t>
      </w:r>
      <w:r w:rsidRPr="002A2803">
        <w:rPr>
          <w:i/>
          <w:iCs/>
          <w:spacing w:val="-4"/>
          <w:lang w:val="en-GB"/>
        </w:rPr>
        <w:t>Lateral marketing: New techniques for finding breakthrough ideas</w:t>
      </w:r>
      <w:r w:rsidRPr="002A2803">
        <w:rPr>
          <w:spacing w:val="-4"/>
          <w:lang w:val="en-GB"/>
        </w:rPr>
        <w:t>. John Wiley &amp; Sons.</w:t>
      </w:r>
    </w:p>
    <w:p w14:paraId="6C492CFF" w14:textId="344BF91A" w:rsidR="00804164" w:rsidRPr="006E1670" w:rsidRDefault="00804164" w:rsidP="002A2803">
      <w:pPr>
        <w:pStyle w:val="Rlit"/>
        <w:jc w:val="left"/>
        <w:rPr>
          <w:lang w:val="pl-PL"/>
        </w:rPr>
      </w:pPr>
      <w:r w:rsidRPr="00396ECD">
        <w:rPr>
          <w:lang w:val="en-GB"/>
        </w:rPr>
        <w:t xml:space="preserve">Kovalchuk, S., </w:t>
      </w:r>
      <w:proofErr w:type="spellStart"/>
      <w:r w:rsidRPr="00396ECD">
        <w:rPr>
          <w:lang w:val="en-GB"/>
        </w:rPr>
        <w:t>Morokhova</w:t>
      </w:r>
      <w:proofErr w:type="spellEnd"/>
      <w:r w:rsidRPr="00396ECD">
        <w:rPr>
          <w:lang w:val="en-GB"/>
        </w:rPr>
        <w:t xml:space="preserve">, V., Bondarenko, O., Mohylova, A., </w:t>
      </w:r>
      <w:proofErr w:type="spellStart"/>
      <w:r w:rsidRPr="00396ECD">
        <w:rPr>
          <w:lang w:val="en-GB"/>
        </w:rPr>
        <w:t>Dankevych</w:t>
      </w:r>
      <w:proofErr w:type="spellEnd"/>
      <w:r w:rsidRPr="00396ECD">
        <w:rPr>
          <w:lang w:val="en-GB"/>
        </w:rPr>
        <w:t xml:space="preserve">, A., &amp; Liu, J. (2024). Creative Economy and Value Creation through Marketing Analytics: New Approaches and Opportunities. </w:t>
      </w:r>
      <w:r w:rsidRPr="006E1670">
        <w:rPr>
          <w:i/>
          <w:iCs/>
          <w:lang w:val="pl-PL"/>
        </w:rPr>
        <w:t xml:space="preserve">Pak. J. life </w:t>
      </w:r>
      <w:proofErr w:type="spellStart"/>
      <w:r w:rsidRPr="006E1670">
        <w:rPr>
          <w:i/>
          <w:iCs/>
          <w:lang w:val="pl-PL"/>
        </w:rPr>
        <w:t>soc</w:t>
      </w:r>
      <w:proofErr w:type="spellEnd"/>
      <w:r w:rsidRPr="006E1670">
        <w:rPr>
          <w:i/>
          <w:iCs/>
          <w:lang w:val="pl-PL"/>
        </w:rPr>
        <w:t xml:space="preserve">. </w:t>
      </w:r>
      <w:proofErr w:type="spellStart"/>
      <w:r w:rsidRPr="006E1670">
        <w:rPr>
          <w:i/>
          <w:iCs/>
          <w:lang w:val="pl-PL"/>
        </w:rPr>
        <w:t>sci</w:t>
      </w:r>
      <w:proofErr w:type="spellEnd"/>
      <w:r w:rsidRPr="006E1670">
        <w:rPr>
          <w:i/>
          <w:iCs/>
          <w:lang w:val="pl-PL"/>
        </w:rPr>
        <w:t>.</w:t>
      </w:r>
      <w:r w:rsidRPr="006E1670">
        <w:rPr>
          <w:lang w:val="pl-PL"/>
        </w:rPr>
        <w:t xml:space="preserve">, </w:t>
      </w:r>
      <w:r w:rsidRPr="006E1670">
        <w:rPr>
          <w:i/>
          <w:iCs/>
          <w:lang w:val="pl-PL"/>
        </w:rPr>
        <w:t>22</w:t>
      </w:r>
      <w:r w:rsidRPr="006E1670">
        <w:rPr>
          <w:lang w:val="pl-PL"/>
        </w:rPr>
        <w:t xml:space="preserve">(2), </w:t>
      </w:r>
      <w:r w:rsidR="002A2803" w:rsidRPr="006E1670">
        <w:rPr>
          <w:lang w:val="pl-PL"/>
        </w:rPr>
        <w:br/>
      </w:r>
      <w:r w:rsidRPr="006E1670">
        <w:rPr>
          <w:lang w:val="pl-PL"/>
        </w:rPr>
        <w:t xml:space="preserve">9812–9824. </w:t>
      </w:r>
      <w:hyperlink r:id="rId39" w:history="1">
        <w:r w:rsidRPr="006E1670">
          <w:rPr>
            <w:rStyle w:val="Hipercze"/>
            <w:color w:val="auto"/>
            <w:u w:val="none"/>
            <w:lang w:val="pl-PL"/>
          </w:rPr>
          <w:t>https://doi.org/10.57329/PJILSS-2024-22.2.0074</w:t>
        </w:r>
      </w:hyperlink>
      <w:r w:rsidRPr="006E1670">
        <w:rPr>
          <w:lang w:val="pl-PL"/>
        </w:rPr>
        <w:t xml:space="preserve"> </w:t>
      </w:r>
    </w:p>
    <w:p w14:paraId="4E502367" w14:textId="77777777" w:rsidR="00804164" w:rsidRPr="00396ECD" w:rsidRDefault="00804164" w:rsidP="009F5B13">
      <w:pPr>
        <w:pStyle w:val="Rlit"/>
        <w:rPr>
          <w:lang w:val="en-GB"/>
        </w:rPr>
      </w:pPr>
      <w:proofErr w:type="spellStart"/>
      <w:r w:rsidRPr="006E1670">
        <w:rPr>
          <w:lang w:val="pl-PL"/>
        </w:rPr>
        <w:t>Kukoba</w:t>
      </w:r>
      <w:proofErr w:type="spellEnd"/>
      <w:r w:rsidRPr="006E1670">
        <w:rPr>
          <w:lang w:val="pl-PL"/>
        </w:rPr>
        <w:t xml:space="preserve">, V., &amp; </w:t>
      </w:r>
      <w:proofErr w:type="spellStart"/>
      <w:r w:rsidRPr="006E1670">
        <w:rPr>
          <w:lang w:val="pl-PL"/>
        </w:rPr>
        <w:t>Tymoshenko</w:t>
      </w:r>
      <w:proofErr w:type="spellEnd"/>
      <w:r w:rsidRPr="006E1670">
        <w:rPr>
          <w:lang w:val="pl-PL"/>
        </w:rPr>
        <w:t xml:space="preserve"> , O. (2024). </w:t>
      </w:r>
      <w:r w:rsidRPr="00396ECD">
        <w:rPr>
          <w:lang w:val="en-GB"/>
        </w:rPr>
        <w:t xml:space="preserve">Basic methods of foresight-visionary for the development of enterprises. </w:t>
      </w:r>
      <w:r w:rsidRPr="00396ECD">
        <w:rPr>
          <w:i/>
          <w:iCs/>
          <w:lang w:val="en-GB"/>
        </w:rPr>
        <w:t>Economy and Society</w:t>
      </w:r>
      <w:r w:rsidRPr="00396ECD">
        <w:rPr>
          <w:lang w:val="en-GB"/>
        </w:rPr>
        <w:t xml:space="preserve">, </w:t>
      </w:r>
      <w:r w:rsidRPr="002A2803">
        <w:rPr>
          <w:i/>
          <w:iCs/>
          <w:lang w:val="en-GB"/>
        </w:rPr>
        <w:t>62</w:t>
      </w:r>
      <w:r w:rsidRPr="00396ECD">
        <w:rPr>
          <w:lang w:val="en-GB"/>
        </w:rPr>
        <w:t>. https://doi.org/10.32782/2524-0072/2024-62-177</w:t>
      </w:r>
    </w:p>
    <w:p w14:paraId="736B0E7E" w14:textId="5BF82B95" w:rsidR="00804164" w:rsidRPr="00396ECD" w:rsidRDefault="00804164" w:rsidP="002A2803">
      <w:pPr>
        <w:pStyle w:val="Rlit"/>
        <w:jc w:val="left"/>
        <w:rPr>
          <w:lang w:val="en-GB"/>
        </w:rPr>
      </w:pPr>
      <w:proofErr w:type="spellStart"/>
      <w:r w:rsidRPr="00396ECD">
        <w:rPr>
          <w:lang w:val="en-GB"/>
        </w:rPr>
        <w:t>Kuzior</w:t>
      </w:r>
      <w:proofErr w:type="spellEnd"/>
      <w:r w:rsidRPr="00396ECD">
        <w:rPr>
          <w:lang w:val="en-GB"/>
        </w:rPr>
        <w:t xml:space="preserve">, A., </w:t>
      </w:r>
      <w:proofErr w:type="spellStart"/>
      <w:r w:rsidRPr="00396ECD">
        <w:rPr>
          <w:lang w:val="en-GB"/>
        </w:rPr>
        <w:t>Arefieva</w:t>
      </w:r>
      <w:proofErr w:type="spellEnd"/>
      <w:r w:rsidRPr="00396ECD">
        <w:rPr>
          <w:lang w:val="en-GB"/>
        </w:rPr>
        <w:t xml:space="preserve">, O., </w:t>
      </w:r>
      <w:proofErr w:type="spellStart"/>
      <w:r w:rsidRPr="00396ECD">
        <w:rPr>
          <w:lang w:val="en-GB"/>
        </w:rPr>
        <w:t>Poberezhna</w:t>
      </w:r>
      <w:proofErr w:type="spellEnd"/>
      <w:r w:rsidRPr="00396ECD">
        <w:rPr>
          <w:lang w:val="en-GB"/>
        </w:rPr>
        <w:t xml:space="preserve">, Z., &amp; </w:t>
      </w:r>
      <w:proofErr w:type="spellStart"/>
      <w:r w:rsidRPr="00396ECD">
        <w:rPr>
          <w:lang w:val="en-GB"/>
        </w:rPr>
        <w:t>Arefiev</w:t>
      </w:r>
      <w:proofErr w:type="spellEnd"/>
      <w:r w:rsidRPr="00396ECD">
        <w:rPr>
          <w:lang w:val="en-GB"/>
        </w:rPr>
        <w:t xml:space="preserve">, S. (2026). Digitalization of business processes in the integrated concept of </w:t>
      </w:r>
      <w:r w:rsidR="00E975FE">
        <w:rPr>
          <w:lang w:val="en-GB"/>
        </w:rPr>
        <w:t>"</w:t>
      </w:r>
      <w:r w:rsidRPr="00396ECD">
        <w:rPr>
          <w:lang w:val="en-GB"/>
        </w:rPr>
        <w:t>Industry 5.0</w:t>
      </w:r>
      <w:r w:rsidR="00E975FE">
        <w:rPr>
          <w:lang w:val="en-GB"/>
        </w:rPr>
        <w:t>"</w:t>
      </w:r>
      <w:r w:rsidRPr="00396ECD">
        <w:rPr>
          <w:lang w:val="en-GB"/>
        </w:rPr>
        <w:t xml:space="preserve"> in ensuring investment and security management of transport enterprises. </w:t>
      </w:r>
      <w:r w:rsidRPr="00396ECD">
        <w:rPr>
          <w:i/>
          <w:iCs/>
          <w:lang w:val="en-GB"/>
        </w:rPr>
        <w:t>Scientific Journal of Silesian University of Technology. Series Transport</w:t>
      </w:r>
      <w:r w:rsidRPr="00396ECD">
        <w:rPr>
          <w:lang w:val="en-GB"/>
        </w:rPr>
        <w:t xml:space="preserve">, </w:t>
      </w:r>
      <w:r w:rsidRPr="002A2803">
        <w:rPr>
          <w:i/>
          <w:iCs/>
          <w:lang w:val="en-GB"/>
        </w:rPr>
        <w:t>130</w:t>
      </w:r>
      <w:r w:rsidRPr="00396ECD">
        <w:rPr>
          <w:lang w:val="en-GB"/>
        </w:rPr>
        <w:t>, 125</w:t>
      </w:r>
      <w:r w:rsidR="002A2803">
        <w:rPr>
          <w:lang w:val="en-GB"/>
        </w:rPr>
        <w:t>–</w:t>
      </w:r>
      <w:r w:rsidRPr="00396ECD">
        <w:rPr>
          <w:lang w:val="en-GB"/>
        </w:rPr>
        <w:t xml:space="preserve">140. </w:t>
      </w:r>
      <w:hyperlink r:id="rId40" w:history="1">
        <w:r w:rsidRPr="00396ECD">
          <w:rPr>
            <w:rStyle w:val="Hipercze"/>
            <w:color w:val="auto"/>
            <w:u w:val="none"/>
            <w:lang w:val="en-GB"/>
          </w:rPr>
          <w:t>https://doi.org/10.20858/sjsutst.2026.130.8</w:t>
        </w:r>
      </w:hyperlink>
    </w:p>
    <w:p w14:paraId="6D17DD13" w14:textId="332AF39E" w:rsidR="00804164" w:rsidRPr="00396ECD" w:rsidRDefault="00804164" w:rsidP="009F5B13">
      <w:pPr>
        <w:pStyle w:val="Rlit"/>
        <w:rPr>
          <w:lang w:val="en-GB"/>
        </w:rPr>
      </w:pPr>
      <w:r w:rsidRPr="00396ECD">
        <w:rPr>
          <w:lang w:val="en-GB"/>
        </w:rPr>
        <w:t xml:space="preserve">Kuzmenko, О. (2024). The role of marketing in agricultural enterprise management. </w:t>
      </w:r>
      <w:r w:rsidRPr="00396ECD">
        <w:rPr>
          <w:i/>
          <w:iCs/>
          <w:lang w:val="en-GB"/>
        </w:rPr>
        <w:t>Society. Economy. Digitalization</w:t>
      </w:r>
      <w:r w:rsidRPr="00396ECD">
        <w:rPr>
          <w:lang w:val="en-GB"/>
        </w:rPr>
        <w:t xml:space="preserve">, </w:t>
      </w:r>
      <w:r w:rsidRPr="002A2803">
        <w:rPr>
          <w:i/>
          <w:iCs/>
          <w:lang w:val="en-GB"/>
        </w:rPr>
        <w:t>2</w:t>
      </w:r>
      <w:r w:rsidRPr="00396ECD">
        <w:rPr>
          <w:lang w:val="en-GB"/>
        </w:rPr>
        <w:t xml:space="preserve">(2), 22–33. </w:t>
      </w:r>
      <w:hyperlink r:id="rId41" w:history="1">
        <w:r w:rsidRPr="00396ECD">
          <w:rPr>
            <w:rStyle w:val="Hipercze"/>
            <w:color w:val="auto"/>
            <w:u w:val="none"/>
            <w:lang w:val="en-GB"/>
          </w:rPr>
          <w:t>https://doi.org/10.31379/sed.2.2.2024.11</w:t>
        </w:r>
      </w:hyperlink>
    </w:p>
    <w:p w14:paraId="478911EC" w14:textId="33CD4B37" w:rsidR="00804164" w:rsidRPr="00396ECD" w:rsidRDefault="00804164" w:rsidP="009F5B13">
      <w:pPr>
        <w:pStyle w:val="Rlit"/>
        <w:rPr>
          <w:lang w:val="en-GB"/>
        </w:rPr>
      </w:pPr>
      <w:r w:rsidRPr="00396ECD">
        <w:rPr>
          <w:lang w:val="en-GB"/>
        </w:rPr>
        <w:lastRenderedPageBreak/>
        <w:t xml:space="preserve">Kuznetsova, L.I., &amp; </w:t>
      </w:r>
      <w:proofErr w:type="spellStart"/>
      <w:r w:rsidRPr="00396ECD">
        <w:rPr>
          <w:lang w:val="en-GB"/>
        </w:rPr>
        <w:t>Biloserkovets</w:t>
      </w:r>
      <w:proofErr w:type="spellEnd"/>
      <w:r w:rsidRPr="00396ECD">
        <w:rPr>
          <w:lang w:val="en-GB"/>
        </w:rPr>
        <w:t xml:space="preserve">, O.H. (2021). Foresight in Ukraine: Problems of organization in the context of world practice. </w:t>
      </w:r>
      <w:r w:rsidRPr="00396ECD">
        <w:rPr>
          <w:i/>
          <w:iCs/>
          <w:lang w:val="en-GB"/>
        </w:rPr>
        <w:t>Economy and Forecasting</w:t>
      </w:r>
      <w:r w:rsidRPr="002A2803">
        <w:rPr>
          <w:lang w:val="en-GB"/>
        </w:rPr>
        <w:t xml:space="preserve">, </w:t>
      </w:r>
      <w:r w:rsidRPr="00396ECD">
        <w:rPr>
          <w:i/>
          <w:iCs/>
          <w:lang w:val="en-GB"/>
        </w:rPr>
        <w:t>1</w:t>
      </w:r>
      <w:r w:rsidRPr="00396ECD">
        <w:rPr>
          <w:lang w:val="en-GB"/>
        </w:rPr>
        <w:t>, 127</w:t>
      </w:r>
      <w:r w:rsidR="002A2803">
        <w:rPr>
          <w:lang w:val="en-GB"/>
        </w:rPr>
        <w:t>–</w:t>
      </w:r>
      <w:r w:rsidRPr="00396ECD">
        <w:rPr>
          <w:lang w:val="en-GB"/>
        </w:rPr>
        <w:t xml:space="preserve">144. </w:t>
      </w:r>
      <w:hyperlink r:id="rId42" w:tgtFrame="_blank" w:history="1">
        <w:r w:rsidRPr="00396ECD">
          <w:rPr>
            <w:lang w:val="en-GB"/>
          </w:rPr>
          <w:t>https://doi.org/10.15407/eip2021.01.127</w:t>
        </w:r>
      </w:hyperlink>
    </w:p>
    <w:p w14:paraId="7081537D" w14:textId="45F3BAC5" w:rsidR="00804164" w:rsidRPr="00396ECD" w:rsidRDefault="00804164" w:rsidP="009F5B13">
      <w:pPr>
        <w:pStyle w:val="Rlit"/>
        <w:rPr>
          <w:lang w:val="en-GB"/>
        </w:rPr>
      </w:pPr>
      <w:proofErr w:type="spellStart"/>
      <w:r w:rsidRPr="00396ECD">
        <w:rPr>
          <w:lang w:val="en-GB"/>
        </w:rPr>
        <w:t>Kvitka</w:t>
      </w:r>
      <w:proofErr w:type="spellEnd"/>
      <w:r w:rsidRPr="00396ECD">
        <w:rPr>
          <w:lang w:val="en-GB"/>
        </w:rPr>
        <w:t xml:space="preserve">, S. A. (2018). Foresight in Public Administration: Methods and Perspectives of Implementation in Ukraine. </w:t>
      </w:r>
      <w:r w:rsidRPr="00396ECD">
        <w:rPr>
          <w:i/>
          <w:iCs/>
          <w:lang w:val="en-GB"/>
        </w:rPr>
        <w:t>Public Administration Aspects</w:t>
      </w:r>
      <w:r w:rsidRPr="00396ECD">
        <w:rPr>
          <w:lang w:val="en-GB"/>
        </w:rPr>
        <w:t xml:space="preserve">, </w:t>
      </w:r>
      <w:r w:rsidRPr="002A2803">
        <w:rPr>
          <w:i/>
          <w:iCs/>
          <w:lang w:val="en-GB"/>
        </w:rPr>
        <w:t>6</w:t>
      </w:r>
      <w:r w:rsidRPr="00396ECD">
        <w:rPr>
          <w:lang w:val="en-GB"/>
        </w:rPr>
        <w:t>(8), 56</w:t>
      </w:r>
      <w:r w:rsidR="002A2803">
        <w:rPr>
          <w:lang w:val="en-GB"/>
        </w:rPr>
        <w:t>–</w:t>
      </w:r>
      <w:r w:rsidRPr="00396ECD">
        <w:rPr>
          <w:lang w:val="en-GB"/>
        </w:rPr>
        <w:t>70. https://doi.org/10.15421/151847</w:t>
      </w:r>
    </w:p>
    <w:p w14:paraId="2C6CCA90" w14:textId="3250F29B" w:rsidR="00804164" w:rsidRPr="00396ECD" w:rsidRDefault="00804164" w:rsidP="002A2803">
      <w:pPr>
        <w:pStyle w:val="Rlit"/>
        <w:jc w:val="left"/>
        <w:rPr>
          <w:lang w:val="en-GB"/>
        </w:rPr>
      </w:pPr>
      <w:r w:rsidRPr="00396ECD">
        <w:rPr>
          <w:lang w:val="en-GB"/>
        </w:rPr>
        <w:t xml:space="preserve">Lee, P.-C., &amp; Su, H.-N. (2011). Quantitative mapping of scientific research–The case of electrical conducting polymer nanocomposite. </w:t>
      </w:r>
      <w:r w:rsidRPr="00396ECD">
        <w:rPr>
          <w:i/>
          <w:iCs/>
          <w:lang w:val="en-GB"/>
        </w:rPr>
        <w:t>Technological Forecasting and Social Change</w:t>
      </w:r>
      <w:r w:rsidRPr="002A2803">
        <w:rPr>
          <w:lang w:val="en-GB"/>
        </w:rPr>
        <w:t xml:space="preserve">, </w:t>
      </w:r>
      <w:r w:rsidRPr="00396ECD">
        <w:rPr>
          <w:i/>
          <w:iCs/>
          <w:lang w:val="en-GB"/>
        </w:rPr>
        <w:t>78</w:t>
      </w:r>
      <w:r w:rsidRPr="00396ECD">
        <w:rPr>
          <w:lang w:val="en-GB"/>
        </w:rPr>
        <w:t xml:space="preserve">(1), 132–151. </w:t>
      </w:r>
      <w:r w:rsidR="002A2803">
        <w:rPr>
          <w:lang w:val="en-GB"/>
        </w:rPr>
        <w:br/>
      </w:r>
      <w:hyperlink r:id="rId43" w:tgtFrame="_blank" w:history="1">
        <w:r w:rsidRPr="00396ECD">
          <w:rPr>
            <w:lang w:val="en-GB"/>
          </w:rPr>
          <w:t>https://doi.org/10.1016/j.techfore.2010.06.002</w:t>
        </w:r>
      </w:hyperlink>
    </w:p>
    <w:p w14:paraId="64A3BC5E" w14:textId="663D36A9" w:rsidR="00804164" w:rsidRPr="00396ECD" w:rsidRDefault="00804164" w:rsidP="009F5B13">
      <w:pPr>
        <w:pStyle w:val="Rlit"/>
        <w:rPr>
          <w:lang w:val="en-GB"/>
        </w:rPr>
      </w:pPr>
      <w:r w:rsidRPr="006E1670">
        <w:rPr>
          <w:lang w:val="de-DE"/>
        </w:rPr>
        <w:t xml:space="preserve">Lupenko, </w:t>
      </w:r>
      <w:proofErr w:type="spellStart"/>
      <w:r w:rsidRPr="006E1670">
        <w:rPr>
          <w:lang w:val="de-DE"/>
        </w:rPr>
        <w:t>Yu</w:t>
      </w:r>
      <w:proofErr w:type="spellEnd"/>
      <w:r w:rsidRPr="006E1670">
        <w:rPr>
          <w:lang w:val="de-DE"/>
        </w:rPr>
        <w:t xml:space="preserve">. O., &amp; Andros, S.V. (2020). </w:t>
      </w:r>
      <w:r w:rsidRPr="00396ECD">
        <w:rPr>
          <w:lang w:val="en-GB"/>
        </w:rPr>
        <w:t xml:space="preserve">Look at the agricultural complex of Ukraine through the prism of analysis of statistical data. </w:t>
      </w:r>
      <w:r w:rsidRPr="00396ECD">
        <w:rPr>
          <w:i/>
          <w:iCs/>
          <w:lang w:val="en-GB"/>
        </w:rPr>
        <w:t>Economic Bulletin of National Technical University of Ukraine "Kyiv Polytechnical Institute"</w:t>
      </w:r>
      <w:r w:rsidRPr="002A2803">
        <w:rPr>
          <w:lang w:val="en-GB"/>
        </w:rPr>
        <w:t xml:space="preserve">, </w:t>
      </w:r>
      <w:r w:rsidRPr="00396ECD">
        <w:rPr>
          <w:i/>
          <w:iCs/>
          <w:lang w:val="en-GB"/>
        </w:rPr>
        <w:t>17</w:t>
      </w:r>
      <w:r w:rsidRPr="00396ECD">
        <w:rPr>
          <w:lang w:val="en-GB"/>
        </w:rPr>
        <w:t xml:space="preserve">, 207–219. </w:t>
      </w:r>
      <w:hyperlink r:id="rId44" w:tgtFrame="_blank" w:history="1">
        <w:r w:rsidRPr="00396ECD">
          <w:rPr>
            <w:lang w:val="en-GB"/>
          </w:rPr>
          <w:t>https://doi.org/10.20535/2307-5651.17.2020.216336</w:t>
        </w:r>
      </w:hyperlink>
    </w:p>
    <w:p w14:paraId="787E5BFB" w14:textId="7B2A78DE" w:rsidR="00804164" w:rsidRPr="00396ECD" w:rsidRDefault="00804164" w:rsidP="002A2803">
      <w:pPr>
        <w:pStyle w:val="Rlit"/>
        <w:jc w:val="left"/>
        <w:rPr>
          <w:lang w:val="en-GB"/>
        </w:rPr>
      </w:pPr>
      <w:proofErr w:type="spellStart"/>
      <w:r w:rsidRPr="00396ECD">
        <w:rPr>
          <w:lang w:val="en-GB"/>
        </w:rPr>
        <w:t>Lutkovska</w:t>
      </w:r>
      <w:proofErr w:type="spellEnd"/>
      <w:r w:rsidRPr="00396ECD">
        <w:rPr>
          <w:lang w:val="en-GB"/>
        </w:rPr>
        <w:t xml:space="preserve">, S., </w:t>
      </w:r>
      <w:proofErr w:type="spellStart"/>
      <w:r w:rsidRPr="00396ECD">
        <w:rPr>
          <w:lang w:val="en-GB"/>
        </w:rPr>
        <w:t>Tomlyak</w:t>
      </w:r>
      <w:proofErr w:type="spellEnd"/>
      <w:r w:rsidRPr="00396ECD">
        <w:rPr>
          <w:lang w:val="en-GB"/>
        </w:rPr>
        <w:t xml:space="preserve">, T., &amp; </w:t>
      </w:r>
      <w:proofErr w:type="spellStart"/>
      <w:r w:rsidRPr="00396ECD">
        <w:rPr>
          <w:lang w:val="en-GB"/>
        </w:rPr>
        <w:t>Chornyi</w:t>
      </w:r>
      <w:proofErr w:type="spellEnd"/>
      <w:r w:rsidRPr="00396ECD">
        <w:rPr>
          <w:lang w:val="en-GB"/>
        </w:rPr>
        <w:t xml:space="preserve">, Y. (2025). Priority areas of ensuring food security in Ukraine in the conditions of sustainable development. </w:t>
      </w:r>
      <w:r w:rsidRPr="00396ECD">
        <w:rPr>
          <w:i/>
          <w:iCs/>
          <w:lang w:val="en-GB"/>
        </w:rPr>
        <w:t xml:space="preserve">Digital </w:t>
      </w:r>
      <w:proofErr w:type="spellStart"/>
      <w:r w:rsidRPr="00396ECD">
        <w:rPr>
          <w:i/>
          <w:iCs/>
          <w:lang w:val="en-GB"/>
        </w:rPr>
        <w:t>Есопоmу</w:t>
      </w:r>
      <w:proofErr w:type="spellEnd"/>
      <w:r w:rsidRPr="00396ECD">
        <w:rPr>
          <w:i/>
          <w:iCs/>
          <w:lang w:val="en-GB"/>
        </w:rPr>
        <w:t xml:space="preserve"> and Economic Security</w:t>
      </w:r>
      <w:r w:rsidRPr="00396ECD">
        <w:rPr>
          <w:lang w:val="en-GB"/>
        </w:rPr>
        <w:t xml:space="preserve">, </w:t>
      </w:r>
      <w:r w:rsidRPr="002A2803">
        <w:rPr>
          <w:i/>
          <w:iCs/>
          <w:lang w:val="en-GB"/>
        </w:rPr>
        <w:t>5</w:t>
      </w:r>
      <w:r w:rsidRPr="00396ECD">
        <w:rPr>
          <w:lang w:val="en-GB"/>
        </w:rPr>
        <w:t>(20), 82</w:t>
      </w:r>
      <w:r w:rsidR="002A2803">
        <w:rPr>
          <w:lang w:val="en-GB"/>
        </w:rPr>
        <w:t>–</w:t>
      </w:r>
      <w:r w:rsidRPr="00396ECD">
        <w:rPr>
          <w:lang w:val="en-GB"/>
        </w:rPr>
        <w:t xml:space="preserve">88. </w:t>
      </w:r>
      <w:r w:rsidR="002A2803">
        <w:rPr>
          <w:lang w:val="en-GB"/>
        </w:rPr>
        <w:br/>
      </w:r>
      <w:hyperlink r:id="rId45" w:history="1">
        <w:r w:rsidRPr="00396ECD">
          <w:rPr>
            <w:rStyle w:val="Hipercze"/>
            <w:color w:val="auto"/>
            <w:u w:val="none"/>
            <w:lang w:val="en-GB"/>
          </w:rPr>
          <w:t>https://doi.org/10.32782/dees.20-12</w:t>
        </w:r>
      </w:hyperlink>
      <w:r w:rsidRPr="00396ECD">
        <w:rPr>
          <w:lang w:val="en-GB"/>
        </w:rPr>
        <w:t xml:space="preserve"> </w:t>
      </w:r>
    </w:p>
    <w:p w14:paraId="229B935D" w14:textId="77777777" w:rsidR="00804164" w:rsidRPr="00396ECD" w:rsidRDefault="00804164" w:rsidP="009F5B13">
      <w:pPr>
        <w:pStyle w:val="Rlit"/>
        <w:rPr>
          <w:rStyle w:val="Hipercze"/>
          <w:color w:val="auto"/>
          <w:u w:val="none"/>
          <w:lang w:val="en-GB"/>
        </w:rPr>
      </w:pPr>
      <w:r w:rsidRPr="00396ECD">
        <w:rPr>
          <w:rStyle w:val="Hipercze"/>
          <w:color w:val="auto"/>
          <w:u w:val="none"/>
          <w:lang w:val="en-GB"/>
        </w:rPr>
        <w:t xml:space="preserve">Mainka, M. K., Melnichenko, O., </w:t>
      </w:r>
      <w:proofErr w:type="spellStart"/>
      <w:r w:rsidRPr="00396ECD">
        <w:rPr>
          <w:rStyle w:val="Hipercze"/>
          <w:color w:val="auto"/>
          <w:u w:val="none"/>
          <w:lang w:val="en-GB"/>
        </w:rPr>
        <w:t>Tsybrovskyi</w:t>
      </w:r>
      <w:proofErr w:type="spellEnd"/>
      <w:r w:rsidRPr="00396ECD">
        <w:rPr>
          <w:rStyle w:val="Hipercze"/>
          <w:color w:val="auto"/>
          <w:u w:val="none"/>
          <w:lang w:val="en-GB"/>
        </w:rPr>
        <w:t xml:space="preserve">, A., Sidielnikov, D., </w:t>
      </w:r>
      <w:proofErr w:type="spellStart"/>
      <w:r w:rsidRPr="00396ECD">
        <w:rPr>
          <w:rStyle w:val="Hipercze"/>
          <w:color w:val="auto"/>
          <w:u w:val="none"/>
          <w:lang w:val="en-GB"/>
        </w:rPr>
        <w:t>Nitsenko</w:t>
      </w:r>
      <w:proofErr w:type="spellEnd"/>
      <w:r w:rsidRPr="00396ECD">
        <w:rPr>
          <w:rStyle w:val="Hipercze"/>
          <w:color w:val="auto"/>
          <w:u w:val="none"/>
          <w:lang w:val="en-GB"/>
        </w:rPr>
        <w:t xml:space="preserve">, V., &amp; </w:t>
      </w:r>
      <w:proofErr w:type="spellStart"/>
      <w:r w:rsidRPr="00396ECD">
        <w:rPr>
          <w:rStyle w:val="Hipercze"/>
          <w:color w:val="auto"/>
          <w:u w:val="none"/>
          <w:lang w:val="en-GB"/>
        </w:rPr>
        <w:t>Zakharin</w:t>
      </w:r>
      <w:proofErr w:type="spellEnd"/>
      <w:r w:rsidRPr="00396ECD">
        <w:rPr>
          <w:rStyle w:val="Hipercze"/>
          <w:color w:val="auto"/>
          <w:u w:val="none"/>
          <w:lang w:val="en-GB"/>
        </w:rPr>
        <w:t xml:space="preserve">, S. (2023). Strategies of Socially Responsible Marketing of Companies in the Sphere of Sports. </w:t>
      </w:r>
      <w:r w:rsidRPr="00396ECD">
        <w:rPr>
          <w:rStyle w:val="Hipercze"/>
          <w:i/>
          <w:iCs/>
          <w:color w:val="auto"/>
          <w:u w:val="none"/>
          <w:lang w:val="en-GB"/>
        </w:rPr>
        <w:t>Financial and Credit Activity Problems of Theory and Practice</w:t>
      </w:r>
      <w:r w:rsidRPr="00396ECD">
        <w:rPr>
          <w:rStyle w:val="Hipercze"/>
          <w:color w:val="auto"/>
          <w:u w:val="none"/>
          <w:lang w:val="en-GB"/>
        </w:rPr>
        <w:t xml:space="preserve">, </w:t>
      </w:r>
      <w:r w:rsidRPr="002A2803">
        <w:rPr>
          <w:rStyle w:val="Hipercze"/>
          <w:i/>
          <w:iCs/>
          <w:color w:val="auto"/>
          <w:u w:val="none"/>
          <w:lang w:val="en-GB"/>
        </w:rPr>
        <w:t>2</w:t>
      </w:r>
      <w:r w:rsidRPr="00396ECD">
        <w:rPr>
          <w:rStyle w:val="Hipercze"/>
          <w:color w:val="auto"/>
          <w:u w:val="none"/>
          <w:lang w:val="en-GB"/>
        </w:rPr>
        <w:t>(49), 435–444. https://doi.org/10.55643/fcaptp.2.49.2023.3988</w:t>
      </w:r>
    </w:p>
    <w:p w14:paraId="45710EE8" w14:textId="34599F95" w:rsidR="00804164" w:rsidRPr="00396ECD" w:rsidRDefault="00804164" w:rsidP="009F5B13">
      <w:pPr>
        <w:pStyle w:val="Rlit"/>
        <w:rPr>
          <w:lang w:val="en-GB"/>
        </w:rPr>
      </w:pPr>
      <w:proofErr w:type="spellStart"/>
      <w:r w:rsidRPr="00396ECD">
        <w:rPr>
          <w:lang w:val="en-GB"/>
        </w:rPr>
        <w:t>Melnykovych</w:t>
      </w:r>
      <w:proofErr w:type="spellEnd"/>
      <w:r w:rsidRPr="00396ECD">
        <w:rPr>
          <w:lang w:val="en-GB"/>
        </w:rPr>
        <w:t xml:space="preserve">, M., </w:t>
      </w:r>
      <w:proofErr w:type="spellStart"/>
      <w:r w:rsidRPr="00396ECD">
        <w:rPr>
          <w:lang w:val="en-GB"/>
        </w:rPr>
        <w:t>Nijnik</w:t>
      </w:r>
      <w:proofErr w:type="spellEnd"/>
      <w:r w:rsidRPr="00396ECD">
        <w:rPr>
          <w:lang w:val="en-GB"/>
        </w:rPr>
        <w:t>, M., Soshenskyi, O. et al. (2026). Pathways for Ukraine</w:t>
      </w:r>
      <w:r w:rsidR="00E975FE">
        <w:rPr>
          <w:lang w:val="en-GB"/>
        </w:rPr>
        <w:t>'</w:t>
      </w:r>
      <w:r w:rsidRPr="00396ECD">
        <w:rPr>
          <w:lang w:val="en-GB"/>
        </w:rPr>
        <w:t xml:space="preserve">s post-war nature recovery: Focus on forest socio-ecological systems. </w:t>
      </w:r>
      <w:proofErr w:type="spellStart"/>
      <w:r w:rsidRPr="00396ECD">
        <w:rPr>
          <w:i/>
          <w:iCs/>
          <w:lang w:val="en-GB"/>
        </w:rPr>
        <w:t>Ambio</w:t>
      </w:r>
      <w:proofErr w:type="spellEnd"/>
      <w:r w:rsidRPr="00396ECD">
        <w:rPr>
          <w:lang w:val="en-GB"/>
        </w:rPr>
        <w:t xml:space="preserve">, </w:t>
      </w:r>
      <w:r w:rsidRPr="002A2803">
        <w:rPr>
          <w:i/>
          <w:iCs/>
          <w:lang w:val="en-GB"/>
        </w:rPr>
        <w:t>55</w:t>
      </w:r>
      <w:r w:rsidRPr="00396ECD">
        <w:rPr>
          <w:lang w:val="en-GB"/>
        </w:rPr>
        <w:t xml:space="preserve">, 817–843. </w:t>
      </w:r>
      <w:hyperlink r:id="rId46" w:history="1">
        <w:r w:rsidRPr="00396ECD">
          <w:rPr>
            <w:rStyle w:val="Hipercze"/>
            <w:color w:val="auto"/>
            <w:u w:val="none"/>
            <w:lang w:val="en-GB"/>
          </w:rPr>
          <w:t>https://doi.org/10.1007/s13280-025-02263-0</w:t>
        </w:r>
      </w:hyperlink>
      <w:r w:rsidRPr="00396ECD">
        <w:rPr>
          <w:lang w:val="en-GB"/>
        </w:rPr>
        <w:t xml:space="preserve"> </w:t>
      </w:r>
    </w:p>
    <w:p w14:paraId="1D55B5FF" w14:textId="52444708" w:rsidR="00804164" w:rsidRPr="00396ECD" w:rsidRDefault="00804164" w:rsidP="002A2803">
      <w:pPr>
        <w:pStyle w:val="Rlit"/>
        <w:jc w:val="left"/>
        <w:rPr>
          <w:lang w:val="en-GB"/>
        </w:rPr>
      </w:pPr>
      <w:r w:rsidRPr="00396ECD">
        <w:rPr>
          <w:lang w:val="en-GB"/>
        </w:rPr>
        <w:t>Mesel-</w:t>
      </w:r>
      <w:proofErr w:type="spellStart"/>
      <w:r w:rsidRPr="00396ECD">
        <w:rPr>
          <w:lang w:val="en-GB"/>
        </w:rPr>
        <w:t>Veselyak</w:t>
      </w:r>
      <w:proofErr w:type="spellEnd"/>
      <w:r w:rsidRPr="00396ECD">
        <w:rPr>
          <w:lang w:val="en-GB"/>
        </w:rPr>
        <w:t xml:space="preserve">, V. Ya., &amp; Fedorov, M. M. (2016). Strategic directions of development of the agricultural sector of the economy of Ukraine. </w:t>
      </w:r>
      <w:r w:rsidRPr="00396ECD">
        <w:rPr>
          <w:i/>
          <w:iCs/>
          <w:lang w:val="en-GB"/>
        </w:rPr>
        <w:t>The economy of the AIC</w:t>
      </w:r>
      <w:r w:rsidRPr="00396ECD">
        <w:rPr>
          <w:lang w:val="en-GB"/>
        </w:rPr>
        <w:t xml:space="preserve">, </w:t>
      </w:r>
      <w:r w:rsidRPr="002A2803">
        <w:rPr>
          <w:i/>
          <w:iCs/>
          <w:lang w:val="en-GB"/>
        </w:rPr>
        <w:t>6</w:t>
      </w:r>
      <w:r w:rsidRPr="00396ECD">
        <w:rPr>
          <w:lang w:val="en-GB"/>
        </w:rPr>
        <w:t xml:space="preserve">, 37–49. </w:t>
      </w:r>
      <w:r w:rsidR="002A2803">
        <w:rPr>
          <w:lang w:val="en-GB"/>
        </w:rPr>
        <w:br/>
      </w:r>
      <w:hyperlink r:id="rId47" w:history="1">
        <w:r w:rsidRPr="00396ECD">
          <w:rPr>
            <w:rStyle w:val="Hipercze"/>
            <w:color w:val="auto"/>
            <w:u w:val="none"/>
            <w:lang w:val="en-GB"/>
          </w:rPr>
          <w:t>https://eapk.com.ua/web/uploads/pdf/Vol.%2023,%20No.%206,%202016_apk-37-49.pdf</w:t>
        </w:r>
      </w:hyperlink>
      <w:r w:rsidRPr="00396ECD">
        <w:rPr>
          <w:lang w:val="en-GB"/>
        </w:rPr>
        <w:t xml:space="preserve"> </w:t>
      </w:r>
    </w:p>
    <w:p w14:paraId="7C33B7B2" w14:textId="77777777" w:rsidR="00804164" w:rsidRPr="00396ECD" w:rsidRDefault="00804164" w:rsidP="009F5B13">
      <w:pPr>
        <w:pStyle w:val="Rlit"/>
        <w:rPr>
          <w:lang w:val="en-GB"/>
        </w:rPr>
      </w:pPr>
      <w:r w:rsidRPr="00396ECD">
        <w:rPr>
          <w:lang w:val="en-GB"/>
        </w:rPr>
        <w:t xml:space="preserve">Miles, I. (2010). The development of technology foresight: A review. </w:t>
      </w:r>
      <w:r w:rsidRPr="00396ECD">
        <w:rPr>
          <w:i/>
          <w:iCs/>
          <w:lang w:val="en-GB"/>
        </w:rPr>
        <w:t>Technological Forecasting and Social Change</w:t>
      </w:r>
      <w:r w:rsidRPr="002A2803">
        <w:rPr>
          <w:lang w:val="en-GB"/>
        </w:rPr>
        <w:t xml:space="preserve">, </w:t>
      </w:r>
      <w:r w:rsidRPr="00396ECD">
        <w:rPr>
          <w:i/>
          <w:iCs/>
          <w:lang w:val="en-GB"/>
        </w:rPr>
        <w:t>77</w:t>
      </w:r>
      <w:r w:rsidRPr="00396ECD">
        <w:rPr>
          <w:lang w:val="en-GB"/>
        </w:rPr>
        <w:t xml:space="preserve">(9), 1448–1456. </w:t>
      </w:r>
      <w:hyperlink r:id="rId48" w:tgtFrame="_blank" w:history="1">
        <w:r w:rsidRPr="00396ECD">
          <w:rPr>
            <w:lang w:val="en-GB"/>
          </w:rPr>
          <w:t>https://doi.org/10.1016/j.techfore.2010.07.016</w:t>
        </w:r>
      </w:hyperlink>
    </w:p>
    <w:p w14:paraId="671B337A" w14:textId="4CAFB4E0" w:rsidR="00804164" w:rsidRPr="00396ECD" w:rsidRDefault="00804164" w:rsidP="002A2803">
      <w:pPr>
        <w:pStyle w:val="Rlit"/>
        <w:jc w:val="left"/>
        <w:rPr>
          <w:lang w:val="en-GB"/>
        </w:rPr>
      </w:pPr>
      <w:r w:rsidRPr="00396ECD">
        <w:rPr>
          <w:lang w:val="en-GB"/>
        </w:rPr>
        <w:t xml:space="preserve">Mulvihill, P.R. (2009). Endless paradox: Environmentalism in transition. </w:t>
      </w:r>
      <w:r w:rsidRPr="00396ECD">
        <w:rPr>
          <w:i/>
          <w:iCs/>
          <w:lang w:val="en-GB"/>
        </w:rPr>
        <w:t>Futures</w:t>
      </w:r>
      <w:r w:rsidRPr="002A2803">
        <w:rPr>
          <w:lang w:val="en-GB"/>
        </w:rPr>
        <w:t xml:space="preserve">, </w:t>
      </w:r>
      <w:r w:rsidRPr="00396ECD">
        <w:rPr>
          <w:i/>
          <w:iCs/>
          <w:lang w:val="en-GB"/>
        </w:rPr>
        <w:t>41</w:t>
      </w:r>
      <w:r w:rsidRPr="00396ECD">
        <w:rPr>
          <w:lang w:val="en-GB"/>
        </w:rPr>
        <w:t>(7), 502</w:t>
      </w:r>
      <w:r w:rsidR="002A2803">
        <w:rPr>
          <w:lang w:val="en-GB"/>
        </w:rPr>
        <w:t>–</w:t>
      </w:r>
      <w:r w:rsidRPr="00396ECD">
        <w:rPr>
          <w:lang w:val="en-GB"/>
        </w:rPr>
        <w:t xml:space="preserve">506. </w:t>
      </w:r>
      <w:hyperlink r:id="rId49" w:tgtFrame="_blank" w:history="1">
        <w:r w:rsidRPr="00396ECD">
          <w:rPr>
            <w:lang w:val="en-GB"/>
          </w:rPr>
          <w:t>https://doi.org/10.1016/j.futures.2009.01.003</w:t>
        </w:r>
      </w:hyperlink>
    </w:p>
    <w:p w14:paraId="1992CD6D" w14:textId="189DE34D" w:rsidR="00804164" w:rsidRPr="00396ECD" w:rsidRDefault="00804164" w:rsidP="002A2803">
      <w:pPr>
        <w:pStyle w:val="Rlit"/>
        <w:jc w:val="left"/>
        <w:rPr>
          <w:lang w:val="en-GB"/>
        </w:rPr>
      </w:pPr>
      <w:proofErr w:type="spellStart"/>
      <w:r w:rsidRPr="00396ECD">
        <w:rPr>
          <w:lang w:val="en-GB"/>
        </w:rPr>
        <w:t>Mykhnovetskyi</w:t>
      </w:r>
      <w:proofErr w:type="spellEnd"/>
      <w:r w:rsidRPr="00396ECD">
        <w:rPr>
          <w:lang w:val="en-GB"/>
        </w:rPr>
        <w:t>, Yu. (2024). Ensuring the economic security of agricultural enterprises as an instrument of state regulation of the economy</w:t>
      </w:r>
      <w:r w:rsidRPr="00396ECD">
        <w:rPr>
          <w:i/>
          <w:iCs/>
          <w:lang w:val="en-GB"/>
        </w:rPr>
        <w:t>. Bulletin of Lviv National Environmental University. Series "AIC Economics"</w:t>
      </w:r>
      <w:r w:rsidRPr="002A2803">
        <w:rPr>
          <w:lang w:val="en-GB"/>
        </w:rPr>
        <w:t xml:space="preserve">, </w:t>
      </w:r>
      <w:r w:rsidRPr="002A2803">
        <w:rPr>
          <w:i/>
          <w:iCs/>
          <w:lang w:val="en-GB"/>
        </w:rPr>
        <w:t>31</w:t>
      </w:r>
      <w:r w:rsidRPr="00396ECD">
        <w:rPr>
          <w:lang w:val="en-GB"/>
        </w:rPr>
        <w:t xml:space="preserve">, 45–49. </w:t>
      </w:r>
      <w:hyperlink r:id="rId50" w:history="1">
        <w:r w:rsidRPr="00396ECD">
          <w:rPr>
            <w:rStyle w:val="Hipercze"/>
            <w:color w:val="auto"/>
            <w:u w:val="none"/>
            <w:lang w:val="en-GB"/>
          </w:rPr>
          <w:t>https://doi.org/10.31734/economics2024.31.006</w:t>
        </w:r>
      </w:hyperlink>
      <w:r w:rsidRPr="00396ECD">
        <w:rPr>
          <w:lang w:val="en-GB"/>
        </w:rPr>
        <w:t xml:space="preserve"> </w:t>
      </w:r>
    </w:p>
    <w:p w14:paraId="2FDF9CF9" w14:textId="508DAEA9" w:rsidR="00804164" w:rsidRPr="00396ECD" w:rsidRDefault="00804164" w:rsidP="009F5B13">
      <w:pPr>
        <w:pStyle w:val="Rlit"/>
        <w:rPr>
          <w:lang w:val="en-GB"/>
        </w:rPr>
      </w:pPr>
      <w:proofErr w:type="spellStart"/>
      <w:r w:rsidRPr="00396ECD">
        <w:rPr>
          <w:lang w:val="en-GB"/>
        </w:rPr>
        <w:t>Narver</w:t>
      </w:r>
      <w:proofErr w:type="spellEnd"/>
      <w:r w:rsidRPr="00396ECD">
        <w:rPr>
          <w:lang w:val="en-GB"/>
        </w:rPr>
        <w:t xml:space="preserve">, J.C., &amp; Slater, S.F. (1990). The effect of a market orientation on business profitability. </w:t>
      </w:r>
      <w:r w:rsidRPr="00396ECD">
        <w:rPr>
          <w:i/>
          <w:iCs/>
          <w:lang w:val="en-GB"/>
        </w:rPr>
        <w:t>Journal of Marketing, 54</w:t>
      </w:r>
      <w:r w:rsidRPr="00396ECD">
        <w:rPr>
          <w:lang w:val="en-GB"/>
        </w:rPr>
        <w:t xml:space="preserve">(4), 20–35. </w:t>
      </w:r>
      <w:hyperlink r:id="rId51" w:tgtFrame="_blank" w:history="1">
        <w:r w:rsidRPr="00396ECD">
          <w:rPr>
            <w:lang w:val="en-GB"/>
          </w:rPr>
          <w:t>https://doi.org/10.1177/002224299005400403</w:t>
        </w:r>
      </w:hyperlink>
    </w:p>
    <w:p w14:paraId="3095D626" w14:textId="31F9FAAF" w:rsidR="00804164" w:rsidRPr="00396ECD" w:rsidRDefault="00804164" w:rsidP="009F5B13">
      <w:pPr>
        <w:pStyle w:val="Rlit"/>
        <w:rPr>
          <w:rStyle w:val="Hipercze"/>
          <w:color w:val="auto"/>
          <w:u w:val="none"/>
          <w:lang w:val="en-GB"/>
        </w:rPr>
      </w:pPr>
      <w:r w:rsidRPr="00396ECD">
        <w:rPr>
          <w:rStyle w:val="Hipercze"/>
          <w:color w:val="auto"/>
          <w:u w:val="none"/>
          <w:lang w:val="en-GB"/>
        </w:rPr>
        <w:t xml:space="preserve">Nitsenko, V., Chukurna, O., Mardani, A., </w:t>
      </w:r>
      <w:proofErr w:type="spellStart"/>
      <w:r w:rsidRPr="00396ECD">
        <w:rPr>
          <w:rStyle w:val="Hipercze"/>
          <w:color w:val="auto"/>
          <w:u w:val="none"/>
          <w:lang w:val="en-GB"/>
        </w:rPr>
        <w:t>Streimikis</w:t>
      </w:r>
      <w:proofErr w:type="spellEnd"/>
      <w:r w:rsidRPr="00396ECD">
        <w:rPr>
          <w:rStyle w:val="Hipercze"/>
          <w:color w:val="auto"/>
          <w:u w:val="none"/>
          <w:lang w:val="en-GB"/>
        </w:rPr>
        <w:t xml:space="preserve">, J., </w:t>
      </w:r>
      <w:proofErr w:type="spellStart"/>
      <w:r w:rsidRPr="00396ECD">
        <w:rPr>
          <w:rStyle w:val="Hipercze"/>
          <w:color w:val="auto"/>
          <w:u w:val="none"/>
          <w:lang w:val="en-GB"/>
        </w:rPr>
        <w:t>Gerasymchuk</w:t>
      </w:r>
      <w:proofErr w:type="spellEnd"/>
      <w:r w:rsidRPr="00396ECD">
        <w:rPr>
          <w:rStyle w:val="Hipercze"/>
          <w:color w:val="auto"/>
          <w:u w:val="none"/>
          <w:lang w:val="en-GB"/>
        </w:rPr>
        <w:t xml:space="preserve">, N., </w:t>
      </w:r>
      <w:proofErr w:type="spellStart"/>
      <w:r w:rsidRPr="00396ECD">
        <w:rPr>
          <w:rStyle w:val="Hipercze"/>
          <w:color w:val="auto"/>
          <w:u w:val="none"/>
          <w:lang w:val="en-GB"/>
        </w:rPr>
        <w:t>Golubkova</w:t>
      </w:r>
      <w:proofErr w:type="spellEnd"/>
      <w:r w:rsidRPr="00396ECD">
        <w:rPr>
          <w:rStyle w:val="Hipercze"/>
          <w:color w:val="auto"/>
          <w:u w:val="none"/>
          <w:lang w:val="en-GB"/>
        </w:rPr>
        <w:t xml:space="preserve">, I., &amp; </w:t>
      </w:r>
      <w:proofErr w:type="spellStart"/>
      <w:r w:rsidRPr="00396ECD">
        <w:rPr>
          <w:rStyle w:val="Hipercze"/>
          <w:color w:val="auto"/>
          <w:u w:val="none"/>
          <w:lang w:val="en-GB"/>
        </w:rPr>
        <w:t>Levinska</w:t>
      </w:r>
      <w:proofErr w:type="spellEnd"/>
      <w:r w:rsidRPr="00396ECD">
        <w:rPr>
          <w:rStyle w:val="Hipercze"/>
          <w:color w:val="auto"/>
          <w:u w:val="none"/>
          <w:lang w:val="en-GB"/>
        </w:rPr>
        <w:t xml:space="preserve">, T. (2019). Pricing in the Concept of Cognitive Marketing in the Context of Globalization: Theoretical, Methodological and Applied Aspects. </w:t>
      </w:r>
      <w:r w:rsidRPr="00396ECD">
        <w:rPr>
          <w:rStyle w:val="Hipercze"/>
          <w:i/>
          <w:iCs/>
          <w:color w:val="auto"/>
          <w:u w:val="none"/>
          <w:lang w:val="en-GB"/>
        </w:rPr>
        <w:t>Montenegrin Journal of Economics</w:t>
      </w:r>
      <w:r w:rsidRPr="00396ECD">
        <w:rPr>
          <w:rStyle w:val="Hipercze"/>
          <w:color w:val="auto"/>
          <w:u w:val="none"/>
          <w:lang w:val="en-GB"/>
        </w:rPr>
        <w:t xml:space="preserve">, </w:t>
      </w:r>
      <w:r w:rsidRPr="00131DF1">
        <w:rPr>
          <w:rStyle w:val="Hipercze"/>
          <w:i/>
          <w:iCs/>
          <w:color w:val="auto"/>
          <w:u w:val="none"/>
          <w:lang w:val="en-GB"/>
        </w:rPr>
        <w:t>15</w:t>
      </w:r>
      <w:r w:rsidRPr="00396ECD">
        <w:rPr>
          <w:rStyle w:val="Hipercze"/>
          <w:color w:val="auto"/>
          <w:u w:val="none"/>
          <w:lang w:val="en-GB"/>
        </w:rPr>
        <w:t>(4), 131</w:t>
      </w:r>
      <w:r w:rsidR="00131DF1">
        <w:rPr>
          <w:rStyle w:val="Hipercze"/>
          <w:color w:val="auto"/>
          <w:u w:val="none"/>
          <w:lang w:val="en-GB"/>
        </w:rPr>
        <w:t>–</w:t>
      </w:r>
      <w:r w:rsidRPr="00396ECD">
        <w:rPr>
          <w:rStyle w:val="Hipercze"/>
          <w:color w:val="auto"/>
          <w:u w:val="none"/>
          <w:lang w:val="en-GB"/>
        </w:rPr>
        <w:t xml:space="preserve">147. </w:t>
      </w:r>
      <w:hyperlink r:id="rId52" w:history="1">
        <w:r w:rsidRPr="00396ECD">
          <w:rPr>
            <w:rStyle w:val="Hipercze"/>
            <w:color w:val="auto"/>
            <w:u w:val="none"/>
            <w:lang w:val="en-GB"/>
          </w:rPr>
          <w:t>https://doi.org/10.14254/1800-5845/2019.15-4.10</w:t>
        </w:r>
      </w:hyperlink>
    </w:p>
    <w:p w14:paraId="7F453389" w14:textId="77777777" w:rsidR="00804164" w:rsidRPr="00396ECD" w:rsidRDefault="00804164" w:rsidP="009F5B13">
      <w:pPr>
        <w:pStyle w:val="Rlit"/>
        <w:rPr>
          <w:lang w:val="en-GB"/>
        </w:rPr>
      </w:pPr>
      <w:r w:rsidRPr="00396ECD">
        <w:rPr>
          <w:lang w:val="en-GB"/>
        </w:rPr>
        <w:t xml:space="preserve">OECD &amp; FAO. (2022). </w:t>
      </w:r>
      <w:r w:rsidRPr="00396ECD">
        <w:rPr>
          <w:i/>
          <w:iCs/>
          <w:lang w:val="en-GB"/>
        </w:rPr>
        <w:t>OECD-FAO agricultural outlook 2022–2031</w:t>
      </w:r>
      <w:r w:rsidRPr="00396ECD">
        <w:rPr>
          <w:lang w:val="en-GB"/>
        </w:rPr>
        <w:t xml:space="preserve">. </w:t>
      </w:r>
      <w:hyperlink r:id="rId53" w:tgtFrame="_blank" w:history="1">
        <w:r w:rsidRPr="00396ECD">
          <w:rPr>
            <w:lang w:val="en-GB"/>
          </w:rPr>
          <w:t>https://www.oecd.org/en/publications/oecd-fao-agricultural-outlook-2022-2031_f1b0b29c-en.html</w:t>
        </w:r>
      </w:hyperlink>
    </w:p>
    <w:p w14:paraId="1CD716C4" w14:textId="12D30965" w:rsidR="00804164" w:rsidRPr="00396ECD" w:rsidRDefault="00804164" w:rsidP="009F5B13">
      <w:pPr>
        <w:pStyle w:val="Rlit"/>
        <w:rPr>
          <w:lang w:val="en-GB"/>
        </w:rPr>
      </w:pPr>
      <w:proofErr w:type="spellStart"/>
      <w:r w:rsidRPr="00396ECD">
        <w:rPr>
          <w:lang w:val="en-GB"/>
        </w:rPr>
        <w:t>Penkova</w:t>
      </w:r>
      <w:proofErr w:type="spellEnd"/>
      <w:r w:rsidRPr="00396ECD">
        <w:rPr>
          <w:lang w:val="en-GB"/>
        </w:rPr>
        <w:t xml:space="preserve">, O., &amp; </w:t>
      </w:r>
      <w:proofErr w:type="spellStart"/>
      <w:r w:rsidRPr="00396ECD">
        <w:rPr>
          <w:lang w:val="en-GB"/>
        </w:rPr>
        <w:t>Kharenko</w:t>
      </w:r>
      <w:proofErr w:type="spellEnd"/>
      <w:r w:rsidRPr="00396ECD">
        <w:rPr>
          <w:lang w:val="en-GB"/>
        </w:rPr>
        <w:t xml:space="preserve">, A. (2023). Marketing analysis of the functioning environment of agrarian enterprises. </w:t>
      </w:r>
      <w:r w:rsidRPr="00396ECD">
        <w:rPr>
          <w:i/>
          <w:iCs/>
          <w:lang w:val="en-GB"/>
        </w:rPr>
        <w:t>Ukrainian Black Sea Region Agrarian Science</w:t>
      </w:r>
      <w:r w:rsidRPr="00396ECD">
        <w:rPr>
          <w:lang w:val="en-GB"/>
        </w:rPr>
        <w:t xml:space="preserve">, </w:t>
      </w:r>
      <w:r w:rsidRPr="00131DF1">
        <w:rPr>
          <w:i/>
          <w:iCs/>
          <w:lang w:val="en-GB"/>
        </w:rPr>
        <w:t>27</w:t>
      </w:r>
      <w:r w:rsidRPr="00396ECD">
        <w:rPr>
          <w:lang w:val="en-GB"/>
        </w:rPr>
        <w:t>(2), 28</w:t>
      </w:r>
      <w:r w:rsidR="00131DF1">
        <w:rPr>
          <w:lang w:val="en-GB"/>
        </w:rPr>
        <w:t>–</w:t>
      </w:r>
      <w:r w:rsidRPr="00396ECD">
        <w:rPr>
          <w:lang w:val="en-GB"/>
        </w:rPr>
        <w:t>40. https://doi.org/10.56407/bs.agrarian/2.2023.28</w:t>
      </w:r>
    </w:p>
    <w:p w14:paraId="02912AC2" w14:textId="14D5925D" w:rsidR="00804164" w:rsidRPr="00396ECD" w:rsidRDefault="00804164" w:rsidP="009F5B13">
      <w:pPr>
        <w:pStyle w:val="Rlit"/>
        <w:rPr>
          <w:lang w:val="en-GB"/>
        </w:rPr>
      </w:pPr>
      <w:r w:rsidRPr="00396ECD">
        <w:rPr>
          <w:lang w:val="en-GB"/>
        </w:rPr>
        <w:t>Petrenko, О., Kozak, К., Atamas, G., &amp; Khanin, А. (2025). Financial policy in the formation of Ukraine</w:t>
      </w:r>
      <w:r w:rsidR="00E975FE">
        <w:rPr>
          <w:lang w:val="en-GB"/>
        </w:rPr>
        <w:t>'</w:t>
      </w:r>
      <w:r w:rsidRPr="00396ECD">
        <w:rPr>
          <w:lang w:val="en-GB"/>
        </w:rPr>
        <w:t xml:space="preserve">s food security strategy. </w:t>
      </w:r>
      <w:r w:rsidRPr="00396ECD">
        <w:rPr>
          <w:i/>
          <w:iCs/>
          <w:lang w:val="en-GB"/>
        </w:rPr>
        <w:t>Food Industry Economics</w:t>
      </w:r>
      <w:r w:rsidRPr="00396ECD">
        <w:rPr>
          <w:lang w:val="en-GB"/>
        </w:rPr>
        <w:t xml:space="preserve">, </w:t>
      </w:r>
      <w:r w:rsidRPr="00131DF1">
        <w:rPr>
          <w:i/>
          <w:iCs/>
          <w:lang w:val="en-GB"/>
        </w:rPr>
        <w:t>17</w:t>
      </w:r>
      <w:r w:rsidRPr="00396ECD">
        <w:rPr>
          <w:lang w:val="en-GB"/>
        </w:rPr>
        <w:t>(3), 52</w:t>
      </w:r>
      <w:r w:rsidR="00131DF1">
        <w:rPr>
          <w:lang w:val="en-GB"/>
        </w:rPr>
        <w:t>–</w:t>
      </w:r>
      <w:r w:rsidRPr="00396ECD">
        <w:rPr>
          <w:lang w:val="en-GB"/>
        </w:rPr>
        <w:t>58. https://doi.org/10.15673/fie.v17i3.3289</w:t>
      </w:r>
    </w:p>
    <w:p w14:paraId="162207E1" w14:textId="7D870255" w:rsidR="00804164" w:rsidRPr="00396ECD" w:rsidRDefault="00804164" w:rsidP="009F5B13">
      <w:pPr>
        <w:pStyle w:val="Rlit"/>
        <w:rPr>
          <w:lang w:val="en-GB"/>
        </w:rPr>
      </w:pPr>
      <w:r w:rsidRPr="00396ECD">
        <w:rPr>
          <w:lang w:val="en-GB"/>
        </w:rPr>
        <w:t xml:space="preserve">Popper, R. (2008). Foresight methodology. In L. Georghiou, J.C. Harper, M. Keenan, I. Miles, &amp; R. Popper (Eds.), </w:t>
      </w:r>
      <w:r w:rsidRPr="00396ECD">
        <w:rPr>
          <w:i/>
          <w:iCs/>
          <w:lang w:val="en-GB"/>
        </w:rPr>
        <w:t>The handbook of technology foresight: Concepts and practice</w:t>
      </w:r>
      <w:r w:rsidRPr="00396ECD">
        <w:rPr>
          <w:lang w:val="en-GB"/>
        </w:rPr>
        <w:t xml:space="preserve"> (pp. 44–88). Edward Elgar Publishing.</w:t>
      </w:r>
    </w:p>
    <w:p w14:paraId="32950D72" w14:textId="7C2392B4" w:rsidR="00804164" w:rsidRPr="00396ECD" w:rsidRDefault="00804164" w:rsidP="009F5B13">
      <w:pPr>
        <w:pStyle w:val="Rlit"/>
        <w:rPr>
          <w:lang w:val="en-GB"/>
        </w:rPr>
      </w:pPr>
      <w:proofErr w:type="spellStart"/>
      <w:r w:rsidRPr="00396ECD">
        <w:rPr>
          <w:lang w:val="en-GB"/>
        </w:rPr>
        <w:t>Reshetnyak</w:t>
      </w:r>
      <w:proofErr w:type="spellEnd"/>
      <w:r w:rsidRPr="00396ECD">
        <w:rPr>
          <w:lang w:val="en-GB"/>
        </w:rPr>
        <w:t xml:space="preserve">, O. (2019). Choice of foresight methods to substantiate directions of scientific development. </w:t>
      </w:r>
      <w:r w:rsidRPr="00396ECD">
        <w:rPr>
          <w:i/>
          <w:iCs/>
          <w:lang w:val="en-GB"/>
        </w:rPr>
        <w:t>Modern Economics</w:t>
      </w:r>
      <w:r w:rsidRPr="00396ECD">
        <w:rPr>
          <w:lang w:val="en-GB"/>
        </w:rPr>
        <w:t xml:space="preserve">, </w:t>
      </w:r>
      <w:r w:rsidRPr="00131DF1">
        <w:rPr>
          <w:i/>
          <w:iCs/>
          <w:lang w:val="en-GB"/>
        </w:rPr>
        <w:t>18</w:t>
      </w:r>
      <w:r w:rsidRPr="00396ECD">
        <w:rPr>
          <w:lang w:val="en-GB"/>
        </w:rPr>
        <w:t>(2019), 166</w:t>
      </w:r>
      <w:r w:rsidR="00131DF1">
        <w:rPr>
          <w:lang w:val="en-GB"/>
        </w:rPr>
        <w:t>–</w:t>
      </w:r>
      <w:r w:rsidRPr="00396ECD">
        <w:rPr>
          <w:lang w:val="en-GB"/>
        </w:rPr>
        <w:t>173. https://doi.org/10.31521/modecon.V18(2019)-25</w:t>
      </w:r>
    </w:p>
    <w:p w14:paraId="1B319C91" w14:textId="107C0E36" w:rsidR="00804164" w:rsidRPr="00396ECD" w:rsidRDefault="00804164" w:rsidP="009F5B13">
      <w:pPr>
        <w:pStyle w:val="Rlit"/>
        <w:rPr>
          <w:lang w:val="en-GB"/>
        </w:rPr>
      </w:pPr>
      <w:proofErr w:type="spellStart"/>
      <w:r w:rsidRPr="00396ECD">
        <w:rPr>
          <w:lang w:val="en-GB"/>
        </w:rPr>
        <w:t>Riabokon</w:t>
      </w:r>
      <w:proofErr w:type="spellEnd"/>
      <w:r w:rsidRPr="00396ECD">
        <w:rPr>
          <w:lang w:val="en-GB"/>
        </w:rPr>
        <w:t xml:space="preserve">, V. (2020). Decentralisation is the way to rural development in Ukraine. </w:t>
      </w:r>
      <w:proofErr w:type="spellStart"/>
      <w:r w:rsidRPr="00396ECD">
        <w:rPr>
          <w:i/>
          <w:iCs/>
          <w:lang w:val="en-GB"/>
        </w:rPr>
        <w:t>Ekonomika</w:t>
      </w:r>
      <w:proofErr w:type="spellEnd"/>
      <w:r w:rsidRPr="00396ECD">
        <w:rPr>
          <w:i/>
          <w:iCs/>
          <w:lang w:val="en-GB"/>
        </w:rPr>
        <w:t xml:space="preserve"> APK</w:t>
      </w:r>
      <w:r w:rsidRPr="00396ECD">
        <w:rPr>
          <w:lang w:val="en-GB"/>
        </w:rPr>
        <w:t xml:space="preserve">, </w:t>
      </w:r>
      <w:r w:rsidRPr="00131DF1">
        <w:rPr>
          <w:i/>
          <w:iCs/>
          <w:lang w:val="en-GB"/>
        </w:rPr>
        <w:t>27</w:t>
      </w:r>
      <w:r w:rsidRPr="00396ECD">
        <w:rPr>
          <w:lang w:val="en-GB"/>
        </w:rPr>
        <w:t>(1), 6</w:t>
      </w:r>
      <w:r w:rsidR="00131DF1">
        <w:rPr>
          <w:lang w:val="en-GB"/>
        </w:rPr>
        <w:t>–</w:t>
      </w:r>
      <w:r w:rsidRPr="00396ECD">
        <w:rPr>
          <w:lang w:val="en-GB"/>
        </w:rPr>
        <w:t xml:space="preserve">17. </w:t>
      </w:r>
      <w:hyperlink r:id="rId54" w:history="1">
        <w:r w:rsidRPr="00396ECD">
          <w:rPr>
            <w:rStyle w:val="Hipercze"/>
            <w:color w:val="auto"/>
            <w:u w:val="none"/>
            <w:lang w:val="en-GB"/>
          </w:rPr>
          <w:t>https://doi.org/10.32317/2221-1055.202001006</w:t>
        </w:r>
      </w:hyperlink>
    </w:p>
    <w:p w14:paraId="59502B75" w14:textId="77777777" w:rsidR="00804164" w:rsidRPr="00396ECD" w:rsidRDefault="00804164" w:rsidP="009F5B13">
      <w:pPr>
        <w:pStyle w:val="Rlit"/>
        <w:rPr>
          <w:lang w:val="en-GB"/>
        </w:rPr>
      </w:pPr>
      <w:proofErr w:type="spellStart"/>
      <w:r w:rsidRPr="00396ECD">
        <w:rPr>
          <w:lang w:val="en-GB"/>
        </w:rPr>
        <w:t>Rіabinina</w:t>
      </w:r>
      <w:proofErr w:type="spellEnd"/>
      <w:r w:rsidRPr="00396ECD">
        <w:rPr>
          <w:lang w:val="en-GB"/>
        </w:rPr>
        <w:t xml:space="preserve">, N. (2024). Priority areas of stimulating the development of the agro-industrial sector of Ukraine. </w:t>
      </w:r>
      <w:r w:rsidRPr="00396ECD">
        <w:rPr>
          <w:i/>
          <w:iCs/>
          <w:lang w:val="en-GB"/>
        </w:rPr>
        <w:t>Food Resources</w:t>
      </w:r>
      <w:r w:rsidRPr="00396ECD">
        <w:rPr>
          <w:lang w:val="en-GB"/>
        </w:rPr>
        <w:t xml:space="preserve">, </w:t>
      </w:r>
      <w:r w:rsidRPr="00131DF1">
        <w:rPr>
          <w:i/>
          <w:iCs/>
          <w:lang w:val="en-GB"/>
        </w:rPr>
        <w:t>12</w:t>
      </w:r>
      <w:r w:rsidRPr="00396ECD">
        <w:rPr>
          <w:lang w:val="en-GB"/>
        </w:rPr>
        <w:t>(22), 266–277. https://doi.org/10.31073/foodresources2024-22-26</w:t>
      </w:r>
    </w:p>
    <w:p w14:paraId="73A01DF6" w14:textId="04E70014" w:rsidR="00804164" w:rsidRPr="006E1670" w:rsidRDefault="00804164" w:rsidP="009F5B13">
      <w:pPr>
        <w:pStyle w:val="Rlit"/>
        <w:rPr>
          <w:lang w:val="pl-PL"/>
        </w:rPr>
      </w:pPr>
      <w:proofErr w:type="spellStart"/>
      <w:r w:rsidRPr="00396ECD">
        <w:rPr>
          <w:lang w:val="en-GB"/>
        </w:rPr>
        <w:t>Sabluk</w:t>
      </w:r>
      <w:proofErr w:type="spellEnd"/>
      <w:r w:rsidRPr="00396ECD">
        <w:rPr>
          <w:lang w:val="en-GB"/>
        </w:rPr>
        <w:t xml:space="preserve">, P. (2021). Scientific substantiation of innovative development in the agricultural sector. </w:t>
      </w:r>
      <w:r w:rsidRPr="006E1670">
        <w:rPr>
          <w:i/>
          <w:iCs/>
          <w:lang w:val="pl-PL"/>
        </w:rPr>
        <w:t>Ekonomika APK</w:t>
      </w:r>
      <w:r w:rsidRPr="006E1670">
        <w:rPr>
          <w:lang w:val="pl-PL"/>
        </w:rPr>
        <w:t xml:space="preserve">, </w:t>
      </w:r>
      <w:r w:rsidRPr="006E1670">
        <w:rPr>
          <w:i/>
          <w:iCs/>
          <w:lang w:val="pl-PL"/>
        </w:rPr>
        <w:t>28</w:t>
      </w:r>
      <w:r w:rsidRPr="006E1670">
        <w:rPr>
          <w:lang w:val="pl-PL"/>
        </w:rPr>
        <w:t>(6), 16</w:t>
      </w:r>
      <w:r w:rsidR="00131DF1" w:rsidRPr="006E1670">
        <w:rPr>
          <w:lang w:val="pl-PL"/>
        </w:rPr>
        <w:t>–</w:t>
      </w:r>
      <w:r w:rsidRPr="006E1670">
        <w:rPr>
          <w:lang w:val="pl-PL"/>
        </w:rPr>
        <w:t>25. https://doi.org/10.32317/2221-1055.202106016</w:t>
      </w:r>
    </w:p>
    <w:p w14:paraId="60AA6D3D" w14:textId="0C9797CB" w:rsidR="00804164" w:rsidRPr="00396ECD" w:rsidRDefault="00804164" w:rsidP="00131DF1">
      <w:pPr>
        <w:pStyle w:val="Rlit"/>
        <w:jc w:val="left"/>
        <w:rPr>
          <w:lang w:val="en-GB"/>
        </w:rPr>
      </w:pPr>
      <w:proofErr w:type="spellStart"/>
      <w:r w:rsidRPr="006E1670">
        <w:rPr>
          <w:lang w:val="pl-PL"/>
        </w:rPr>
        <w:t>Saguy</w:t>
      </w:r>
      <w:proofErr w:type="spellEnd"/>
      <w:r w:rsidRPr="006E1670">
        <w:rPr>
          <w:lang w:val="pl-PL"/>
        </w:rPr>
        <w:t xml:space="preserve">, I.S., </w:t>
      </w:r>
      <w:proofErr w:type="spellStart"/>
      <w:r w:rsidRPr="006E1670">
        <w:rPr>
          <w:lang w:val="pl-PL"/>
        </w:rPr>
        <w:t>Ronen</w:t>
      </w:r>
      <w:proofErr w:type="spellEnd"/>
      <w:r w:rsidRPr="006E1670">
        <w:rPr>
          <w:lang w:val="pl-PL"/>
        </w:rPr>
        <w:t xml:space="preserve">, E., &amp; </w:t>
      </w:r>
      <w:proofErr w:type="spellStart"/>
      <w:r w:rsidRPr="006E1670">
        <w:rPr>
          <w:lang w:val="pl-PL"/>
        </w:rPr>
        <w:t>Paster</w:t>
      </w:r>
      <w:proofErr w:type="spellEnd"/>
      <w:r w:rsidRPr="006E1670">
        <w:rPr>
          <w:lang w:val="pl-PL"/>
        </w:rPr>
        <w:t xml:space="preserve">, N. (2025). </w:t>
      </w:r>
      <w:r w:rsidRPr="00396ECD">
        <w:rPr>
          <w:lang w:val="en-GB"/>
        </w:rPr>
        <w:t xml:space="preserve">Agri-Food Future: Strategic Insights into Innovation, Sustainability, and Global Food Security. </w:t>
      </w:r>
      <w:r w:rsidRPr="00396ECD">
        <w:rPr>
          <w:i/>
          <w:iCs/>
          <w:lang w:val="en-GB"/>
        </w:rPr>
        <w:t>J of Agri Earth &amp; Environmental Sciences</w:t>
      </w:r>
      <w:r w:rsidRPr="00396ECD">
        <w:rPr>
          <w:lang w:val="en-GB"/>
        </w:rPr>
        <w:t xml:space="preserve">, </w:t>
      </w:r>
      <w:r w:rsidRPr="00131DF1">
        <w:rPr>
          <w:i/>
          <w:iCs/>
          <w:lang w:val="en-GB"/>
        </w:rPr>
        <w:t>4</w:t>
      </w:r>
      <w:r w:rsidRPr="00396ECD">
        <w:rPr>
          <w:lang w:val="en-GB"/>
        </w:rPr>
        <w:t>(6), 01</w:t>
      </w:r>
      <w:r w:rsidR="00131DF1">
        <w:rPr>
          <w:lang w:val="en-GB"/>
        </w:rPr>
        <w:t>–</w:t>
      </w:r>
      <w:r w:rsidRPr="00396ECD">
        <w:rPr>
          <w:lang w:val="en-GB"/>
        </w:rPr>
        <w:t xml:space="preserve">11. </w:t>
      </w:r>
      <w:hyperlink r:id="rId55" w:tgtFrame="_blank" w:history="1">
        <w:r w:rsidRPr="00396ECD">
          <w:rPr>
            <w:lang w:val="en-GB"/>
          </w:rPr>
          <w:t>https://doi.org/10.63620/mkjaees.2025.1100</w:t>
        </w:r>
      </w:hyperlink>
    </w:p>
    <w:p w14:paraId="052D9534" w14:textId="565D2401" w:rsidR="00804164" w:rsidRPr="00396ECD" w:rsidRDefault="00804164" w:rsidP="009F5B13">
      <w:pPr>
        <w:pStyle w:val="Rlit"/>
        <w:rPr>
          <w:lang w:val="en-GB"/>
        </w:rPr>
      </w:pPr>
      <w:r w:rsidRPr="00396ECD">
        <w:rPr>
          <w:lang w:val="en-GB"/>
        </w:rPr>
        <w:t xml:space="preserve">Sporleder, T.L., &amp; Goldsmith, P.D. (2001). Alternative firm strategies for </w:t>
      </w:r>
      <w:proofErr w:type="spellStart"/>
      <w:r w:rsidRPr="00396ECD">
        <w:rPr>
          <w:lang w:val="en-GB"/>
        </w:rPr>
        <w:t>signaling</w:t>
      </w:r>
      <w:proofErr w:type="spellEnd"/>
      <w:r w:rsidRPr="00396ECD">
        <w:rPr>
          <w:lang w:val="en-GB"/>
        </w:rPr>
        <w:t xml:space="preserve"> quality in the food system. </w:t>
      </w:r>
      <w:r w:rsidRPr="00396ECD">
        <w:rPr>
          <w:i/>
          <w:iCs/>
          <w:lang w:val="en-GB"/>
        </w:rPr>
        <w:t>Canadian Journal of Agricultural Economics</w:t>
      </w:r>
      <w:r w:rsidRPr="00131DF1">
        <w:rPr>
          <w:lang w:val="en-GB"/>
        </w:rPr>
        <w:t xml:space="preserve">, </w:t>
      </w:r>
      <w:r w:rsidRPr="00396ECD">
        <w:rPr>
          <w:i/>
          <w:iCs/>
          <w:lang w:val="en-GB"/>
        </w:rPr>
        <w:t>49</w:t>
      </w:r>
      <w:r w:rsidRPr="00396ECD">
        <w:rPr>
          <w:lang w:val="en-GB"/>
        </w:rPr>
        <w:t xml:space="preserve">(4), 591–604. </w:t>
      </w:r>
      <w:hyperlink r:id="rId56" w:history="1">
        <w:r w:rsidRPr="00396ECD">
          <w:rPr>
            <w:rStyle w:val="Hipercze"/>
            <w:color w:val="auto"/>
            <w:u w:val="none"/>
            <w:lang w:val="en-GB"/>
          </w:rPr>
          <w:t>https://doi.org/10.1111/j.1744-7976.2001.tb00329.x</w:t>
        </w:r>
      </w:hyperlink>
      <w:r w:rsidRPr="00396ECD">
        <w:rPr>
          <w:lang w:val="en-GB"/>
        </w:rPr>
        <w:t xml:space="preserve"> </w:t>
      </w:r>
    </w:p>
    <w:p w14:paraId="40C1AFC7" w14:textId="4C7005DB" w:rsidR="00804164" w:rsidRPr="00396ECD" w:rsidRDefault="00804164" w:rsidP="00131DF1">
      <w:pPr>
        <w:pStyle w:val="Rlit"/>
        <w:jc w:val="left"/>
        <w:rPr>
          <w:rStyle w:val="Hipercze"/>
          <w:color w:val="auto"/>
          <w:u w:val="none"/>
          <w:lang w:val="en-GB"/>
        </w:rPr>
      </w:pPr>
      <w:r w:rsidRPr="00396ECD">
        <w:rPr>
          <w:rStyle w:val="Hipercze"/>
          <w:color w:val="auto"/>
          <w:u w:val="none"/>
          <w:lang w:val="en-GB"/>
        </w:rPr>
        <w:t xml:space="preserve">Sultana, R., </w:t>
      </w:r>
      <w:proofErr w:type="spellStart"/>
      <w:r w:rsidRPr="00396ECD">
        <w:rPr>
          <w:rStyle w:val="Hipercze"/>
          <w:color w:val="auto"/>
          <w:u w:val="none"/>
          <w:lang w:val="en-GB"/>
        </w:rPr>
        <w:t>Anser</w:t>
      </w:r>
      <w:proofErr w:type="spellEnd"/>
      <w:r w:rsidRPr="00396ECD">
        <w:rPr>
          <w:rStyle w:val="Hipercze"/>
          <w:color w:val="auto"/>
          <w:u w:val="none"/>
          <w:lang w:val="en-GB"/>
        </w:rPr>
        <w:t xml:space="preserve">, M.K., Khan, A.W., Azam, K., Haq, I.U., Zaman, K. (2026). Smart transport logistics in the AI era: evaluating the impact of Metaverse and ChatGPT technologies on efficiency and safety in supply chain management. </w:t>
      </w:r>
      <w:r w:rsidRPr="00396ECD">
        <w:rPr>
          <w:rStyle w:val="Hipercze"/>
          <w:i/>
          <w:iCs/>
          <w:color w:val="auto"/>
          <w:u w:val="none"/>
          <w:lang w:val="en-GB"/>
        </w:rPr>
        <w:t>Scientific Journal of Silesian University of Technology. Series Transport</w:t>
      </w:r>
      <w:r w:rsidRPr="00396ECD">
        <w:rPr>
          <w:rStyle w:val="Hipercze"/>
          <w:color w:val="auto"/>
          <w:u w:val="none"/>
          <w:lang w:val="en-GB"/>
        </w:rPr>
        <w:t xml:space="preserve">, </w:t>
      </w:r>
      <w:r w:rsidRPr="00131DF1">
        <w:rPr>
          <w:rStyle w:val="Hipercze"/>
          <w:i/>
          <w:iCs/>
          <w:color w:val="auto"/>
          <w:u w:val="none"/>
          <w:lang w:val="en-GB"/>
        </w:rPr>
        <w:t>130</w:t>
      </w:r>
      <w:r w:rsidRPr="00396ECD">
        <w:rPr>
          <w:rStyle w:val="Hipercze"/>
          <w:color w:val="auto"/>
          <w:u w:val="none"/>
          <w:lang w:val="en-GB"/>
        </w:rPr>
        <w:t>, 211</w:t>
      </w:r>
      <w:r w:rsidR="00131DF1">
        <w:rPr>
          <w:rStyle w:val="Hipercze"/>
          <w:color w:val="auto"/>
          <w:u w:val="none"/>
          <w:lang w:val="en-GB"/>
        </w:rPr>
        <w:t>–</w:t>
      </w:r>
      <w:r w:rsidRPr="00396ECD">
        <w:rPr>
          <w:rStyle w:val="Hipercze"/>
          <w:color w:val="auto"/>
          <w:u w:val="none"/>
          <w:lang w:val="en-GB"/>
        </w:rPr>
        <w:t xml:space="preserve">233. </w:t>
      </w:r>
      <w:hyperlink r:id="rId57" w:history="1">
        <w:r w:rsidRPr="00396ECD">
          <w:rPr>
            <w:rStyle w:val="Hipercze"/>
            <w:color w:val="auto"/>
            <w:u w:val="none"/>
            <w:lang w:val="en-GB"/>
          </w:rPr>
          <w:t>https://doi.org/10.20858/sjsutst.2026.130.13</w:t>
        </w:r>
      </w:hyperlink>
    </w:p>
    <w:p w14:paraId="61812E7F" w14:textId="77777777" w:rsidR="00804164" w:rsidRPr="00396ECD" w:rsidRDefault="00804164" w:rsidP="009F5B13">
      <w:pPr>
        <w:pStyle w:val="Rlit"/>
        <w:rPr>
          <w:rStyle w:val="Pogrubienie"/>
          <w:b w:val="0"/>
          <w:bCs w:val="0"/>
          <w:lang w:val="en-GB"/>
        </w:rPr>
      </w:pPr>
      <w:proofErr w:type="spellStart"/>
      <w:r w:rsidRPr="006E1670">
        <w:rPr>
          <w:rStyle w:val="Pogrubienie"/>
          <w:b w:val="0"/>
          <w:bCs w:val="0"/>
          <w:lang w:val="pl-PL"/>
        </w:rPr>
        <w:t>Sumets</w:t>
      </w:r>
      <w:proofErr w:type="spellEnd"/>
      <w:r w:rsidRPr="006E1670">
        <w:rPr>
          <w:rStyle w:val="Pogrubienie"/>
          <w:b w:val="0"/>
          <w:bCs w:val="0"/>
          <w:lang w:val="pl-PL"/>
        </w:rPr>
        <w:t xml:space="preserve">, A., </w:t>
      </w:r>
      <w:proofErr w:type="spellStart"/>
      <w:r w:rsidRPr="006E1670">
        <w:rPr>
          <w:rStyle w:val="Pogrubienie"/>
          <w:b w:val="0"/>
          <w:bCs w:val="0"/>
          <w:lang w:val="pl-PL"/>
        </w:rPr>
        <w:t>Tyrkalo</w:t>
      </w:r>
      <w:proofErr w:type="spellEnd"/>
      <w:r w:rsidRPr="006E1670">
        <w:rPr>
          <w:rStyle w:val="Pogrubienie"/>
          <w:b w:val="0"/>
          <w:bCs w:val="0"/>
          <w:lang w:val="pl-PL"/>
        </w:rPr>
        <w:t xml:space="preserve">, Y., </w:t>
      </w:r>
      <w:proofErr w:type="spellStart"/>
      <w:r w:rsidRPr="006E1670">
        <w:rPr>
          <w:rStyle w:val="Pogrubienie"/>
          <w:b w:val="0"/>
          <w:bCs w:val="0"/>
          <w:lang w:val="pl-PL"/>
        </w:rPr>
        <w:t>Popovych</w:t>
      </w:r>
      <w:proofErr w:type="spellEnd"/>
      <w:r w:rsidRPr="006E1670">
        <w:rPr>
          <w:rStyle w:val="Pogrubienie"/>
          <w:b w:val="0"/>
          <w:bCs w:val="0"/>
          <w:lang w:val="pl-PL"/>
        </w:rPr>
        <w:t xml:space="preserve">, N., </w:t>
      </w:r>
      <w:proofErr w:type="spellStart"/>
      <w:r w:rsidRPr="006E1670">
        <w:rPr>
          <w:rStyle w:val="Pogrubienie"/>
          <w:b w:val="0"/>
          <w:bCs w:val="0"/>
          <w:lang w:val="pl-PL"/>
        </w:rPr>
        <w:t>Poliakova</w:t>
      </w:r>
      <w:proofErr w:type="spellEnd"/>
      <w:r w:rsidRPr="006E1670">
        <w:rPr>
          <w:rStyle w:val="Pogrubienie"/>
          <w:b w:val="0"/>
          <w:bCs w:val="0"/>
          <w:lang w:val="pl-PL"/>
        </w:rPr>
        <w:t xml:space="preserve">, J., &amp; Krupin, V. (2022). </w:t>
      </w:r>
      <w:proofErr w:type="spellStart"/>
      <w:r w:rsidRPr="00396ECD">
        <w:rPr>
          <w:rStyle w:val="Pogrubienie"/>
          <w:b w:val="0"/>
          <w:bCs w:val="0"/>
          <w:lang w:val="en-GB"/>
        </w:rPr>
        <w:t>Modeling</w:t>
      </w:r>
      <w:proofErr w:type="spellEnd"/>
      <w:r w:rsidRPr="00396ECD">
        <w:rPr>
          <w:rStyle w:val="Pogrubienie"/>
          <w:b w:val="0"/>
          <w:bCs w:val="0"/>
          <w:lang w:val="en-GB"/>
        </w:rPr>
        <w:t xml:space="preserve"> of the environmental risk management system of </w:t>
      </w:r>
      <w:proofErr w:type="spellStart"/>
      <w:r w:rsidRPr="00396ECD">
        <w:rPr>
          <w:rStyle w:val="Pogrubienie"/>
          <w:b w:val="0"/>
          <w:bCs w:val="0"/>
          <w:lang w:val="en-GB"/>
        </w:rPr>
        <w:t>agroholdings</w:t>
      </w:r>
      <w:proofErr w:type="spellEnd"/>
      <w:r w:rsidRPr="00396ECD">
        <w:rPr>
          <w:rStyle w:val="Pogrubienie"/>
          <w:b w:val="0"/>
          <w:bCs w:val="0"/>
          <w:lang w:val="en-GB"/>
        </w:rPr>
        <w:t xml:space="preserve"> considering the sustainable development values. </w:t>
      </w:r>
      <w:r w:rsidRPr="00396ECD">
        <w:rPr>
          <w:rStyle w:val="Pogrubienie"/>
          <w:b w:val="0"/>
          <w:bCs w:val="0"/>
          <w:i/>
          <w:iCs/>
          <w:lang w:val="en-GB"/>
        </w:rPr>
        <w:t>Agricultural and Resource Economics: International Scientific E-Journal</w:t>
      </w:r>
      <w:r w:rsidRPr="00396ECD">
        <w:rPr>
          <w:rStyle w:val="Pogrubienie"/>
          <w:b w:val="0"/>
          <w:bCs w:val="0"/>
          <w:lang w:val="en-GB"/>
        </w:rPr>
        <w:t xml:space="preserve">, </w:t>
      </w:r>
      <w:r w:rsidRPr="00131DF1">
        <w:rPr>
          <w:rStyle w:val="Pogrubienie"/>
          <w:b w:val="0"/>
          <w:bCs w:val="0"/>
          <w:i/>
          <w:iCs/>
          <w:lang w:val="en-GB"/>
        </w:rPr>
        <w:t>8</w:t>
      </w:r>
      <w:r w:rsidRPr="00396ECD">
        <w:rPr>
          <w:rStyle w:val="Pogrubienie"/>
          <w:b w:val="0"/>
          <w:bCs w:val="0"/>
          <w:lang w:val="en-GB"/>
        </w:rPr>
        <w:t xml:space="preserve">(4), 244–265. </w:t>
      </w:r>
      <w:hyperlink r:id="rId58" w:history="1">
        <w:r w:rsidRPr="00396ECD">
          <w:rPr>
            <w:rStyle w:val="Hipercze"/>
            <w:color w:val="auto"/>
            <w:u w:val="none"/>
            <w:lang w:val="en-GB"/>
          </w:rPr>
          <w:t>https://doi.org/10.51599/are.2022.08.04.11</w:t>
        </w:r>
      </w:hyperlink>
    </w:p>
    <w:p w14:paraId="33E1A9BC" w14:textId="77777777" w:rsidR="00804164" w:rsidRPr="00396ECD" w:rsidRDefault="00804164" w:rsidP="009F5B13">
      <w:pPr>
        <w:pStyle w:val="Rlit"/>
        <w:rPr>
          <w:rStyle w:val="Pogrubienie"/>
          <w:b w:val="0"/>
          <w:bCs w:val="0"/>
          <w:lang w:val="en-GB"/>
        </w:rPr>
      </w:pPr>
      <w:r w:rsidRPr="00396ECD">
        <w:rPr>
          <w:rStyle w:val="Pogrubienie"/>
          <w:b w:val="0"/>
          <w:bCs w:val="0"/>
          <w:lang w:val="en-GB"/>
        </w:rPr>
        <w:lastRenderedPageBreak/>
        <w:t xml:space="preserve">Sydorchuk, O., </w:t>
      </w:r>
      <w:proofErr w:type="spellStart"/>
      <w:r w:rsidRPr="00396ECD">
        <w:rPr>
          <w:rStyle w:val="Pogrubienie"/>
          <w:b w:val="0"/>
          <w:bCs w:val="0"/>
          <w:lang w:val="en-GB"/>
        </w:rPr>
        <w:t>Kharechko</w:t>
      </w:r>
      <w:proofErr w:type="spellEnd"/>
      <w:r w:rsidRPr="00396ECD">
        <w:rPr>
          <w:rStyle w:val="Pogrubienie"/>
          <w:b w:val="0"/>
          <w:bCs w:val="0"/>
          <w:lang w:val="en-GB"/>
        </w:rPr>
        <w:t xml:space="preserve">, D., Khomenko, H., Akimova, L., </w:t>
      </w:r>
      <w:proofErr w:type="spellStart"/>
      <w:r w:rsidRPr="00396ECD">
        <w:rPr>
          <w:rStyle w:val="Pogrubienie"/>
          <w:b w:val="0"/>
          <w:bCs w:val="0"/>
          <w:lang w:val="en-GB"/>
        </w:rPr>
        <w:t>Kosarevych</w:t>
      </w:r>
      <w:proofErr w:type="spellEnd"/>
      <w:r w:rsidRPr="00396ECD">
        <w:rPr>
          <w:rStyle w:val="Pogrubienie"/>
          <w:b w:val="0"/>
          <w:bCs w:val="0"/>
          <w:lang w:val="en-GB"/>
        </w:rPr>
        <w:t xml:space="preserve">, N., &amp; Akimov, O. (2024). Competencies for sustainable financial and economic management: Their impact on human capital development and national security. </w:t>
      </w:r>
      <w:r w:rsidRPr="00396ECD">
        <w:rPr>
          <w:rStyle w:val="Pogrubienie"/>
          <w:b w:val="0"/>
          <w:bCs w:val="0"/>
          <w:i/>
          <w:iCs/>
          <w:lang w:val="en-GB"/>
        </w:rPr>
        <w:t>Edelweiss Applied Science and Technology</w:t>
      </w:r>
      <w:r w:rsidRPr="00396ECD">
        <w:rPr>
          <w:rStyle w:val="Pogrubienie"/>
          <w:b w:val="0"/>
          <w:bCs w:val="0"/>
          <w:lang w:val="en-GB"/>
        </w:rPr>
        <w:t xml:space="preserve">, </w:t>
      </w:r>
      <w:r w:rsidRPr="00131DF1">
        <w:rPr>
          <w:rStyle w:val="Pogrubienie"/>
          <w:b w:val="0"/>
          <w:bCs w:val="0"/>
          <w:i/>
          <w:iCs/>
          <w:lang w:val="en-GB"/>
        </w:rPr>
        <w:t>8</w:t>
      </w:r>
      <w:r w:rsidRPr="00396ECD">
        <w:rPr>
          <w:rStyle w:val="Pogrubienie"/>
          <w:b w:val="0"/>
          <w:bCs w:val="0"/>
          <w:lang w:val="en-GB"/>
        </w:rPr>
        <w:t xml:space="preserve">(6), 1445–1454. </w:t>
      </w:r>
      <w:hyperlink r:id="rId59" w:history="1">
        <w:r w:rsidRPr="00396ECD">
          <w:rPr>
            <w:rStyle w:val="Hipercze"/>
            <w:color w:val="auto"/>
            <w:u w:val="none"/>
            <w:lang w:val="en-GB"/>
          </w:rPr>
          <w:t>https://doi.org/10.55214/25768484.v8i6.2261</w:t>
        </w:r>
      </w:hyperlink>
    </w:p>
    <w:p w14:paraId="733964D7" w14:textId="34EDE466" w:rsidR="00804164" w:rsidRPr="00396ECD" w:rsidRDefault="00804164" w:rsidP="00131DF1">
      <w:pPr>
        <w:pStyle w:val="Rlit"/>
        <w:jc w:val="left"/>
        <w:rPr>
          <w:rStyle w:val="Hipercze"/>
          <w:color w:val="auto"/>
          <w:u w:val="none"/>
          <w:lang w:val="en-GB"/>
        </w:rPr>
      </w:pPr>
      <w:proofErr w:type="spellStart"/>
      <w:r w:rsidRPr="00396ECD">
        <w:rPr>
          <w:rStyle w:val="Hipercze"/>
          <w:color w:val="auto"/>
          <w:u w:val="none"/>
          <w:lang w:val="en-GB"/>
        </w:rPr>
        <w:t>Tataryntseva</w:t>
      </w:r>
      <w:proofErr w:type="spellEnd"/>
      <w:r w:rsidRPr="00396ECD">
        <w:rPr>
          <w:rStyle w:val="Hipercze"/>
          <w:color w:val="auto"/>
          <w:u w:val="none"/>
          <w:lang w:val="en-GB"/>
        </w:rPr>
        <w:t xml:space="preserve">, Y. (2025). Marketing and communication policy of startups: budgetary marketing tools of digital promotion on experience economy. </w:t>
      </w:r>
      <w:r w:rsidRPr="00396ECD">
        <w:rPr>
          <w:rStyle w:val="Hipercze"/>
          <w:i/>
          <w:iCs/>
          <w:color w:val="auto"/>
          <w:u w:val="none"/>
          <w:lang w:val="en-GB"/>
        </w:rPr>
        <w:t>Collection of Scientific Papers "Scientific Notes"</w:t>
      </w:r>
      <w:r w:rsidRPr="00131DF1">
        <w:rPr>
          <w:rStyle w:val="Hipercze"/>
          <w:color w:val="auto"/>
          <w:u w:val="none"/>
          <w:lang w:val="en-GB"/>
        </w:rPr>
        <w:t xml:space="preserve">, </w:t>
      </w:r>
      <w:r w:rsidRPr="00131DF1">
        <w:rPr>
          <w:rStyle w:val="Hipercze"/>
          <w:i/>
          <w:iCs/>
          <w:color w:val="auto"/>
          <w:u w:val="none"/>
          <w:lang w:val="en-GB"/>
        </w:rPr>
        <w:t>41</w:t>
      </w:r>
      <w:r w:rsidRPr="00396ECD">
        <w:rPr>
          <w:rStyle w:val="Hipercze"/>
          <w:color w:val="auto"/>
          <w:u w:val="none"/>
          <w:lang w:val="en-GB"/>
        </w:rPr>
        <w:t>(4), 366</w:t>
      </w:r>
      <w:r w:rsidR="00131DF1">
        <w:rPr>
          <w:rStyle w:val="Hipercze"/>
          <w:color w:val="auto"/>
          <w:u w:val="none"/>
          <w:lang w:val="en-GB"/>
        </w:rPr>
        <w:t>–</w:t>
      </w:r>
      <w:r w:rsidRPr="00396ECD">
        <w:rPr>
          <w:rStyle w:val="Hipercze"/>
          <w:color w:val="auto"/>
          <w:u w:val="none"/>
          <w:lang w:val="en-GB"/>
        </w:rPr>
        <w:t xml:space="preserve">375. </w:t>
      </w:r>
      <w:hyperlink r:id="rId60" w:history="1">
        <w:r w:rsidRPr="00396ECD">
          <w:rPr>
            <w:rStyle w:val="Hipercze"/>
            <w:color w:val="auto"/>
            <w:u w:val="none"/>
            <w:lang w:val="en-GB"/>
          </w:rPr>
          <w:t>http://doi.org/10.33111/vz_kneu.41.25.04.25.175.181</w:t>
        </w:r>
      </w:hyperlink>
    </w:p>
    <w:p w14:paraId="7BDE7A3F" w14:textId="612195F9" w:rsidR="00804164" w:rsidRPr="00396ECD" w:rsidRDefault="00804164" w:rsidP="009F5B13">
      <w:pPr>
        <w:pStyle w:val="Rlit"/>
        <w:rPr>
          <w:lang w:val="en-GB"/>
        </w:rPr>
      </w:pPr>
      <w:r w:rsidRPr="00396ECD">
        <w:rPr>
          <w:lang w:val="en-GB"/>
        </w:rPr>
        <w:t xml:space="preserve">TEUS. (2026). </w:t>
      </w:r>
      <w:r w:rsidRPr="00396ECD">
        <w:rPr>
          <w:i/>
          <w:iCs/>
          <w:lang w:val="en-GB"/>
        </w:rPr>
        <w:t xml:space="preserve">Forbes </w:t>
      </w:r>
      <w:proofErr w:type="spellStart"/>
      <w:r w:rsidRPr="00396ECD">
        <w:rPr>
          <w:i/>
          <w:iCs/>
          <w:lang w:val="en-GB"/>
        </w:rPr>
        <w:t>Agro</w:t>
      </w:r>
      <w:proofErr w:type="spellEnd"/>
      <w:r w:rsidRPr="00396ECD">
        <w:rPr>
          <w:i/>
          <w:iCs/>
          <w:lang w:val="en-GB"/>
        </w:rPr>
        <w:t xml:space="preserve"> 2026: How New Standards Are Reshaping Ukraine</w:t>
      </w:r>
      <w:r w:rsidR="00E975FE">
        <w:rPr>
          <w:i/>
          <w:iCs/>
          <w:lang w:val="en-GB"/>
        </w:rPr>
        <w:t>'</w:t>
      </w:r>
      <w:r w:rsidRPr="00396ECD">
        <w:rPr>
          <w:i/>
          <w:iCs/>
          <w:lang w:val="en-GB"/>
        </w:rPr>
        <w:t>s Agribusiness Model — and the Role of Logistics in This Transformation</w:t>
      </w:r>
      <w:r w:rsidRPr="00396ECD">
        <w:rPr>
          <w:lang w:val="en-GB"/>
        </w:rPr>
        <w:t xml:space="preserve">. </w:t>
      </w:r>
      <w:hyperlink r:id="rId61" w:tgtFrame="_blank" w:history="1">
        <w:r w:rsidRPr="00396ECD">
          <w:rPr>
            <w:lang w:val="en-GB"/>
          </w:rPr>
          <w:t>https://teus.com.ua/en/blog/forbes-agro-2026-how-new-standards-are-reshaping-ukraine-s-agribusiness-model-and-the-role-of-logist</w:t>
        </w:r>
      </w:hyperlink>
    </w:p>
    <w:p w14:paraId="2104C3B1" w14:textId="40403A14" w:rsidR="00804164" w:rsidRPr="00396ECD" w:rsidRDefault="00804164" w:rsidP="009F5B13">
      <w:pPr>
        <w:pStyle w:val="Rlit"/>
        <w:rPr>
          <w:lang w:val="en-GB"/>
        </w:rPr>
      </w:pPr>
      <w:r w:rsidRPr="00396ECD">
        <w:rPr>
          <w:lang w:val="en-GB"/>
        </w:rPr>
        <w:t>Tkachenko, S.E. (2025). Trends in the development of the digital economy in agriculture in Ukraine. Information technologies in the modern world: materials of the International Scientific and Practical Conference of Higher Education Applicants and Young Scientists, April 29, 2025. Kharkiv: DBTU. pp. 267</w:t>
      </w:r>
      <w:r w:rsidR="00131DF1">
        <w:rPr>
          <w:lang w:val="en-GB"/>
        </w:rPr>
        <w:t>–</w:t>
      </w:r>
      <w:r w:rsidRPr="00396ECD">
        <w:rPr>
          <w:lang w:val="en-GB"/>
        </w:rPr>
        <w:t xml:space="preserve">269. </w:t>
      </w:r>
      <w:hyperlink r:id="rId62" w:history="1">
        <w:r w:rsidRPr="00396ECD">
          <w:rPr>
            <w:rStyle w:val="Hipercze"/>
            <w:color w:val="auto"/>
            <w:u w:val="none"/>
            <w:lang w:val="en-GB"/>
          </w:rPr>
          <w:t>https://repo.btu.kharkiv.ua/handle/123456789/69097</w:t>
        </w:r>
      </w:hyperlink>
    </w:p>
    <w:p w14:paraId="4ED41A11" w14:textId="77777777" w:rsidR="00804164" w:rsidRPr="00396ECD" w:rsidRDefault="00804164" w:rsidP="009F5B13">
      <w:pPr>
        <w:pStyle w:val="Rlit"/>
        <w:rPr>
          <w:lang w:val="en-GB"/>
        </w:rPr>
      </w:pPr>
      <w:r w:rsidRPr="00396ECD">
        <w:rPr>
          <w:lang w:val="en-GB"/>
        </w:rPr>
        <w:t xml:space="preserve">Ukrainian Agribusiness Club (UCAB). (2026). </w:t>
      </w:r>
      <w:r w:rsidRPr="00396ECD">
        <w:rPr>
          <w:i/>
          <w:iCs/>
          <w:lang w:val="en-GB"/>
        </w:rPr>
        <w:t>Ukrainian agricultural outlook presented with key data for 2025</w:t>
      </w:r>
      <w:r w:rsidRPr="00396ECD">
        <w:rPr>
          <w:lang w:val="en-GB"/>
        </w:rPr>
        <w:t xml:space="preserve">. </w:t>
      </w:r>
      <w:hyperlink r:id="rId63" w:tgtFrame="_blank" w:history="1">
        <w:r w:rsidRPr="00396ECD">
          <w:rPr>
            <w:lang w:val="en-GB"/>
          </w:rPr>
          <w:t>https://ucab.ua/en/ucab-survey-en/ukrainian-agricultural-outlook-presented-with-key-data-for-2025</w:t>
        </w:r>
      </w:hyperlink>
    </w:p>
    <w:p w14:paraId="39F8E3EE" w14:textId="341C5DBF" w:rsidR="00804164" w:rsidRPr="00396ECD" w:rsidRDefault="00804164" w:rsidP="00131DF1">
      <w:pPr>
        <w:pStyle w:val="Rlit"/>
        <w:jc w:val="left"/>
        <w:rPr>
          <w:lang w:val="en-GB"/>
        </w:rPr>
      </w:pPr>
      <w:proofErr w:type="spellStart"/>
      <w:r w:rsidRPr="00396ECD">
        <w:rPr>
          <w:lang w:val="en-GB"/>
        </w:rPr>
        <w:t>Velychko</w:t>
      </w:r>
      <w:proofErr w:type="spellEnd"/>
      <w:r w:rsidRPr="00396ECD">
        <w:rPr>
          <w:lang w:val="en-GB"/>
        </w:rPr>
        <w:t xml:space="preserve">, Yu., &amp; Munka, S. (2023). Modern marketing strategies of agribusiness development in economically developed countries and possibilities of their implementation in Ukraine. </w:t>
      </w:r>
      <w:r w:rsidRPr="00396ECD">
        <w:rPr>
          <w:i/>
          <w:iCs/>
          <w:lang w:val="en-GB"/>
        </w:rPr>
        <w:t>Agrarian Economy</w:t>
      </w:r>
      <w:r w:rsidRPr="00396ECD">
        <w:rPr>
          <w:lang w:val="en-GB"/>
        </w:rPr>
        <w:t xml:space="preserve">, </w:t>
      </w:r>
      <w:r w:rsidRPr="00131DF1">
        <w:rPr>
          <w:i/>
          <w:iCs/>
          <w:lang w:val="en-GB"/>
        </w:rPr>
        <w:t>16</w:t>
      </w:r>
      <w:r w:rsidRPr="00396ECD">
        <w:rPr>
          <w:lang w:val="en-GB"/>
        </w:rPr>
        <w:t>(1</w:t>
      </w:r>
      <w:r w:rsidR="00131DF1">
        <w:rPr>
          <w:lang w:val="en-GB"/>
        </w:rPr>
        <w:t>–</w:t>
      </w:r>
      <w:r w:rsidRPr="00396ECD">
        <w:rPr>
          <w:lang w:val="en-GB"/>
        </w:rPr>
        <w:t>2), 118</w:t>
      </w:r>
      <w:r w:rsidR="00131DF1">
        <w:rPr>
          <w:lang w:val="en-GB"/>
        </w:rPr>
        <w:t>–</w:t>
      </w:r>
      <w:r w:rsidRPr="00396ECD">
        <w:rPr>
          <w:lang w:val="en-GB"/>
        </w:rPr>
        <w:t xml:space="preserve">124. </w:t>
      </w:r>
      <w:hyperlink r:id="rId64" w:history="1">
        <w:r w:rsidRPr="00396ECD">
          <w:rPr>
            <w:rStyle w:val="Hipercze"/>
            <w:color w:val="auto"/>
            <w:u w:val="none"/>
            <w:lang w:val="en-GB"/>
          </w:rPr>
          <w:t>https://doi.org/10.31734/agrarecon2023.01-02.118</w:t>
        </w:r>
      </w:hyperlink>
      <w:r w:rsidRPr="00396ECD">
        <w:rPr>
          <w:lang w:val="en-GB"/>
        </w:rPr>
        <w:t xml:space="preserve"> </w:t>
      </w:r>
    </w:p>
    <w:p w14:paraId="1C4CEE91" w14:textId="77777777" w:rsidR="00804164" w:rsidRPr="00396ECD" w:rsidRDefault="00804164" w:rsidP="009F5B13">
      <w:pPr>
        <w:pStyle w:val="Rlit"/>
        <w:rPr>
          <w:lang w:val="en-GB"/>
        </w:rPr>
      </w:pPr>
      <w:proofErr w:type="spellStart"/>
      <w:r w:rsidRPr="00396ECD">
        <w:rPr>
          <w:lang w:val="en-GB"/>
        </w:rPr>
        <w:t>Verdenhofa</w:t>
      </w:r>
      <w:proofErr w:type="spellEnd"/>
      <w:r w:rsidRPr="00396ECD">
        <w:rPr>
          <w:lang w:val="en-GB"/>
        </w:rPr>
        <w:t xml:space="preserve">, O., </w:t>
      </w:r>
      <w:proofErr w:type="spellStart"/>
      <w:r w:rsidRPr="00396ECD">
        <w:rPr>
          <w:lang w:val="en-GB"/>
        </w:rPr>
        <w:t>Afanas'jev</w:t>
      </w:r>
      <w:proofErr w:type="spellEnd"/>
      <w:r w:rsidRPr="00396ECD">
        <w:rPr>
          <w:lang w:val="en-GB"/>
        </w:rPr>
        <w:t xml:space="preserve">, M., Panchuk, A., </w:t>
      </w:r>
      <w:proofErr w:type="spellStart"/>
      <w:r w:rsidRPr="00396ECD">
        <w:rPr>
          <w:lang w:val="en-GB"/>
        </w:rPr>
        <w:t>Kotelnykova</w:t>
      </w:r>
      <w:proofErr w:type="spellEnd"/>
      <w:r w:rsidRPr="00396ECD">
        <w:rPr>
          <w:lang w:val="en-GB"/>
        </w:rPr>
        <w:t xml:space="preserve">, Iu., &amp; Chumak, G. (2018). The conceptual bases of introduction of foresight marketing into business management. </w:t>
      </w:r>
      <w:r w:rsidRPr="00396ECD">
        <w:rPr>
          <w:i/>
          <w:iCs/>
          <w:lang w:val="en-GB"/>
        </w:rPr>
        <w:t>Problems and Perspectives in Management</w:t>
      </w:r>
      <w:r w:rsidRPr="00131DF1">
        <w:rPr>
          <w:lang w:val="en-GB"/>
        </w:rPr>
        <w:t xml:space="preserve">, </w:t>
      </w:r>
      <w:r w:rsidRPr="00396ECD">
        <w:rPr>
          <w:i/>
          <w:iCs/>
          <w:lang w:val="en-GB"/>
        </w:rPr>
        <w:t>16</w:t>
      </w:r>
      <w:r w:rsidRPr="00396ECD">
        <w:rPr>
          <w:lang w:val="en-GB"/>
        </w:rPr>
        <w:t xml:space="preserve">(3), 163–173. </w:t>
      </w:r>
      <w:hyperlink r:id="rId65" w:tgtFrame="_blank" w:history="1">
        <w:r w:rsidRPr="00396ECD">
          <w:rPr>
            <w:lang w:val="en-GB"/>
          </w:rPr>
          <w:t>https://doi.org/10.21511/ppm.16(3).2018.13</w:t>
        </w:r>
      </w:hyperlink>
    </w:p>
    <w:p w14:paraId="4E68E0A1" w14:textId="3F45429A" w:rsidR="00804164" w:rsidRPr="00396ECD" w:rsidRDefault="00804164" w:rsidP="009F5B13">
      <w:pPr>
        <w:pStyle w:val="Rlit"/>
        <w:rPr>
          <w:rStyle w:val="Pogrubienie"/>
          <w:b w:val="0"/>
          <w:bCs w:val="0"/>
          <w:lang w:val="en-GB"/>
        </w:rPr>
      </w:pPr>
      <w:proofErr w:type="spellStart"/>
      <w:r w:rsidRPr="00396ECD">
        <w:rPr>
          <w:rStyle w:val="Pogrubienie"/>
          <w:b w:val="0"/>
          <w:bCs w:val="0"/>
          <w:lang w:val="en-GB"/>
        </w:rPr>
        <w:t>Zghurska</w:t>
      </w:r>
      <w:proofErr w:type="spellEnd"/>
      <w:r w:rsidRPr="00396ECD">
        <w:rPr>
          <w:rStyle w:val="Pogrubienie"/>
          <w:b w:val="0"/>
          <w:bCs w:val="0"/>
          <w:lang w:val="en-GB"/>
        </w:rPr>
        <w:t xml:space="preserve">, O., </w:t>
      </w:r>
      <w:proofErr w:type="spellStart"/>
      <w:r w:rsidRPr="00396ECD">
        <w:rPr>
          <w:rStyle w:val="Pogrubienie"/>
          <w:b w:val="0"/>
          <w:bCs w:val="0"/>
          <w:lang w:val="en-GB"/>
        </w:rPr>
        <w:t>Korchynska</w:t>
      </w:r>
      <w:proofErr w:type="spellEnd"/>
      <w:r w:rsidRPr="00396ECD">
        <w:rPr>
          <w:rStyle w:val="Pogrubienie"/>
          <w:b w:val="0"/>
          <w:bCs w:val="0"/>
          <w:lang w:val="en-GB"/>
        </w:rPr>
        <w:t xml:space="preserve">, O., Rubel, K., </w:t>
      </w:r>
      <w:proofErr w:type="spellStart"/>
      <w:r w:rsidRPr="00396ECD">
        <w:rPr>
          <w:rStyle w:val="Pogrubienie"/>
          <w:b w:val="0"/>
          <w:bCs w:val="0"/>
          <w:lang w:val="en-GB"/>
        </w:rPr>
        <w:t>Kubiv</w:t>
      </w:r>
      <w:proofErr w:type="spellEnd"/>
      <w:r w:rsidRPr="00396ECD">
        <w:rPr>
          <w:rStyle w:val="Pogrubienie"/>
          <w:b w:val="0"/>
          <w:bCs w:val="0"/>
          <w:lang w:val="en-GB"/>
        </w:rPr>
        <w:t xml:space="preserve">, S., Tarasiuk, A., &amp; </w:t>
      </w:r>
      <w:proofErr w:type="spellStart"/>
      <w:r w:rsidRPr="00396ECD">
        <w:rPr>
          <w:rStyle w:val="Pogrubienie"/>
          <w:b w:val="0"/>
          <w:bCs w:val="0"/>
          <w:lang w:val="en-GB"/>
        </w:rPr>
        <w:t>Holovchenko</w:t>
      </w:r>
      <w:proofErr w:type="spellEnd"/>
      <w:r w:rsidRPr="00396ECD">
        <w:rPr>
          <w:rStyle w:val="Pogrubienie"/>
          <w:b w:val="0"/>
          <w:bCs w:val="0"/>
          <w:lang w:val="en-GB"/>
        </w:rPr>
        <w:t xml:space="preserve">, O. (2022). Digitalization of the national agro-industrial complex: new challenges, realities and prospects. </w:t>
      </w:r>
      <w:r w:rsidRPr="00396ECD">
        <w:rPr>
          <w:rStyle w:val="Pogrubienie"/>
          <w:b w:val="0"/>
          <w:bCs w:val="0"/>
          <w:i/>
          <w:iCs/>
          <w:lang w:val="en-GB"/>
        </w:rPr>
        <w:t>Financial and Credit Activity Problems of Theory and Practice</w:t>
      </w:r>
      <w:r w:rsidRPr="00396ECD">
        <w:rPr>
          <w:rStyle w:val="Pogrubienie"/>
          <w:b w:val="0"/>
          <w:bCs w:val="0"/>
          <w:lang w:val="en-GB"/>
        </w:rPr>
        <w:t xml:space="preserve">, </w:t>
      </w:r>
      <w:r w:rsidRPr="00131DF1">
        <w:rPr>
          <w:rStyle w:val="Pogrubienie"/>
          <w:b w:val="0"/>
          <w:bCs w:val="0"/>
          <w:i/>
          <w:iCs/>
          <w:lang w:val="en-GB"/>
        </w:rPr>
        <w:t>6</w:t>
      </w:r>
      <w:r w:rsidRPr="00396ECD">
        <w:rPr>
          <w:rStyle w:val="Pogrubienie"/>
          <w:b w:val="0"/>
          <w:bCs w:val="0"/>
          <w:lang w:val="en-GB"/>
        </w:rPr>
        <w:t xml:space="preserve">(47), 388–399. </w:t>
      </w:r>
      <w:hyperlink r:id="rId66" w:history="1">
        <w:r w:rsidRPr="00396ECD">
          <w:rPr>
            <w:rStyle w:val="Hipercze"/>
            <w:color w:val="auto"/>
            <w:u w:val="none"/>
            <w:lang w:val="en-GB"/>
          </w:rPr>
          <w:t>https://doi.org/10.55643/fcaptp.6.47.2022.3929</w:t>
        </w:r>
      </w:hyperlink>
    </w:p>
    <w:p w14:paraId="287E63EB" w14:textId="4F71375D" w:rsidR="00804164" w:rsidRPr="00396ECD" w:rsidRDefault="00804164" w:rsidP="00131DF1">
      <w:pPr>
        <w:pStyle w:val="Rlit"/>
        <w:jc w:val="left"/>
        <w:rPr>
          <w:rStyle w:val="Hipercze"/>
          <w:color w:val="auto"/>
          <w:u w:val="none"/>
          <w:lang w:val="en-GB"/>
        </w:rPr>
      </w:pPr>
      <w:r w:rsidRPr="00544697">
        <w:rPr>
          <w:spacing w:val="-2"/>
          <w:lang w:val="en-GB"/>
        </w:rPr>
        <w:t xml:space="preserve">Zinchuk, T., &amp; </w:t>
      </w:r>
      <w:proofErr w:type="spellStart"/>
      <w:r w:rsidRPr="00544697">
        <w:rPr>
          <w:spacing w:val="-2"/>
          <w:lang w:val="en-GB"/>
        </w:rPr>
        <w:t>Kutsmus</w:t>
      </w:r>
      <w:proofErr w:type="spellEnd"/>
      <w:r w:rsidRPr="00544697">
        <w:rPr>
          <w:spacing w:val="-2"/>
          <w:lang w:val="en-GB"/>
        </w:rPr>
        <w:t>, N. (2023). EU common agricultural policy for 2023</w:t>
      </w:r>
      <w:r w:rsidR="008D7551" w:rsidRPr="00544697">
        <w:rPr>
          <w:spacing w:val="-2"/>
          <w:lang w:val="en-GB"/>
        </w:rPr>
        <w:t>–</w:t>
      </w:r>
      <w:r w:rsidRPr="00544697">
        <w:rPr>
          <w:spacing w:val="-2"/>
          <w:lang w:val="en-GB"/>
        </w:rPr>
        <w:t xml:space="preserve">2027: Ambitions and relevance to the sustainable development goals. </w:t>
      </w:r>
      <w:r w:rsidRPr="00544697">
        <w:rPr>
          <w:i/>
          <w:iCs/>
          <w:spacing w:val="-2"/>
          <w:lang w:val="en-GB"/>
        </w:rPr>
        <w:t>Economy of Ukraine</w:t>
      </w:r>
      <w:r w:rsidRPr="00544697">
        <w:rPr>
          <w:spacing w:val="-2"/>
          <w:lang w:val="en-GB"/>
        </w:rPr>
        <w:t xml:space="preserve">, </w:t>
      </w:r>
      <w:r w:rsidRPr="00544697">
        <w:rPr>
          <w:i/>
          <w:iCs/>
          <w:spacing w:val="-2"/>
          <w:lang w:val="en-GB"/>
        </w:rPr>
        <w:t>66</w:t>
      </w:r>
      <w:r w:rsidRPr="00544697">
        <w:rPr>
          <w:spacing w:val="-2"/>
          <w:lang w:val="en-GB"/>
        </w:rPr>
        <w:t>(11(744), 76–96</w:t>
      </w:r>
      <w:r w:rsidRPr="00396ECD">
        <w:rPr>
          <w:lang w:val="en-GB"/>
        </w:rPr>
        <w:t xml:space="preserve">. </w:t>
      </w:r>
      <w:r w:rsidR="00544697">
        <w:rPr>
          <w:lang w:val="en-GB"/>
        </w:rPr>
        <w:br/>
      </w:r>
      <w:r w:rsidRPr="00396ECD">
        <w:rPr>
          <w:lang w:val="en-GB"/>
        </w:rPr>
        <w:t>https://doi.org/10.15407/economyukr.2023.11.076</w:t>
      </w:r>
      <w:r w:rsidRPr="00396ECD">
        <w:rPr>
          <w:rStyle w:val="Hipercze"/>
          <w:color w:val="auto"/>
          <w:u w:val="none"/>
          <w:lang w:val="en-GB"/>
        </w:rPr>
        <w:t xml:space="preserve"> </w:t>
      </w:r>
    </w:p>
    <w:p w14:paraId="59FD79E0" w14:textId="77777777" w:rsidR="00CA5737" w:rsidRPr="00396ECD" w:rsidRDefault="00CA5737" w:rsidP="009F5B13">
      <w:pPr>
        <w:pStyle w:val="Rlit"/>
        <w:rPr>
          <w:rStyle w:val="Hipercze"/>
          <w:color w:val="auto"/>
          <w:u w:val="none"/>
          <w:lang w:val="en-GB"/>
        </w:rPr>
      </w:pPr>
    </w:p>
    <w:sectPr w:rsidR="00CA5737" w:rsidRPr="00396ECD" w:rsidSect="004443B6">
      <w:headerReference w:type="even" r:id="rId67"/>
      <w:headerReference w:type="default" r:id="rId68"/>
      <w:footerReference w:type="first" r:id="rId69"/>
      <w:pgSz w:w="11906" w:h="16838" w:code="9"/>
      <w:pgMar w:top="1134" w:right="1134" w:bottom="1134" w:left="1134" w:header="567" w:footer="567" w:gutter="0"/>
      <w:pgNumType w:start="516"/>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ABC8774" w14:textId="77777777" w:rsidR="007A7EFE" w:rsidRDefault="007A7EFE" w:rsidP="00216E1D">
      <w:r>
        <w:separator/>
      </w:r>
    </w:p>
  </w:endnote>
  <w:endnote w:type="continuationSeparator" w:id="0">
    <w:p w14:paraId="6553C2E0" w14:textId="77777777" w:rsidR="007A7EFE" w:rsidRDefault="007A7EFE" w:rsidP="00216E1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Calibri">
    <w:panose1 w:val="020F0502020204030204"/>
    <w:charset w:val="EE"/>
    <w:family w:val="swiss"/>
    <w:pitch w:val="variable"/>
    <w:sig w:usb0="E4002EFF" w:usb1="C0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mbria Math">
    <w:panose1 w:val="02040503050406030204"/>
    <w:charset w:val="EE"/>
    <w:family w:val="roman"/>
    <w:pitch w:val="variable"/>
    <w:sig w:usb0="E00006FF" w:usb1="420024FF" w:usb2="02000000" w:usb3="00000000" w:csb0="0000019F" w:csb1="00000000"/>
  </w:font>
  <w:font w:name="Arial">
    <w:panose1 w:val="020B0604020202020204"/>
    <w:charset w:val="EE"/>
    <w:family w:val="swiss"/>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ook w:val="04A0" w:firstRow="1" w:lastRow="0" w:firstColumn="1" w:lastColumn="0" w:noHBand="0" w:noVBand="1"/>
    </w:tblPr>
    <w:tblGrid>
      <w:gridCol w:w="1384"/>
      <w:gridCol w:w="5387"/>
    </w:tblGrid>
    <w:tr w:rsidR="00216E1D" w:rsidRPr="00F73C33" w14:paraId="4873AD16" w14:textId="77777777" w:rsidTr="00480248">
      <w:trPr>
        <w:trHeight w:val="198"/>
      </w:trPr>
      <w:tc>
        <w:tcPr>
          <w:tcW w:w="1384" w:type="dxa"/>
          <w:vAlign w:val="center"/>
        </w:tcPr>
        <w:p w14:paraId="57389986" w14:textId="77777777" w:rsidR="00216E1D" w:rsidRPr="00F73C33" w:rsidRDefault="00216E1D" w:rsidP="00216E1D">
          <w:pPr>
            <w:ind w:left="-108"/>
          </w:pPr>
          <w:bookmarkStart w:id="5" w:name="_Hlk104286226"/>
          <w:bookmarkStart w:id="6" w:name="_Hlk104286227"/>
          <w:bookmarkStart w:id="7" w:name="_Hlk154270864"/>
          <w:bookmarkStart w:id="8" w:name="_Hlk154270865"/>
          <w:r w:rsidRPr="00F73C33">
            <w:rPr>
              <w:noProof/>
            </w:rPr>
            <w:drawing>
              <wp:inline distT="0" distB="0" distL="0" distR="0" wp14:anchorId="332236E5" wp14:editId="42A0C4D6">
                <wp:extent cx="688975" cy="237490"/>
                <wp:effectExtent l="0" t="0" r="0" b="0"/>
                <wp:docPr id="984853052" name="Obraz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88975" cy="237490"/>
                        </a:xfrm>
                        <a:prstGeom prst="rect">
                          <a:avLst/>
                        </a:prstGeom>
                        <a:noFill/>
                        <a:ln>
                          <a:noFill/>
                        </a:ln>
                      </pic:spPr>
                    </pic:pic>
                  </a:graphicData>
                </a:graphic>
              </wp:inline>
            </w:drawing>
          </w:r>
        </w:p>
      </w:tc>
      <w:tc>
        <w:tcPr>
          <w:tcW w:w="5387" w:type="dxa"/>
          <w:vAlign w:val="center"/>
        </w:tcPr>
        <w:p w14:paraId="31669BCC" w14:textId="77777777" w:rsidR="00216E1D" w:rsidRPr="00F73C33" w:rsidRDefault="00216E1D" w:rsidP="00216E1D">
          <w:pPr>
            <w:suppressAutoHyphens/>
            <w:ind w:left="-79"/>
            <w:rPr>
              <w:sz w:val="18"/>
              <w:szCs w:val="18"/>
            </w:rPr>
          </w:pPr>
          <w:r w:rsidRPr="00F73C33">
            <w:rPr>
              <w:sz w:val="18"/>
              <w:szCs w:val="18"/>
            </w:rPr>
            <w:t xml:space="preserve">© 2026. </w:t>
          </w:r>
          <w:r w:rsidRPr="00F73C33">
            <w:rPr>
              <w:sz w:val="18"/>
              <w:szCs w:val="18"/>
            </w:rPr>
            <w:t>Author(s). This work is licensed under a Creative Commons Attribution 4.0 International License (CC BY-SA)</w:t>
          </w:r>
        </w:p>
      </w:tc>
    </w:tr>
    <w:bookmarkEnd w:id="5"/>
    <w:bookmarkEnd w:id="6"/>
    <w:bookmarkEnd w:id="7"/>
    <w:bookmarkEnd w:id="8"/>
  </w:tbl>
  <w:p w14:paraId="18C405E1" w14:textId="77777777" w:rsidR="00216E1D" w:rsidRPr="003206D3" w:rsidRDefault="00216E1D" w:rsidP="00216E1D">
    <w:pPr>
      <w:pStyle w:val="Stopka"/>
      <w:rPr>
        <w:sz w:val="8"/>
        <w:szCs w:val="8"/>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073B928" w14:textId="77777777" w:rsidR="007A7EFE" w:rsidRDefault="007A7EFE" w:rsidP="00216E1D">
      <w:r>
        <w:separator/>
      </w:r>
    </w:p>
  </w:footnote>
  <w:footnote w:type="continuationSeparator" w:id="0">
    <w:p w14:paraId="3DA010C1" w14:textId="77777777" w:rsidR="007A7EFE" w:rsidRDefault="007A7EFE" w:rsidP="00216E1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9639" w:type="dxa"/>
      <w:tblBorders>
        <w:bottom w:val="single" w:sz="8" w:space="0" w:color="auto"/>
      </w:tblBorders>
      <w:tblCellMar>
        <w:left w:w="0" w:type="dxa"/>
        <w:right w:w="0" w:type="dxa"/>
      </w:tblCellMar>
      <w:tblLook w:val="04A0" w:firstRow="1" w:lastRow="0" w:firstColumn="1" w:lastColumn="0" w:noHBand="0" w:noVBand="1"/>
    </w:tblPr>
    <w:tblGrid>
      <w:gridCol w:w="397"/>
      <w:gridCol w:w="9242"/>
    </w:tblGrid>
    <w:tr w:rsidR="00216E1D" w:rsidRPr="00076630" w14:paraId="0A538846" w14:textId="77777777" w:rsidTr="00480248">
      <w:trPr>
        <w:trHeight w:hRule="exact" w:val="284"/>
      </w:trPr>
      <w:tc>
        <w:tcPr>
          <w:tcW w:w="397" w:type="dxa"/>
          <w:vAlign w:val="center"/>
        </w:tcPr>
        <w:p w14:paraId="33B2C707" w14:textId="77777777" w:rsidR="00216E1D" w:rsidRPr="00076630" w:rsidRDefault="00216E1D" w:rsidP="00216E1D">
          <w:pPr>
            <w:pStyle w:val="Nagwek"/>
            <w:rPr>
              <w:rFonts w:ascii="Arial" w:hAnsi="Arial" w:cs="Arial"/>
              <w:i/>
              <w:sz w:val="20"/>
              <w:szCs w:val="20"/>
            </w:rPr>
          </w:pPr>
          <w:r w:rsidRPr="00076630">
            <w:rPr>
              <w:rFonts w:ascii="Arial" w:hAnsi="Arial" w:cs="Arial"/>
              <w:sz w:val="20"/>
              <w:szCs w:val="20"/>
            </w:rPr>
            <w:fldChar w:fldCharType="begin"/>
          </w:r>
          <w:r w:rsidRPr="00076630">
            <w:rPr>
              <w:rFonts w:ascii="Arial" w:hAnsi="Arial" w:cs="Arial"/>
              <w:sz w:val="20"/>
              <w:szCs w:val="20"/>
            </w:rPr>
            <w:instrText xml:space="preserve"> PAGE   \* MERGEFORMAT </w:instrText>
          </w:r>
          <w:r w:rsidRPr="00076630">
            <w:rPr>
              <w:rFonts w:ascii="Arial" w:hAnsi="Arial" w:cs="Arial"/>
              <w:sz w:val="20"/>
              <w:szCs w:val="20"/>
            </w:rPr>
            <w:fldChar w:fldCharType="separate"/>
          </w:r>
          <w:r>
            <w:rPr>
              <w:rFonts w:ascii="Arial" w:hAnsi="Arial" w:cs="Arial"/>
              <w:sz w:val="20"/>
              <w:szCs w:val="20"/>
            </w:rPr>
            <w:t>2</w:t>
          </w:r>
          <w:r w:rsidRPr="00076630">
            <w:rPr>
              <w:rFonts w:ascii="Arial" w:hAnsi="Arial" w:cs="Arial"/>
              <w:sz w:val="20"/>
              <w:szCs w:val="20"/>
            </w:rPr>
            <w:fldChar w:fldCharType="end"/>
          </w:r>
        </w:p>
      </w:tc>
      <w:tc>
        <w:tcPr>
          <w:tcW w:w="9242" w:type="dxa"/>
          <w:vAlign w:val="center"/>
        </w:tcPr>
        <w:p w14:paraId="6C8A2252" w14:textId="2DCA4D0C" w:rsidR="00216E1D" w:rsidRPr="00076630" w:rsidRDefault="00396ECD" w:rsidP="00216E1D">
          <w:pPr>
            <w:pStyle w:val="Nagwek"/>
            <w:jc w:val="center"/>
            <w:rPr>
              <w:rFonts w:ascii="Arial" w:hAnsi="Arial" w:cs="Arial"/>
              <w:i/>
              <w:sz w:val="20"/>
              <w:szCs w:val="20"/>
            </w:rPr>
          </w:pPr>
          <w:r w:rsidRPr="00396ECD">
            <w:rPr>
              <w:rFonts w:ascii="Arial" w:hAnsi="Arial" w:cs="Arial"/>
              <w:i/>
              <w:sz w:val="20"/>
              <w:szCs w:val="20"/>
            </w:rPr>
            <w:t>Viktoriia Danylenko</w:t>
          </w:r>
          <w:r w:rsidR="00216E1D" w:rsidRPr="00076630">
            <w:rPr>
              <w:rFonts w:ascii="Arial" w:hAnsi="Arial" w:cs="Arial"/>
              <w:i/>
              <w:sz w:val="20"/>
              <w:szCs w:val="20"/>
            </w:rPr>
            <w:t xml:space="preserve"> et al.</w:t>
          </w:r>
        </w:p>
      </w:tc>
    </w:tr>
  </w:tbl>
  <w:p w14:paraId="419F88DF" w14:textId="77777777" w:rsidR="00216E1D" w:rsidRPr="005265A7" w:rsidRDefault="00216E1D" w:rsidP="00216E1D">
    <w:pPr>
      <w:pStyle w:val="Nagwek"/>
      <w:rPr>
        <w:sz w:val="6"/>
        <w:szCs w:val="6"/>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9640" w:type="dxa"/>
      <w:jc w:val="right"/>
      <w:tblBorders>
        <w:bottom w:val="single" w:sz="8" w:space="0" w:color="auto"/>
      </w:tblBorders>
      <w:tblCellMar>
        <w:left w:w="0" w:type="dxa"/>
        <w:right w:w="0" w:type="dxa"/>
      </w:tblCellMar>
      <w:tblLook w:val="04A0" w:firstRow="1" w:lastRow="0" w:firstColumn="1" w:lastColumn="0" w:noHBand="0" w:noVBand="1"/>
    </w:tblPr>
    <w:tblGrid>
      <w:gridCol w:w="9243"/>
      <w:gridCol w:w="397"/>
    </w:tblGrid>
    <w:tr w:rsidR="00216E1D" w:rsidRPr="00C54BFB" w14:paraId="79E1E429" w14:textId="77777777" w:rsidTr="00480248">
      <w:trPr>
        <w:trHeight w:hRule="exact" w:val="284"/>
        <w:jc w:val="right"/>
      </w:trPr>
      <w:tc>
        <w:tcPr>
          <w:tcW w:w="9243" w:type="dxa"/>
          <w:vAlign w:val="center"/>
        </w:tcPr>
        <w:p w14:paraId="6583284E" w14:textId="76149116" w:rsidR="00216E1D" w:rsidRPr="006E1670" w:rsidRDefault="006E1670" w:rsidP="00216E1D">
          <w:pPr>
            <w:pStyle w:val="Nagwek"/>
            <w:jc w:val="center"/>
            <w:rPr>
              <w:rFonts w:ascii="Arial" w:hAnsi="Arial" w:cs="Arial"/>
              <w:i/>
              <w:sz w:val="20"/>
              <w:szCs w:val="12"/>
              <w:lang w:val="en-US"/>
            </w:rPr>
          </w:pPr>
          <w:r w:rsidRPr="006E1670">
            <w:rPr>
              <w:rFonts w:ascii="Arial" w:hAnsi="Arial" w:cs="Arial"/>
              <w:i/>
              <w:sz w:val="20"/>
              <w:szCs w:val="12"/>
            </w:rPr>
            <w:t xml:space="preserve">Marketing-Oriented </w:t>
          </w:r>
          <w:r w:rsidRPr="006E1670">
            <w:rPr>
              <w:rFonts w:ascii="Arial" w:hAnsi="Arial" w:cs="Arial"/>
              <w:i/>
              <w:sz w:val="20"/>
              <w:szCs w:val="12"/>
            </w:rPr>
            <w:t>Foresight as a Strategic Direction of Agrarian Enterprises' Activity</w:t>
          </w:r>
          <w:r>
            <w:rPr>
              <w:rFonts w:ascii="Arial" w:hAnsi="Arial" w:cs="Arial"/>
              <w:i/>
              <w:sz w:val="20"/>
              <w:szCs w:val="12"/>
              <w:lang w:val="en-US"/>
            </w:rPr>
            <w:t>…</w:t>
          </w:r>
        </w:p>
      </w:tc>
      <w:tc>
        <w:tcPr>
          <w:tcW w:w="397" w:type="dxa"/>
          <w:vAlign w:val="center"/>
        </w:tcPr>
        <w:p w14:paraId="73AE1ED6" w14:textId="77777777" w:rsidR="00216E1D" w:rsidRPr="00C54BFB" w:rsidRDefault="00216E1D" w:rsidP="00216E1D">
          <w:pPr>
            <w:pStyle w:val="Nagwek"/>
            <w:jc w:val="right"/>
            <w:rPr>
              <w:rFonts w:ascii="Arial" w:hAnsi="Arial" w:cs="Arial"/>
              <w:i/>
              <w:sz w:val="20"/>
              <w:szCs w:val="12"/>
            </w:rPr>
          </w:pPr>
          <w:r w:rsidRPr="00C54BFB">
            <w:rPr>
              <w:rFonts w:ascii="Arial" w:hAnsi="Arial" w:cs="Arial"/>
              <w:sz w:val="20"/>
              <w:szCs w:val="12"/>
            </w:rPr>
            <w:fldChar w:fldCharType="begin"/>
          </w:r>
          <w:r w:rsidRPr="00C54BFB">
            <w:rPr>
              <w:rFonts w:ascii="Arial" w:hAnsi="Arial" w:cs="Arial"/>
              <w:sz w:val="20"/>
              <w:szCs w:val="12"/>
            </w:rPr>
            <w:instrText xml:space="preserve"> PAGE   \* MERGEFORMAT </w:instrText>
          </w:r>
          <w:r w:rsidRPr="00C54BFB">
            <w:rPr>
              <w:rFonts w:ascii="Arial" w:hAnsi="Arial" w:cs="Arial"/>
              <w:sz w:val="20"/>
              <w:szCs w:val="12"/>
            </w:rPr>
            <w:fldChar w:fldCharType="separate"/>
          </w:r>
          <w:r>
            <w:rPr>
              <w:rFonts w:ascii="Arial" w:hAnsi="Arial" w:cs="Arial"/>
              <w:sz w:val="20"/>
              <w:szCs w:val="12"/>
            </w:rPr>
            <w:t>3</w:t>
          </w:r>
          <w:r w:rsidRPr="00C54BFB">
            <w:rPr>
              <w:rFonts w:ascii="Arial" w:hAnsi="Arial" w:cs="Arial"/>
              <w:sz w:val="20"/>
              <w:szCs w:val="12"/>
            </w:rPr>
            <w:fldChar w:fldCharType="end"/>
          </w:r>
        </w:p>
      </w:tc>
    </w:tr>
  </w:tbl>
  <w:p w14:paraId="69FAF2CD" w14:textId="77777777" w:rsidR="00216E1D" w:rsidRPr="00584564" w:rsidRDefault="00216E1D" w:rsidP="00216E1D">
    <w:pPr>
      <w:pStyle w:val="Nagwek"/>
      <w:rPr>
        <w:rFonts w:ascii="Arial" w:hAnsi="Arial" w:cs="Arial"/>
        <w:sz w:val="6"/>
        <w:szCs w:val="1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FA12FF"/>
    <w:multiLevelType w:val="multilevel"/>
    <w:tmpl w:val="006472E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07020F8C"/>
    <w:multiLevelType w:val="multilevel"/>
    <w:tmpl w:val="5ACEE4E4"/>
    <w:lvl w:ilvl="0">
      <w:start w:val="4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09FE0AD5"/>
    <w:multiLevelType w:val="multilevel"/>
    <w:tmpl w:val="83B65C70"/>
    <w:lvl w:ilvl="0">
      <w:start w:val="4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18B50993"/>
    <w:multiLevelType w:val="hybridMultilevel"/>
    <w:tmpl w:val="DB24A7B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1D7C4959"/>
    <w:multiLevelType w:val="hybridMultilevel"/>
    <w:tmpl w:val="44E21DB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21806D48"/>
    <w:multiLevelType w:val="hybridMultilevel"/>
    <w:tmpl w:val="542CA9E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28D8201F"/>
    <w:multiLevelType w:val="hybridMultilevel"/>
    <w:tmpl w:val="7C7ADA50"/>
    <w:lvl w:ilvl="0" w:tplc="27566844">
      <w:start w:val="1"/>
      <w:numFmt w:val="decimal"/>
      <w:lvlText w:val="(%1)"/>
      <w:lvlJc w:val="left"/>
      <w:pPr>
        <w:ind w:left="72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2C630195"/>
    <w:multiLevelType w:val="multilevel"/>
    <w:tmpl w:val="D66A5178"/>
    <w:lvl w:ilvl="0">
      <w:start w:val="5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382118D9"/>
    <w:multiLevelType w:val="multilevel"/>
    <w:tmpl w:val="F1B8AC80"/>
    <w:lvl w:ilvl="0">
      <w:start w:val="3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3BA154C9"/>
    <w:multiLevelType w:val="multilevel"/>
    <w:tmpl w:val="CFAC705C"/>
    <w:lvl w:ilvl="0">
      <w:start w:val="2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3BBA1F80"/>
    <w:multiLevelType w:val="multilevel"/>
    <w:tmpl w:val="46360DC8"/>
    <w:lvl w:ilvl="0">
      <w:start w:val="3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3CAC510B"/>
    <w:multiLevelType w:val="multilevel"/>
    <w:tmpl w:val="9C20DDAA"/>
    <w:lvl w:ilvl="0">
      <w:start w:val="49"/>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4D07391E"/>
    <w:multiLevelType w:val="multilevel"/>
    <w:tmpl w:val="E9CE3EC8"/>
    <w:lvl w:ilvl="0">
      <w:start w:val="39"/>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51BA0444"/>
    <w:multiLevelType w:val="multilevel"/>
    <w:tmpl w:val="A090424C"/>
    <w:lvl w:ilvl="0">
      <w:start w:val="4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54C84868"/>
    <w:multiLevelType w:val="multilevel"/>
    <w:tmpl w:val="EFD2CCA4"/>
    <w:lvl w:ilvl="0">
      <w:start w:val="2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15:restartNumberingAfterBreak="0">
    <w:nsid w:val="5A094D02"/>
    <w:multiLevelType w:val="multilevel"/>
    <w:tmpl w:val="21760452"/>
    <w:lvl w:ilvl="0">
      <w:start w:val="4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15:restartNumberingAfterBreak="0">
    <w:nsid w:val="63C664AC"/>
    <w:multiLevelType w:val="hybridMultilevel"/>
    <w:tmpl w:val="DE504F0E"/>
    <w:lvl w:ilvl="0" w:tplc="49721C86">
      <w:start w:val="1"/>
      <w:numFmt w:val="bullet"/>
      <w:lvlText w:val="●"/>
      <w:lvlJc w:val="left"/>
      <w:pPr>
        <w:ind w:left="720" w:hanging="360"/>
      </w:pPr>
    </w:lvl>
    <w:lvl w:ilvl="1" w:tplc="B7F6F332">
      <w:start w:val="1"/>
      <w:numFmt w:val="bullet"/>
      <w:lvlText w:val="○"/>
      <w:lvlJc w:val="left"/>
      <w:pPr>
        <w:ind w:left="1440" w:hanging="360"/>
      </w:pPr>
    </w:lvl>
    <w:lvl w:ilvl="2" w:tplc="8A904CD2">
      <w:start w:val="1"/>
      <w:numFmt w:val="bullet"/>
      <w:lvlText w:val="■"/>
      <w:lvlJc w:val="left"/>
      <w:pPr>
        <w:ind w:left="2160" w:hanging="360"/>
      </w:pPr>
    </w:lvl>
    <w:lvl w:ilvl="3" w:tplc="6FDA6CE8">
      <w:start w:val="1"/>
      <w:numFmt w:val="bullet"/>
      <w:lvlText w:val="●"/>
      <w:lvlJc w:val="left"/>
      <w:pPr>
        <w:ind w:left="2880" w:hanging="360"/>
      </w:pPr>
    </w:lvl>
    <w:lvl w:ilvl="4" w:tplc="61DEE3AA">
      <w:start w:val="1"/>
      <w:numFmt w:val="bullet"/>
      <w:lvlText w:val="○"/>
      <w:lvlJc w:val="left"/>
      <w:pPr>
        <w:ind w:left="3600" w:hanging="360"/>
      </w:pPr>
    </w:lvl>
    <w:lvl w:ilvl="5" w:tplc="B58C31E4">
      <w:start w:val="1"/>
      <w:numFmt w:val="bullet"/>
      <w:lvlText w:val="■"/>
      <w:lvlJc w:val="left"/>
      <w:pPr>
        <w:ind w:left="4320" w:hanging="360"/>
      </w:pPr>
    </w:lvl>
    <w:lvl w:ilvl="6" w:tplc="52144A8C">
      <w:start w:val="1"/>
      <w:numFmt w:val="bullet"/>
      <w:lvlText w:val="●"/>
      <w:lvlJc w:val="left"/>
      <w:pPr>
        <w:ind w:left="5040" w:hanging="360"/>
      </w:pPr>
    </w:lvl>
    <w:lvl w:ilvl="7" w:tplc="2F10D38E">
      <w:start w:val="1"/>
      <w:numFmt w:val="bullet"/>
      <w:lvlText w:val="●"/>
      <w:lvlJc w:val="left"/>
      <w:pPr>
        <w:ind w:left="5760" w:hanging="360"/>
      </w:pPr>
    </w:lvl>
    <w:lvl w:ilvl="8" w:tplc="AB94DBE0">
      <w:start w:val="1"/>
      <w:numFmt w:val="bullet"/>
      <w:lvlText w:val="●"/>
      <w:lvlJc w:val="left"/>
      <w:pPr>
        <w:ind w:left="6480" w:hanging="360"/>
      </w:pPr>
    </w:lvl>
  </w:abstractNum>
  <w:abstractNum w:abstractNumId="17" w15:restartNumberingAfterBreak="0">
    <w:nsid w:val="646D6C81"/>
    <w:multiLevelType w:val="multilevel"/>
    <w:tmpl w:val="C41C205C"/>
    <w:lvl w:ilvl="0">
      <w:start w:val="2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15:restartNumberingAfterBreak="0">
    <w:nsid w:val="69AD7198"/>
    <w:multiLevelType w:val="multilevel"/>
    <w:tmpl w:val="22B617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6A2C6D48"/>
    <w:multiLevelType w:val="multilevel"/>
    <w:tmpl w:val="42D69BC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15:restartNumberingAfterBreak="0">
    <w:nsid w:val="6CFB21F4"/>
    <w:multiLevelType w:val="multilevel"/>
    <w:tmpl w:val="A83EDDC6"/>
    <w:lvl w:ilvl="0">
      <w:start w:val="5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15:restartNumberingAfterBreak="0">
    <w:nsid w:val="6DC44734"/>
    <w:multiLevelType w:val="multilevel"/>
    <w:tmpl w:val="B65A10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70AF37AE"/>
    <w:multiLevelType w:val="multilevel"/>
    <w:tmpl w:val="9EC20F9A"/>
    <w:lvl w:ilvl="0">
      <w:start w:val="2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 w15:restartNumberingAfterBreak="0">
    <w:nsid w:val="7562758F"/>
    <w:multiLevelType w:val="multilevel"/>
    <w:tmpl w:val="8FC27346"/>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4" w15:restartNumberingAfterBreak="0">
    <w:nsid w:val="7B08326E"/>
    <w:multiLevelType w:val="hybridMultilevel"/>
    <w:tmpl w:val="A11C1FE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5" w15:restartNumberingAfterBreak="0">
    <w:nsid w:val="7F802D58"/>
    <w:multiLevelType w:val="multilevel"/>
    <w:tmpl w:val="80C6AEF0"/>
    <w:lvl w:ilvl="0">
      <w:start w:val="4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1551720197">
    <w:abstractNumId w:val="16"/>
    <w:lvlOverride w:ilvl="0">
      <w:startOverride w:val="1"/>
    </w:lvlOverride>
  </w:num>
  <w:num w:numId="2" w16cid:durableId="2023968980">
    <w:abstractNumId w:val="6"/>
  </w:num>
  <w:num w:numId="3" w16cid:durableId="1806852026">
    <w:abstractNumId w:val="3"/>
  </w:num>
  <w:num w:numId="4" w16cid:durableId="1929390365">
    <w:abstractNumId w:val="4"/>
  </w:num>
  <w:num w:numId="5" w16cid:durableId="1947882021">
    <w:abstractNumId w:val="19"/>
  </w:num>
  <w:num w:numId="6" w16cid:durableId="1513717734">
    <w:abstractNumId w:val="22"/>
  </w:num>
  <w:num w:numId="7" w16cid:durableId="616914629">
    <w:abstractNumId w:val="17"/>
  </w:num>
  <w:num w:numId="8" w16cid:durableId="1179545802">
    <w:abstractNumId w:val="9"/>
  </w:num>
  <w:num w:numId="9" w16cid:durableId="1340083420">
    <w:abstractNumId w:val="14"/>
  </w:num>
  <w:num w:numId="10" w16cid:durableId="1092168061">
    <w:abstractNumId w:val="10"/>
  </w:num>
  <w:num w:numId="11" w16cid:durableId="1715540338">
    <w:abstractNumId w:val="8"/>
  </w:num>
  <w:num w:numId="12" w16cid:durableId="1366563802">
    <w:abstractNumId w:val="12"/>
  </w:num>
  <w:num w:numId="13" w16cid:durableId="1721435093">
    <w:abstractNumId w:val="1"/>
  </w:num>
  <w:num w:numId="14" w16cid:durableId="93131502">
    <w:abstractNumId w:val="15"/>
  </w:num>
  <w:num w:numId="15" w16cid:durableId="310335390">
    <w:abstractNumId w:val="25"/>
  </w:num>
  <w:num w:numId="16" w16cid:durableId="1231693019">
    <w:abstractNumId w:val="13"/>
  </w:num>
  <w:num w:numId="17" w16cid:durableId="1238058021">
    <w:abstractNumId w:val="2"/>
  </w:num>
  <w:num w:numId="18" w16cid:durableId="1998146623">
    <w:abstractNumId w:val="11"/>
  </w:num>
  <w:num w:numId="19" w16cid:durableId="1766344029">
    <w:abstractNumId w:val="20"/>
  </w:num>
  <w:num w:numId="20" w16cid:durableId="680817098">
    <w:abstractNumId w:val="7"/>
  </w:num>
  <w:num w:numId="21" w16cid:durableId="982350954">
    <w:abstractNumId w:val="0"/>
  </w:num>
  <w:num w:numId="22" w16cid:durableId="451830809">
    <w:abstractNumId w:val="23"/>
  </w:num>
  <w:num w:numId="23" w16cid:durableId="375738431">
    <w:abstractNumId w:val="21"/>
  </w:num>
  <w:num w:numId="24" w16cid:durableId="381636807">
    <w:abstractNumId w:val="18"/>
  </w:num>
  <w:num w:numId="25" w16cid:durableId="354307333">
    <w:abstractNumId w:val="24"/>
  </w:num>
  <w:num w:numId="26" w16cid:durableId="1453093135">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80"/>
  <w:displayBackgroundShape/>
  <w:mirrorMargins/>
  <w:hideSpellingErrors/>
  <w:hideGrammaticalErrors/>
  <w:proofState w:spelling="clean"/>
  <w:defaultTabStop w:val="708"/>
  <w:autoHyphenation/>
  <w:hyphenationZone w:val="425"/>
  <w:evenAndOddHeaders/>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xMjeyMDSxMDC0NLG0NDdW0lEKTi0uzszPAykwrAUANZ/4OiwAAAA="/>
  </w:docVars>
  <w:rsids>
    <w:rsidRoot w:val="00751F61"/>
    <w:rsid w:val="0001634E"/>
    <w:rsid w:val="0003326B"/>
    <w:rsid w:val="00082C47"/>
    <w:rsid w:val="000B19A3"/>
    <w:rsid w:val="000C0D90"/>
    <w:rsid w:val="000D48E3"/>
    <w:rsid w:val="000F392C"/>
    <w:rsid w:val="00112BF0"/>
    <w:rsid w:val="00116981"/>
    <w:rsid w:val="0012711B"/>
    <w:rsid w:val="00131DF1"/>
    <w:rsid w:val="001468C0"/>
    <w:rsid w:val="001820A0"/>
    <w:rsid w:val="001A6E86"/>
    <w:rsid w:val="001B5866"/>
    <w:rsid w:val="001C16E5"/>
    <w:rsid w:val="001E37B0"/>
    <w:rsid w:val="001F3AF8"/>
    <w:rsid w:val="00202C34"/>
    <w:rsid w:val="00204753"/>
    <w:rsid w:val="00207AE5"/>
    <w:rsid w:val="00216E1D"/>
    <w:rsid w:val="002305BA"/>
    <w:rsid w:val="00264180"/>
    <w:rsid w:val="00272671"/>
    <w:rsid w:val="00273A4F"/>
    <w:rsid w:val="00280F7B"/>
    <w:rsid w:val="002A2803"/>
    <w:rsid w:val="002C5607"/>
    <w:rsid w:val="002C6D8F"/>
    <w:rsid w:val="002D2110"/>
    <w:rsid w:val="002D2BB1"/>
    <w:rsid w:val="002D5C39"/>
    <w:rsid w:val="002E0BB9"/>
    <w:rsid w:val="002E16AC"/>
    <w:rsid w:val="002E23E2"/>
    <w:rsid w:val="00300FCB"/>
    <w:rsid w:val="00304748"/>
    <w:rsid w:val="003129C1"/>
    <w:rsid w:val="003177A2"/>
    <w:rsid w:val="003365BA"/>
    <w:rsid w:val="00344843"/>
    <w:rsid w:val="003500C3"/>
    <w:rsid w:val="00360E20"/>
    <w:rsid w:val="00385D5E"/>
    <w:rsid w:val="00396ECD"/>
    <w:rsid w:val="003B0AFB"/>
    <w:rsid w:val="003C338B"/>
    <w:rsid w:val="003D38D8"/>
    <w:rsid w:val="003F13E8"/>
    <w:rsid w:val="00425B08"/>
    <w:rsid w:val="004443B6"/>
    <w:rsid w:val="00445E19"/>
    <w:rsid w:val="0045509D"/>
    <w:rsid w:val="00460C45"/>
    <w:rsid w:val="00486869"/>
    <w:rsid w:val="00492791"/>
    <w:rsid w:val="004B68EB"/>
    <w:rsid w:val="004D53D1"/>
    <w:rsid w:val="004D55A8"/>
    <w:rsid w:val="004E3360"/>
    <w:rsid w:val="004F769F"/>
    <w:rsid w:val="00501300"/>
    <w:rsid w:val="00501662"/>
    <w:rsid w:val="005021CF"/>
    <w:rsid w:val="005123FD"/>
    <w:rsid w:val="00525D88"/>
    <w:rsid w:val="00544697"/>
    <w:rsid w:val="00581C45"/>
    <w:rsid w:val="00587E57"/>
    <w:rsid w:val="00596124"/>
    <w:rsid w:val="005A0F8B"/>
    <w:rsid w:val="005B55A8"/>
    <w:rsid w:val="005B6ECD"/>
    <w:rsid w:val="005C67CB"/>
    <w:rsid w:val="005D3DBB"/>
    <w:rsid w:val="005E09EB"/>
    <w:rsid w:val="005E3CEE"/>
    <w:rsid w:val="005E76B5"/>
    <w:rsid w:val="00613261"/>
    <w:rsid w:val="006164C1"/>
    <w:rsid w:val="006215D1"/>
    <w:rsid w:val="00626C63"/>
    <w:rsid w:val="00637E82"/>
    <w:rsid w:val="00643EE3"/>
    <w:rsid w:val="0065710C"/>
    <w:rsid w:val="006857F0"/>
    <w:rsid w:val="00693555"/>
    <w:rsid w:val="0069413E"/>
    <w:rsid w:val="006C3CA4"/>
    <w:rsid w:val="006D22C0"/>
    <w:rsid w:val="006E1670"/>
    <w:rsid w:val="006E1B99"/>
    <w:rsid w:val="0070440C"/>
    <w:rsid w:val="00723474"/>
    <w:rsid w:val="0073745F"/>
    <w:rsid w:val="00741BD3"/>
    <w:rsid w:val="0075053C"/>
    <w:rsid w:val="007507EA"/>
    <w:rsid w:val="00751F61"/>
    <w:rsid w:val="007559B4"/>
    <w:rsid w:val="00764058"/>
    <w:rsid w:val="00765A70"/>
    <w:rsid w:val="007902B4"/>
    <w:rsid w:val="007A7EFE"/>
    <w:rsid w:val="007C2F58"/>
    <w:rsid w:val="007D007F"/>
    <w:rsid w:val="007E0240"/>
    <w:rsid w:val="007E4F35"/>
    <w:rsid w:val="007E7315"/>
    <w:rsid w:val="00804164"/>
    <w:rsid w:val="0082090A"/>
    <w:rsid w:val="00822AF7"/>
    <w:rsid w:val="008311BC"/>
    <w:rsid w:val="00850D13"/>
    <w:rsid w:val="00882FF9"/>
    <w:rsid w:val="0088571B"/>
    <w:rsid w:val="0089472B"/>
    <w:rsid w:val="008B2903"/>
    <w:rsid w:val="008C0B2B"/>
    <w:rsid w:val="008C6C15"/>
    <w:rsid w:val="008D16B6"/>
    <w:rsid w:val="008D7551"/>
    <w:rsid w:val="008F1495"/>
    <w:rsid w:val="008F317A"/>
    <w:rsid w:val="00922283"/>
    <w:rsid w:val="0094554A"/>
    <w:rsid w:val="0095507A"/>
    <w:rsid w:val="00960A57"/>
    <w:rsid w:val="0097362D"/>
    <w:rsid w:val="00995282"/>
    <w:rsid w:val="009C2C1A"/>
    <w:rsid w:val="009C3546"/>
    <w:rsid w:val="009E1A63"/>
    <w:rsid w:val="009F249E"/>
    <w:rsid w:val="009F5B13"/>
    <w:rsid w:val="00A03F83"/>
    <w:rsid w:val="00A26214"/>
    <w:rsid w:val="00A55BC5"/>
    <w:rsid w:val="00A57DFE"/>
    <w:rsid w:val="00A65874"/>
    <w:rsid w:val="00A752BA"/>
    <w:rsid w:val="00A778DB"/>
    <w:rsid w:val="00A805C9"/>
    <w:rsid w:val="00A86EBA"/>
    <w:rsid w:val="00AD0D79"/>
    <w:rsid w:val="00AE21D1"/>
    <w:rsid w:val="00AE2DBB"/>
    <w:rsid w:val="00AE3341"/>
    <w:rsid w:val="00B046DA"/>
    <w:rsid w:val="00B07B7D"/>
    <w:rsid w:val="00B224AA"/>
    <w:rsid w:val="00B4097F"/>
    <w:rsid w:val="00B557EB"/>
    <w:rsid w:val="00B60EAE"/>
    <w:rsid w:val="00B7620A"/>
    <w:rsid w:val="00BB511D"/>
    <w:rsid w:val="00BB612F"/>
    <w:rsid w:val="00BB6EBF"/>
    <w:rsid w:val="00BC340C"/>
    <w:rsid w:val="00BC3836"/>
    <w:rsid w:val="00C12399"/>
    <w:rsid w:val="00C14521"/>
    <w:rsid w:val="00C17DF1"/>
    <w:rsid w:val="00C3576A"/>
    <w:rsid w:val="00C5507A"/>
    <w:rsid w:val="00C55B9B"/>
    <w:rsid w:val="00C733E9"/>
    <w:rsid w:val="00C94533"/>
    <w:rsid w:val="00C95604"/>
    <w:rsid w:val="00C97D60"/>
    <w:rsid w:val="00CA5737"/>
    <w:rsid w:val="00CB7484"/>
    <w:rsid w:val="00CC4356"/>
    <w:rsid w:val="00D046F8"/>
    <w:rsid w:val="00D21320"/>
    <w:rsid w:val="00D24CBB"/>
    <w:rsid w:val="00D31D51"/>
    <w:rsid w:val="00D422D8"/>
    <w:rsid w:val="00D55A99"/>
    <w:rsid w:val="00D605A7"/>
    <w:rsid w:val="00D6127A"/>
    <w:rsid w:val="00D65F3A"/>
    <w:rsid w:val="00D74FA9"/>
    <w:rsid w:val="00DA6A9F"/>
    <w:rsid w:val="00DC477C"/>
    <w:rsid w:val="00DC5361"/>
    <w:rsid w:val="00DD2759"/>
    <w:rsid w:val="00DE45A1"/>
    <w:rsid w:val="00DF76E5"/>
    <w:rsid w:val="00E0120B"/>
    <w:rsid w:val="00E07B09"/>
    <w:rsid w:val="00E33CEB"/>
    <w:rsid w:val="00E34B0C"/>
    <w:rsid w:val="00E975FE"/>
    <w:rsid w:val="00ED099C"/>
    <w:rsid w:val="00EE6470"/>
    <w:rsid w:val="00EF27FF"/>
    <w:rsid w:val="00EF5496"/>
    <w:rsid w:val="00F22B43"/>
    <w:rsid w:val="00F52FFD"/>
    <w:rsid w:val="00F6706E"/>
    <w:rsid w:val="00FA4503"/>
    <w:rsid w:val="00FB53B4"/>
    <w:rsid w:val="00FF64E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4D3236F"/>
  <w15:docId w15:val="{0206E139-28EA-564F-9781-2A38F70EFB1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sz w:val="24"/>
        <w:szCs w:val="24"/>
        <w:lang w:val="ru-RU" w:eastAsia="ru-RU" w:bidi="ar-SA"/>
      </w:rPr>
    </w:rPrDefault>
    <w:pPrDefault/>
  </w:docDefaults>
  <w:latentStyles w:defLockedState="0" w:defUIPriority="99" w:defSemiHidden="0" w:defUnhideWhenUsed="0" w:defQFormat="0" w:count="376">
    <w:lsdException w:name="Normal" w:uiPriority="0" w:qFormat="1"/>
    <w:lsdException w:name="heading 1" w:uiPriority="9"/>
    <w:lsdException w:name="heading 2" w:semiHidden="1" w:uiPriority="9" w:unhideWhenUsed="1"/>
    <w:lsdException w:name="heading 3" w:semiHidden="1" w:uiPriority="9" w:unhideWhenUsed="1"/>
    <w:lsdException w:name="heading 4" w:semiHidden="1" w:uiPriority="9" w:unhideWhenUsed="1"/>
    <w:lsdException w:name="heading 5" w:semiHidden="1" w:uiPriority="9" w:unhideWhenUsed="1"/>
    <w:lsdException w:name="heading 6" w:semiHidden="1" w:uiPriority="9" w:unhideWhenUsed="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style>
  <w:style w:type="paragraph" w:styleId="Nagwek1">
    <w:name w:val="heading 1"/>
    <w:pPr>
      <w:outlineLvl w:val="0"/>
    </w:pPr>
    <w:rPr>
      <w:color w:val="2E74B5"/>
      <w:sz w:val="32"/>
      <w:szCs w:val="32"/>
    </w:rPr>
  </w:style>
  <w:style w:type="paragraph" w:styleId="Nagwek2">
    <w:name w:val="heading 2"/>
    <w:pPr>
      <w:outlineLvl w:val="1"/>
    </w:pPr>
    <w:rPr>
      <w:color w:val="2E74B5"/>
      <w:sz w:val="26"/>
      <w:szCs w:val="26"/>
    </w:rPr>
  </w:style>
  <w:style w:type="paragraph" w:styleId="Nagwek3">
    <w:name w:val="heading 3"/>
    <w:pPr>
      <w:outlineLvl w:val="2"/>
    </w:pPr>
    <w:rPr>
      <w:color w:val="1F4D78"/>
    </w:rPr>
  </w:style>
  <w:style w:type="paragraph" w:styleId="Nagwek4">
    <w:name w:val="heading 4"/>
    <w:pPr>
      <w:outlineLvl w:val="3"/>
    </w:pPr>
    <w:rPr>
      <w:i/>
      <w:iCs/>
      <w:color w:val="2E74B5"/>
    </w:rPr>
  </w:style>
  <w:style w:type="paragraph" w:styleId="Nagwek5">
    <w:name w:val="heading 5"/>
    <w:pPr>
      <w:outlineLvl w:val="4"/>
    </w:pPr>
    <w:rPr>
      <w:color w:val="2E74B5"/>
    </w:rPr>
  </w:style>
  <w:style w:type="paragraph" w:styleId="Nagwek6">
    <w:name w:val="heading 6"/>
    <w:pPr>
      <w:outlineLvl w:val="5"/>
    </w:pPr>
    <w:rPr>
      <w:color w:val="1F4D78"/>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Tytu">
    <w:name w:val="Title"/>
    <w:qFormat/>
    <w:rPr>
      <w:sz w:val="56"/>
      <w:szCs w:val="56"/>
    </w:rPr>
  </w:style>
  <w:style w:type="paragraph" w:customStyle="1" w:styleId="1">
    <w:name w:val="Строгий1"/>
    <w:qFormat/>
    <w:rPr>
      <w:b/>
      <w:bCs/>
    </w:rPr>
  </w:style>
  <w:style w:type="paragraph" w:styleId="Akapitzlist">
    <w:name w:val="List Paragraph"/>
  </w:style>
  <w:style w:type="character" w:styleId="Hipercze">
    <w:name w:val="Hyperlink"/>
    <w:uiPriority w:val="99"/>
    <w:unhideWhenUsed/>
    <w:rPr>
      <w:color w:val="0563C1"/>
      <w:u w:val="single"/>
    </w:rPr>
  </w:style>
  <w:style w:type="character" w:styleId="Odwoanieprzypisudolnego">
    <w:name w:val="footnote reference"/>
    <w:uiPriority w:val="99"/>
    <w:semiHidden/>
    <w:unhideWhenUsed/>
    <w:rPr>
      <w:vertAlign w:val="superscript"/>
    </w:rPr>
  </w:style>
  <w:style w:type="paragraph" w:styleId="Tekstprzypisudolnego">
    <w:name w:val="footnote text"/>
    <w:link w:val="TekstprzypisudolnegoZnak"/>
    <w:uiPriority w:val="99"/>
    <w:semiHidden/>
    <w:unhideWhenUsed/>
    <w:rPr>
      <w:sz w:val="20"/>
      <w:szCs w:val="20"/>
    </w:rPr>
  </w:style>
  <w:style w:type="character" w:customStyle="1" w:styleId="TekstprzypisudolnegoZnak">
    <w:name w:val="Tekst przypisu dolnego Znak"/>
    <w:link w:val="Tekstprzypisudolnego"/>
    <w:uiPriority w:val="99"/>
    <w:semiHidden/>
    <w:unhideWhenUsed/>
    <w:rPr>
      <w:sz w:val="20"/>
      <w:szCs w:val="20"/>
    </w:rPr>
  </w:style>
  <w:style w:type="character" w:styleId="Odwoanieprzypisukocowego">
    <w:name w:val="endnote reference"/>
    <w:uiPriority w:val="99"/>
    <w:semiHidden/>
    <w:unhideWhenUsed/>
    <w:rPr>
      <w:vertAlign w:val="superscript"/>
    </w:rPr>
  </w:style>
  <w:style w:type="paragraph" w:styleId="Tekstprzypisukocowego">
    <w:name w:val="endnote text"/>
    <w:link w:val="TekstprzypisukocowegoZnak"/>
    <w:uiPriority w:val="99"/>
    <w:semiHidden/>
    <w:unhideWhenUsed/>
    <w:rPr>
      <w:sz w:val="20"/>
      <w:szCs w:val="20"/>
    </w:rPr>
  </w:style>
  <w:style w:type="character" w:customStyle="1" w:styleId="TekstprzypisukocowegoZnak">
    <w:name w:val="Tekst przypisu końcowego Znak"/>
    <w:link w:val="Tekstprzypisukocowego"/>
    <w:uiPriority w:val="99"/>
    <w:semiHidden/>
    <w:unhideWhenUsed/>
    <w:rPr>
      <w:sz w:val="20"/>
      <w:szCs w:val="20"/>
    </w:rPr>
  </w:style>
  <w:style w:type="paragraph" w:styleId="Tekstdymka">
    <w:name w:val="Balloon Text"/>
    <w:basedOn w:val="Normalny"/>
    <w:link w:val="TekstdymkaZnak"/>
    <w:uiPriority w:val="99"/>
    <w:semiHidden/>
    <w:unhideWhenUsed/>
    <w:rsid w:val="00425B08"/>
    <w:rPr>
      <w:rFonts w:ascii="Tahoma" w:hAnsi="Tahoma" w:cs="Tahoma"/>
      <w:sz w:val="16"/>
      <w:szCs w:val="16"/>
    </w:rPr>
  </w:style>
  <w:style w:type="character" w:customStyle="1" w:styleId="TekstdymkaZnak">
    <w:name w:val="Tekst dymka Znak"/>
    <w:basedOn w:val="Domylnaczcionkaakapitu"/>
    <w:link w:val="Tekstdymka"/>
    <w:uiPriority w:val="99"/>
    <w:semiHidden/>
    <w:rsid w:val="00425B08"/>
    <w:rPr>
      <w:rFonts w:ascii="Tahoma" w:hAnsi="Tahoma" w:cs="Tahoma"/>
      <w:sz w:val="16"/>
      <w:szCs w:val="16"/>
    </w:rPr>
  </w:style>
  <w:style w:type="character" w:styleId="Pogrubienie">
    <w:name w:val="Strong"/>
    <w:basedOn w:val="Domylnaczcionkaakapitu"/>
    <w:uiPriority w:val="22"/>
    <w:qFormat/>
    <w:rsid w:val="0003326B"/>
    <w:rPr>
      <w:b/>
      <w:bCs/>
    </w:rPr>
  </w:style>
  <w:style w:type="paragraph" w:styleId="NormalnyWeb">
    <w:name w:val="Normal (Web)"/>
    <w:basedOn w:val="Normalny"/>
    <w:uiPriority w:val="99"/>
    <w:unhideWhenUsed/>
    <w:rsid w:val="00FF64E5"/>
    <w:pPr>
      <w:spacing w:before="100" w:beforeAutospacing="1" w:after="100" w:afterAutospacing="1"/>
    </w:pPr>
  </w:style>
  <w:style w:type="character" w:styleId="Uwydatnienie">
    <w:name w:val="Emphasis"/>
    <w:basedOn w:val="Domylnaczcionkaakapitu"/>
    <w:uiPriority w:val="20"/>
    <w:qFormat/>
    <w:rsid w:val="00FF64E5"/>
    <w:rPr>
      <w:i/>
      <w:iCs/>
    </w:rPr>
  </w:style>
  <w:style w:type="character" w:customStyle="1" w:styleId="eq-label">
    <w:name w:val="eq-label"/>
    <w:basedOn w:val="Domylnaczcionkaakapitu"/>
    <w:rsid w:val="00FF64E5"/>
  </w:style>
  <w:style w:type="table" w:styleId="Tabela-Siatka">
    <w:name w:val="Table Grid"/>
    <w:basedOn w:val="Standardowy"/>
    <w:uiPriority w:val="59"/>
    <w:rsid w:val="0069413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kstpodstawowy">
    <w:name w:val="Body Text"/>
    <w:basedOn w:val="Normalny"/>
    <w:link w:val="TekstpodstawowyZnak"/>
    <w:qFormat/>
    <w:rsid w:val="00DA6A9F"/>
    <w:pPr>
      <w:spacing w:before="180" w:after="180"/>
    </w:pPr>
    <w:rPr>
      <w:rFonts w:asciiTheme="minorHAnsi" w:eastAsiaTheme="minorHAnsi" w:hAnsiTheme="minorHAnsi" w:cstheme="minorBidi"/>
      <w:lang w:val="en-US" w:eastAsia="en-US"/>
    </w:rPr>
  </w:style>
  <w:style w:type="character" w:customStyle="1" w:styleId="TekstpodstawowyZnak">
    <w:name w:val="Tekst podstawowy Znak"/>
    <w:basedOn w:val="Domylnaczcionkaakapitu"/>
    <w:link w:val="Tekstpodstawowy"/>
    <w:rsid w:val="00DA6A9F"/>
    <w:rPr>
      <w:rFonts w:asciiTheme="minorHAnsi" w:eastAsiaTheme="minorHAnsi" w:hAnsiTheme="minorHAnsi" w:cstheme="minorBidi"/>
      <w:lang w:val="en-US" w:eastAsia="en-US"/>
    </w:rPr>
  </w:style>
  <w:style w:type="character" w:styleId="UyteHipercze">
    <w:name w:val="FollowedHyperlink"/>
    <w:basedOn w:val="Domylnaczcionkaakapitu"/>
    <w:uiPriority w:val="99"/>
    <w:semiHidden/>
    <w:unhideWhenUsed/>
    <w:rsid w:val="00272671"/>
    <w:rPr>
      <w:color w:val="800080" w:themeColor="followedHyperlink"/>
      <w:u w:val="single"/>
    </w:rPr>
  </w:style>
  <w:style w:type="paragraph" w:customStyle="1" w:styleId="ds-markdown-paragraph">
    <w:name w:val="ds-markdown-paragraph"/>
    <w:basedOn w:val="Normalny"/>
    <w:rsid w:val="00C733E9"/>
    <w:pPr>
      <w:spacing w:before="100" w:beforeAutospacing="1" w:after="100" w:afterAutospacing="1"/>
    </w:pPr>
  </w:style>
  <w:style w:type="character" w:styleId="Nierozpoznanawzmianka">
    <w:name w:val="Unresolved Mention"/>
    <w:basedOn w:val="Domylnaczcionkaakapitu"/>
    <w:uiPriority w:val="99"/>
    <w:semiHidden/>
    <w:unhideWhenUsed/>
    <w:rsid w:val="000B19A3"/>
    <w:rPr>
      <w:color w:val="605E5C"/>
      <w:shd w:val="clear" w:color="auto" w:fill="E1DFDD"/>
    </w:rPr>
  </w:style>
  <w:style w:type="paragraph" w:customStyle="1" w:styleId="Rab1">
    <w:name w:val="R_ab1"/>
    <w:next w:val="Normalny"/>
    <w:autoRedefine/>
    <w:qFormat/>
    <w:rsid w:val="001E37B0"/>
    <w:pPr>
      <w:suppressAutoHyphens/>
      <w:spacing w:before="120"/>
      <w:ind w:left="567" w:right="567"/>
      <w:jc w:val="both"/>
    </w:pPr>
    <w:rPr>
      <w:rFonts w:eastAsia="SimSun"/>
      <w:kern w:val="2"/>
      <w:sz w:val="18"/>
      <w:szCs w:val="20"/>
      <w:lang w:val="en-GB" w:eastAsia="pl-PL"/>
      <w14:ligatures w14:val="standardContextual"/>
    </w:rPr>
  </w:style>
  <w:style w:type="paragraph" w:customStyle="1" w:styleId="Rab2">
    <w:name w:val="R_ab2"/>
    <w:basedOn w:val="Rab1"/>
    <w:next w:val="Normalny"/>
    <w:autoRedefine/>
    <w:qFormat/>
    <w:rsid w:val="001E37B0"/>
    <w:pPr>
      <w:spacing w:before="60"/>
    </w:pPr>
  </w:style>
  <w:style w:type="paragraph" w:customStyle="1" w:styleId="Rafiliacja">
    <w:name w:val="R_afiliacja"/>
    <w:basedOn w:val="Normalny"/>
    <w:link w:val="RafiliacjaZnak"/>
    <w:qFormat/>
    <w:rsid w:val="001E37B0"/>
    <w:pPr>
      <w:suppressAutoHyphens/>
      <w:jc w:val="center"/>
    </w:pPr>
    <w:rPr>
      <w:rFonts w:eastAsiaTheme="minorHAnsi"/>
      <w:i/>
      <w:kern w:val="2"/>
      <w:sz w:val="20"/>
      <w:szCs w:val="28"/>
      <w:lang w:val="pl-PL" w:eastAsia="en-US"/>
      <w14:ligatures w14:val="standardContextual"/>
    </w:rPr>
  </w:style>
  <w:style w:type="character" w:customStyle="1" w:styleId="RafiliacjaZnak">
    <w:name w:val="R_afiliacja Znak"/>
    <w:basedOn w:val="Domylnaczcionkaakapitu"/>
    <w:link w:val="Rafiliacja"/>
    <w:rsid w:val="001E37B0"/>
    <w:rPr>
      <w:rFonts w:eastAsiaTheme="minorHAnsi"/>
      <w:i/>
      <w:kern w:val="2"/>
      <w:sz w:val="20"/>
      <w:szCs w:val="28"/>
      <w:lang w:val="pl-PL" w:eastAsia="en-US"/>
      <w14:ligatures w14:val="standardContextual"/>
    </w:rPr>
  </w:style>
  <w:style w:type="paragraph" w:customStyle="1" w:styleId="Rauco">
    <w:name w:val="R_au_co"/>
    <w:basedOn w:val="Rafiliacja"/>
    <w:autoRedefine/>
    <w:qFormat/>
    <w:rsid w:val="001E37B0"/>
    <w:pPr>
      <w:spacing w:before="120"/>
    </w:pPr>
    <w:rPr>
      <w:lang w:val="en-GB"/>
    </w:rPr>
  </w:style>
  <w:style w:type="paragraph" w:customStyle="1" w:styleId="Rn1">
    <w:name w:val="R_n1"/>
    <w:basedOn w:val="Normalny"/>
    <w:link w:val="Rn1Znak"/>
    <w:qFormat/>
    <w:rsid w:val="001E37B0"/>
    <w:pPr>
      <w:suppressAutoHyphens/>
      <w:spacing w:before="240" w:after="120"/>
      <w:jc w:val="both"/>
    </w:pPr>
    <w:rPr>
      <w:rFonts w:eastAsiaTheme="minorHAnsi" w:cstheme="minorBidi"/>
      <w:b/>
      <w:kern w:val="2"/>
      <w:szCs w:val="22"/>
      <w:lang w:val="pl-PL" w:eastAsia="en-US"/>
      <w14:ligatures w14:val="standardContextual"/>
    </w:rPr>
  </w:style>
  <w:style w:type="character" w:customStyle="1" w:styleId="Rn1Znak">
    <w:name w:val="R_n1 Znak"/>
    <w:basedOn w:val="Domylnaczcionkaakapitu"/>
    <w:link w:val="Rn1"/>
    <w:rsid w:val="001E37B0"/>
    <w:rPr>
      <w:rFonts w:eastAsiaTheme="minorHAnsi" w:cstheme="minorBidi"/>
      <w:b/>
      <w:kern w:val="2"/>
      <w:szCs w:val="22"/>
      <w:lang w:val="pl-PL" w:eastAsia="en-US"/>
      <w14:ligatures w14:val="standardContextual"/>
    </w:rPr>
  </w:style>
  <w:style w:type="paragraph" w:customStyle="1" w:styleId="Rn2">
    <w:name w:val="R_n2"/>
    <w:basedOn w:val="Rn1"/>
    <w:link w:val="Rn2Znak"/>
    <w:qFormat/>
    <w:rsid w:val="001E37B0"/>
    <w:pPr>
      <w:spacing w:before="120"/>
      <w:jc w:val="left"/>
    </w:pPr>
    <w:rPr>
      <w:sz w:val="22"/>
    </w:rPr>
  </w:style>
  <w:style w:type="character" w:customStyle="1" w:styleId="Rn2Znak">
    <w:name w:val="R_n2 Znak"/>
    <w:link w:val="Rn2"/>
    <w:rsid w:val="001E37B0"/>
    <w:rPr>
      <w:rFonts w:eastAsiaTheme="minorHAnsi" w:cstheme="minorBidi"/>
      <w:b/>
      <w:kern w:val="2"/>
      <w:sz w:val="22"/>
      <w:szCs w:val="22"/>
      <w:lang w:val="pl-PL" w:eastAsia="en-US"/>
      <w14:ligatures w14:val="standardContextual"/>
    </w:rPr>
  </w:style>
  <w:style w:type="paragraph" w:customStyle="1" w:styleId="Rtytu">
    <w:name w:val="R_tytuł"/>
    <w:basedOn w:val="Rn2"/>
    <w:link w:val="RtytuZnak"/>
    <w:autoRedefine/>
    <w:qFormat/>
    <w:rsid w:val="001E37B0"/>
    <w:pPr>
      <w:spacing w:before="240" w:after="0"/>
      <w:jc w:val="center"/>
    </w:pPr>
    <w:rPr>
      <w:szCs w:val="28"/>
    </w:rPr>
  </w:style>
  <w:style w:type="character" w:customStyle="1" w:styleId="RtytuZnak">
    <w:name w:val="R_tytuł Znak"/>
    <w:basedOn w:val="Rn2Znak"/>
    <w:link w:val="Rtytu"/>
    <w:rsid w:val="001E37B0"/>
    <w:rPr>
      <w:rFonts w:eastAsiaTheme="minorHAnsi" w:cstheme="minorBidi"/>
      <w:b/>
      <w:kern w:val="2"/>
      <w:sz w:val="22"/>
      <w:szCs w:val="28"/>
      <w:lang w:val="pl-PL" w:eastAsia="en-US"/>
      <w14:ligatures w14:val="standardContextual"/>
    </w:rPr>
  </w:style>
  <w:style w:type="paragraph" w:customStyle="1" w:styleId="Rautor">
    <w:name w:val="R_autor"/>
    <w:basedOn w:val="Rtytu"/>
    <w:link w:val="RautorZnak"/>
    <w:autoRedefine/>
    <w:qFormat/>
    <w:rsid w:val="001E37B0"/>
    <w:pPr>
      <w:spacing w:before="120"/>
    </w:pPr>
    <w:rPr>
      <w:rFonts w:eastAsia="Calibri" w:cs="Times New Roman"/>
      <w:b w:val="0"/>
      <w:i/>
      <w:sz w:val="24"/>
    </w:rPr>
  </w:style>
  <w:style w:type="character" w:customStyle="1" w:styleId="RautorZnak">
    <w:name w:val="R_autor Znak"/>
    <w:link w:val="Rautor"/>
    <w:rsid w:val="001E37B0"/>
    <w:rPr>
      <w:rFonts w:eastAsia="Calibri"/>
      <w:i/>
      <w:kern w:val="2"/>
      <w:szCs w:val="28"/>
      <w:lang w:val="pl-PL" w:eastAsia="en-US"/>
      <w14:ligatures w14:val="standardContextual"/>
    </w:rPr>
  </w:style>
  <w:style w:type="paragraph" w:customStyle="1" w:styleId="Rlit">
    <w:name w:val="R_lit"/>
    <w:basedOn w:val="Normalny"/>
    <w:link w:val="RlitZnak"/>
    <w:qFormat/>
    <w:rsid w:val="001E37B0"/>
    <w:pPr>
      <w:ind w:left="425" w:hanging="425"/>
      <w:jc w:val="both"/>
    </w:pPr>
    <w:rPr>
      <w:kern w:val="2"/>
      <w:sz w:val="20"/>
      <w:szCs w:val="20"/>
      <w:lang w:val="en-US" w:eastAsia="pl-PL"/>
      <w14:ligatures w14:val="standardContextual"/>
    </w:rPr>
  </w:style>
  <w:style w:type="character" w:customStyle="1" w:styleId="RlitZnak">
    <w:name w:val="R_lit Znak"/>
    <w:basedOn w:val="Domylnaczcionkaakapitu"/>
    <w:link w:val="Rlit"/>
    <w:rsid w:val="001E37B0"/>
    <w:rPr>
      <w:kern w:val="2"/>
      <w:sz w:val="20"/>
      <w:szCs w:val="20"/>
      <w:lang w:val="en-US" w:eastAsia="pl-PL"/>
      <w14:ligatures w14:val="standardContextual"/>
    </w:rPr>
  </w:style>
  <w:style w:type="paragraph" w:customStyle="1" w:styleId="Rtab">
    <w:name w:val="R_tab"/>
    <w:basedOn w:val="Normalny"/>
    <w:link w:val="RtabZnak"/>
    <w:qFormat/>
    <w:rsid w:val="001E37B0"/>
    <w:pPr>
      <w:suppressAutoHyphens/>
      <w:spacing w:after="120"/>
    </w:pPr>
    <w:rPr>
      <w:rFonts w:eastAsiaTheme="minorHAnsi" w:cstheme="minorBidi"/>
      <w:kern w:val="2"/>
      <w:sz w:val="20"/>
      <w:szCs w:val="22"/>
      <w:lang w:val="pl-PL" w:eastAsia="en-US"/>
      <w14:ligatures w14:val="standardContextual"/>
    </w:rPr>
  </w:style>
  <w:style w:type="character" w:customStyle="1" w:styleId="RtabZnak">
    <w:name w:val="R_tab Znak"/>
    <w:basedOn w:val="Domylnaczcionkaakapitu"/>
    <w:link w:val="Rtab"/>
    <w:rsid w:val="001E37B0"/>
    <w:rPr>
      <w:rFonts w:eastAsiaTheme="minorHAnsi" w:cstheme="minorBidi"/>
      <w:kern w:val="2"/>
      <w:sz w:val="20"/>
      <w:szCs w:val="22"/>
      <w:lang w:val="pl-PL" w:eastAsia="en-US"/>
      <w14:ligatures w14:val="standardContextual"/>
    </w:rPr>
  </w:style>
  <w:style w:type="paragraph" w:customStyle="1" w:styleId="Rn3">
    <w:name w:val="R_n3"/>
    <w:basedOn w:val="Rtab"/>
    <w:link w:val="Rn3Znak"/>
    <w:autoRedefine/>
    <w:qFormat/>
    <w:rsid w:val="001E37B0"/>
    <w:pPr>
      <w:spacing w:before="120"/>
      <w:jc w:val="both"/>
    </w:pPr>
    <w:rPr>
      <w:i/>
    </w:rPr>
  </w:style>
  <w:style w:type="character" w:customStyle="1" w:styleId="Rn3Znak">
    <w:name w:val="R_n3 Znak"/>
    <w:basedOn w:val="RtabZnak"/>
    <w:link w:val="Rn3"/>
    <w:rsid w:val="001E37B0"/>
    <w:rPr>
      <w:rFonts w:eastAsiaTheme="minorHAnsi" w:cstheme="minorBidi"/>
      <w:i/>
      <w:kern w:val="2"/>
      <w:sz w:val="20"/>
      <w:szCs w:val="22"/>
      <w:lang w:val="pl-PL" w:eastAsia="en-US"/>
      <w14:ligatures w14:val="standardContextual"/>
    </w:rPr>
  </w:style>
  <w:style w:type="paragraph" w:customStyle="1" w:styleId="Rrys">
    <w:name w:val="R_rys"/>
    <w:basedOn w:val="Rafiliacja"/>
    <w:link w:val="RrysZnak"/>
    <w:qFormat/>
    <w:rsid w:val="001E37B0"/>
    <w:pPr>
      <w:spacing w:before="120"/>
      <w:jc w:val="left"/>
    </w:pPr>
    <w:rPr>
      <w:i w:val="0"/>
    </w:rPr>
  </w:style>
  <w:style w:type="character" w:customStyle="1" w:styleId="RrysZnak">
    <w:name w:val="R_rys Znak"/>
    <w:basedOn w:val="RafiliacjaZnak"/>
    <w:link w:val="Rrys"/>
    <w:rsid w:val="001E37B0"/>
    <w:rPr>
      <w:rFonts w:eastAsiaTheme="minorHAnsi"/>
      <w:i w:val="0"/>
      <w:kern w:val="2"/>
      <w:sz w:val="20"/>
      <w:szCs w:val="28"/>
      <w:lang w:val="pl-PL" w:eastAsia="en-US"/>
      <w14:ligatures w14:val="standardContextual"/>
    </w:rPr>
  </w:style>
  <w:style w:type="paragraph" w:styleId="Nagwek">
    <w:name w:val="header"/>
    <w:basedOn w:val="Normalny"/>
    <w:link w:val="NagwekZnak"/>
    <w:uiPriority w:val="99"/>
    <w:unhideWhenUsed/>
    <w:rsid w:val="00216E1D"/>
    <w:pPr>
      <w:tabs>
        <w:tab w:val="center" w:pos="4536"/>
        <w:tab w:val="right" w:pos="9072"/>
      </w:tabs>
    </w:pPr>
  </w:style>
  <w:style w:type="character" w:customStyle="1" w:styleId="NagwekZnak">
    <w:name w:val="Nagłówek Znak"/>
    <w:basedOn w:val="Domylnaczcionkaakapitu"/>
    <w:link w:val="Nagwek"/>
    <w:uiPriority w:val="99"/>
    <w:rsid w:val="00216E1D"/>
  </w:style>
  <w:style w:type="paragraph" w:styleId="Stopka">
    <w:name w:val="footer"/>
    <w:basedOn w:val="Normalny"/>
    <w:link w:val="StopkaZnak"/>
    <w:uiPriority w:val="99"/>
    <w:unhideWhenUsed/>
    <w:rsid w:val="00216E1D"/>
    <w:pPr>
      <w:tabs>
        <w:tab w:val="center" w:pos="4536"/>
        <w:tab w:val="right" w:pos="9072"/>
      </w:tabs>
    </w:pPr>
  </w:style>
  <w:style w:type="character" w:customStyle="1" w:styleId="StopkaZnak">
    <w:name w:val="Stopka Znak"/>
    <w:basedOn w:val="Domylnaczcionkaakapitu"/>
    <w:link w:val="Stopka"/>
    <w:uiPriority w:val="99"/>
    <w:rsid w:val="00216E1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879040">
      <w:bodyDiv w:val="1"/>
      <w:marLeft w:val="0"/>
      <w:marRight w:val="0"/>
      <w:marTop w:val="0"/>
      <w:marBottom w:val="0"/>
      <w:divBdr>
        <w:top w:val="none" w:sz="0" w:space="0" w:color="auto"/>
        <w:left w:val="none" w:sz="0" w:space="0" w:color="auto"/>
        <w:bottom w:val="none" w:sz="0" w:space="0" w:color="auto"/>
        <w:right w:val="none" w:sz="0" w:space="0" w:color="auto"/>
      </w:divBdr>
    </w:div>
    <w:div w:id="37166606">
      <w:bodyDiv w:val="1"/>
      <w:marLeft w:val="0"/>
      <w:marRight w:val="0"/>
      <w:marTop w:val="0"/>
      <w:marBottom w:val="0"/>
      <w:divBdr>
        <w:top w:val="none" w:sz="0" w:space="0" w:color="auto"/>
        <w:left w:val="none" w:sz="0" w:space="0" w:color="auto"/>
        <w:bottom w:val="none" w:sz="0" w:space="0" w:color="auto"/>
        <w:right w:val="none" w:sz="0" w:space="0" w:color="auto"/>
      </w:divBdr>
    </w:div>
    <w:div w:id="45223764">
      <w:bodyDiv w:val="1"/>
      <w:marLeft w:val="0"/>
      <w:marRight w:val="0"/>
      <w:marTop w:val="0"/>
      <w:marBottom w:val="0"/>
      <w:divBdr>
        <w:top w:val="none" w:sz="0" w:space="0" w:color="auto"/>
        <w:left w:val="none" w:sz="0" w:space="0" w:color="auto"/>
        <w:bottom w:val="none" w:sz="0" w:space="0" w:color="auto"/>
        <w:right w:val="none" w:sz="0" w:space="0" w:color="auto"/>
      </w:divBdr>
    </w:div>
    <w:div w:id="124470893">
      <w:bodyDiv w:val="1"/>
      <w:marLeft w:val="0"/>
      <w:marRight w:val="0"/>
      <w:marTop w:val="0"/>
      <w:marBottom w:val="0"/>
      <w:divBdr>
        <w:top w:val="none" w:sz="0" w:space="0" w:color="auto"/>
        <w:left w:val="none" w:sz="0" w:space="0" w:color="auto"/>
        <w:bottom w:val="none" w:sz="0" w:space="0" w:color="auto"/>
        <w:right w:val="none" w:sz="0" w:space="0" w:color="auto"/>
      </w:divBdr>
    </w:div>
    <w:div w:id="288822567">
      <w:bodyDiv w:val="1"/>
      <w:marLeft w:val="0"/>
      <w:marRight w:val="0"/>
      <w:marTop w:val="0"/>
      <w:marBottom w:val="0"/>
      <w:divBdr>
        <w:top w:val="none" w:sz="0" w:space="0" w:color="auto"/>
        <w:left w:val="none" w:sz="0" w:space="0" w:color="auto"/>
        <w:bottom w:val="none" w:sz="0" w:space="0" w:color="auto"/>
        <w:right w:val="none" w:sz="0" w:space="0" w:color="auto"/>
      </w:divBdr>
    </w:div>
    <w:div w:id="315303677">
      <w:bodyDiv w:val="1"/>
      <w:marLeft w:val="0"/>
      <w:marRight w:val="0"/>
      <w:marTop w:val="0"/>
      <w:marBottom w:val="0"/>
      <w:divBdr>
        <w:top w:val="none" w:sz="0" w:space="0" w:color="auto"/>
        <w:left w:val="none" w:sz="0" w:space="0" w:color="auto"/>
        <w:bottom w:val="none" w:sz="0" w:space="0" w:color="auto"/>
        <w:right w:val="none" w:sz="0" w:space="0" w:color="auto"/>
      </w:divBdr>
      <w:divsChild>
        <w:div w:id="1457673683">
          <w:marLeft w:val="0"/>
          <w:marRight w:val="0"/>
          <w:marTop w:val="0"/>
          <w:marBottom w:val="0"/>
          <w:divBdr>
            <w:top w:val="single" w:sz="2" w:space="0" w:color="auto"/>
            <w:left w:val="single" w:sz="2" w:space="0" w:color="auto"/>
            <w:bottom w:val="single" w:sz="2" w:space="0" w:color="auto"/>
            <w:right w:val="single" w:sz="2" w:space="0" w:color="auto"/>
          </w:divBdr>
          <w:divsChild>
            <w:div w:id="1793868046">
              <w:marLeft w:val="0"/>
              <w:marRight w:val="0"/>
              <w:marTop w:val="0"/>
              <w:marBottom w:val="0"/>
              <w:divBdr>
                <w:top w:val="single" w:sz="2" w:space="0" w:color="auto"/>
                <w:left w:val="single" w:sz="2" w:space="0" w:color="auto"/>
                <w:bottom w:val="single" w:sz="2" w:space="0" w:color="auto"/>
                <w:right w:val="single" w:sz="2" w:space="0" w:color="auto"/>
              </w:divBdr>
              <w:divsChild>
                <w:div w:id="986595589">
                  <w:marLeft w:val="0"/>
                  <w:marRight w:val="0"/>
                  <w:marTop w:val="0"/>
                  <w:marBottom w:val="0"/>
                  <w:divBdr>
                    <w:top w:val="single" w:sz="2" w:space="24" w:color="auto"/>
                    <w:left w:val="single" w:sz="2" w:space="0" w:color="auto"/>
                    <w:bottom w:val="single" w:sz="2" w:space="0" w:color="auto"/>
                    <w:right w:val="single" w:sz="2" w:space="0" w:color="auto"/>
                  </w:divBdr>
                  <w:divsChild>
                    <w:div w:id="491994641">
                      <w:marLeft w:val="0"/>
                      <w:marRight w:val="0"/>
                      <w:marTop w:val="0"/>
                      <w:marBottom w:val="0"/>
                      <w:divBdr>
                        <w:top w:val="single" w:sz="2" w:space="0" w:color="auto"/>
                        <w:left w:val="single" w:sz="2" w:space="0" w:color="auto"/>
                        <w:bottom w:val="single" w:sz="2" w:space="0" w:color="auto"/>
                        <w:right w:val="single" w:sz="2" w:space="0" w:color="auto"/>
                      </w:divBdr>
                      <w:divsChild>
                        <w:div w:id="1814181132">
                          <w:marLeft w:val="0"/>
                          <w:marRight w:val="0"/>
                          <w:marTop w:val="0"/>
                          <w:marBottom w:val="0"/>
                          <w:divBdr>
                            <w:top w:val="single" w:sz="2" w:space="0" w:color="auto"/>
                            <w:left w:val="single" w:sz="2" w:space="0" w:color="auto"/>
                            <w:bottom w:val="single" w:sz="2" w:space="0" w:color="auto"/>
                            <w:right w:val="single" w:sz="2" w:space="0" w:color="auto"/>
                          </w:divBdr>
                          <w:divsChild>
                            <w:div w:id="1615669514">
                              <w:marLeft w:val="0"/>
                              <w:marRight w:val="0"/>
                              <w:marTop w:val="0"/>
                              <w:marBottom w:val="0"/>
                              <w:divBdr>
                                <w:top w:val="single" w:sz="2" w:space="0" w:color="auto"/>
                                <w:left w:val="single" w:sz="2" w:space="0" w:color="auto"/>
                                <w:bottom w:val="single" w:sz="2" w:space="0" w:color="auto"/>
                                <w:right w:val="single" w:sz="2" w:space="0" w:color="auto"/>
                              </w:divBdr>
                              <w:divsChild>
                                <w:div w:id="816611176">
                                  <w:marLeft w:val="0"/>
                                  <w:marRight w:val="0"/>
                                  <w:marTop w:val="0"/>
                                  <w:marBottom w:val="0"/>
                                  <w:divBdr>
                                    <w:top w:val="single" w:sz="2" w:space="0" w:color="auto"/>
                                    <w:left w:val="single" w:sz="2" w:space="0" w:color="auto"/>
                                    <w:bottom w:val="single" w:sz="2" w:space="0" w:color="auto"/>
                                    <w:right w:val="single" w:sz="2" w:space="0" w:color="auto"/>
                                  </w:divBdr>
                                  <w:divsChild>
                                    <w:div w:id="1750956515">
                                      <w:marLeft w:val="0"/>
                                      <w:marRight w:val="0"/>
                                      <w:marTop w:val="0"/>
                                      <w:marBottom w:val="0"/>
                                      <w:divBdr>
                                        <w:top w:val="single" w:sz="2" w:space="0" w:color="auto"/>
                                        <w:left w:val="single" w:sz="2" w:space="0" w:color="auto"/>
                                        <w:bottom w:val="single" w:sz="2" w:space="0" w:color="auto"/>
                                        <w:right w:val="single" w:sz="2" w:space="0" w:color="auto"/>
                                      </w:divBdr>
                                      <w:divsChild>
                                        <w:div w:id="2032801262">
                                          <w:marLeft w:val="0"/>
                                          <w:marRight w:val="0"/>
                                          <w:marTop w:val="0"/>
                                          <w:marBottom w:val="0"/>
                                          <w:divBdr>
                                            <w:top w:val="single" w:sz="2" w:space="0" w:color="auto"/>
                                            <w:left w:val="single" w:sz="2" w:space="0" w:color="auto"/>
                                            <w:bottom w:val="single" w:sz="2" w:space="0" w:color="auto"/>
                                            <w:right w:val="single" w:sz="2" w:space="0" w:color="auto"/>
                                          </w:divBdr>
                                          <w:divsChild>
                                            <w:div w:id="804199542">
                                              <w:marLeft w:val="0"/>
                                              <w:marRight w:val="0"/>
                                              <w:marTop w:val="0"/>
                                              <w:marBottom w:val="0"/>
                                              <w:divBdr>
                                                <w:top w:val="single" w:sz="2" w:space="0" w:color="auto"/>
                                                <w:left w:val="single" w:sz="2" w:space="0" w:color="auto"/>
                                                <w:bottom w:val="single" w:sz="2" w:space="0" w:color="auto"/>
                                                <w:right w:val="single" w:sz="2" w:space="0" w:color="auto"/>
                                              </w:divBdr>
                                              <w:divsChild>
                                                <w:div w:id="924998830">
                                                  <w:marLeft w:val="0"/>
                                                  <w:marRight w:val="0"/>
                                                  <w:marTop w:val="0"/>
                                                  <w:marBottom w:val="0"/>
                                                  <w:divBdr>
                                                    <w:top w:val="single" w:sz="2" w:space="0" w:color="auto"/>
                                                    <w:left w:val="single" w:sz="2" w:space="0" w:color="auto"/>
                                                    <w:bottom w:val="single" w:sz="2" w:space="0" w:color="auto"/>
                                                    <w:right w:val="single" w:sz="2" w:space="0" w:color="auto"/>
                                                  </w:divBdr>
                                                  <w:divsChild>
                                                    <w:div w:id="127822927">
                                                      <w:marLeft w:val="0"/>
                                                      <w:marRight w:val="0"/>
                                                      <w:marTop w:val="0"/>
                                                      <w:marBottom w:val="0"/>
                                                      <w:divBdr>
                                                        <w:top w:val="single" w:sz="2" w:space="0" w:color="auto"/>
                                                        <w:left w:val="single" w:sz="2" w:space="0" w:color="auto"/>
                                                        <w:bottom w:val="single" w:sz="2" w:space="0" w:color="auto"/>
                                                        <w:right w:val="single" w:sz="2" w:space="0" w:color="auto"/>
                                                      </w:divBdr>
                                                      <w:divsChild>
                                                        <w:div w:id="218633611">
                                                          <w:marLeft w:val="0"/>
                                                          <w:marRight w:val="0"/>
                                                          <w:marTop w:val="0"/>
                                                          <w:marBottom w:val="0"/>
                                                          <w:divBdr>
                                                            <w:top w:val="single" w:sz="2" w:space="0" w:color="auto"/>
                                                            <w:left w:val="single" w:sz="2" w:space="0" w:color="auto"/>
                                                            <w:bottom w:val="single" w:sz="2" w:space="0" w:color="auto"/>
                                                            <w:right w:val="single" w:sz="2" w:space="0" w:color="auto"/>
                                                          </w:divBdr>
                                                          <w:divsChild>
                                                            <w:div w:id="2141223348">
                                                              <w:marLeft w:val="0"/>
                                                              <w:marRight w:val="0"/>
                                                              <w:marTop w:val="0"/>
                                                              <w:marBottom w:val="0"/>
                                                              <w:divBdr>
                                                                <w:top w:val="single" w:sz="2" w:space="0" w:color="auto"/>
                                                                <w:left w:val="single" w:sz="2" w:space="0" w:color="auto"/>
                                                                <w:bottom w:val="single" w:sz="2" w:space="0" w:color="auto"/>
                                                                <w:right w:val="single" w:sz="2" w:space="0" w:color="auto"/>
                                                              </w:divBdr>
                                                              <w:divsChild>
                                                                <w:div w:id="709495208">
                                                                  <w:marLeft w:val="0"/>
                                                                  <w:marRight w:val="0"/>
                                                                  <w:marTop w:val="0"/>
                                                                  <w:marBottom w:val="0"/>
                                                                  <w:divBdr>
                                                                    <w:top w:val="single" w:sz="2" w:space="0" w:color="auto"/>
                                                                    <w:left w:val="single" w:sz="2" w:space="0" w:color="auto"/>
                                                                    <w:bottom w:val="single" w:sz="2" w:space="0" w:color="auto"/>
                                                                    <w:right w:val="single" w:sz="2" w:space="0" w:color="auto"/>
                                                                  </w:divBdr>
                                                                  <w:divsChild>
                                                                    <w:div w:id="2102096918">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 w:id="324357760">
      <w:bodyDiv w:val="1"/>
      <w:marLeft w:val="0"/>
      <w:marRight w:val="0"/>
      <w:marTop w:val="0"/>
      <w:marBottom w:val="0"/>
      <w:divBdr>
        <w:top w:val="none" w:sz="0" w:space="0" w:color="auto"/>
        <w:left w:val="none" w:sz="0" w:space="0" w:color="auto"/>
        <w:bottom w:val="none" w:sz="0" w:space="0" w:color="auto"/>
        <w:right w:val="none" w:sz="0" w:space="0" w:color="auto"/>
      </w:divBdr>
    </w:div>
    <w:div w:id="338121468">
      <w:bodyDiv w:val="1"/>
      <w:marLeft w:val="0"/>
      <w:marRight w:val="0"/>
      <w:marTop w:val="0"/>
      <w:marBottom w:val="0"/>
      <w:divBdr>
        <w:top w:val="none" w:sz="0" w:space="0" w:color="auto"/>
        <w:left w:val="none" w:sz="0" w:space="0" w:color="auto"/>
        <w:bottom w:val="none" w:sz="0" w:space="0" w:color="auto"/>
        <w:right w:val="none" w:sz="0" w:space="0" w:color="auto"/>
      </w:divBdr>
      <w:divsChild>
        <w:div w:id="1915161369">
          <w:marLeft w:val="0"/>
          <w:marRight w:val="0"/>
          <w:marTop w:val="0"/>
          <w:marBottom w:val="240"/>
          <w:divBdr>
            <w:top w:val="single" w:sz="6" w:space="23" w:color="CCCCCC"/>
            <w:left w:val="single" w:sz="6" w:space="27" w:color="CCCCCC"/>
            <w:bottom w:val="single" w:sz="6" w:space="23" w:color="CCCCCC"/>
            <w:right w:val="single" w:sz="6" w:space="27" w:color="CCCCCC"/>
          </w:divBdr>
          <w:divsChild>
            <w:div w:id="707295597">
              <w:marLeft w:val="0"/>
              <w:marRight w:val="0"/>
              <w:marTop w:val="300"/>
              <w:marBottom w:val="210"/>
              <w:divBdr>
                <w:top w:val="none" w:sz="0" w:space="0" w:color="auto"/>
                <w:left w:val="none" w:sz="0" w:space="0" w:color="auto"/>
                <w:bottom w:val="single" w:sz="6" w:space="4" w:color="E0E0E0"/>
                <w:right w:val="none" w:sz="0" w:space="0" w:color="auto"/>
              </w:divBdr>
            </w:div>
          </w:divsChild>
        </w:div>
        <w:div w:id="851991674">
          <w:marLeft w:val="0"/>
          <w:marRight w:val="0"/>
          <w:marTop w:val="0"/>
          <w:marBottom w:val="240"/>
          <w:divBdr>
            <w:top w:val="single" w:sz="6" w:space="23" w:color="CCCCCC"/>
            <w:left w:val="single" w:sz="6" w:space="27" w:color="CCCCCC"/>
            <w:bottom w:val="single" w:sz="6" w:space="23" w:color="CCCCCC"/>
            <w:right w:val="single" w:sz="6" w:space="27" w:color="CCCCCC"/>
          </w:divBdr>
          <w:divsChild>
            <w:div w:id="1503546984">
              <w:marLeft w:val="0"/>
              <w:marRight w:val="0"/>
              <w:marTop w:val="0"/>
              <w:marBottom w:val="210"/>
              <w:divBdr>
                <w:top w:val="none" w:sz="0" w:space="0" w:color="auto"/>
                <w:left w:val="none" w:sz="0" w:space="0" w:color="auto"/>
                <w:bottom w:val="single" w:sz="6" w:space="4" w:color="E0E0E0"/>
                <w:right w:val="none" w:sz="0" w:space="0" w:color="auto"/>
              </w:divBdr>
            </w:div>
            <w:div w:id="363558377">
              <w:marLeft w:val="0"/>
              <w:marRight w:val="0"/>
              <w:marTop w:val="210"/>
              <w:marBottom w:val="210"/>
              <w:divBdr>
                <w:top w:val="none" w:sz="0" w:space="0" w:color="auto"/>
                <w:left w:val="single" w:sz="18" w:space="15" w:color="111111"/>
                <w:bottom w:val="none" w:sz="0" w:space="0" w:color="auto"/>
                <w:right w:val="none" w:sz="0" w:space="0" w:color="auto"/>
              </w:divBdr>
            </w:div>
            <w:div w:id="2037460778">
              <w:marLeft w:val="0"/>
              <w:marRight w:val="0"/>
              <w:marTop w:val="210"/>
              <w:marBottom w:val="210"/>
              <w:divBdr>
                <w:top w:val="none" w:sz="0" w:space="0" w:color="auto"/>
                <w:left w:val="single" w:sz="18" w:space="15" w:color="111111"/>
                <w:bottom w:val="none" w:sz="0" w:space="0" w:color="auto"/>
                <w:right w:val="none" w:sz="0" w:space="0" w:color="auto"/>
              </w:divBdr>
            </w:div>
            <w:div w:id="305933807">
              <w:marLeft w:val="0"/>
              <w:marRight w:val="0"/>
              <w:marTop w:val="210"/>
              <w:marBottom w:val="210"/>
              <w:divBdr>
                <w:top w:val="none" w:sz="0" w:space="0" w:color="auto"/>
                <w:left w:val="single" w:sz="18" w:space="15" w:color="111111"/>
                <w:bottom w:val="none" w:sz="0" w:space="0" w:color="auto"/>
                <w:right w:val="none" w:sz="0" w:space="0" w:color="auto"/>
              </w:divBdr>
            </w:div>
          </w:divsChild>
        </w:div>
        <w:div w:id="1872841313">
          <w:marLeft w:val="0"/>
          <w:marRight w:val="0"/>
          <w:marTop w:val="0"/>
          <w:marBottom w:val="240"/>
          <w:divBdr>
            <w:top w:val="single" w:sz="6" w:space="23" w:color="CCCCCC"/>
            <w:left w:val="single" w:sz="6" w:space="27" w:color="CCCCCC"/>
            <w:bottom w:val="single" w:sz="6" w:space="23" w:color="CCCCCC"/>
            <w:right w:val="single" w:sz="6" w:space="27" w:color="CCCCCC"/>
          </w:divBdr>
          <w:divsChild>
            <w:div w:id="1597834424">
              <w:marLeft w:val="0"/>
              <w:marRight w:val="0"/>
              <w:marTop w:val="0"/>
              <w:marBottom w:val="210"/>
              <w:divBdr>
                <w:top w:val="none" w:sz="0" w:space="0" w:color="auto"/>
                <w:left w:val="none" w:sz="0" w:space="0" w:color="auto"/>
                <w:bottom w:val="single" w:sz="6" w:space="4" w:color="E0E0E0"/>
                <w:right w:val="none" w:sz="0" w:space="0" w:color="auto"/>
              </w:divBdr>
            </w:div>
            <w:div w:id="409500611">
              <w:marLeft w:val="0"/>
              <w:marRight w:val="0"/>
              <w:marTop w:val="210"/>
              <w:marBottom w:val="210"/>
              <w:divBdr>
                <w:top w:val="none" w:sz="0" w:space="0" w:color="auto"/>
                <w:left w:val="single" w:sz="18" w:space="15" w:color="111111"/>
                <w:bottom w:val="none" w:sz="0" w:space="0" w:color="auto"/>
                <w:right w:val="none" w:sz="0" w:space="0" w:color="auto"/>
              </w:divBdr>
            </w:div>
            <w:div w:id="1149135435">
              <w:marLeft w:val="0"/>
              <w:marRight w:val="0"/>
              <w:marTop w:val="210"/>
              <w:marBottom w:val="210"/>
              <w:divBdr>
                <w:top w:val="none" w:sz="0" w:space="0" w:color="auto"/>
                <w:left w:val="single" w:sz="18" w:space="15" w:color="111111"/>
                <w:bottom w:val="none" w:sz="0" w:space="0" w:color="auto"/>
                <w:right w:val="none" w:sz="0" w:space="0" w:color="auto"/>
              </w:divBdr>
            </w:div>
          </w:divsChild>
        </w:div>
        <w:div w:id="688991052">
          <w:marLeft w:val="0"/>
          <w:marRight w:val="0"/>
          <w:marTop w:val="0"/>
          <w:marBottom w:val="240"/>
          <w:divBdr>
            <w:top w:val="single" w:sz="6" w:space="23" w:color="CCCCCC"/>
            <w:left w:val="single" w:sz="6" w:space="27" w:color="CCCCCC"/>
            <w:bottom w:val="single" w:sz="6" w:space="23" w:color="CCCCCC"/>
            <w:right w:val="single" w:sz="6" w:space="27" w:color="CCCCCC"/>
          </w:divBdr>
          <w:divsChild>
            <w:div w:id="2018189086">
              <w:marLeft w:val="0"/>
              <w:marRight w:val="0"/>
              <w:marTop w:val="0"/>
              <w:marBottom w:val="210"/>
              <w:divBdr>
                <w:top w:val="none" w:sz="0" w:space="0" w:color="auto"/>
                <w:left w:val="none" w:sz="0" w:space="0" w:color="auto"/>
                <w:bottom w:val="single" w:sz="6" w:space="4" w:color="E0E0E0"/>
                <w:right w:val="none" w:sz="0" w:space="0" w:color="auto"/>
              </w:divBdr>
            </w:div>
            <w:div w:id="1396970767">
              <w:marLeft w:val="0"/>
              <w:marRight w:val="0"/>
              <w:marTop w:val="210"/>
              <w:marBottom w:val="210"/>
              <w:divBdr>
                <w:top w:val="none" w:sz="0" w:space="0" w:color="auto"/>
                <w:left w:val="single" w:sz="18" w:space="15" w:color="111111"/>
                <w:bottom w:val="none" w:sz="0" w:space="0" w:color="auto"/>
                <w:right w:val="none" w:sz="0" w:space="0" w:color="auto"/>
              </w:divBdr>
            </w:div>
            <w:div w:id="1629121755">
              <w:marLeft w:val="0"/>
              <w:marRight w:val="0"/>
              <w:marTop w:val="210"/>
              <w:marBottom w:val="210"/>
              <w:divBdr>
                <w:top w:val="none" w:sz="0" w:space="0" w:color="auto"/>
                <w:left w:val="single" w:sz="18" w:space="15" w:color="111111"/>
                <w:bottom w:val="none" w:sz="0" w:space="0" w:color="auto"/>
                <w:right w:val="none" w:sz="0" w:space="0" w:color="auto"/>
              </w:divBdr>
            </w:div>
            <w:div w:id="686753610">
              <w:marLeft w:val="0"/>
              <w:marRight w:val="0"/>
              <w:marTop w:val="210"/>
              <w:marBottom w:val="210"/>
              <w:divBdr>
                <w:top w:val="none" w:sz="0" w:space="0" w:color="auto"/>
                <w:left w:val="single" w:sz="18" w:space="15" w:color="111111"/>
                <w:bottom w:val="none" w:sz="0" w:space="0" w:color="auto"/>
                <w:right w:val="none" w:sz="0" w:space="0" w:color="auto"/>
              </w:divBdr>
            </w:div>
          </w:divsChild>
        </w:div>
      </w:divsChild>
    </w:div>
    <w:div w:id="426728667">
      <w:bodyDiv w:val="1"/>
      <w:marLeft w:val="0"/>
      <w:marRight w:val="0"/>
      <w:marTop w:val="0"/>
      <w:marBottom w:val="0"/>
      <w:divBdr>
        <w:top w:val="none" w:sz="0" w:space="0" w:color="auto"/>
        <w:left w:val="none" w:sz="0" w:space="0" w:color="auto"/>
        <w:bottom w:val="none" w:sz="0" w:space="0" w:color="auto"/>
        <w:right w:val="none" w:sz="0" w:space="0" w:color="auto"/>
      </w:divBdr>
    </w:div>
    <w:div w:id="435831036">
      <w:bodyDiv w:val="1"/>
      <w:marLeft w:val="0"/>
      <w:marRight w:val="0"/>
      <w:marTop w:val="0"/>
      <w:marBottom w:val="0"/>
      <w:divBdr>
        <w:top w:val="none" w:sz="0" w:space="0" w:color="auto"/>
        <w:left w:val="none" w:sz="0" w:space="0" w:color="auto"/>
        <w:bottom w:val="none" w:sz="0" w:space="0" w:color="auto"/>
        <w:right w:val="none" w:sz="0" w:space="0" w:color="auto"/>
      </w:divBdr>
    </w:div>
    <w:div w:id="437529503">
      <w:bodyDiv w:val="1"/>
      <w:marLeft w:val="0"/>
      <w:marRight w:val="0"/>
      <w:marTop w:val="0"/>
      <w:marBottom w:val="0"/>
      <w:divBdr>
        <w:top w:val="none" w:sz="0" w:space="0" w:color="auto"/>
        <w:left w:val="none" w:sz="0" w:space="0" w:color="auto"/>
        <w:bottom w:val="none" w:sz="0" w:space="0" w:color="auto"/>
        <w:right w:val="none" w:sz="0" w:space="0" w:color="auto"/>
      </w:divBdr>
      <w:divsChild>
        <w:div w:id="803154958">
          <w:marLeft w:val="0"/>
          <w:marRight w:val="0"/>
          <w:marTop w:val="0"/>
          <w:marBottom w:val="0"/>
          <w:divBdr>
            <w:top w:val="none" w:sz="0" w:space="0" w:color="auto"/>
            <w:left w:val="none" w:sz="0" w:space="0" w:color="auto"/>
            <w:bottom w:val="none" w:sz="0" w:space="0" w:color="auto"/>
            <w:right w:val="none" w:sz="0" w:space="0" w:color="auto"/>
          </w:divBdr>
          <w:divsChild>
            <w:div w:id="13438941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91482804">
      <w:bodyDiv w:val="1"/>
      <w:marLeft w:val="0"/>
      <w:marRight w:val="0"/>
      <w:marTop w:val="0"/>
      <w:marBottom w:val="0"/>
      <w:divBdr>
        <w:top w:val="none" w:sz="0" w:space="0" w:color="auto"/>
        <w:left w:val="none" w:sz="0" w:space="0" w:color="auto"/>
        <w:bottom w:val="none" w:sz="0" w:space="0" w:color="auto"/>
        <w:right w:val="none" w:sz="0" w:space="0" w:color="auto"/>
      </w:divBdr>
      <w:divsChild>
        <w:div w:id="2128503018">
          <w:marLeft w:val="0"/>
          <w:marRight w:val="0"/>
          <w:marTop w:val="0"/>
          <w:marBottom w:val="0"/>
          <w:divBdr>
            <w:top w:val="none" w:sz="0" w:space="0" w:color="auto"/>
            <w:left w:val="none" w:sz="0" w:space="0" w:color="auto"/>
            <w:bottom w:val="none" w:sz="0" w:space="0" w:color="auto"/>
            <w:right w:val="none" w:sz="0" w:space="0" w:color="auto"/>
          </w:divBdr>
          <w:divsChild>
            <w:div w:id="10685765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53079117">
      <w:bodyDiv w:val="1"/>
      <w:marLeft w:val="0"/>
      <w:marRight w:val="0"/>
      <w:marTop w:val="0"/>
      <w:marBottom w:val="0"/>
      <w:divBdr>
        <w:top w:val="none" w:sz="0" w:space="0" w:color="auto"/>
        <w:left w:val="none" w:sz="0" w:space="0" w:color="auto"/>
        <w:bottom w:val="none" w:sz="0" w:space="0" w:color="auto"/>
        <w:right w:val="none" w:sz="0" w:space="0" w:color="auto"/>
      </w:divBdr>
      <w:divsChild>
        <w:div w:id="1626232121">
          <w:marLeft w:val="0"/>
          <w:marRight w:val="0"/>
          <w:marTop w:val="0"/>
          <w:marBottom w:val="150"/>
          <w:divBdr>
            <w:top w:val="none" w:sz="0" w:space="0" w:color="auto"/>
            <w:left w:val="none" w:sz="0" w:space="0" w:color="auto"/>
            <w:bottom w:val="none" w:sz="0" w:space="0" w:color="auto"/>
            <w:right w:val="none" w:sz="0" w:space="0" w:color="auto"/>
          </w:divBdr>
        </w:div>
        <w:div w:id="926040369">
          <w:marLeft w:val="0"/>
          <w:marRight w:val="0"/>
          <w:marTop w:val="0"/>
          <w:marBottom w:val="0"/>
          <w:divBdr>
            <w:top w:val="none" w:sz="0" w:space="0" w:color="auto"/>
            <w:left w:val="none" w:sz="0" w:space="0" w:color="auto"/>
            <w:bottom w:val="none" w:sz="0" w:space="0" w:color="auto"/>
            <w:right w:val="none" w:sz="0" w:space="0" w:color="auto"/>
          </w:divBdr>
          <w:divsChild>
            <w:div w:id="2103455235">
              <w:marLeft w:val="0"/>
              <w:marRight w:val="0"/>
              <w:marTop w:val="0"/>
              <w:marBottom w:val="0"/>
              <w:divBdr>
                <w:top w:val="single" w:sz="6" w:space="1" w:color="AAAAAA"/>
                <w:left w:val="single" w:sz="6" w:space="4" w:color="AAAAAA"/>
                <w:bottom w:val="single" w:sz="6" w:space="1" w:color="AAAAAA"/>
                <w:right w:val="single" w:sz="6" w:space="4" w:color="AAAAAA"/>
              </w:divBdr>
            </w:div>
            <w:div w:id="824931252">
              <w:marLeft w:val="0"/>
              <w:marRight w:val="0"/>
              <w:marTop w:val="0"/>
              <w:marBottom w:val="0"/>
              <w:divBdr>
                <w:top w:val="single" w:sz="6" w:space="1" w:color="AAAAAA"/>
                <w:left w:val="single" w:sz="6" w:space="4" w:color="AAAAAA"/>
                <w:bottom w:val="single" w:sz="6" w:space="1" w:color="AAAAAA"/>
                <w:right w:val="single" w:sz="6" w:space="4" w:color="AAAAAA"/>
              </w:divBdr>
            </w:div>
            <w:div w:id="1920822597">
              <w:marLeft w:val="0"/>
              <w:marRight w:val="0"/>
              <w:marTop w:val="0"/>
              <w:marBottom w:val="0"/>
              <w:divBdr>
                <w:top w:val="single" w:sz="6" w:space="1" w:color="AAAAAA"/>
                <w:left w:val="single" w:sz="6" w:space="4" w:color="AAAAAA"/>
                <w:bottom w:val="single" w:sz="6" w:space="1" w:color="AAAAAA"/>
                <w:right w:val="single" w:sz="6" w:space="4" w:color="AAAAAA"/>
              </w:divBdr>
            </w:div>
            <w:div w:id="170268101">
              <w:marLeft w:val="0"/>
              <w:marRight w:val="0"/>
              <w:marTop w:val="0"/>
              <w:marBottom w:val="0"/>
              <w:divBdr>
                <w:top w:val="single" w:sz="6" w:space="1" w:color="AAAAAA"/>
                <w:left w:val="single" w:sz="6" w:space="4" w:color="AAAAAA"/>
                <w:bottom w:val="single" w:sz="6" w:space="1" w:color="AAAAAA"/>
                <w:right w:val="single" w:sz="6" w:space="4" w:color="AAAAAA"/>
              </w:divBdr>
            </w:div>
            <w:div w:id="881556785">
              <w:marLeft w:val="0"/>
              <w:marRight w:val="0"/>
              <w:marTop w:val="0"/>
              <w:marBottom w:val="0"/>
              <w:divBdr>
                <w:top w:val="single" w:sz="6" w:space="1" w:color="AAAAAA"/>
                <w:left w:val="single" w:sz="6" w:space="4" w:color="AAAAAA"/>
                <w:bottom w:val="single" w:sz="6" w:space="1" w:color="AAAAAA"/>
                <w:right w:val="single" w:sz="6" w:space="4" w:color="AAAAAA"/>
              </w:divBdr>
            </w:div>
            <w:div w:id="1875993005">
              <w:marLeft w:val="0"/>
              <w:marRight w:val="0"/>
              <w:marTop w:val="0"/>
              <w:marBottom w:val="0"/>
              <w:divBdr>
                <w:top w:val="single" w:sz="6" w:space="1" w:color="AAAAAA"/>
                <w:left w:val="single" w:sz="6" w:space="4" w:color="AAAAAA"/>
                <w:bottom w:val="single" w:sz="6" w:space="1" w:color="AAAAAA"/>
                <w:right w:val="single" w:sz="6" w:space="4" w:color="AAAAAA"/>
              </w:divBdr>
            </w:div>
            <w:div w:id="1259018738">
              <w:marLeft w:val="0"/>
              <w:marRight w:val="0"/>
              <w:marTop w:val="0"/>
              <w:marBottom w:val="0"/>
              <w:divBdr>
                <w:top w:val="single" w:sz="6" w:space="1" w:color="AAAAAA"/>
                <w:left w:val="single" w:sz="6" w:space="4" w:color="AAAAAA"/>
                <w:bottom w:val="single" w:sz="6" w:space="1" w:color="AAAAAA"/>
                <w:right w:val="single" w:sz="6" w:space="4" w:color="AAAAAA"/>
              </w:divBdr>
            </w:div>
            <w:div w:id="1596161138">
              <w:marLeft w:val="0"/>
              <w:marRight w:val="0"/>
              <w:marTop w:val="0"/>
              <w:marBottom w:val="0"/>
              <w:divBdr>
                <w:top w:val="single" w:sz="6" w:space="1" w:color="AAAAAA"/>
                <w:left w:val="single" w:sz="6" w:space="4" w:color="AAAAAA"/>
                <w:bottom w:val="single" w:sz="6" w:space="1" w:color="AAAAAA"/>
                <w:right w:val="single" w:sz="6" w:space="4" w:color="AAAAAA"/>
              </w:divBdr>
            </w:div>
            <w:div w:id="1622228037">
              <w:marLeft w:val="0"/>
              <w:marRight w:val="0"/>
              <w:marTop w:val="0"/>
              <w:marBottom w:val="0"/>
              <w:divBdr>
                <w:top w:val="single" w:sz="6" w:space="1" w:color="AAAAAA"/>
                <w:left w:val="single" w:sz="6" w:space="4" w:color="AAAAAA"/>
                <w:bottom w:val="single" w:sz="6" w:space="1" w:color="AAAAAA"/>
                <w:right w:val="single" w:sz="6" w:space="4" w:color="AAAAAA"/>
              </w:divBdr>
            </w:div>
            <w:div w:id="773019126">
              <w:marLeft w:val="0"/>
              <w:marRight w:val="0"/>
              <w:marTop w:val="0"/>
              <w:marBottom w:val="0"/>
              <w:divBdr>
                <w:top w:val="single" w:sz="6" w:space="1" w:color="AAAAAA"/>
                <w:left w:val="single" w:sz="6" w:space="4" w:color="AAAAAA"/>
                <w:bottom w:val="single" w:sz="6" w:space="1" w:color="AAAAAA"/>
                <w:right w:val="single" w:sz="6" w:space="4" w:color="AAAAAA"/>
              </w:divBdr>
            </w:div>
            <w:div w:id="1449086124">
              <w:marLeft w:val="0"/>
              <w:marRight w:val="0"/>
              <w:marTop w:val="0"/>
              <w:marBottom w:val="0"/>
              <w:divBdr>
                <w:top w:val="single" w:sz="6" w:space="1" w:color="AAAAAA"/>
                <w:left w:val="single" w:sz="6" w:space="4" w:color="AAAAAA"/>
                <w:bottom w:val="single" w:sz="6" w:space="1" w:color="AAAAAA"/>
                <w:right w:val="single" w:sz="6" w:space="4" w:color="AAAAAA"/>
              </w:divBdr>
            </w:div>
            <w:div w:id="1967614890">
              <w:marLeft w:val="0"/>
              <w:marRight w:val="0"/>
              <w:marTop w:val="0"/>
              <w:marBottom w:val="0"/>
              <w:divBdr>
                <w:top w:val="single" w:sz="6" w:space="1" w:color="AAAAAA"/>
                <w:left w:val="single" w:sz="6" w:space="4" w:color="AAAAAA"/>
                <w:bottom w:val="single" w:sz="6" w:space="1" w:color="AAAAAA"/>
                <w:right w:val="single" w:sz="6" w:space="4" w:color="AAAAAA"/>
              </w:divBdr>
            </w:div>
            <w:div w:id="130369631">
              <w:marLeft w:val="0"/>
              <w:marRight w:val="0"/>
              <w:marTop w:val="0"/>
              <w:marBottom w:val="0"/>
              <w:divBdr>
                <w:top w:val="single" w:sz="6" w:space="1" w:color="AAAAAA"/>
                <w:left w:val="single" w:sz="6" w:space="4" w:color="AAAAAA"/>
                <w:bottom w:val="single" w:sz="6" w:space="1" w:color="AAAAAA"/>
                <w:right w:val="single" w:sz="6" w:space="4" w:color="AAAAAA"/>
              </w:divBdr>
            </w:div>
            <w:div w:id="142891693">
              <w:marLeft w:val="0"/>
              <w:marRight w:val="0"/>
              <w:marTop w:val="0"/>
              <w:marBottom w:val="0"/>
              <w:divBdr>
                <w:top w:val="single" w:sz="6" w:space="1" w:color="AAAAAA"/>
                <w:left w:val="single" w:sz="6" w:space="4" w:color="AAAAAA"/>
                <w:bottom w:val="single" w:sz="6" w:space="1" w:color="AAAAAA"/>
                <w:right w:val="single" w:sz="6" w:space="4" w:color="AAAAAA"/>
              </w:divBdr>
            </w:div>
            <w:div w:id="843595681">
              <w:marLeft w:val="0"/>
              <w:marRight w:val="0"/>
              <w:marTop w:val="0"/>
              <w:marBottom w:val="0"/>
              <w:divBdr>
                <w:top w:val="single" w:sz="6" w:space="1" w:color="AAAAAA"/>
                <w:left w:val="single" w:sz="6" w:space="4" w:color="AAAAAA"/>
                <w:bottom w:val="single" w:sz="6" w:space="1" w:color="AAAAAA"/>
                <w:right w:val="single" w:sz="6" w:space="4" w:color="AAAAAA"/>
              </w:divBdr>
            </w:div>
            <w:div w:id="351609782">
              <w:marLeft w:val="0"/>
              <w:marRight w:val="0"/>
              <w:marTop w:val="0"/>
              <w:marBottom w:val="0"/>
              <w:divBdr>
                <w:top w:val="single" w:sz="6" w:space="1" w:color="AAAAAA"/>
                <w:left w:val="single" w:sz="6" w:space="4" w:color="AAAAAA"/>
                <w:bottom w:val="single" w:sz="6" w:space="1" w:color="AAAAAA"/>
                <w:right w:val="single" w:sz="6" w:space="4" w:color="AAAAAA"/>
              </w:divBdr>
            </w:div>
            <w:div w:id="559901776">
              <w:marLeft w:val="0"/>
              <w:marRight w:val="0"/>
              <w:marTop w:val="0"/>
              <w:marBottom w:val="0"/>
              <w:divBdr>
                <w:top w:val="single" w:sz="6" w:space="1" w:color="AAAAAA"/>
                <w:left w:val="single" w:sz="6" w:space="4" w:color="AAAAAA"/>
                <w:bottom w:val="single" w:sz="6" w:space="1" w:color="AAAAAA"/>
                <w:right w:val="single" w:sz="6" w:space="4" w:color="AAAAAA"/>
              </w:divBdr>
            </w:div>
            <w:div w:id="1555507755">
              <w:marLeft w:val="0"/>
              <w:marRight w:val="0"/>
              <w:marTop w:val="0"/>
              <w:marBottom w:val="0"/>
              <w:divBdr>
                <w:top w:val="single" w:sz="6" w:space="1" w:color="AAAAAA"/>
                <w:left w:val="single" w:sz="6" w:space="4" w:color="AAAAAA"/>
                <w:bottom w:val="single" w:sz="6" w:space="1" w:color="AAAAAA"/>
                <w:right w:val="single" w:sz="6" w:space="4" w:color="AAAAAA"/>
              </w:divBdr>
            </w:div>
          </w:divsChild>
        </w:div>
      </w:divsChild>
    </w:div>
    <w:div w:id="581649423">
      <w:bodyDiv w:val="1"/>
      <w:marLeft w:val="0"/>
      <w:marRight w:val="0"/>
      <w:marTop w:val="0"/>
      <w:marBottom w:val="0"/>
      <w:divBdr>
        <w:top w:val="none" w:sz="0" w:space="0" w:color="auto"/>
        <w:left w:val="none" w:sz="0" w:space="0" w:color="auto"/>
        <w:bottom w:val="none" w:sz="0" w:space="0" w:color="auto"/>
        <w:right w:val="none" w:sz="0" w:space="0" w:color="auto"/>
      </w:divBdr>
    </w:div>
    <w:div w:id="623393183">
      <w:bodyDiv w:val="1"/>
      <w:marLeft w:val="0"/>
      <w:marRight w:val="0"/>
      <w:marTop w:val="0"/>
      <w:marBottom w:val="0"/>
      <w:divBdr>
        <w:top w:val="none" w:sz="0" w:space="0" w:color="auto"/>
        <w:left w:val="none" w:sz="0" w:space="0" w:color="auto"/>
        <w:bottom w:val="none" w:sz="0" w:space="0" w:color="auto"/>
        <w:right w:val="none" w:sz="0" w:space="0" w:color="auto"/>
      </w:divBdr>
    </w:div>
    <w:div w:id="627004782">
      <w:bodyDiv w:val="1"/>
      <w:marLeft w:val="0"/>
      <w:marRight w:val="0"/>
      <w:marTop w:val="0"/>
      <w:marBottom w:val="0"/>
      <w:divBdr>
        <w:top w:val="none" w:sz="0" w:space="0" w:color="auto"/>
        <w:left w:val="none" w:sz="0" w:space="0" w:color="auto"/>
        <w:bottom w:val="none" w:sz="0" w:space="0" w:color="auto"/>
        <w:right w:val="none" w:sz="0" w:space="0" w:color="auto"/>
      </w:divBdr>
    </w:div>
    <w:div w:id="628129779">
      <w:bodyDiv w:val="1"/>
      <w:marLeft w:val="0"/>
      <w:marRight w:val="0"/>
      <w:marTop w:val="0"/>
      <w:marBottom w:val="0"/>
      <w:divBdr>
        <w:top w:val="none" w:sz="0" w:space="0" w:color="auto"/>
        <w:left w:val="none" w:sz="0" w:space="0" w:color="auto"/>
        <w:bottom w:val="none" w:sz="0" w:space="0" w:color="auto"/>
        <w:right w:val="none" w:sz="0" w:space="0" w:color="auto"/>
      </w:divBdr>
      <w:divsChild>
        <w:div w:id="1101145671">
          <w:marLeft w:val="0"/>
          <w:marRight w:val="0"/>
          <w:marTop w:val="0"/>
          <w:marBottom w:val="0"/>
          <w:divBdr>
            <w:top w:val="single" w:sz="2" w:space="0" w:color="auto"/>
            <w:left w:val="single" w:sz="2" w:space="0" w:color="auto"/>
            <w:bottom w:val="single" w:sz="2" w:space="0" w:color="auto"/>
            <w:right w:val="single" w:sz="2" w:space="0" w:color="auto"/>
          </w:divBdr>
          <w:divsChild>
            <w:div w:id="68232633">
              <w:marLeft w:val="0"/>
              <w:marRight w:val="0"/>
              <w:marTop w:val="0"/>
              <w:marBottom w:val="0"/>
              <w:divBdr>
                <w:top w:val="single" w:sz="2" w:space="0" w:color="auto"/>
                <w:left w:val="single" w:sz="2" w:space="0" w:color="auto"/>
                <w:bottom w:val="single" w:sz="2" w:space="0" w:color="auto"/>
                <w:right w:val="single" w:sz="2" w:space="0" w:color="auto"/>
              </w:divBdr>
              <w:divsChild>
                <w:div w:id="86539716">
                  <w:marLeft w:val="0"/>
                  <w:marRight w:val="0"/>
                  <w:marTop w:val="0"/>
                  <w:marBottom w:val="0"/>
                  <w:divBdr>
                    <w:top w:val="single" w:sz="2" w:space="0" w:color="auto"/>
                    <w:left w:val="single" w:sz="2" w:space="0" w:color="auto"/>
                    <w:bottom w:val="single" w:sz="2" w:space="0" w:color="auto"/>
                    <w:right w:val="single" w:sz="2" w:space="0" w:color="auto"/>
                  </w:divBdr>
                  <w:divsChild>
                    <w:div w:id="375617681">
                      <w:marLeft w:val="0"/>
                      <w:marRight w:val="0"/>
                      <w:marTop w:val="0"/>
                      <w:marBottom w:val="0"/>
                      <w:divBdr>
                        <w:top w:val="single" w:sz="2" w:space="0" w:color="auto"/>
                        <w:left w:val="single" w:sz="2" w:space="0" w:color="auto"/>
                        <w:bottom w:val="single" w:sz="2" w:space="0" w:color="auto"/>
                        <w:right w:val="single" w:sz="2" w:space="0" w:color="auto"/>
                      </w:divBdr>
                      <w:divsChild>
                        <w:div w:id="1696888234">
                          <w:marLeft w:val="0"/>
                          <w:marRight w:val="0"/>
                          <w:marTop w:val="0"/>
                          <w:marBottom w:val="0"/>
                          <w:divBdr>
                            <w:top w:val="single" w:sz="2" w:space="0" w:color="auto"/>
                            <w:left w:val="single" w:sz="2" w:space="0" w:color="auto"/>
                            <w:bottom w:val="single" w:sz="2" w:space="0" w:color="auto"/>
                            <w:right w:val="single" w:sz="2" w:space="0" w:color="auto"/>
                          </w:divBdr>
                          <w:divsChild>
                            <w:div w:id="1758670577">
                              <w:marLeft w:val="0"/>
                              <w:marRight w:val="0"/>
                              <w:marTop w:val="0"/>
                              <w:marBottom w:val="0"/>
                              <w:divBdr>
                                <w:top w:val="single" w:sz="2" w:space="0" w:color="auto"/>
                                <w:left w:val="single" w:sz="2" w:space="0" w:color="auto"/>
                                <w:bottom w:val="single" w:sz="2" w:space="0" w:color="auto"/>
                                <w:right w:val="single" w:sz="2" w:space="0" w:color="auto"/>
                              </w:divBdr>
                              <w:divsChild>
                                <w:div w:id="1604415882">
                                  <w:marLeft w:val="0"/>
                                  <w:marRight w:val="0"/>
                                  <w:marTop w:val="0"/>
                                  <w:marBottom w:val="0"/>
                                  <w:divBdr>
                                    <w:top w:val="single" w:sz="2" w:space="0" w:color="auto"/>
                                    <w:left w:val="single" w:sz="2" w:space="0" w:color="auto"/>
                                    <w:bottom w:val="single" w:sz="2" w:space="0" w:color="auto"/>
                                    <w:right w:val="single" w:sz="2" w:space="0" w:color="auto"/>
                                  </w:divBdr>
                                  <w:divsChild>
                                    <w:div w:id="174343946">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sChild>
                </w:div>
              </w:divsChild>
            </w:div>
          </w:divsChild>
        </w:div>
      </w:divsChild>
    </w:div>
    <w:div w:id="707068821">
      <w:bodyDiv w:val="1"/>
      <w:marLeft w:val="0"/>
      <w:marRight w:val="0"/>
      <w:marTop w:val="0"/>
      <w:marBottom w:val="0"/>
      <w:divBdr>
        <w:top w:val="none" w:sz="0" w:space="0" w:color="auto"/>
        <w:left w:val="none" w:sz="0" w:space="0" w:color="auto"/>
        <w:bottom w:val="none" w:sz="0" w:space="0" w:color="auto"/>
        <w:right w:val="none" w:sz="0" w:space="0" w:color="auto"/>
      </w:divBdr>
      <w:divsChild>
        <w:div w:id="212695733">
          <w:marLeft w:val="0"/>
          <w:marRight w:val="0"/>
          <w:marTop w:val="0"/>
          <w:marBottom w:val="0"/>
          <w:divBdr>
            <w:top w:val="none" w:sz="0" w:space="0" w:color="auto"/>
            <w:left w:val="none" w:sz="0" w:space="0" w:color="auto"/>
            <w:bottom w:val="none" w:sz="0" w:space="0" w:color="auto"/>
            <w:right w:val="none" w:sz="0" w:space="0" w:color="auto"/>
          </w:divBdr>
          <w:divsChild>
            <w:div w:id="1532272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07748468">
      <w:bodyDiv w:val="1"/>
      <w:marLeft w:val="0"/>
      <w:marRight w:val="0"/>
      <w:marTop w:val="0"/>
      <w:marBottom w:val="0"/>
      <w:divBdr>
        <w:top w:val="none" w:sz="0" w:space="0" w:color="auto"/>
        <w:left w:val="none" w:sz="0" w:space="0" w:color="auto"/>
        <w:bottom w:val="none" w:sz="0" w:space="0" w:color="auto"/>
        <w:right w:val="none" w:sz="0" w:space="0" w:color="auto"/>
      </w:divBdr>
    </w:div>
    <w:div w:id="867717423">
      <w:bodyDiv w:val="1"/>
      <w:marLeft w:val="0"/>
      <w:marRight w:val="0"/>
      <w:marTop w:val="0"/>
      <w:marBottom w:val="0"/>
      <w:divBdr>
        <w:top w:val="none" w:sz="0" w:space="0" w:color="auto"/>
        <w:left w:val="none" w:sz="0" w:space="0" w:color="auto"/>
        <w:bottom w:val="none" w:sz="0" w:space="0" w:color="auto"/>
        <w:right w:val="none" w:sz="0" w:space="0" w:color="auto"/>
      </w:divBdr>
      <w:divsChild>
        <w:div w:id="1735816442">
          <w:marLeft w:val="0"/>
          <w:marRight w:val="0"/>
          <w:marTop w:val="0"/>
          <w:marBottom w:val="0"/>
          <w:divBdr>
            <w:top w:val="none" w:sz="0" w:space="0" w:color="auto"/>
            <w:left w:val="none" w:sz="0" w:space="0" w:color="auto"/>
            <w:bottom w:val="none" w:sz="0" w:space="0" w:color="auto"/>
            <w:right w:val="none" w:sz="0" w:space="0" w:color="auto"/>
          </w:divBdr>
          <w:divsChild>
            <w:div w:id="933244544">
              <w:marLeft w:val="0"/>
              <w:marRight w:val="0"/>
              <w:marTop w:val="0"/>
              <w:marBottom w:val="0"/>
              <w:divBdr>
                <w:top w:val="none" w:sz="0" w:space="0" w:color="auto"/>
                <w:left w:val="none" w:sz="0" w:space="0" w:color="auto"/>
                <w:bottom w:val="none" w:sz="0" w:space="0" w:color="auto"/>
                <w:right w:val="none" w:sz="0" w:space="0" w:color="auto"/>
              </w:divBdr>
              <w:divsChild>
                <w:div w:id="16730227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82330608">
      <w:bodyDiv w:val="1"/>
      <w:marLeft w:val="0"/>
      <w:marRight w:val="0"/>
      <w:marTop w:val="0"/>
      <w:marBottom w:val="0"/>
      <w:divBdr>
        <w:top w:val="none" w:sz="0" w:space="0" w:color="auto"/>
        <w:left w:val="none" w:sz="0" w:space="0" w:color="auto"/>
        <w:bottom w:val="none" w:sz="0" w:space="0" w:color="auto"/>
        <w:right w:val="none" w:sz="0" w:space="0" w:color="auto"/>
      </w:divBdr>
      <w:divsChild>
        <w:div w:id="1202590907">
          <w:marLeft w:val="0"/>
          <w:marRight w:val="0"/>
          <w:marTop w:val="0"/>
          <w:marBottom w:val="240"/>
          <w:divBdr>
            <w:top w:val="single" w:sz="6" w:space="23" w:color="CCCCCC"/>
            <w:left w:val="single" w:sz="6" w:space="27" w:color="CCCCCC"/>
            <w:bottom w:val="single" w:sz="6" w:space="23" w:color="CCCCCC"/>
            <w:right w:val="single" w:sz="6" w:space="27" w:color="CCCCCC"/>
          </w:divBdr>
          <w:divsChild>
            <w:div w:id="586307167">
              <w:marLeft w:val="0"/>
              <w:marRight w:val="0"/>
              <w:marTop w:val="0"/>
              <w:marBottom w:val="210"/>
              <w:divBdr>
                <w:top w:val="none" w:sz="0" w:space="0" w:color="auto"/>
                <w:left w:val="none" w:sz="0" w:space="0" w:color="auto"/>
                <w:bottom w:val="single" w:sz="6" w:space="4" w:color="E0E0E0"/>
                <w:right w:val="none" w:sz="0" w:space="0" w:color="auto"/>
              </w:divBdr>
            </w:div>
            <w:div w:id="548490651">
              <w:marLeft w:val="0"/>
              <w:marRight w:val="0"/>
              <w:marTop w:val="300"/>
              <w:marBottom w:val="210"/>
              <w:divBdr>
                <w:top w:val="none" w:sz="0" w:space="0" w:color="auto"/>
                <w:left w:val="none" w:sz="0" w:space="0" w:color="auto"/>
                <w:bottom w:val="single" w:sz="6" w:space="4" w:color="E0E0E0"/>
                <w:right w:val="none" w:sz="0" w:space="0" w:color="auto"/>
              </w:divBdr>
            </w:div>
          </w:divsChild>
        </w:div>
        <w:div w:id="1587424617">
          <w:marLeft w:val="0"/>
          <w:marRight w:val="0"/>
          <w:marTop w:val="0"/>
          <w:marBottom w:val="240"/>
          <w:divBdr>
            <w:top w:val="single" w:sz="6" w:space="23" w:color="CCCCCC"/>
            <w:left w:val="single" w:sz="6" w:space="27" w:color="CCCCCC"/>
            <w:bottom w:val="single" w:sz="6" w:space="23" w:color="CCCCCC"/>
            <w:right w:val="single" w:sz="6" w:space="27" w:color="CCCCCC"/>
          </w:divBdr>
          <w:divsChild>
            <w:div w:id="1503736834">
              <w:marLeft w:val="0"/>
              <w:marRight w:val="0"/>
              <w:marTop w:val="0"/>
              <w:marBottom w:val="210"/>
              <w:divBdr>
                <w:top w:val="none" w:sz="0" w:space="0" w:color="auto"/>
                <w:left w:val="none" w:sz="0" w:space="0" w:color="auto"/>
                <w:bottom w:val="single" w:sz="6" w:space="4" w:color="E0E0E0"/>
                <w:right w:val="none" w:sz="0" w:space="0" w:color="auto"/>
              </w:divBdr>
            </w:div>
            <w:div w:id="1342392748">
              <w:marLeft w:val="0"/>
              <w:marRight w:val="0"/>
              <w:marTop w:val="210"/>
              <w:marBottom w:val="210"/>
              <w:divBdr>
                <w:top w:val="none" w:sz="0" w:space="0" w:color="auto"/>
                <w:left w:val="single" w:sz="18" w:space="15" w:color="111111"/>
                <w:bottom w:val="none" w:sz="0" w:space="0" w:color="auto"/>
                <w:right w:val="none" w:sz="0" w:space="0" w:color="auto"/>
              </w:divBdr>
            </w:div>
            <w:div w:id="1752658721">
              <w:marLeft w:val="0"/>
              <w:marRight w:val="0"/>
              <w:marTop w:val="300"/>
              <w:marBottom w:val="210"/>
              <w:divBdr>
                <w:top w:val="none" w:sz="0" w:space="0" w:color="auto"/>
                <w:left w:val="none" w:sz="0" w:space="0" w:color="auto"/>
                <w:bottom w:val="single" w:sz="6" w:space="4" w:color="E0E0E0"/>
                <w:right w:val="none" w:sz="0" w:space="0" w:color="auto"/>
              </w:divBdr>
            </w:div>
            <w:div w:id="752892339">
              <w:marLeft w:val="0"/>
              <w:marRight w:val="0"/>
              <w:marTop w:val="210"/>
              <w:marBottom w:val="210"/>
              <w:divBdr>
                <w:top w:val="none" w:sz="0" w:space="0" w:color="auto"/>
                <w:left w:val="single" w:sz="18" w:space="15" w:color="111111"/>
                <w:bottom w:val="none" w:sz="0" w:space="0" w:color="auto"/>
                <w:right w:val="none" w:sz="0" w:space="0" w:color="auto"/>
              </w:divBdr>
            </w:div>
            <w:div w:id="1814985256">
              <w:marLeft w:val="0"/>
              <w:marRight w:val="0"/>
              <w:marTop w:val="210"/>
              <w:marBottom w:val="210"/>
              <w:divBdr>
                <w:top w:val="none" w:sz="0" w:space="0" w:color="auto"/>
                <w:left w:val="single" w:sz="18" w:space="15" w:color="111111"/>
                <w:bottom w:val="none" w:sz="0" w:space="0" w:color="auto"/>
                <w:right w:val="none" w:sz="0" w:space="0" w:color="auto"/>
              </w:divBdr>
            </w:div>
            <w:div w:id="67389878">
              <w:marLeft w:val="0"/>
              <w:marRight w:val="0"/>
              <w:marTop w:val="150"/>
              <w:marBottom w:val="150"/>
              <w:divBdr>
                <w:top w:val="single" w:sz="6" w:space="8" w:color="DDDDDD"/>
                <w:left w:val="single" w:sz="6" w:space="11" w:color="DDDDDD"/>
                <w:bottom w:val="single" w:sz="6" w:space="8" w:color="DDDDDD"/>
                <w:right w:val="single" w:sz="6" w:space="11" w:color="DDDDDD"/>
              </w:divBdr>
            </w:div>
          </w:divsChild>
        </w:div>
        <w:div w:id="2125071978">
          <w:marLeft w:val="0"/>
          <w:marRight w:val="0"/>
          <w:marTop w:val="0"/>
          <w:marBottom w:val="240"/>
          <w:divBdr>
            <w:top w:val="single" w:sz="6" w:space="23" w:color="CCCCCC"/>
            <w:left w:val="single" w:sz="6" w:space="27" w:color="CCCCCC"/>
            <w:bottom w:val="single" w:sz="6" w:space="23" w:color="CCCCCC"/>
            <w:right w:val="single" w:sz="6" w:space="27" w:color="CCCCCC"/>
          </w:divBdr>
          <w:divsChild>
            <w:div w:id="569925701">
              <w:marLeft w:val="0"/>
              <w:marRight w:val="0"/>
              <w:marTop w:val="0"/>
              <w:marBottom w:val="210"/>
              <w:divBdr>
                <w:top w:val="none" w:sz="0" w:space="0" w:color="auto"/>
                <w:left w:val="none" w:sz="0" w:space="0" w:color="auto"/>
                <w:bottom w:val="single" w:sz="6" w:space="4" w:color="E0E0E0"/>
                <w:right w:val="none" w:sz="0" w:space="0" w:color="auto"/>
              </w:divBdr>
            </w:div>
            <w:div w:id="1752433366">
              <w:marLeft w:val="0"/>
              <w:marRight w:val="0"/>
              <w:marTop w:val="210"/>
              <w:marBottom w:val="210"/>
              <w:divBdr>
                <w:top w:val="none" w:sz="0" w:space="0" w:color="auto"/>
                <w:left w:val="single" w:sz="18" w:space="15" w:color="111111"/>
                <w:bottom w:val="none" w:sz="0" w:space="0" w:color="auto"/>
                <w:right w:val="none" w:sz="0" w:space="0" w:color="auto"/>
              </w:divBdr>
            </w:div>
            <w:div w:id="1014377620">
              <w:marLeft w:val="0"/>
              <w:marRight w:val="0"/>
              <w:marTop w:val="150"/>
              <w:marBottom w:val="150"/>
              <w:divBdr>
                <w:top w:val="single" w:sz="6" w:space="8" w:color="DDDDDD"/>
                <w:left w:val="single" w:sz="6" w:space="11" w:color="DDDDDD"/>
                <w:bottom w:val="single" w:sz="6" w:space="8" w:color="DDDDDD"/>
                <w:right w:val="single" w:sz="6" w:space="11" w:color="DDDDDD"/>
              </w:divBdr>
            </w:div>
            <w:div w:id="1248884007">
              <w:marLeft w:val="0"/>
              <w:marRight w:val="0"/>
              <w:marTop w:val="210"/>
              <w:marBottom w:val="210"/>
              <w:divBdr>
                <w:top w:val="none" w:sz="0" w:space="0" w:color="auto"/>
                <w:left w:val="single" w:sz="18" w:space="15" w:color="111111"/>
                <w:bottom w:val="none" w:sz="0" w:space="0" w:color="auto"/>
                <w:right w:val="none" w:sz="0" w:space="0" w:color="auto"/>
              </w:divBdr>
            </w:div>
          </w:divsChild>
        </w:div>
        <w:div w:id="934629864">
          <w:marLeft w:val="0"/>
          <w:marRight w:val="0"/>
          <w:marTop w:val="0"/>
          <w:marBottom w:val="240"/>
          <w:divBdr>
            <w:top w:val="single" w:sz="6" w:space="23" w:color="CCCCCC"/>
            <w:left w:val="single" w:sz="6" w:space="27" w:color="CCCCCC"/>
            <w:bottom w:val="single" w:sz="6" w:space="23" w:color="CCCCCC"/>
            <w:right w:val="single" w:sz="6" w:space="27" w:color="CCCCCC"/>
          </w:divBdr>
          <w:divsChild>
            <w:div w:id="466822868">
              <w:marLeft w:val="0"/>
              <w:marRight w:val="0"/>
              <w:marTop w:val="0"/>
              <w:marBottom w:val="210"/>
              <w:divBdr>
                <w:top w:val="none" w:sz="0" w:space="0" w:color="auto"/>
                <w:left w:val="none" w:sz="0" w:space="0" w:color="auto"/>
                <w:bottom w:val="single" w:sz="6" w:space="4" w:color="E0E0E0"/>
                <w:right w:val="none" w:sz="0" w:space="0" w:color="auto"/>
              </w:divBdr>
            </w:div>
            <w:div w:id="654843027">
              <w:marLeft w:val="0"/>
              <w:marRight w:val="0"/>
              <w:marTop w:val="210"/>
              <w:marBottom w:val="210"/>
              <w:divBdr>
                <w:top w:val="none" w:sz="0" w:space="0" w:color="auto"/>
                <w:left w:val="single" w:sz="18" w:space="15" w:color="111111"/>
                <w:bottom w:val="none" w:sz="0" w:space="0" w:color="auto"/>
                <w:right w:val="none" w:sz="0" w:space="0" w:color="auto"/>
              </w:divBdr>
            </w:div>
            <w:div w:id="1939752371">
              <w:marLeft w:val="0"/>
              <w:marRight w:val="0"/>
              <w:marTop w:val="210"/>
              <w:marBottom w:val="210"/>
              <w:divBdr>
                <w:top w:val="none" w:sz="0" w:space="0" w:color="auto"/>
                <w:left w:val="single" w:sz="18" w:space="15" w:color="111111"/>
                <w:bottom w:val="none" w:sz="0" w:space="0" w:color="auto"/>
                <w:right w:val="none" w:sz="0" w:space="0" w:color="auto"/>
              </w:divBdr>
            </w:div>
            <w:div w:id="46496314">
              <w:marLeft w:val="0"/>
              <w:marRight w:val="0"/>
              <w:marTop w:val="210"/>
              <w:marBottom w:val="210"/>
              <w:divBdr>
                <w:top w:val="none" w:sz="0" w:space="0" w:color="auto"/>
                <w:left w:val="single" w:sz="18" w:space="15" w:color="111111"/>
                <w:bottom w:val="none" w:sz="0" w:space="0" w:color="auto"/>
                <w:right w:val="none" w:sz="0" w:space="0" w:color="auto"/>
              </w:divBdr>
            </w:div>
            <w:div w:id="907614938">
              <w:marLeft w:val="0"/>
              <w:marRight w:val="0"/>
              <w:marTop w:val="210"/>
              <w:marBottom w:val="210"/>
              <w:divBdr>
                <w:top w:val="none" w:sz="0" w:space="0" w:color="auto"/>
                <w:left w:val="single" w:sz="18" w:space="15" w:color="111111"/>
                <w:bottom w:val="none" w:sz="0" w:space="0" w:color="auto"/>
                <w:right w:val="none" w:sz="0" w:space="0" w:color="auto"/>
              </w:divBdr>
            </w:div>
            <w:div w:id="399671009">
              <w:marLeft w:val="0"/>
              <w:marRight w:val="0"/>
              <w:marTop w:val="150"/>
              <w:marBottom w:val="150"/>
              <w:divBdr>
                <w:top w:val="single" w:sz="6" w:space="8" w:color="DDDDDD"/>
                <w:left w:val="single" w:sz="6" w:space="11" w:color="DDDDDD"/>
                <w:bottom w:val="single" w:sz="6" w:space="8" w:color="DDDDDD"/>
                <w:right w:val="single" w:sz="6" w:space="11" w:color="DDDDDD"/>
              </w:divBdr>
            </w:div>
          </w:divsChild>
        </w:div>
        <w:div w:id="1993682091">
          <w:marLeft w:val="0"/>
          <w:marRight w:val="0"/>
          <w:marTop w:val="0"/>
          <w:marBottom w:val="240"/>
          <w:divBdr>
            <w:top w:val="single" w:sz="6" w:space="23" w:color="CCCCCC"/>
            <w:left w:val="single" w:sz="6" w:space="27" w:color="CCCCCC"/>
            <w:bottom w:val="single" w:sz="6" w:space="23" w:color="CCCCCC"/>
            <w:right w:val="single" w:sz="6" w:space="27" w:color="CCCCCC"/>
          </w:divBdr>
          <w:divsChild>
            <w:div w:id="1664049456">
              <w:marLeft w:val="0"/>
              <w:marRight w:val="0"/>
              <w:marTop w:val="0"/>
              <w:marBottom w:val="210"/>
              <w:divBdr>
                <w:top w:val="none" w:sz="0" w:space="0" w:color="auto"/>
                <w:left w:val="none" w:sz="0" w:space="0" w:color="auto"/>
                <w:bottom w:val="single" w:sz="6" w:space="4" w:color="E0E0E0"/>
                <w:right w:val="none" w:sz="0" w:space="0" w:color="auto"/>
              </w:divBdr>
            </w:div>
            <w:div w:id="225530900">
              <w:marLeft w:val="0"/>
              <w:marRight w:val="0"/>
              <w:marTop w:val="210"/>
              <w:marBottom w:val="210"/>
              <w:divBdr>
                <w:top w:val="none" w:sz="0" w:space="0" w:color="auto"/>
                <w:left w:val="single" w:sz="18" w:space="15" w:color="111111"/>
                <w:bottom w:val="none" w:sz="0" w:space="0" w:color="auto"/>
                <w:right w:val="none" w:sz="0" w:space="0" w:color="auto"/>
              </w:divBdr>
            </w:div>
            <w:div w:id="1520239194">
              <w:marLeft w:val="0"/>
              <w:marRight w:val="0"/>
              <w:marTop w:val="210"/>
              <w:marBottom w:val="210"/>
              <w:divBdr>
                <w:top w:val="none" w:sz="0" w:space="0" w:color="auto"/>
                <w:left w:val="single" w:sz="18" w:space="15" w:color="111111"/>
                <w:bottom w:val="none" w:sz="0" w:space="0" w:color="auto"/>
                <w:right w:val="none" w:sz="0" w:space="0" w:color="auto"/>
              </w:divBdr>
            </w:div>
          </w:divsChild>
        </w:div>
      </w:divsChild>
    </w:div>
    <w:div w:id="906845996">
      <w:bodyDiv w:val="1"/>
      <w:marLeft w:val="0"/>
      <w:marRight w:val="0"/>
      <w:marTop w:val="0"/>
      <w:marBottom w:val="0"/>
      <w:divBdr>
        <w:top w:val="none" w:sz="0" w:space="0" w:color="auto"/>
        <w:left w:val="none" w:sz="0" w:space="0" w:color="auto"/>
        <w:bottom w:val="none" w:sz="0" w:space="0" w:color="auto"/>
        <w:right w:val="none" w:sz="0" w:space="0" w:color="auto"/>
      </w:divBdr>
    </w:div>
    <w:div w:id="932322203">
      <w:bodyDiv w:val="1"/>
      <w:marLeft w:val="0"/>
      <w:marRight w:val="0"/>
      <w:marTop w:val="0"/>
      <w:marBottom w:val="0"/>
      <w:divBdr>
        <w:top w:val="none" w:sz="0" w:space="0" w:color="auto"/>
        <w:left w:val="none" w:sz="0" w:space="0" w:color="auto"/>
        <w:bottom w:val="none" w:sz="0" w:space="0" w:color="auto"/>
        <w:right w:val="none" w:sz="0" w:space="0" w:color="auto"/>
      </w:divBdr>
      <w:divsChild>
        <w:div w:id="1569537464">
          <w:marLeft w:val="0"/>
          <w:marRight w:val="0"/>
          <w:marTop w:val="0"/>
          <w:marBottom w:val="240"/>
          <w:divBdr>
            <w:top w:val="single" w:sz="6" w:space="23" w:color="CCCCCC"/>
            <w:left w:val="single" w:sz="6" w:space="27" w:color="CCCCCC"/>
            <w:bottom w:val="single" w:sz="6" w:space="23" w:color="CCCCCC"/>
            <w:right w:val="single" w:sz="6" w:space="27" w:color="CCCCCC"/>
          </w:divBdr>
          <w:divsChild>
            <w:div w:id="1166240688">
              <w:marLeft w:val="0"/>
              <w:marRight w:val="0"/>
              <w:marTop w:val="300"/>
              <w:marBottom w:val="210"/>
              <w:divBdr>
                <w:top w:val="none" w:sz="0" w:space="0" w:color="auto"/>
                <w:left w:val="none" w:sz="0" w:space="0" w:color="auto"/>
                <w:bottom w:val="single" w:sz="6" w:space="4" w:color="E0E0E0"/>
                <w:right w:val="none" w:sz="0" w:space="0" w:color="auto"/>
              </w:divBdr>
            </w:div>
          </w:divsChild>
        </w:div>
        <w:div w:id="1513304191">
          <w:marLeft w:val="0"/>
          <w:marRight w:val="0"/>
          <w:marTop w:val="0"/>
          <w:marBottom w:val="240"/>
          <w:divBdr>
            <w:top w:val="single" w:sz="6" w:space="23" w:color="CCCCCC"/>
            <w:left w:val="single" w:sz="6" w:space="27" w:color="CCCCCC"/>
            <w:bottom w:val="single" w:sz="6" w:space="23" w:color="CCCCCC"/>
            <w:right w:val="single" w:sz="6" w:space="27" w:color="CCCCCC"/>
          </w:divBdr>
          <w:divsChild>
            <w:div w:id="1757628678">
              <w:marLeft w:val="0"/>
              <w:marRight w:val="0"/>
              <w:marTop w:val="0"/>
              <w:marBottom w:val="210"/>
              <w:divBdr>
                <w:top w:val="none" w:sz="0" w:space="0" w:color="auto"/>
                <w:left w:val="none" w:sz="0" w:space="0" w:color="auto"/>
                <w:bottom w:val="single" w:sz="6" w:space="4" w:color="E0E0E0"/>
                <w:right w:val="none" w:sz="0" w:space="0" w:color="auto"/>
              </w:divBdr>
            </w:div>
            <w:div w:id="429350406">
              <w:marLeft w:val="0"/>
              <w:marRight w:val="0"/>
              <w:marTop w:val="210"/>
              <w:marBottom w:val="210"/>
              <w:divBdr>
                <w:top w:val="none" w:sz="0" w:space="0" w:color="auto"/>
                <w:left w:val="single" w:sz="18" w:space="15" w:color="111111"/>
                <w:bottom w:val="none" w:sz="0" w:space="0" w:color="auto"/>
                <w:right w:val="none" w:sz="0" w:space="0" w:color="auto"/>
              </w:divBdr>
            </w:div>
            <w:div w:id="1902904959">
              <w:marLeft w:val="0"/>
              <w:marRight w:val="0"/>
              <w:marTop w:val="210"/>
              <w:marBottom w:val="210"/>
              <w:divBdr>
                <w:top w:val="none" w:sz="0" w:space="0" w:color="auto"/>
                <w:left w:val="single" w:sz="18" w:space="15" w:color="111111"/>
                <w:bottom w:val="none" w:sz="0" w:space="0" w:color="auto"/>
                <w:right w:val="none" w:sz="0" w:space="0" w:color="auto"/>
              </w:divBdr>
            </w:div>
            <w:div w:id="1650666648">
              <w:marLeft w:val="0"/>
              <w:marRight w:val="0"/>
              <w:marTop w:val="210"/>
              <w:marBottom w:val="210"/>
              <w:divBdr>
                <w:top w:val="none" w:sz="0" w:space="0" w:color="auto"/>
                <w:left w:val="single" w:sz="18" w:space="15" w:color="111111"/>
                <w:bottom w:val="none" w:sz="0" w:space="0" w:color="auto"/>
                <w:right w:val="none" w:sz="0" w:space="0" w:color="auto"/>
              </w:divBdr>
            </w:div>
          </w:divsChild>
        </w:div>
        <w:div w:id="68234582">
          <w:marLeft w:val="0"/>
          <w:marRight w:val="0"/>
          <w:marTop w:val="0"/>
          <w:marBottom w:val="240"/>
          <w:divBdr>
            <w:top w:val="single" w:sz="6" w:space="23" w:color="CCCCCC"/>
            <w:left w:val="single" w:sz="6" w:space="27" w:color="CCCCCC"/>
            <w:bottom w:val="single" w:sz="6" w:space="23" w:color="CCCCCC"/>
            <w:right w:val="single" w:sz="6" w:space="27" w:color="CCCCCC"/>
          </w:divBdr>
          <w:divsChild>
            <w:div w:id="2079548995">
              <w:marLeft w:val="0"/>
              <w:marRight w:val="0"/>
              <w:marTop w:val="0"/>
              <w:marBottom w:val="210"/>
              <w:divBdr>
                <w:top w:val="none" w:sz="0" w:space="0" w:color="auto"/>
                <w:left w:val="none" w:sz="0" w:space="0" w:color="auto"/>
                <w:bottom w:val="single" w:sz="6" w:space="4" w:color="E0E0E0"/>
                <w:right w:val="none" w:sz="0" w:space="0" w:color="auto"/>
              </w:divBdr>
            </w:div>
            <w:div w:id="982809860">
              <w:marLeft w:val="0"/>
              <w:marRight w:val="0"/>
              <w:marTop w:val="210"/>
              <w:marBottom w:val="210"/>
              <w:divBdr>
                <w:top w:val="none" w:sz="0" w:space="0" w:color="auto"/>
                <w:left w:val="single" w:sz="18" w:space="15" w:color="111111"/>
                <w:bottom w:val="none" w:sz="0" w:space="0" w:color="auto"/>
                <w:right w:val="none" w:sz="0" w:space="0" w:color="auto"/>
              </w:divBdr>
            </w:div>
            <w:div w:id="1938322043">
              <w:marLeft w:val="0"/>
              <w:marRight w:val="0"/>
              <w:marTop w:val="210"/>
              <w:marBottom w:val="210"/>
              <w:divBdr>
                <w:top w:val="none" w:sz="0" w:space="0" w:color="auto"/>
                <w:left w:val="single" w:sz="18" w:space="15" w:color="111111"/>
                <w:bottom w:val="none" w:sz="0" w:space="0" w:color="auto"/>
                <w:right w:val="none" w:sz="0" w:space="0" w:color="auto"/>
              </w:divBdr>
            </w:div>
          </w:divsChild>
        </w:div>
        <w:div w:id="1066027335">
          <w:marLeft w:val="0"/>
          <w:marRight w:val="0"/>
          <w:marTop w:val="0"/>
          <w:marBottom w:val="240"/>
          <w:divBdr>
            <w:top w:val="single" w:sz="6" w:space="23" w:color="CCCCCC"/>
            <w:left w:val="single" w:sz="6" w:space="27" w:color="CCCCCC"/>
            <w:bottom w:val="single" w:sz="6" w:space="23" w:color="CCCCCC"/>
            <w:right w:val="single" w:sz="6" w:space="27" w:color="CCCCCC"/>
          </w:divBdr>
          <w:divsChild>
            <w:div w:id="1086078353">
              <w:marLeft w:val="0"/>
              <w:marRight w:val="0"/>
              <w:marTop w:val="0"/>
              <w:marBottom w:val="210"/>
              <w:divBdr>
                <w:top w:val="none" w:sz="0" w:space="0" w:color="auto"/>
                <w:left w:val="none" w:sz="0" w:space="0" w:color="auto"/>
                <w:bottom w:val="single" w:sz="6" w:space="4" w:color="E0E0E0"/>
                <w:right w:val="none" w:sz="0" w:space="0" w:color="auto"/>
              </w:divBdr>
            </w:div>
            <w:div w:id="2075540881">
              <w:marLeft w:val="0"/>
              <w:marRight w:val="0"/>
              <w:marTop w:val="210"/>
              <w:marBottom w:val="210"/>
              <w:divBdr>
                <w:top w:val="none" w:sz="0" w:space="0" w:color="auto"/>
                <w:left w:val="single" w:sz="18" w:space="15" w:color="111111"/>
                <w:bottom w:val="none" w:sz="0" w:space="0" w:color="auto"/>
                <w:right w:val="none" w:sz="0" w:space="0" w:color="auto"/>
              </w:divBdr>
            </w:div>
            <w:div w:id="2070568012">
              <w:marLeft w:val="0"/>
              <w:marRight w:val="0"/>
              <w:marTop w:val="210"/>
              <w:marBottom w:val="210"/>
              <w:divBdr>
                <w:top w:val="none" w:sz="0" w:space="0" w:color="auto"/>
                <w:left w:val="single" w:sz="18" w:space="15" w:color="111111"/>
                <w:bottom w:val="none" w:sz="0" w:space="0" w:color="auto"/>
                <w:right w:val="none" w:sz="0" w:space="0" w:color="auto"/>
              </w:divBdr>
            </w:div>
            <w:div w:id="33965743">
              <w:marLeft w:val="0"/>
              <w:marRight w:val="0"/>
              <w:marTop w:val="210"/>
              <w:marBottom w:val="210"/>
              <w:divBdr>
                <w:top w:val="none" w:sz="0" w:space="0" w:color="auto"/>
                <w:left w:val="single" w:sz="18" w:space="15" w:color="111111"/>
                <w:bottom w:val="none" w:sz="0" w:space="0" w:color="auto"/>
                <w:right w:val="none" w:sz="0" w:space="0" w:color="auto"/>
              </w:divBdr>
            </w:div>
          </w:divsChild>
        </w:div>
      </w:divsChild>
    </w:div>
    <w:div w:id="948465904">
      <w:bodyDiv w:val="1"/>
      <w:marLeft w:val="0"/>
      <w:marRight w:val="0"/>
      <w:marTop w:val="0"/>
      <w:marBottom w:val="0"/>
      <w:divBdr>
        <w:top w:val="none" w:sz="0" w:space="0" w:color="auto"/>
        <w:left w:val="none" w:sz="0" w:space="0" w:color="auto"/>
        <w:bottom w:val="none" w:sz="0" w:space="0" w:color="auto"/>
        <w:right w:val="none" w:sz="0" w:space="0" w:color="auto"/>
      </w:divBdr>
    </w:div>
    <w:div w:id="978417474">
      <w:bodyDiv w:val="1"/>
      <w:marLeft w:val="0"/>
      <w:marRight w:val="0"/>
      <w:marTop w:val="0"/>
      <w:marBottom w:val="0"/>
      <w:divBdr>
        <w:top w:val="none" w:sz="0" w:space="0" w:color="auto"/>
        <w:left w:val="none" w:sz="0" w:space="0" w:color="auto"/>
        <w:bottom w:val="none" w:sz="0" w:space="0" w:color="auto"/>
        <w:right w:val="none" w:sz="0" w:space="0" w:color="auto"/>
      </w:divBdr>
    </w:div>
    <w:div w:id="995306432">
      <w:bodyDiv w:val="1"/>
      <w:marLeft w:val="0"/>
      <w:marRight w:val="0"/>
      <w:marTop w:val="0"/>
      <w:marBottom w:val="0"/>
      <w:divBdr>
        <w:top w:val="none" w:sz="0" w:space="0" w:color="auto"/>
        <w:left w:val="none" w:sz="0" w:space="0" w:color="auto"/>
        <w:bottom w:val="none" w:sz="0" w:space="0" w:color="auto"/>
        <w:right w:val="none" w:sz="0" w:space="0" w:color="auto"/>
      </w:divBdr>
    </w:div>
    <w:div w:id="1017465296">
      <w:bodyDiv w:val="1"/>
      <w:marLeft w:val="0"/>
      <w:marRight w:val="0"/>
      <w:marTop w:val="0"/>
      <w:marBottom w:val="0"/>
      <w:divBdr>
        <w:top w:val="none" w:sz="0" w:space="0" w:color="auto"/>
        <w:left w:val="none" w:sz="0" w:space="0" w:color="auto"/>
        <w:bottom w:val="none" w:sz="0" w:space="0" w:color="auto"/>
        <w:right w:val="none" w:sz="0" w:space="0" w:color="auto"/>
      </w:divBdr>
    </w:div>
    <w:div w:id="1054237661">
      <w:bodyDiv w:val="1"/>
      <w:marLeft w:val="0"/>
      <w:marRight w:val="0"/>
      <w:marTop w:val="0"/>
      <w:marBottom w:val="0"/>
      <w:divBdr>
        <w:top w:val="none" w:sz="0" w:space="0" w:color="auto"/>
        <w:left w:val="none" w:sz="0" w:space="0" w:color="auto"/>
        <w:bottom w:val="none" w:sz="0" w:space="0" w:color="auto"/>
        <w:right w:val="none" w:sz="0" w:space="0" w:color="auto"/>
      </w:divBdr>
    </w:div>
    <w:div w:id="1064178753">
      <w:bodyDiv w:val="1"/>
      <w:marLeft w:val="0"/>
      <w:marRight w:val="0"/>
      <w:marTop w:val="0"/>
      <w:marBottom w:val="0"/>
      <w:divBdr>
        <w:top w:val="none" w:sz="0" w:space="0" w:color="auto"/>
        <w:left w:val="none" w:sz="0" w:space="0" w:color="auto"/>
        <w:bottom w:val="none" w:sz="0" w:space="0" w:color="auto"/>
        <w:right w:val="none" w:sz="0" w:space="0" w:color="auto"/>
      </w:divBdr>
    </w:div>
    <w:div w:id="1085489604">
      <w:bodyDiv w:val="1"/>
      <w:marLeft w:val="0"/>
      <w:marRight w:val="0"/>
      <w:marTop w:val="0"/>
      <w:marBottom w:val="0"/>
      <w:divBdr>
        <w:top w:val="none" w:sz="0" w:space="0" w:color="auto"/>
        <w:left w:val="none" w:sz="0" w:space="0" w:color="auto"/>
        <w:bottom w:val="none" w:sz="0" w:space="0" w:color="auto"/>
        <w:right w:val="none" w:sz="0" w:space="0" w:color="auto"/>
      </w:divBdr>
    </w:div>
    <w:div w:id="1117070005">
      <w:bodyDiv w:val="1"/>
      <w:marLeft w:val="0"/>
      <w:marRight w:val="0"/>
      <w:marTop w:val="0"/>
      <w:marBottom w:val="0"/>
      <w:divBdr>
        <w:top w:val="none" w:sz="0" w:space="0" w:color="auto"/>
        <w:left w:val="none" w:sz="0" w:space="0" w:color="auto"/>
        <w:bottom w:val="none" w:sz="0" w:space="0" w:color="auto"/>
        <w:right w:val="none" w:sz="0" w:space="0" w:color="auto"/>
      </w:divBdr>
    </w:div>
    <w:div w:id="1126973423">
      <w:bodyDiv w:val="1"/>
      <w:marLeft w:val="0"/>
      <w:marRight w:val="0"/>
      <w:marTop w:val="0"/>
      <w:marBottom w:val="0"/>
      <w:divBdr>
        <w:top w:val="none" w:sz="0" w:space="0" w:color="auto"/>
        <w:left w:val="none" w:sz="0" w:space="0" w:color="auto"/>
        <w:bottom w:val="none" w:sz="0" w:space="0" w:color="auto"/>
        <w:right w:val="none" w:sz="0" w:space="0" w:color="auto"/>
      </w:divBdr>
      <w:divsChild>
        <w:div w:id="1591504835">
          <w:marLeft w:val="0"/>
          <w:marRight w:val="0"/>
          <w:marTop w:val="0"/>
          <w:marBottom w:val="0"/>
          <w:divBdr>
            <w:top w:val="none" w:sz="0" w:space="0" w:color="auto"/>
            <w:left w:val="none" w:sz="0" w:space="0" w:color="auto"/>
            <w:bottom w:val="none" w:sz="0" w:space="0" w:color="auto"/>
            <w:right w:val="none" w:sz="0" w:space="0" w:color="auto"/>
          </w:divBdr>
          <w:divsChild>
            <w:div w:id="491591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26598685">
      <w:bodyDiv w:val="1"/>
      <w:marLeft w:val="0"/>
      <w:marRight w:val="0"/>
      <w:marTop w:val="0"/>
      <w:marBottom w:val="0"/>
      <w:divBdr>
        <w:top w:val="none" w:sz="0" w:space="0" w:color="auto"/>
        <w:left w:val="none" w:sz="0" w:space="0" w:color="auto"/>
        <w:bottom w:val="none" w:sz="0" w:space="0" w:color="auto"/>
        <w:right w:val="none" w:sz="0" w:space="0" w:color="auto"/>
      </w:divBdr>
    </w:div>
    <w:div w:id="1248729236">
      <w:bodyDiv w:val="1"/>
      <w:marLeft w:val="0"/>
      <w:marRight w:val="0"/>
      <w:marTop w:val="0"/>
      <w:marBottom w:val="0"/>
      <w:divBdr>
        <w:top w:val="none" w:sz="0" w:space="0" w:color="auto"/>
        <w:left w:val="none" w:sz="0" w:space="0" w:color="auto"/>
        <w:bottom w:val="none" w:sz="0" w:space="0" w:color="auto"/>
        <w:right w:val="none" w:sz="0" w:space="0" w:color="auto"/>
      </w:divBdr>
    </w:div>
    <w:div w:id="1306860458">
      <w:bodyDiv w:val="1"/>
      <w:marLeft w:val="0"/>
      <w:marRight w:val="0"/>
      <w:marTop w:val="0"/>
      <w:marBottom w:val="0"/>
      <w:divBdr>
        <w:top w:val="none" w:sz="0" w:space="0" w:color="auto"/>
        <w:left w:val="none" w:sz="0" w:space="0" w:color="auto"/>
        <w:bottom w:val="none" w:sz="0" w:space="0" w:color="auto"/>
        <w:right w:val="none" w:sz="0" w:space="0" w:color="auto"/>
      </w:divBdr>
    </w:div>
    <w:div w:id="1327636283">
      <w:bodyDiv w:val="1"/>
      <w:marLeft w:val="0"/>
      <w:marRight w:val="0"/>
      <w:marTop w:val="0"/>
      <w:marBottom w:val="0"/>
      <w:divBdr>
        <w:top w:val="none" w:sz="0" w:space="0" w:color="auto"/>
        <w:left w:val="none" w:sz="0" w:space="0" w:color="auto"/>
        <w:bottom w:val="none" w:sz="0" w:space="0" w:color="auto"/>
        <w:right w:val="none" w:sz="0" w:space="0" w:color="auto"/>
      </w:divBdr>
    </w:div>
    <w:div w:id="1394504376">
      <w:bodyDiv w:val="1"/>
      <w:marLeft w:val="0"/>
      <w:marRight w:val="0"/>
      <w:marTop w:val="0"/>
      <w:marBottom w:val="0"/>
      <w:divBdr>
        <w:top w:val="none" w:sz="0" w:space="0" w:color="auto"/>
        <w:left w:val="none" w:sz="0" w:space="0" w:color="auto"/>
        <w:bottom w:val="none" w:sz="0" w:space="0" w:color="auto"/>
        <w:right w:val="none" w:sz="0" w:space="0" w:color="auto"/>
      </w:divBdr>
    </w:div>
    <w:div w:id="1462334908">
      <w:bodyDiv w:val="1"/>
      <w:marLeft w:val="0"/>
      <w:marRight w:val="0"/>
      <w:marTop w:val="0"/>
      <w:marBottom w:val="0"/>
      <w:divBdr>
        <w:top w:val="none" w:sz="0" w:space="0" w:color="auto"/>
        <w:left w:val="none" w:sz="0" w:space="0" w:color="auto"/>
        <w:bottom w:val="none" w:sz="0" w:space="0" w:color="auto"/>
        <w:right w:val="none" w:sz="0" w:space="0" w:color="auto"/>
      </w:divBdr>
    </w:div>
    <w:div w:id="1609238148">
      <w:bodyDiv w:val="1"/>
      <w:marLeft w:val="0"/>
      <w:marRight w:val="0"/>
      <w:marTop w:val="0"/>
      <w:marBottom w:val="0"/>
      <w:divBdr>
        <w:top w:val="none" w:sz="0" w:space="0" w:color="auto"/>
        <w:left w:val="none" w:sz="0" w:space="0" w:color="auto"/>
        <w:bottom w:val="none" w:sz="0" w:space="0" w:color="auto"/>
        <w:right w:val="none" w:sz="0" w:space="0" w:color="auto"/>
      </w:divBdr>
    </w:div>
    <w:div w:id="1642536424">
      <w:bodyDiv w:val="1"/>
      <w:marLeft w:val="0"/>
      <w:marRight w:val="0"/>
      <w:marTop w:val="0"/>
      <w:marBottom w:val="0"/>
      <w:divBdr>
        <w:top w:val="none" w:sz="0" w:space="0" w:color="auto"/>
        <w:left w:val="none" w:sz="0" w:space="0" w:color="auto"/>
        <w:bottom w:val="none" w:sz="0" w:space="0" w:color="auto"/>
        <w:right w:val="none" w:sz="0" w:space="0" w:color="auto"/>
      </w:divBdr>
    </w:div>
    <w:div w:id="1716083264">
      <w:bodyDiv w:val="1"/>
      <w:marLeft w:val="0"/>
      <w:marRight w:val="0"/>
      <w:marTop w:val="0"/>
      <w:marBottom w:val="0"/>
      <w:divBdr>
        <w:top w:val="none" w:sz="0" w:space="0" w:color="auto"/>
        <w:left w:val="none" w:sz="0" w:space="0" w:color="auto"/>
        <w:bottom w:val="none" w:sz="0" w:space="0" w:color="auto"/>
        <w:right w:val="none" w:sz="0" w:space="0" w:color="auto"/>
      </w:divBdr>
    </w:div>
    <w:div w:id="1718041894">
      <w:bodyDiv w:val="1"/>
      <w:marLeft w:val="0"/>
      <w:marRight w:val="0"/>
      <w:marTop w:val="0"/>
      <w:marBottom w:val="0"/>
      <w:divBdr>
        <w:top w:val="none" w:sz="0" w:space="0" w:color="auto"/>
        <w:left w:val="none" w:sz="0" w:space="0" w:color="auto"/>
        <w:bottom w:val="none" w:sz="0" w:space="0" w:color="auto"/>
        <w:right w:val="none" w:sz="0" w:space="0" w:color="auto"/>
      </w:divBdr>
    </w:div>
    <w:div w:id="1899364641">
      <w:bodyDiv w:val="1"/>
      <w:marLeft w:val="0"/>
      <w:marRight w:val="0"/>
      <w:marTop w:val="0"/>
      <w:marBottom w:val="0"/>
      <w:divBdr>
        <w:top w:val="none" w:sz="0" w:space="0" w:color="auto"/>
        <w:left w:val="none" w:sz="0" w:space="0" w:color="auto"/>
        <w:bottom w:val="none" w:sz="0" w:space="0" w:color="auto"/>
        <w:right w:val="none" w:sz="0" w:space="0" w:color="auto"/>
      </w:divBdr>
    </w:div>
    <w:div w:id="1925069030">
      <w:bodyDiv w:val="1"/>
      <w:marLeft w:val="0"/>
      <w:marRight w:val="0"/>
      <w:marTop w:val="0"/>
      <w:marBottom w:val="0"/>
      <w:divBdr>
        <w:top w:val="none" w:sz="0" w:space="0" w:color="auto"/>
        <w:left w:val="none" w:sz="0" w:space="0" w:color="auto"/>
        <w:bottom w:val="none" w:sz="0" w:space="0" w:color="auto"/>
        <w:right w:val="none" w:sz="0" w:space="0" w:color="auto"/>
      </w:divBdr>
      <w:divsChild>
        <w:div w:id="1341352060">
          <w:marLeft w:val="0"/>
          <w:marRight w:val="0"/>
          <w:marTop w:val="0"/>
          <w:marBottom w:val="0"/>
          <w:divBdr>
            <w:top w:val="none" w:sz="0" w:space="0" w:color="auto"/>
            <w:left w:val="none" w:sz="0" w:space="0" w:color="auto"/>
            <w:bottom w:val="none" w:sz="0" w:space="0" w:color="auto"/>
            <w:right w:val="none" w:sz="0" w:space="0" w:color="auto"/>
          </w:divBdr>
          <w:divsChild>
            <w:div w:id="15011177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43685185">
      <w:bodyDiv w:val="1"/>
      <w:marLeft w:val="0"/>
      <w:marRight w:val="0"/>
      <w:marTop w:val="0"/>
      <w:marBottom w:val="0"/>
      <w:divBdr>
        <w:top w:val="none" w:sz="0" w:space="0" w:color="auto"/>
        <w:left w:val="none" w:sz="0" w:space="0" w:color="auto"/>
        <w:bottom w:val="none" w:sz="0" w:space="0" w:color="auto"/>
        <w:right w:val="none" w:sz="0" w:space="0" w:color="auto"/>
      </w:divBdr>
    </w:div>
    <w:div w:id="1968702399">
      <w:bodyDiv w:val="1"/>
      <w:marLeft w:val="0"/>
      <w:marRight w:val="0"/>
      <w:marTop w:val="0"/>
      <w:marBottom w:val="0"/>
      <w:divBdr>
        <w:top w:val="none" w:sz="0" w:space="0" w:color="auto"/>
        <w:left w:val="none" w:sz="0" w:space="0" w:color="auto"/>
        <w:bottom w:val="none" w:sz="0" w:space="0" w:color="auto"/>
        <w:right w:val="none" w:sz="0" w:space="0" w:color="auto"/>
      </w:divBdr>
    </w:div>
    <w:div w:id="2040541879">
      <w:bodyDiv w:val="1"/>
      <w:marLeft w:val="0"/>
      <w:marRight w:val="0"/>
      <w:marTop w:val="0"/>
      <w:marBottom w:val="0"/>
      <w:divBdr>
        <w:top w:val="none" w:sz="0" w:space="0" w:color="auto"/>
        <w:left w:val="none" w:sz="0" w:space="0" w:color="auto"/>
        <w:bottom w:val="none" w:sz="0" w:space="0" w:color="auto"/>
        <w:right w:val="none" w:sz="0" w:space="0" w:color="auto"/>
      </w:divBdr>
    </w:div>
    <w:div w:id="2071269963">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13" Type="http://schemas.openxmlformats.org/officeDocument/2006/relationships/hyperlink" Target="https://orcid.org/0000-0002-7788-6060" TargetMode="External"/><Relationship Id="rId18" Type="http://schemas.openxmlformats.org/officeDocument/2006/relationships/image" Target="media/image5.png"/><Relationship Id="rId26" Type="http://schemas.openxmlformats.org/officeDocument/2006/relationships/hyperlink" Target="https://doi.org/10.1038/s41598-022-11228-2" TargetMode="External"/><Relationship Id="rId39" Type="http://schemas.openxmlformats.org/officeDocument/2006/relationships/hyperlink" Target="https://doi.org/10.57329/PJILSS-2024-22.2.0074" TargetMode="External"/><Relationship Id="rId21" Type="http://schemas.openxmlformats.org/officeDocument/2006/relationships/hyperlink" Target="https://doi.org/10.1016/j.techfore.2016.09.015" TargetMode="External"/><Relationship Id="rId34" Type="http://schemas.openxmlformats.org/officeDocument/2006/relationships/hyperlink" Target="https://www.mckinsey.com/industries/agriculture/our-insights/agricultures-connected-future-how-technology-can-yield-new-growth" TargetMode="External"/><Relationship Id="rId42" Type="http://schemas.openxmlformats.org/officeDocument/2006/relationships/hyperlink" Target="https://doi.org/10.15407/eip2021.01.127" TargetMode="External"/><Relationship Id="rId47" Type="http://schemas.openxmlformats.org/officeDocument/2006/relationships/hyperlink" Target="https://eapk.com.ua/web/uploads/pdf/Vol.%2023,%20No.%206,%202016_apk-37-49.pdf" TargetMode="External"/><Relationship Id="rId50" Type="http://schemas.openxmlformats.org/officeDocument/2006/relationships/hyperlink" Target="https://doi.org/10.31734/economics2024.31.006" TargetMode="External"/><Relationship Id="rId55" Type="http://schemas.openxmlformats.org/officeDocument/2006/relationships/hyperlink" Target="https://doi.org/10.63620/mkjaees.2025.1100" TargetMode="External"/><Relationship Id="rId63" Type="http://schemas.openxmlformats.org/officeDocument/2006/relationships/hyperlink" Target="https://ucab.ua/en/ucab-survey-en/ukrainian-agricultural-outlook-presented-with-key-data-for-2025" TargetMode="External"/><Relationship Id="rId68" Type="http://schemas.openxmlformats.org/officeDocument/2006/relationships/header" Target="header2.xml"/><Relationship Id="rId7" Type="http://schemas.openxmlformats.org/officeDocument/2006/relationships/image" Target="media/image1.png"/><Relationship Id="rId71" Type="http://schemas.openxmlformats.org/officeDocument/2006/relationships/theme" Target="theme/theme1.xml"/><Relationship Id="rId2" Type="http://schemas.openxmlformats.org/officeDocument/2006/relationships/styles" Target="styles.xml"/><Relationship Id="rId16" Type="http://schemas.openxmlformats.org/officeDocument/2006/relationships/image" Target="media/image3.png"/><Relationship Id="rId29" Type="http://schemas.openxmlformats.org/officeDocument/2006/relationships/hyperlink" Target="https://www.deloitte.com/global/en/industries/consumer/about/future-of-food.html"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orcid.org/0000-0002-3931-5320" TargetMode="External"/><Relationship Id="rId24" Type="http://schemas.openxmlformats.org/officeDocument/2006/relationships/hyperlink" Target="https://doi.org/10.33271/nvngu/2023-1/154" TargetMode="External"/><Relationship Id="rId32" Type="http://schemas.openxmlformats.org/officeDocument/2006/relationships/hyperlink" Target="https://openknowledge.fao.org/server/api/core/bitstreams/e51e0cf0-4ece-428c-8227-ff6c51b06b16/content" TargetMode="External"/><Relationship Id="rId37" Type="http://schemas.openxmlformats.org/officeDocument/2006/relationships/hyperlink" Target="https://www.futuresplatform.com/blog/5-benefits-systematic-foresight-activity" TargetMode="External"/><Relationship Id="rId40" Type="http://schemas.openxmlformats.org/officeDocument/2006/relationships/hyperlink" Target="https://doi.org/10.20858/sjsutst.2026.130.8" TargetMode="External"/><Relationship Id="rId45" Type="http://schemas.openxmlformats.org/officeDocument/2006/relationships/hyperlink" Target="https://doi.org/10.32782/dees.20-12" TargetMode="External"/><Relationship Id="rId53" Type="http://schemas.openxmlformats.org/officeDocument/2006/relationships/hyperlink" Target="https://www.oecd.org/en/publications/oecd-fao-agricultural-outlook-2022-2031_f1b0b29c-en.html" TargetMode="External"/><Relationship Id="rId58" Type="http://schemas.openxmlformats.org/officeDocument/2006/relationships/hyperlink" Target="https://doi.org/10.51599/are.2022.08.04.11" TargetMode="External"/><Relationship Id="rId66" Type="http://schemas.openxmlformats.org/officeDocument/2006/relationships/hyperlink" Target="https://doi.org/10.55643/fcaptp.6.47.2022.3929" TargetMode="External"/><Relationship Id="rId5" Type="http://schemas.openxmlformats.org/officeDocument/2006/relationships/footnotes" Target="footnotes.xml"/><Relationship Id="rId15" Type="http://schemas.openxmlformats.org/officeDocument/2006/relationships/image" Target="media/image2.png"/><Relationship Id="rId23" Type="http://schemas.openxmlformats.org/officeDocument/2006/relationships/hyperlink" Target="https://agroportal.ua/news/ukraina/v-ukrajini-zapustili-komunikaciynu-platformu-napravlenu-na-cifrovizaciyu-agrosektoru" TargetMode="External"/><Relationship Id="rId28" Type="http://schemas.openxmlformats.org/officeDocument/2006/relationships/hyperlink" Target="https://doi.org/10.33271/nvngu/2025-5/162" TargetMode="External"/><Relationship Id="rId36" Type="http://schemas.openxmlformats.org/officeDocument/2006/relationships/hyperlink" Target="https://doi.org/10.32782/2524-0072/2025-73-83" TargetMode="External"/><Relationship Id="rId49" Type="http://schemas.openxmlformats.org/officeDocument/2006/relationships/hyperlink" Target="https://doi.org/10.1016/j.futures.2009.01.003" TargetMode="External"/><Relationship Id="rId57" Type="http://schemas.openxmlformats.org/officeDocument/2006/relationships/hyperlink" Target="https://doi.org/10.20858/sjsutst.2026.130.13" TargetMode="External"/><Relationship Id="rId61" Type="http://schemas.openxmlformats.org/officeDocument/2006/relationships/hyperlink" Target="https://teus.com.ua/en/blog/forbes-agro-2026-how-new-standards-are-reshaping-ukraine-s-agribusiness-model-and-the-role-of-logist" TargetMode="External"/><Relationship Id="rId10" Type="http://schemas.openxmlformats.org/officeDocument/2006/relationships/hyperlink" Target="https://orcid.org/0000-0002-9320-7566" TargetMode="External"/><Relationship Id="rId19" Type="http://schemas.openxmlformats.org/officeDocument/2006/relationships/image" Target="media/image6.png"/><Relationship Id="rId31" Type="http://schemas.openxmlformats.org/officeDocument/2006/relationships/hyperlink" Target="https://www.metrofood.eu/images/news/Farm_to_Fork_Strategy__for_a_fair_healthy_and_environmentally-friendly_food_system.pdf" TargetMode="External"/><Relationship Id="rId44" Type="http://schemas.openxmlformats.org/officeDocument/2006/relationships/hyperlink" Target="https://doi.org/10.20535/2307-5651.17.2020.216336" TargetMode="External"/><Relationship Id="rId52" Type="http://schemas.openxmlformats.org/officeDocument/2006/relationships/hyperlink" Target="https://doi.org/10.14254/1800-5845/2019.15-4.10" TargetMode="External"/><Relationship Id="rId60" Type="http://schemas.openxmlformats.org/officeDocument/2006/relationships/hyperlink" Target="http://doi.org/10.33111/vz_kneu.41.25.04.25.175.181" TargetMode="External"/><Relationship Id="rId65" Type="http://schemas.openxmlformats.org/officeDocument/2006/relationships/hyperlink" Target="https://doi.org/10.21511/ppm.16(3).2018.13" TargetMode="External"/><Relationship Id="rId4" Type="http://schemas.openxmlformats.org/officeDocument/2006/relationships/webSettings" Target="webSettings.xml"/><Relationship Id="rId9" Type="http://schemas.openxmlformats.org/officeDocument/2006/relationships/hyperlink" Target="http://orcid.org/0000-0002-8422-3775" TargetMode="External"/><Relationship Id="rId14" Type="http://schemas.openxmlformats.org/officeDocument/2006/relationships/hyperlink" Target="https://orcid.org/0000-0001-8612-3834" TargetMode="External"/><Relationship Id="rId22" Type="http://schemas.openxmlformats.org/officeDocument/2006/relationships/hyperlink" Target="https://agribusinessinukraine.com/get_file/id/the-infographics-report-ukrainian-agribusiness-2024-eng.pdf" TargetMode="External"/><Relationship Id="rId27" Type="http://schemas.openxmlformats.org/officeDocument/2006/relationships/hyperlink" Target="https://kse.ua/wp-content/uploads/2024/04/UA-Outlook-2024-2033-Report-1.pdf" TargetMode="External"/><Relationship Id="rId30" Type="http://schemas.openxmlformats.org/officeDocument/2006/relationships/hyperlink" Target="http://doi.org/10.33111/vz_kneu.41.25.04.06.040.046" TargetMode="External"/><Relationship Id="rId35" Type="http://schemas.openxmlformats.org/officeDocument/2006/relationships/hyperlink" Target="https://doi.org/10.1088/2976-601X/adebf3" TargetMode="External"/><Relationship Id="rId43" Type="http://schemas.openxmlformats.org/officeDocument/2006/relationships/hyperlink" Target="https://doi.org/10.1016/j.techfore.2010.06.002" TargetMode="External"/><Relationship Id="rId48" Type="http://schemas.openxmlformats.org/officeDocument/2006/relationships/hyperlink" Target="https://doi.org/10.1016/j.techfore.2010.07.016" TargetMode="External"/><Relationship Id="rId56" Type="http://schemas.openxmlformats.org/officeDocument/2006/relationships/hyperlink" Target="https://doi.org/10.1111/j.1744-7976.2001.tb00329.x" TargetMode="External"/><Relationship Id="rId64" Type="http://schemas.openxmlformats.org/officeDocument/2006/relationships/hyperlink" Target="https://doi.org/10.31734/agrarecon2023.01-02.118" TargetMode="External"/><Relationship Id="rId69" Type="http://schemas.openxmlformats.org/officeDocument/2006/relationships/footer" Target="footer1.xml"/><Relationship Id="rId8" Type="http://schemas.openxmlformats.org/officeDocument/2006/relationships/hyperlink" Target="https://orcid.org/0000-0001-8676-0622" TargetMode="External"/><Relationship Id="rId51" Type="http://schemas.openxmlformats.org/officeDocument/2006/relationships/hyperlink" Target="https://doi.org/10.1177/002224299005400403" TargetMode="External"/><Relationship Id="rId3" Type="http://schemas.openxmlformats.org/officeDocument/2006/relationships/settings" Target="settings.xml"/><Relationship Id="rId12" Type="http://schemas.openxmlformats.org/officeDocument/2006/relationships/hyperlink" Target="https://orcid.org/0000-0002-4728-4640" TargetMode="External"/><Relationship Id="rId17" Type="http://schemas.openxmlformats.org/officeDocument/2006/relationships/image" Target="media/image4.png"/><Relationship Id="rId25" Type="http://schemas.openxmlformats.org/officeDocument/2006/relationships/hyperlink" Target="https://www.arkh3.com/blog/why-do-we-need-systemic-foresight" TargetMode="External"/><Relationship Id="rId33" Type="http://schemas.openxmlformats.org/officeDocument/2006/relationships/hyperlink" Target="https://forbes.ua/news/forbes-agro-2026-yak-novi-standarti-zminyuyut-model-ukrainskogo-agro-02032026-36755" TargetMode="External"/><Relationship Id="rId38" Type="http://schemas.openxmlformats.org/officeDocument/2006/relationships/hyperlink" Target="https://doi.org/10.33271/nvngu/2026-2/224" TargetMode="External"/><Relationship Id="rId46" Type="http://schemas.openxmlformats.org/officeDocument/2006/relationships/hyperlink" Target="https://doi.org/10.1007/s13280-025-02263-0" TargetMode="External"/><Relationship Id="rId59" Type="http://schemas.openxmlformats.org/officeDocument/2006/relationships/hyperlink" Target="https://doi.org/10.55214/25768484.v8i6.2261" TargetMode="External"/><Relationship Id="rId67" Type="http://schemas.openxmlformats.org/officeDocument/2006/relationships/header" Target="header1.xml"/><Relationship Id="rId20" Type="http://schemas.openxmlformats.org/officeDocument/2006/relationships/image" Target="media/image7.png"/><Relationship Id="rId41" Type="http://schemas.openxmlformats.org/officeDocument/2006/relationships/hyperlink" Target="https://doi.org/10.31379/sed.2.2.2024.11" TargetMode="External"/><Relationship Id="rId54" Type="http://schemas.openxmlformats.org/officeDocument/2006/relationships/hyperlink" Target="https://doi.org/10.32317/2221-1055.202001006" TargetMode="External"/><Relationship Id="rId62" Type="http://schemas.openxmlformats.org/officeDocument/2006/relationships/hyperlink" Target="https://repo.btu.kharkiv.ua/handle/123456789/69097" TargetMode="External"/><Relationship Id="rId70"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image" Target="media/image8.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185</TotalTime>
  <Pages>21</Pages>
  <Words>13502</Words>
  <Characters>81013</Characters>
  <Application>Microsoft Office Word</Application>
  <DocSecurity>0</DocSecurity>
  <Lines>675</Lines>
  <Paragraphs>188</Paragraphs>
  <ScaleCrop>false</ScaleCrop>
  <HeadingPairs>
    <vt:vector size="4" baseType="variant">
      <vt:variant>
        <vt:lpstr>Tytuł</vt:lpstr>
      </vt:variant>
      <vt:variant>
        <vt:i4>1</vt:i4>
      </vt:variant>
      <vt:variant>
        <vt:lpstr>Название</vt:lpstr>
      </vt:variant>
      <vt:variant>
        <vt:i4>1</vt:i4>
      </vt:variant>
    </vt:vector>
  </HeadingPairs>
  <TitlesOfParts>
    <vt:vector size="2" baseType="lpstr">
      <vt:lpstr/>
      <vt:lpstr/>
    </vt:vector>
  </TitlesOfParts>
  <Company/>
  <LinksUpToDate>false</LinksUpToDate>
  <CharactersWithSpaces>94327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Janusz Dabrowski NA</cp:lastModifiedBy>
  <cp:revision>28</cp:revision>
  <dcterms:created xsi:type="dcterms:W3CDTF">2026-06-26T06:47:00Z</dcterms:created>
  <dcterms:modified xsi:type="dcterms:W3CDTF">2026-07-16T06:36:00Z</dcterms:modified>
</cp:coreProperties>
</file>