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Layout w:type="fixed"/>
        <w:tblCellMar>
          <w:left w:w="0" w:type="dxa"/>
          <w:right w:w="0" w:type="dxa"/>
        </w:tblCellMar>
        <w:tblLook w:val="04A0" w:firstRow="1" w:lastRow="0" w:firstColumn="1" w:lastColumn="0" w:noHBand="0" w:noVBand="1"/>
      </w:tblPr>
      <w:tblGrid>
        <w:gridCol w:w="709"/>
        <w:gridCol w:w="992"/>
        <w:gridCol w:w="6304"/>
        <w:gridCol w:w="1634"/>
      </w:tblGrid>
      <w:tr w:rsidR="00BE492F" w:rsidRPr="00E4709C" w14:paraId="533594C2" w14:textId="77777777" w:rsidTr="006D5918">
        <w:trPr>
          <w:trHeight w:hRule="exact" w:val="142"/>
        </w:trPr>
        <w:tc>
          <w:tcPr>
            <w:tcW w:w="709" w:type="dxa"/>
            <w:vMerge w:val="restart"/>
            <w:vAlign w:val="center"/>
          </w:tcPr>
          <w:p w14:paraId="72783750" w14:textId="77777777" w:rsidR="00BE492F" w:rsidRPr="00E4709C" w:rsidRDefault="00BE492F" w:rsidP="006D5918">
            <w:pPr>
              <w:spacing w:line="240" w:lineRule="auto"/>
              <w:jc w:val="center"/>
              <w:rPr>
                <w:lang w:val="en-GB"/>
              </w:rPr>
            </w:pPr>
            <w:bookmarkStart w:id="0" w:name="_jlde0bfez6jg" w:colFirst="0" w:colLast="0"/>
            <w:bookmarkStart w:id="1" w:name="_Hlk184284483"/>
            <w:bookmarkStart w:id="2" w:name="_Hlk145412337"/>
            <w:bookmarkStart w:id="3" w:name="_Hlk103340665"/>
            <w:bookmarkStart w:id="4" w:name="_Hlk24804592"/>
            <w:bookmarkStart w:id="5" w:name="_Hlk197524609"/>
            <w:bookmarkEnd w:id="0"/>
            <w:bookmarkEnd w:id="1"/>
            <w:bookmarkEnd w:id="2"/>
            <w:bookmarkEnd w:id="3"/>
            <w:r w:rsidRPr="00E4709C">
              <w:rPr>
                <w:noProof/>
                <w:lang w:val="en-GB"/>
              </w:rPr>
              <w:drawing>
                <wp:anchor distT="0" distB="0" distL="114300" distR="114300" simplePos="0" relativeHeight="251659264" behindDoc="0" locked="0" layoutInCell="1" allowOverlap="1" wp14:anchorId="717EA02D" wp14:editId="21D3E0F3">
                  <wp:simplePos x="0" y="0"/>
                  <wp:positionH relativeFrom="column">
                    <wp:posOffset>0</wp:posOffset>
                  </wp:positionH>
                  <wp:positionV relativeFrom="paragraph">
                    <wp:posOffset>344805</wp:posOffset>
                  </wp:positionV>
                  <wp:extent cx="432000" cy="426000"/>
                  <wp:effectExtent l="0" t="0" r="6350" b="0"/>
                  <wp:wrapNone/>
                  <wp:docPr id="868826197"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2000" cy="426000"/>
                          </a:xfrm>
                          <a:prstGeom prst="rect">
                            <a:avLst/>
                          </a:prstGeom>
                          <a:noFill/>
                        </pic:spPr>
                      </pic:pic>
                    </a:graphicData>
                  </a:graphic>
                  <wp14:sizeRelH relativeFrom="page">
                    <wp14:pctWidth>0</wp14:pctWidth>
                  </wp14:sizeRelH>
                  <wp14:sizeRelV relativeFrom="page">
                    <wp14:pctHeight>0</wp14:pctHeight>
                  </wp14:sizeRelV>
                </wp:anchor>
              </w:drawing>
            </w:r>
          </w:p>
        </w:tc>
        <w:tc>
          <w:tcPr>
            <w:tcW w:w="8930" w:type="dxa"/>
            <w:gridSpan w:val="3"/>
            <w:vAlign w:val="center"/>
          </w:tcPr>
          <w:p w14:paraId="08EEFB91" w14:textId="77777777" w:rsidR="00BE492F" w:rsidRPr="00E4709C" w:rsidRDefault="00BE492F" w:rsidP="00784A64">
            <w:pPr>
              <w:spacing w:line="240" w:lineRule="auto"/>
              <w:jc w:val="center"/>
              <w:rPr>
                <w:lang w:val="en-GB"/>
              </w:rPr>
            </w:pPr>
          </w:p>
        </w:tc>
      </w:tr>
      <w:tr w:rsidR="00BE492F" w:rsidRPr="00E4709C" w14:paraId="42C1AEA7" w14:textId="77777777" w:rsidTr="00784A64">
        <w:trPr>
          <w:trHeight w:hRule="exact" w:val="283"/>
        </w:trPr>
        <w:tc>
          <w:tcPr>
            <w:tcW w:w="709" w:type="dxa"/>
            <w:vMerge/>
          </w:tcPr>
          <w:p w14:paraId="4998C153" w14:textId="77777777" w:rsidR="00BE492F" w:rsidRPr="00E4709C" w:rsidRDefault="00BE492F" w:rsidP="00784A64">
            <w:pPr>
              <w:spacing w:line="240" w:lineRule="auto"/>
              <w:jc w:val="center"/>
              <w:rPr>
                <w:lang w:val="en-GB"/>
              </w:rPr>
            </w:pPr>
          </w:p>
        </w:tc>
        <w:tc>
          <w:tcPr>
            <w:tcW w:w="8930" w:type="dxa"/>
            <w:gridSpan w:val="3"/>
            <w:tcBorders>
              <w:bottom w:val="single" w:sz="2" w:space="0" w:color="auto"/>
            </w:tcBorders>
            <w:vAlign w:val="center"/>
          </w:tcPr>
          <w:p w14:paraId="043D67BF" w14:textId="77777777" w:rsidR="00BE492F" w:rsidRPr="00E4709C" w:rsidRDefault="00BE492F" w:rsidP="00784A64">
            <w:pPr>
              <w:spacing w:line="240" w:lineRule="auto"/>
              <w:jc w:val="center"/>
              <w:rPr>
                <w:lang w:val="en-GB"/>
              </w:rPr>
            </w:pPr>
            <w:proofErr w:type="spellStart"/>
            <w:r w:rsidRPr="00E4709C">
              <w:rPr>
                <w:b/>
                <w:lang w:val="en-GB"/>
              </w:rPr>
              <w:t>Rocznik</w:t>
            </w:r>
            <w:proofErr w:type="spellEnd"/>
            <w:r w:rsidRPr="00E4709C">
              <w:rPr>
                <w:b/>
                <w:lang w:val="en-GB"/>
              </w:rPr>
              <w:t xml:space="preserve"> </w:t>
            </w:r>
            <w:proofErr w:type="spellStart"/>
            <w:r w:rsidRPr="00E4709C">
              <w:rPr>
                <w:b/>
                <w:lang w:val="en-GB"/>
              </w:rPr>
              <w:t>Ochrona</w:t>
            </w:r>
            <w:proofErr w:type="spellEnd"/>
            <w:r w:rsidRPr="00E4709C">
              <w:rPr>
                <w:b/>
                <w:lang w:val="en-GB"/>
              </w:rPr>
              <w:t xml:space="preserve"> </w:t>
            </w:r>
            <w:proofErr w:type="spellStart"/>
            <w:r w:rsidRPr="00E4709C">
              <w:rPr>
                <w:b/>
                <w:lang w:val="en-GB"/>
              </w:rPr>
              <w:t>Środowiska</w:t>
            </w:r>
            <w:proofErr w:type="spellEnd"/>
          </w:p>
        </w:tc>
      </w:tr>
      <w:tr w:rsidR="00BE492F" w:rsidRPr="00E4709C" w14:paraId="3245F899" w14:textId="77777777" w:rsidTr="00784A64">
        <w:trPr>
          <w:trHeight w:hRule="exact" w:val="283"/>
        </w:trPr>
        <w:tc>
          <w:tcPr>
            <w:tcW w:w="709" w:type="dxa"/>
            <w:vMerge/>
          </w:tcPr>
          <w:p w14:paraId="1B561336" w14:textId="77777777" w:rsidR="00BE492F" w:rsidRPr="00E4709C" w:rsidRDefault="00BE492F" w:rsidP="00784A64">
            <w:pPr>
              <w:spacing w:line="240" w:lineRule="auto"/>
              <w:jc w:val="center"/>
              <w:rPr>
                <w:lang w:val="en-GB"/>
              </w:rPr>
            </w:pPr>
          </w:p>
        </w:tc>
        <w:tc>
          <w:tcPr>
            <w:tcW w:w="992" w:type="dxa"/>
            <w:tcBorders>
              <w:top w:val="single" w:sz="2" w:space="0" w:color="auto"/>
              <w:bottom w:val="single" w:sz="2" w:space="0" w:color="auto"/>
            </w:tcBorders>
            <w:vAlign w:val="center"/>
          </w:tcPr>
          <w:p w14:paraId="502BD097" w14:textId="77777777" w:rsidR="00BE492F" w:rsidRPr="00E4709C" w:rsidRDefault="00BE492F" w:rsidP="00784A64">
            <w:pPr>
              <w:spacing w:line="240" w:lineRule="auto"/>
              <w:rPr>
                <w:kern w:val="18"/>
                <w:sz w:val="18"/>
                <w:lang w:val="en-GB"/>
              </w:rPr>
            </w:pPr>
            <w:r w:rsidRPr="00E4709C">
              <w:rPr>
                <w:kern w:val="18"/>
                <w:sz w:val="18"/>
                <w:lang w:val="en-GB"/>
              </w:rPr>
              <w:t>Volume 28</w:t>
            </w:r>
          </w:p>
        </w:tc>
        <w:tc>
          <w:tcPr>
            <w:tcW w:w="6304" w:type="dxa"/>
            <w:tcBorders>
              <w:top w:val="single" w:sz="2" w:space="0" w:color="auto"/>
              <w:bottom w:val="single" w:sz="2" w:space="0" w:color="auto"/>
            </w:tcBorders>
            <w:vAlign w:val="center"/>
          </w:tcPr>
          <w:p w14:paraId="3BEDFFC1" w14:textId="77777777" w:rsidR="00BE492F" w:rsidRPr="00E4709C" w:rsidRDefault="00BE492F" w:rsidP="006A5CCB">
            <w:pPr>
              <w:tabs>
                <w:tab w:val="left" w:pos="2887"/>
              </w:tabs>
              <w:spacing w:line="240" w:lineRule="auto"/>
              <w:rPr>
                <w:kern w:val="18"/>
                <w:sz w:val="18"/>
                <w:lang w:val="en-GB"/>
              </w:rPr>
            </w:pPr>
            <w:r w:rsidRPr="00E4709C">
              <w:rPr>
                <w:kern w:val="18"/>
                <w:sz w:val="18"/>
                <w:lang w:val="en-GB"/>
              </w:rPr>
              <w:t>Year 2026</w:t>
            </w:r>
            <w:r w:rsidRPr="00E4709C">
              <w:rPr>
                <w:kern w:val="18"/>
                <w:sz w:val="18"/>
                <w:lang w:val="en-GB"/>
              </w:rPr>
              <w:tab/>
              <w:t>ISSN 2720-7501</w:t>
            </w:r>
          </w:p>
        </w:tc>
        <w:tc>
          <w:tcPr>
            <w:tcW w:w="1634" w:type="dxa"/>
            <w:tcBorders>
              <w:top w:val="single" w:sz="2" w:space="0" w:color="auto"/>
              <w:bottom w:val="single" w:sz="2" w:space="0" w:color="auto"/>
            </w:tcBorders>
            <w:vAlign w:val="center"/>
          </w:tcPr>
          <w:p w14:paraId="34797338" w14:textId="1A2CBCC7" w:rsidR="00BE492F" w:rsidRPr="00E4709C" w:rsidRDefault="00BE492F" w:rsidP="00784A64">
            <w:pPr>
              <w:spacing w:line="240" w:lineRule="auto"/>
              <w:jc w:val="right"/>
              <w:rPr>
                <w:sz w:val="18"/>
                <w:lang w:val="en-GB"/>
              </w:rPr>
            </w:pPr>
            <w:r w:rsidRPr="00E4709C">
              <w:rPr>
                <w:sz w:val="18"/>
                <w:lang w:val="en-GB"/>
              </w:rPr>
              <w:t xml:space="preserve">pp. </w:t>
            </w:r>
            <w:r w:rsidR="00677850">
              <w:rPr>
                <w:sz w:val="18"/>
                <w:lang w:val="en-GB"/>
              </w:rPr>
              <w:t>505</w:t>
            </w:r>
            <w:r w:rsidRPr="00E4709C">
              <w:rPr>
                <w:sz w:val="18"/>
                <w:lang w:val="en-GB"/>
              </w:rPr>
              <w:t>-</w:t>
            </w:r>
            <w:r w:rsidR="00677850">
              <w:rPr>
                <w:sz w:val="18"/>
                <w:lang w:val="en-GB"/>
              </w:rPr>
              <w:t>515</w:t>
            </w:r>
            <w:r w:rsidRPr="00E4709C">
              <w:rPr>
                <w:sz w:val="18"/>
                <w:lang w:val="en-GB"/>
              </w:rPr>
              <w:t xml:space="preserve"> </w:t>
            </w:r>
          </w:p>
        </w:tc>
      </w:tr>
      <w:tr w:rsidR="00BE492F" w:rsidRPr="00E4709C" w14:paraId="55406B74" w14:textId="77777777" w:rsidTr="00784A64">
        <w:trPr>
          <w:trHeight w:hRule="exact" w:val="283"/>
        </w:trPr>
        <w:tc>
          <w:tcPr>
            <w:tcW w:w="709" w:type="dxa"/>
          </w:tcPr>
          <w:p w14:paraId="415EC379" w14:textId="77777777" w:rsidR="00BE492F" w:rsidRPr="00E4709C" w:rsidRDefault="00BE492F" w:rsidP="00784A64">
            <w:pPr>
              <w:spacing w:line="240" w:lineRule="auto"/>
              <w:jc w:val="center"/>
              <w:rPr>
                <w:lang w:val="en-GB"/>
              </w:rPr>
            </w:pPr>
          </w:p>
        </w:tc>
        <w:tc>
          <w:tcPr>
            <w:tcW w:w="8930" w:type="dxa"/>
            <w:gridSpan w:val="3"/>
            <w:tcBorders>
              <w:top w:val="single" w:sz="2" w:space="0" w:color="auto"/>
              <w:bottom w:val="single" w:sz="2" w:space="0" w:color="auto"/>
            </w:tcBorders>
            <w:vAlign w:val="center"/>
          </w:tcPr>
          <w:p w14:paraId="6B7DD424" w14:textId="3B64A6F1" w:rsidR="00BE492F" w:rsidRPr="00E4709C" w:rsidRDefault="00BE492F" w:rsidP="00784A64">
            <w:pPr>
              <w:tabs>
                <w:tab w:val="right" w:pos="8928"/>
              </w:tabs>
              <w:spacing w:line="240" w:lineRule="auto"/>
              <w:rPr>
                <w:sz w:val="18"/>
                <w:lang w:val="en-GB"/>
              </w:rPr>
            </w:pPr>
            <w:r w:rsidRPr="00E4709C">
              <w:rPr>
                <w:sz w:val="18"/>
                <w:lang w:val="en-GB"/>
              </w:rPr>
              <w:t>https://doi.org/10.54740/ros.2026.0</w:t>
            </w:r>
            <w:r w:rsidR="00677850">
              <w:rPr>
                <w:sz w:val="18"/>
                <w:lang w:val="en-GB"/>
              </w:rPr>
              <w:t>34</w:t>
            </w:r>
            <w:r w:rsidRPr="00E4709C">
              <w:rPr>
                <w:sz w:val="18"/>
                <w:lang w:val="en-GB"/>
              </w:rPr>
              <w:tab/>
              <w:t>open access</w:t>
            </w:r>
          </w:p>
        </w:tc>
      </w:tr>
      <w:tr w:rsidR="00BE492F" w:rsidRPr="00E4709C" w14:paraId="58AC9FE3" w14:textId="77777777" w:rsidTr="00784A64">
        <w:trPr>
          <w:trHeight w:hRule="exact" w:val="283"/>
        </w:trPr>
        <w:tc>
          <w:tcPr>
            <w:tcW w:w="709" w:type="dxa"/>
          </w:tcPr>
          <w:p w14:paraId="23671D14" w14:textId="77777777" w:rsidR="00BE492F" w:rsidRPr="00E4709C" w:rsidRDefault="00BE492F" w:rsidP="00784A64">
            <w:pPr>
              <w:spacing w:line="240" w:lineRule="auto"/>
              <w:jc w:val="center"/>
              <w:rPr>
                <w:lang w:val="en-GB"/>
              </w:rPr>
            </w:pPr>
          </w:p>
        </w:tc>
        <w:tc>
          <w:tcPr>
            <w:tcW w:w="8930" w:type="dxa"/>
            <w:gridSpan w:val="3"/>
            <w:tcBorders>
              <w:top w:val="single" w:sz="2" w:space="0" w:color="auto"/>
            </w:tcBorders>
            <w:vAlign w:val="center"/>
          </w:tcPr>
          <w:p w14:paraId="45D35D3C" w14:textId="6A70AEBA" w:rsidR="00BE492F" w:rsidRPr="00E4709C" w:rsidRDefault="00BE492F" w:rsidP="006A5CCB">
            <w:pPr>
              <w:tabs>
                <w:tab w:val="left" w:pos="3801"/>
                <w:tab w:val="right" w:pos="8928"/>
              </w:tabs>
              <w:spacing w:line="240" w:lineRule="auto"/>
              <w:rPr>
                <w:sz w:val="18"/>
                <w:lang w:val="en-GB"/>
              </w:rPr>
            </w:pPr>
            <w:r w:rsidRPr="00E4709C">
              <w:rPr>
                <w:sz w:val="18"/>
                <w:lang w:val="en-GB"/>
              </w:rPr>
              <w:t>Received: June 2026</w:t>
            </w:r>
            <w:r w:rsidRPr="00E4709C">
              <w:rPr>
                <w:sz w:val="18"/>
                <w:lang w:val="en-GB"/>
              </w:rPr>
              <w:tab/>
              <w:t>Accepted: June 2026</w:t>
            </w:r>
            <w:r w:rsidRPr="00E4709C">
              <w:rPr>
                <w:sz w:val="18"/>
                <w:lang w:val="en-GB"/>
              </w:rPr>
              <w:tab/>
              <w:t xml:space="preserve">Published: </w:t>
            </w:r>
            <w:r w:rsidR="00677850">
              <w:rPr>
                <w:sz w:val="18"/>
                <w:lang w:val="en-GB"/>
              </w:rPr>
              <w:t>July</w:t>
            </w:r>
            <w:r w:rsidRPr="00E4709C">
              <w:rPr>
                <w:sz w:val="18"/>
                <w:lang w:val="en-GB"/>
              </w:rPr>
              <w:t xml:space="preserve"> 2026</w:t>
            </w:r>
          </w:p>
        </w:tc>
      </w:tr>
    </w:tbl>
    <w:bookmarkEnd w:id="4"/>
    <w:p w14:paraId="239B951F" w14:textId="0B7E1C6B" w:rsidR="00A0019A" w:rsidRPr="00E4709C" w:rsidRDefault="003F626B" w:rsidP="00BE492F">
      <w:pPr>
        <w:pStyle w:val="Rtytu"/>
        <w:rPr>
          <w:sz w:val="28"/>
          <w:lang w:val="en-GB"/>
        </w:rPr>
      </w:pPr>
      <w:r w:rsidRPr="00E4709C">
        <w:rPr>
          <w:lang w:val="en-GB"/>
        </w:rPr>
        <w:t xml:space="preserve">Model-based Approach Design in Terms of Travel Allowances and Driver Remuneration </w:t>
      </w:r>
      <w:r w:rsidR="0077443B">
        <w:rPr>
          <w:lang w:val="en-GB"/>
        </w:rPr>
        <w:br/>
      </w:r>
      <w:r w:rsidRPr="00E4709C">
        <w:rPr>
          <w:lang w:val="en-GB"/>
        </w:rPr>
        <w:t>in International Road Freight Transport</w:t>
      </w:r>
    </w:p>
    <w:p w14:paraId="651CD6F5" w14:textId="6EFF96AD" w:rsidR="00D977FD" w:rsidRPr="00E4709C" w:rsidRDefault="003F626B" w:rsidP="007C04DE">
      <w:pPr>
        <w:pStyle w:val="Rautor"/>
        <w:rPr>
          <w:lang w:val="en-GB"/>
        </w:rPr>
      </w:pPr>
      <w:r w:rsidRPr="00E4709C">
        <w:rPr>
          <w:lang w:val="en-GB"/>
        </w:rPr>
        <w:t>Miloš Poliak</w:t>
      </w:r>
      <w:r w:rsidR="00D304A2" w:rsidRPr="00E4709C">
        <w:rPr>
          <w:vertAlign w:val="superscript"/>
          <w:lang w:val="en-GB"/>
        </w:rPr>
        <w:t>1</w:t>
      </w:r>
      <w:r w:rsidR="001C0CEC" w:rsidRPr="00E4709C">
        <w:rPr>
          <w:vertAlign w:val="superscript"/>
          <w:lang w:val="en-GB"/>
        </w:rPr>
        <w:t>*</w:t>
      </w:r>
      <w:r w:rsidR="00D977FD" w:rsidRPr="00E4709C">
        <w:rPr>
          <w:lang w:val="en-GB"/>
        </w:rPr>
        <w:t xml:space="preserve">, </w:t>
      </w:r>
      <w:r w:rsidRPr="00E4709C">
        <w:rPr>
          <w:lang w:val="en-GB"/>
        </w:rPr>
        <w:t>Ondrej Stopka</w:t>
      </w:r>
      <w:r w:rsidR="00D304A2" w:rsidRPr="00E4709C">
        <w:rPr>
          <w:vertAlign w:val="superscript"/>
          <w:lang w:val="en-GB"/>
        </w:rPr>
        <w:t>2</w:t>
      </w:r>
      <w:r w:rsidRPr="00E4709C">
        <w:rPr>
          <w:vertAlign w:val="superscript"/>
          <w:lang w:val="en-GB"/>
        </w:rPr>
        <w:t>*</w:t>
      </w:r>
      <w:r w:rsidR="00D977FD" w:rsidRPr="00E4709C">
        <w:rPr>
          <w:lang w:val="en-GB"/>
        </w:rPr>
        <w:t xml:space="preserve">, </w:t>
      </w:r>
      <w:r w:rsidRPr="00E4709C">
        <w:rPr>
          <w:lang w:val="en-GB"/>
        </w:rPr>
        <w:t>Lenka Iľašová</w:t>
      </w:r>
      <w:r w:rsidR="00D304A2" w:rsidRPr="00E4709C">
        <w:rPr>
          <w:vertAlign w:val="superscript"/>
          <w:lang w:val="en-GB"/>
        </w:rPr>
        <w:t>3</w:t>
      </w:r>
    </w:p>
    <w:bookmarkEnd w:id="5"/>
    <w:p w14:paraId="49DE2527" w14:textId="65282F0F" w:rsidR="003F626B" w:rsidRPr="00E4709C" w:rsidRDefault="003F626B" w:rsidP="007C04DE">
      <w:pPr>
        <w:pStyle w:val="Rafiliacja"/>
        <w:rPr>
          <w:lang w:val="en-GB"/>
        </w:rPr>
      </w:pPr>
      <w:r w:rsidRPr="00E4709C">
        <w:rPr>
          <w:vertAlign w:val="superscript"/>
          <w:lang w:val="en-GB"/>
        </w:rPr>
        <w:t>1</w:t>
      </w:r>
      <w:r w:rsidRPr="00E4709C">
        <w:rPr>
          <w:lang w:val="en-GB"/>
        </w:rPr>
        <w:t>Department of Road and Urban Transport, University of Žilina, Slovak Republic</w:t>
      </w:r>
      <w:r w:rsidR="007C04DE" w:rsidRPr="00E4709C">
        <w:rPr>
          <w:lang w:val="en-GB"/>
        </w:rPr>
        <w:t xml:space="preserve"> </w:t>
      </w:r>
      <w:r w:rsidR="007C04DE" w:rsidRPr="00E4709C">
        <w:rPr>
          <w:lang w:val="en-GB"/>
        </w:rPr>
        <w:br/>
      </w:r>
      <w:r w:rsidR="009806B8" w:rsidRPr="00E4709C">
        <w:rPr>
          <w:lang w:val="en-GB"/>
        </w:rPr>
        <w:t>https://orcid.org/0000-0002-9149-2439</w:t>
      </w:r>
    </w:p>
    <w:p w14:paraId="32854FE0" w14:textId="13DFA4CF" w:rsidR="003F626B" w:rsidRPr="00E4709C" w:rsidRDefault="00CC038D" w:rsidP="007C04DE">
      <w:pPr>
        <w:pStyle w:val="Rafiliacja"/>
        <w:rPr>
          <w:lang w:val="en-GB"/>
        </w:rPr>
      </w:pPr>
      <w:r w:rsidRPr="00E4709C">
        <w:rPr>
          <w:vertAlign w:val="superscript"/>
          <w:lang w:val="en-GB"/>
        </w:rPr>
        <w:t>2</w:t>
      </w:r>
      <w:r w:rsidRPr="00E4709C">
        <w:rPr>
          <w:lang w:val="en-GB"/>
        </w:rPr>
        <w:t xml:space="preserve">Department of Transport and Logistics, Institute of Technology and Business in </w:t>
      </w:r>
      <w:proofErr w:type="spellStart"/>
      <w:r w:rsidRPr="00E4709C">
        <w:rPr>
          <w:lang w:val="en-GB"/>
        </w:rPr>
        <w:t>České</w:t>
      </w:r>
      <w:proofErr w:type="spellEnd"/>
      <w:r w:rsidRPr="00E4709C">
        <w:rPr>
          <w:lang w:val="en-GB"/>
        </w:rPr>
        <w:t xml:space="preserve"> Budějovice; Czech Republic</w:t>
      </w:r>
      <w:r w:rsidR="007C04DE" w:rsidRPr="00E4709C">
        <w:rPr>
          <w:lang w:val="en-GB"/>
        </w:rPr>
        <w:t xml:space="preserve"> </w:t>
      </w:r>
      <w:r w:rsidR="007C04DE" w:rsidRPr="00E4709C">
        <w:rPr>
          <w:lang w:val="en-GB"/>
        </w:rPr>
        <w:br/>
      </w:r>
      <w:r w:rsidR="003F626B" w:rsidRPr="00E4709C">
        <w:rPr>
          <w:lang w:val="en-GB"/>
        </w:rPr>
        <w:t>https://orcid.org/0000-0002-0932-4381</w:t>
      </w:r>
    </w:p>
    <w:p w14:paraId="2754E707" w14:textId="51A24949" w:rsidR="009806B8" w:rsidRPr="00E4709C" w:rsidRDefault="00CC038D" w:rsidP="007C04DE">
      <w:pPr>
        <w:pStyle w:val="Rafiliacja"/>
        <w:rPr>
          <w:lang w:val="en-GB"/>
        </w:rPr>
      </w:pPr>
      <w:r w:rsidRPr="00E4709C">
        <w:rPr>
          <w:vertAlign w:val="superscript"/>
          <w:lang w:val="en-GB"/>
        </w:rPr>
        <w:t>3</w:t>
      </w:r>
      <w:r w:rsidR="003F626B" w:rsidRPr="00E4709C">
        <w:rPr>
          <w:lang w:val="en-GB"/>
        </w:rPr>
        <w:t>Department of Road and Urban Transport, University of Žilina, Slovak Republic</w:t>
      </w:r>
      <w:r w:rsidR="007C04DE" w:rsidRPr="00E4709C">
        <w:rPr>
          <w:lang w:val="en-GB"/>
        </w:rPr>
        <w:t xml:space="preserve"> </w:t>
      </w:r>
      <w:r w:rsidR="007C04DE" w:rsidRPr="00E4709C">
        <w:rPr>
          <w:lang w:val="en-GB"/>
        </w:rPr>
        <w:br/>
      </w:r>
      <w:r w:rsidR="009806B8" w:rsidRPr="00E4709C">
        <w:rPr>
          <w:lang w:val="en-GB"/>
        </w:rPr>
        <w:t>https://orcid.org/0009-0008-2318-3248</w:t>
      </w:r>
    </w:p>
    <w:p w14:paraId="14D06F05" w14:textId="6522B0DD" w:rsidR="002D002F" w:rsidRPr="00E4709C" w:rsidRDefault="00D977FD" w:rsidP="007C04DE">
      <w:pPr>
        <w:pStyle w:val="Rauco"/>
        <w:rPr>
          <w:rFonts w:eastAsia="MS Mincho"/>
          <w:bCs/>
        </w:rPr>
      </w:pPr>
      <w:r w:rsidRPr="00E4709C">
        <w:rPr>
          <w:b/>
        </w:rPr>
        <w:t>*</w:t>
      </w:r>
      <w:r w:rsidR="007C04DE" w:rsidRPr="00E4709C">
        <w:t>c</w:t>
      </w:r>
      <w:r w:rsidRPr="00E4709C">
        <w:t xml:space="preserve">orresponding author, e-mail: </w:t>
      </w:r>
      <w:r w:rsidR="001C0CEC" w:rsidRPr="00E4709C">
        <w:t xml:space="preserve">poliak@uniza.sk, </w:t>
      </w:r>
      <w:r w:rsidRPr="00E4709C">
        <w:t>stopka@vste.cz</w:t>
      </w:r>
    </w:p>
    <w:p w14:paraId="59E9DE4A" w14:textId="16B221EA" w:rsidR="00561A4E" w:rsidRPr="00E4709C" w:rsidRDefault="00A0019A" w:rsidP="007C04DE">
      <w:pPr>
        <w:pStyle w:val="Rab1"/>
      </w:pPr>
      <w:r w:rsidRPr="00E4709C">
        <w:rPr>
          <w:b/>
          <w:bCs/>
        </w:rPr>
        <w:t>Abstra</w:t>
      </w:r>
      <w:r w:rsidR="00684AA3" w:rsidRPr="00E4709C">
        <w:rPr>
          <w:b/>
          <w:bCs/>
        </w:rPr>
        <w:t>c</w:t>
      </w:r>
      <w:r w:rsidRPr="00E4709C">
        <w:rPr>
          <w:b/>
          <w:bCs/>
        </w:rPr>
        <w:t xml:space="preserve">t: </w:t>
      </w:r>
      <w:r w:rsidR="003F626B" w:rsidRPr="00E4709C">
        <w:t xml:space="preserve">International road freight transport depends strongly on the availability and retention of professional drivers, whose total remuneration is </w:t>
      </w:r>
      <w:r w:rsidR="00374446" w:rsidRPr="00E4709C">
        <w:t>affected</w:t>
      </w:r>
      <w:r w:rsidR="003F626B" w:rsidRPr="00E4709C">
        <w:t xml:space="preserve"> not only by wages but also by travel allowances. In Slovakia, meal allowances for foreign business trips are </w:t>
      </w:r>
      <w:r w:rsidR="00C942C7">
        <w:t>set by fixed rates, while accommodation reimbursement i</w:t>
      </w:r>
      <w:r w:rsidR="003F626B" w:rsidRPr="00E4709C">
        <w:t>s linked mainly to documented costs. This</w:t>
      </w:r>
      <w:r w:rsidR="00374446" w:rsidRPr="00E4709C">
        <w:t xml:space="preserve"> fact</w:t>
      </w:r>
      <w:r w:rsidR="003F626B" w:rsidRPr="00E4709C">
        <w:t xml:space="preserve"> creates uncertainty </w:t>
      </w:r>
      <w:r w:rsidR="00C942C7">
        <w:t>when international road freight drivers spend their rest periods abroad without provid</w:t>
      </w:r>
      <w:r w:rsidR="003F626B" w:rsidRPr="00E4709C">
        <w:t xml:space="preserve">ing proof of accommodation. This paper </w:t>
      </w:r>
      <w:r w:rsidR="00374446" w:rsidRPr="00E4709C">
        <w:t>designs</w:t>
      </w:r>
      <w:r w:rsidR="003F626B" w:rsidRPr="00E4709C">
        <w:t xml:space="preserve"> and evaluates a </w:t>
      </w:r>
      <w:r w:rsidR="00C942C7">
        <w:t>flat-rate accommodation allowance model for</w:t>
      </w:r>
      <w:r w:rsidR="003F626B" w:rsidRPr="00E4709C">
        <w:t xml:space="preserve"> Slovak international road freight transport. The </w:t>
      </w:r>
      <w:r w:rsidR="00374446" w:rsidRPr="00E4709C">
        <w:t>research</w:t>
      </w:r>
      <w:r w:rsidR="003F626B" w:rsidRPr="00E4709C">
        <w:t xml:space="preserve"> applies an analytical</w:t>
      </w:r>
      <w:r w:rsidR="00C942C7">
        <w:t>, model-based approach to compare Slovak with Polish, German, French, Spanish, and Italian scenarios,</w:t>
      </w:r>
      <w:r w:rsidR="003F626B" w:rsidRPr="00E4709C">
        <w:t xml:space="preserve"> using a one-week model route from Prague to Athens and back. The results show that accommodation-related compensation differs considerably between the </w:t>
      </w:r>
      <w:r w:rsidR="00374446" w:rsidRPr="00E4709C">
        <w:t>compared</w:t>
      </w:r>
      <w:r w:rsidR="003F626B" w:rsidRPr="00E4709C">
        <w:t xml:space="preserve"> systems. The </w:t>
      </w:r>
      <w:r w:rsidR="00374446" w:rsidRPr="00E4709C">
        <w:t>designed</w:t>
      </w:r>
      <w:r w:rsidR="003F626B" w:rsidRPr="00E4709C">
        <w:t xml:space="preserve"> model offers a transparent, administratively simple, and </w:t>
      </w:r>
      <w:r w:rsidR="00082705" w:rsidRPr="00E4709C">
        <w:t>sustainability-oriented</w:t>
      </w:r>
      <w:r w:rsidR="003F626B" w:rsidRPr="00E4709C">
        <w:t xml:space="preserve"> mechanism for compensating accommodation-related costs without replacing documented reimbursement for accommodation.</w:t>
      </w:r>
      <w:r w:rsidR="00082705" w:rsidRPr="00E4709C">
        <w:t xml:space="preserve"> The proposed model is also interpreted within the broader framework of sustainable development, linking economic efficiency, social stability of driver remuneration, and indirect environmental relevance in international road freight transport.</w:t>
      </w:r>
    </w:p>
    <w:p w14:paraId="2D31F0B5" w14:textId="5AD0F85F" w:rsidR="002D002F" w:rsidRPr="00E4709C" w:rsidRDefault="002D002F" w:rsidP="007C04DE">
      <w:pPr>
        <w:pStyle w:val="Rab2"/>
        <w:rPr>
          <w:b/>
          <w:bCs/>
        </w:rPr>
      </w:pPr>
      <w:r w:rsidRPr="00E4709C">
        <w:rPr>
          <w:b/>
          <w:bCs/>
        </w:rPr>
        <w:t xml:space="preserve">Keywords: </w:t>
      </w:r>
      <w:r w:rsidR="007C04DE" w:rsidRPr="00E4709C">
        <w:t>r</w:t>
      </w:r>
      <w:r w:rsidR="003F626B" w:rsidRPr="00E4709C">
        <w:t xml:space="preserve">oad </w:t>
      </w:r>
      <w:r w:rsidR="007C04DE" w:rsidRPr="00E4709C">
        <w:t>f</w:t>
      </w:r>
      <w:r w:rsidR="003F626B" w:rsidRPr="00E4709C">
        <w:t xml:space="preserve">reight </w:t>
      </w:r>
      <w:r w:rsidR="007C04DE" w:rsidRPr="00E4709C">
        <w:t>t</w:t>
      </w:r>
      <w:r w:rsidR="003F626B" w:rsidRPr="00E4709C">
        <w:t>ransport</w:t>
      </w:r>
      <w:r w:rsidR="007C04DE" w:rsidRPr="00E4709C">
        <w:t>,</w:t>
      </w:r>
      <w:r w:rsidR="003F626B" w:rsidRPr="00E4709C">
        <w:t xml:space="preserve"> </w:t>
      </w:r>
      <w:r w:rsidR="007C04DE" w:rsidRPr="00E4709C">
        <w:t>i</w:t>
      </w:r>
      <w:r w:rsidR="003F626B" w:rsidRPr="00E4709C">
        <w:t xml:space="preserve">nternational </w:t>
      </w:r>
      <w:r w:rsidR="007C04DE" w:rsidRPr="00E4709C">
        <w:t>b</w:t>
      </w:r>
      <w:r w:rsidR="003F626B" w:rsidRPr="00E4709C">
        <w:t xml:space="preserve">usiness </w:t>
      </w:r>
      <w:r w:rsidR="007C04DE" w:rsidRPr="00E4709C">
        <w:t>t</w:t>
      </w:r>
      <w:r w:rsidR="003F626B" w:rsidRPr="00E4709C">
        <w:t>rip</w:t>
      </w:r>
      <w:r w:rsidR="007C04DE" w:rsidRPr="00E4709C">
        <w:t>,</w:t>
      </w:r>
      <w:r w:rsidR="003F626B" w:rsidRPr="00E4709C">
        <w:t xml:space="preserve"> </w:t>
      </w:r>
      <w:r w:rsidR="007C04DE" w:rsidRPr="00E4709C">
        <w:t>m</w:t>
      </w:r>
      <w:r w:rsidR="003F626B" w:rsidRPr="00E4709C">
        <w:t xml:space="preserve">odel-based </w:t>
      </w:r>
      <w:r w:rsidR="007C04DE" w:rsidRPr="00E4709C">
        <w:t>a</w:t>
      </w:r>
      <w:r w:rsidR="003F626B" w:rsidRPr="00E4709C">
        <w:t>pproach</w:t>
      </w:r>
      <w:r w:rsidR="007C04DE" w:rsidRPr="00E4709C">
        <w:t>,</w:t>
      </w:r>
      <w:r w:rsidR="003F626B" w:rsidRPr="00E4709C">
        <w:t xml:space="preserve"> </w:t>
      </w:r>
      <w:r w:rsidR="007C04DE" w:rsidRPr="00E4709C">
        <w:t>d</w:t>
      </w:r>
      <w:r w:rsidR="003F626B" w:rsidRPr="00E4709C">
        <w:t xml:space="preserve">river </w:t>
      </w:r>
      <w:r w:rsidR="007C04DE" w:rsidRPr="00E4709C">
        <w:t>r</w:t>
      </w:r>
      <w:r w:rsidR="003F626B" w:rsidRPr="00E4709C">
        <w:t>emuneration</w:t>
      </w:r>
      <w:r w:rsidR="007C04DE" w:rsidRPr="00E4709C">
        <w:t>,</w:t>
      </w:r>
      <w:r w:rsidR="003F626B" w:rsidRPr="00E4709C">
        <w:t xml:space="preserve"> </w:t>
      </w:r>
      <w:r w:rsidR="007C04DE" w:rsidRPr="00E4709C">
        <w:t>s</w:t>
      </w:r>
      <w:r w:rsidR="00FA2C9C" w:rsidRPr="00E4709C">
        <w:t xml:space="preserve">ustainable </w:t>
      </w:r>
      <w:r w:rsidR="007C04DE" w:rsidRPr="00E4709C">
        <w:t>d</w:t>
      </w:r>
      <w:r w:rsidR="00FA2C9C" w:rsidRPr="00E4709C">
        <w:t>evelopment</w:t>
      </w:r>
    </w:p>
    <w:p w14:paraId="57BC03D0" w14:textId="352F6488" w:rsidR="004A5AE7" w:rsidRPr="00E4709C" w:rsidRDefault="00010C75" w:rsidP="007C04DE">
      <w:pPr>
        <w:pStyle w:val="Rn1"/>
        <w:rPr>
          <w:lang w:val="en-GB"/>
        </w:rPr>
      </w:pPr>
      <w:r w:rsidRPr="00E4709C">
        <w:rPr>
          <w:lang w:val="en-GB"/>
        </w:rPr>
        <w:t xml:space="preserve">1. </w:t>
      </w:r>
      <w:r w:rsidR="004A5AE7" w:rsidRPr="00E4709C">
        <w:rPr>
          <w:lang w:val="en-GB"/>
        </w:rPr>
        <w:t>Introduction</w:t>
      </w:r>
      <w:r w:rsidR="00C91480" w:rsidRPr="00E4709C">
        <w:rPr>
          <w:lang w:val="en-GB"/>
        </w:rPr>
        <w:t xml:space="preserve"> </w:t>
      </w:r>
      <w:r w:rsidR="009806B8" w:rsidRPr="00E4709C">
        <w:rPr>
          <w:lang w:val="en-GB"/>
        </w:rPr>
        <w:t>and Literature Review</w:t>
      </w:r>
    </w:p>
    <w:p w14:paraId="3A1F63E4" w14:textId="096AF9F3" w:rsidR="009806B8" w:rsidRPr="00E4709C" w:rsidRDefault="009806B8" w:rsidP="009806B8">
      <w:pPr>
        <w:pStyle w:val="AAENormaltext"/>
        <w:spacing w:after="0"/>
        <w:ind w:firstLine="284"/>
        <w:rPr>
          <w:lang w:val="en-GB"/>
        </w:rPr>
      </w:pPr>
      <w:r w:rsidRPr="00E4709C">
        <w:rPr>
          <w:lang w:val="en-GB"/>
        </w:rPr>
        <w:t xml:space="preserve">Road freight transport is </w:t>
      </w:r>
      <w:r w:rsidR="00C942C7">
        <w:rPr>
          <w:lang w:val="en-GB"/>
        </w:rPr>
        <w:t>a key component</w:t>
      </w:r>
      <w:r w:rsidRPr="00E4709C">
        <w:rPr>
          <w:lang w:val="en-GB"/>
        </w:rPr>
        <w:t xml:space="preserve"> of the European transport system, ensuring the continuous movement of goods within national economies and across international supply chains </w:t>
      </w:r>
      <w:r w:rsidRPr="00E4709C">
        <w:rPr>
          <w:lang w:val="en-GB"/>
        </w:rPr>
        <w:fldChar w:fldCharType="begin"/>
      </w:r>
      <w:r w:rsidR="00E93C7C" w:rsidRPr="00E4709C">
        <w:rPr>
          <w:lang w:val="en-GB"/>
        </w:rPr>
        <w:instrText xml:space="preserve"> ADDIN ZOTERO_ITEM CSL_CITATION {"citationID":"r6HXOlJ5","properties":{"formattedCitation":"(Faruk G\\uc0\\u246{}r\\uc0\\u231{}\\uc0\\u252{}n, Chatterjee, Stevi\\uc0\\u263{}, &amp; K\\uc0\\u252{}\\uc0\\u231{}\\uc0\\u252{}k\\uc0\\u246{}nder, 2024)","plainCitation":"(Faruk Görçün, Chatterjee, Stević, &amp; Küçükönder, 2024)","noteIndex":0},"citationItems":[{"id":58,"uris":["http://zotero.org/users/local/DCHUYpvV/items/DZGGSDFR"],"itemData":{"id":58,"type":"article-journal","abstract":"The efficient selection of road freight transport (RFT) firms plays a critical role in constructing well-operating logistics systems for large-scale third-party logistics (3PL) providers. However, the decision-making process for such selection is often complex and uncertain due to various influential criteria and dynamic industry nature. To address this challenge, a novel decision-making model that integrates Delphi, CRiteria Importance Through Intercriteria Correlation (CRITIC) and Combined compromise ranking solution (CoCoSo) methods based on T-Spherical Fuzzy sets has been proposed in this paper. The model integrates expert opinions with an extensive literature review to identify the influential criteria and their corresponding weights. Subsequently, it employs a comprehensive evaluation approach to rank the RFT firms based on their performance. The model accommodates uncertainties and subjectivity by utilizing T-Spherical Fuzzy Numbers, offering robustness and transparency in decision-making. A case study involving 15 evaluation criteria and 12 RFT firms were selected to demonstrate the applicability and aptness of the proposed model. Flexibility and Integrability to different transport modes emerged as the two most essential criteria, whereas RFT firm A2 emerged as the best alternative with the highest performance score of 3.0861, followed by RFT firm A7 with a score value of 3.0499.","container-title":"Transportation Research Part E: Logistics and Transportation Review","DOI":"10.1016/j.tre.2024.103542","ISSN":"1366-5545","journalAbbreviation":"Transportation Research Part E: Logistics and Transportation Review","page":"103542","source":"ScienceDirect","title":"An integrated model for road freight transport firm selection in third-party logistics using T-spherical Fuzzy sets","volume":"186","author":[{"family":"Faruk Görçün","given":"Ömer."},{"family":"Chatterjee","given":"Prasenjit."},{"family":"Stević","given":"Željko."},{"family":"Küçükönder","given":"Hande."}],"issued":{"date-parts":[["2024",6,1]]}}}],"schema":"https://github.com/citation-style-language/schema/raw/master/csl-citation.json"} </w:instrText>
      </w:r>
      <w:r w:rsidRPr="00E4709C">
        <w:rPr>
          <w:lang w:val="en-GB"/>
        </w:rPr>
        <w:fldChar w:fldCharType="separate"/>
      </w:r>
      <w:r w:rsidR="0035064C" w:rsidRPr="00E4709C">
        <w:rPr>
          <w:lang w:val="en-GB"/>
        </w:rPr>
        <w:t>(Faruk Görçün</w:t>
      </w:r>
      <w:r w:rsidR="00506906" w:rsidRPr="00E4709C">
        <w:rPr>
          <w:lang w:val="en-GB"/>
        </w:rPr>
        <w:t xml:space="preserve"> et al.</w:t>
      </w:r>
      <w:r w:rsidR="00E4709C" w:rsidRPr="00E4709C">
        <w:rPr>
          <w:lang w:val="en-GB"/>
        </w:rPr>
        <w:t>,</w:t>
      </w:r>
      <w:r w:rsidR="0035064C" w:rsidRPr="00E4709C">
        <w:rPr>
          <w:lang w:val="en-GB"/>
        </w:rPr>
        <w:t xml:space="preserve"> 2024)</w:t>
      </w:r>
      <w:r w:rsidRPr="00E4709C">
        <w:rPr>
          <w:lang w:val="en-GB"/>
        </w:rPr>
        <w:fldChar w:fldCharType="end"/>
      </w:r>
      <w:r w:rsidRPr="00E4709C">
        <w:rPr>
          <w:lang w:val="en-GB"/>
        </w:rPr>
        <w:t>. Its importance is particularly visible in the functioning of the European internal market, where the timely and flexible delivery of goods depends heavily on road haulage. According to Eurostat, total road freight transport in the European Union amounted to more than 13.1 billion tonnes and 1.867 billion tonne-</w:t>
      </w:r>
      <w:proofErr w:type="spellStart"/>
      <w:r w:rsidRPr="00E4709C">
        <w:rPr>
          <w:lang w:val="en-GB"/>
        </w:rPr>
        <w:t>kilometers</w:t>
      </w:r>
      <w:proofErr w:type="spellEnd"/>
      <w:r w:rsidRPr="00E4709C">
        <w:rPr>
          <w:lang w:val="en-GB"/>
        </w:rPr>
        <w:t xml:space="preserve"> in 2024, which confirms the continuing relevance of this transport mode for the European economy. Road transport also remains a dominant mode of inland freight transport, accounting for more than three-quarters of inland freight performance in the EU in 2020 </w:t>
      </w:r>
      <w:r w:rsidRPr="00E4709C">
        <w:rPr>
          <w:lang w:val="en-GB"/>
        </w:rPr>
        <w:fldChar w:fldCharType="begin"/>
      </w:r>
      <w:r w:rsidR="00E93C7C" w:rsidRPr="00E4709C">
        <w:rPr>
          <w:lang w:val="en-GB"/>
        </w:rPr>
        <w:instrText xml:space="preserve"> ADDIN ZOTERO_ITEM CSL_CITATION {"citationID":"rRFiilcD","properties":{"formattedCitation":"(Eurostat, 2025)","plainCitation":"(Eurostat, 2025)","noteIndex":0},"citationItems":[{"id":23,"uris":["http://zotero.org/users/local/DCHUYpvV/items/3VJS632J"],"itemData":{"id":23,"type":"webpage","abstract":"description","language":"en","title":"Road freight transport statistics","URL":"https://ec.europa.eu/eurostat/statistics-explained/index.php?title=Road_freight_transport_statistics","author":[{"family":"Eurostat","given":""}],"accessed":{"date-parts":[["2026",5,28]]},"issued":{"date-parts":[["2025",6]]}}}],"schema":"https://github.com/citation-style-language/schema/raw/master/csl-citation.json"} </w:instrText>
      </w:r>
      <w:r w:rsidRPr="00E4709C">
        <w:rPr>
          <w:lang w:val="en-GB"/>
        </w:rPr>
        <w:fldChar w:fldCharType="separate"/>
      </w:r>
      <w:r w:rsidR="0035064C" w:rsidRPr="00E4709C">
        <w:rPr>
          <w:lang w:val="en-GB"/>
        </w:rPr>
        <w:t>(Eurostat</w:t>
      </w:r>
      <w:r w:rsidR="00E4709C" w:rsidRPr="00E4709C">
        <w:rPr>
          <w:lang w:val="en-GB"/>
        </w:rPr>
        <w:t>,</w:t>
      </w:r>
      <w:r w:rsidR="0035064C" w:rsidRPr="00E4709C">
        <w:rPr>
          <w:lang w:val="en-GB"/>
        </w:rPr>
        <w:t xml:space="preserve"> 2025)</w:t>
      </w:r>
      <w:r w:rsidRPr="00E4709C">
        <w:rPr>
          <w:lang w:val="en-GB"/>
        </w:rPr>
        <w:fldChar w:fldCharType="end"/>
      </w:r>
      <w:r w:rsidRPr="00E4709C">
        <w:rPr>
          <w:lang w:val="en-GB"/>
        </w:rPr>
        <w:t>.</w:t>
      </w:r>
    </w:p>
    <w:p w14:paraId="22CD62B5" w14:textId="677A9508" w:rsidR="009806B8" w:rsidRPr="00E4709C" w:rsidRDefault="009806B8" w:rsidP="009806B8">
      <w:pPr>
        <w:pStyle w:val="AAENormaltext"/>
        <w:spacing w:after="0"/>
        <w:ind w:firstLine="284"/>
        <w:rPr>
          <w:lang w:val="en-GB"/>
        </w:rPr>
      </w:pPr>
      <w:r w:rsidRPr="00E4709C">
        <w:rPr>
          <w:lang w:val="en-GB"/>
        </w:rPr>
        <w:t xml:space="preserve">The high share of road freight transport is closely related to the operational flexibility of this mode. Unlike rail or inland waterway transport, road freight transport can provide direct door-to-door services and respond relatively quickly to changes in demand, route conditions, and delivery schedules </w:t>
      </w:r>
      <w:r w:rsidRPr="00E4709C">
        <w:rPr>
          <w:lang w:val="en-GB"/>
        </w:rPr>
        <w:fldChar w:fldCharType="begin"/>
      </w:r>
      <w:r w:rsidR="00E93C7C" w:rsidRPr="00E4709C">
        <w:rPr>
          <w:lang w:val="en-GB"/>
        </w:rPr>
        <w:instrText xml:space="preserve"> ADDIN ZOTERO_ITEM CSL_CITATION {"citationID":"1149uXVS","properties":{"formattedCitation":"(European Court of Auditors, 2023; Khakdaman, Rezaei, &amp; Tavasszy, 2022)","plainCitation":"(European Court of Auditors, 2023; Khakdaman, Rezaei, &amp; Tavasszy, 2022)","noteIndex":0},"citationItems":[{"id":32,"uris":["http://zotero.org/users/local/DCHUYpvV/items/M8C7PVKG"],"itemData":{"id":32,"type":"article-journal","ISSN":"ISSN 1977-5679","language":"en","source":"Zotero","title":"Special report 08/2023: Intermodal freight transport","author":[{"family":"European Court of Auditors","given":""}],"issued":{"date-parts":[["2023"]]}}},{"id":61,"uris":["http://zotero.org/users/local/DCHUYpvV/items/DCIW5Q38"],"itemData":{"id":61,"type":"article-journal","abstract":"Factors driving the choice of shipper firms for services of logistics service providers have long been recognized in the freight transportation literature. However, the willingness among shippers to choose flexible transportation services, where the service package can be adapted during planning and execution, has received less attention. In particular, little is known about the contextual circumstances under which shippers would be inclined to select such flexible transportation service. In this study, experimental scenarios and discrete choice modeling are used to investigate the willingness among shippers to use flexible transportation services. We estimate multinomial logit, mixed logit, and latent class models for a sample of nearly 200 global shipper firms and calculate willingness-to-pay measures for flexibility. The findings indicate that flexible services are essential in demand-volatile markets. Since logistics services may provide external flexibility for shipper firms, we also study which related internal flexibilities in supply chains drive these choices. In particular, our findings show that it is mainly the volume flexibility of shippers that mediates the choice of flexible transportation services.","container-title":"Transportation Research Part A: Policy and Practice","DOI":"10.1016/j.tra.2022.03.031","ISSN":"0965-8564","journalAbbreviation":"Transportation Research Part A: Policy and Practice","page":"1-20","source":"ScienceDirect","title":"Shippers’ willingness to use flexible transportation services","volume":"160","author":[{"family":"Khakdaman","given":"Masoud"},{"family":"Rezaei","given":"Jafar"},{"family":"Tavasszy","given":"Lóránt"}],"issued":{"date-parts":[["2022",6,1]]}}}],"schema":"https://github.com/citation-style-language/schema/raw/master/csl-citation.json"} </w:instrText>
      </w:r>
      <w:r w:rsidRPr="00E4709C">
        <w:rPr>
          <w:lang w:val="en-GB"/>
        </w:rPr>
        <w:fldChar w:fldCharType="separate"/>
      </w:r>
      <w:r w:rsidR="0035064C" w:rsidRPr="00E4709C">
        <w:rPr>
          <w:lang w:val="en-GB"/>
        </w:rPr>
        <w:t>(European Court of Auditors</w:t>
      </w:r>
      <w:r w:rsidR="00E4709C" w:rsidRPr="00E4709C">
        <w:rPr>
          <w:lang w:val="en-GB"/>
        </w:rPr>
        <w:t>,</w:t>
      </w:r>
      <w:r w:rsidR="0035064C" w:rsidRPr="00E4709C">
        <w:rPr>
          <w:lang w:val="en-GB"/>
        </w:rPr>
        <w:t xml:space="preserve"> 2023; Khakdaman</w:t>
      </w:r>
      <w:r w:rsidR="00506906" w:rsidRPr="00E4709C">
        <w:rPr>
          <w:lang w:val="en-GB"/>
        </w:rPr>
        <w:t xml:space="preserve"> et al.</w:t>
      </w:r>
      <w:r w:rsidR="00E4709C" w:rsidRPr="00E4709C">
        <w:rPr>
          <w:lang w:val="en-GB"/>
        </w:rPr>
        <w:t>,</w:t>
      </w:r>
      <w:r w:rsidR="0035064C" w:rsidRPr="00E4709C">
        <w:rPr>
          <w:lang w:val="en-GB"/>
        </w:rPr>
        <w:t xml:space="preserve"> 2022)</w:t>
      </w:r>
      <w:r w:rsidRPr="00E4709C">
        <w:rPr>
          <w:lang w:val="en-GB"/>
        </w:rPr>
        <w:fldChar w:fldCharType="end"/>
      </w:r>
      <w:r w:rsidRPr="00E4709C">
        <w:rPr>
          <w:lang w:val="en-GB"/>
        </w:rPr>
        <w:t xml:space="preserve">. However, this flexibility largely depends on the availability of professional drivers and the economic sustainability of transport companies. To this end, </w:t>
      </w:r>
      <w:proofErr w:type="spellStart"/>
      <w:r w:rsidRPr="00E4709C">
        <w:rPr>
          <w:lang w:val="en-GB"/>
        </w:rPr>
        <w:t>labor</w:t>
      </w:r>
      <w:proofErr w:type="spellEnd"/>
      <w:r w:rsidRPr="00E4709C">
        <w:rPr>
          <w:lang w:val="en-GB"/>
        </w:rPr>
        <w:t xml:space="preserve"> costs, remuneration systems, and working conditions represent important factors influencing the stability and competitiveness of the road haulage sector </w:t>
      </w:r>
      <w:r w:rsidRPr="00E4709C">
        <w:rPr>
          <w:lang w:val="en-GB"/>
        </w:rPr>
        <w:fldChar w:fldCharType="begin"/>
      </w:r>
      <w:r w:rsidR="00E93C7C" w:rsidRPr="00E4709C">
        <w:rPr>
          <w:lang w:val="en-GB"/>
        </w:rPr>
        <w:instrText xml:space="preserve"> ADDIN ZOTERO_ITEM CSL_CITATION {"citationID":"NmBh89ZL","properties":{"formattedCitation":"(EURES &amp; European Labour Authority, 2024)","plainCitation":"(EURES &amp; European Labour Authority, 2024)","noteIndex":0},"citationItems":[{"id":34,"uris":["http://zotero.org/users/local/DCHUYpvV/items/S5QI8CCI"],"itemData":{"id":34,"type":"document","title":"Sector analysis on and transport Road and railway","author":[{"family":"EURES","given":""},{"family":"European Labour Authority","given":""}],"issued":{"date-parts":[["2024"]]}}}],"schema":"https://github.com/citation-style-language/schema/raw/master/csl-citation.json"} </w:instrText>
      </w:r>
      <w:r w:rsidRPr="00E4709C">
        <w:rPr>
          <w:lang w:val="en-GB"/>
        </w:rPr>
        <w:fldChar w:fldCharType="separate"/>
      </w:r>
      <w:r w:rsidR="0035064C" w:rsidRPr="00E4709C">
        <w:rPr>
          <w:lang w:val="en-GB"/>
        </w:rPr>
        <w:t>(EURES &amp; European Labour Authority, 2024)</w:t>
      </w:r>
      <w:r w:rsidRPr="00E4709C">
        <w:rPr>
          <w:lang w:val="en-GB"/>
        </w:rPr>
        <w:fldChar w:fldCharType="end"/>
      </w:r>
      <w:r w:rsidRPr="00E4709C">
        <w:rPr>
          <w:lang w:val="en-GB"/>
        </w:rPr>
        <w:t>.</w:t>
      </w:r>
    </w:p>
    <w:p w14:paraId="76F211BF" w14:textId="6DCE1483" w:rsidR="00082705" w:rsidRPr="00E4709C" w:rsidRDefault="00082705" w:rsidP="009806B8">
      <w:pPr>
        <w:pStyle w:val="AAENormaltext"/>
        <w:spacing w:after="0"/>
        <w:ind w:firstLine="284"/>
        <w:rPr>
          <w:lang w:val="en-GB"/>
        </w:rPr>
      </w:pPr>
      <w:r w:rsidRPr="00E4709C">
        <w:rPr>
          <w:lang w:val="en-GB"/>
        </w:rPr>
        <w:t>Environmental protection represents an increasingly important challenge for international road freight transport. Transport remains one of the main sources of greenhouse gas emissions in the European Union, while freight transport activity continues to grow and road transport remains a dominant mode of freight movement (</w:t>
      </w:r>
      <w:r w:rsidR="00327350" w:rsidRPr="00E4709C">
        <w:rPr>
          <w:lang w:val="en-GB"/>
        </w:rPr>
        <w:t>EEA, 202</w:t>
      </w:r>
      <w:r w:rsidR="00621A34" w:rsidRPr="00E4709C">
        <w:rPr>
          <w:lang w:val="en-GB"/>
        </w:rPr>
        <w:t>5</w:t>
      </w:r>
      <w:r w:rsidR="00D6303F" w:rsidRPr="00E4709C">
        <w:rPr>
          <w:lang w:val="en-GB"/>
        </w:rPr>
        <w:t xml:space="preserve">; EEA, </w:t>
      </w:r>
      <w:r w:rsidR="00327350" w:rsidRPr="00E4709C">
        <w:rPr>
          <w:lang w:val="en-GB"/>
        </w:rPr>
        <w:t>2026).</w:t>
      </w:r>
      <w:r w:rsidRPr="00E4709C">
        <w:rPr>
          <w:lang w:val="en-GB"/>
        </w:rPr>
        <w:t xml:space="preserve"> In this context, sustainable development in international road freight transport cannot be understood </w:t>
      </w:r>
      <w:r w:rsidR="00C942C7">
        <w:rPr>
          <w:lang w:val="en-GB"/>
        </w:rPr>
        <w:t>solely through technological measures, such as fleet renewal, alternative fuels, or low-emission (so-</w:t>
      </w:r>
      <w:r w:rsidR="000937B0" w:rsidRPr="00E4709C">
        <w:rPr>
          <w:lang w:val="en-GB"/>
        </w:rPr>
        <w:t xml:space="preserve">called eco-friendly) </w:t>
      </w:r>
      <w:r w:rsidRPr="00E4709C">
        <w:rPr>
          <w:lang w:val="en-GB"/>
        </w:rPr>
        <w:t>vehicles. It also includes organizational, economic, and social measures that support efficient transport planning</w:t>
      </w:r>
      <w:r w:rsidR="00FD1F16" w:rsidRPr="00E4709C">
        <w:rPr>
          <w:lang w:val="en-GB"/>
        </w:rPr>
        <w:t xml:space="preserve"> (</w:t>
      </w:r>
      <w:proofErr w:type="spellStart"/>
      <w:r w:rsidR="00FD1F16" w:rsidRPr="00E4709C">
        <w:rPr>
          <w:lang w:val="en-GB"/>
        </w:rPr>
        <w:t>Staniuk</w:t>
      </w:r>
      <w:proofErr w:type="spellEnd"/>
      <w:r w:rsidR="00FD1F16" w:rsidRPr="00E4709C">
        <w:rPr>
          <w:lang w:val="en-GB"/>
        </w:rPr>
        <w:t xml:space="preserve"> et al.</w:t>
      </w:r>
      <w:r w:rsidR="00E4709C" w:rsidRPr="00E4709C">
        <w:rPr>
          <w:lang w:val="en-GB"/>
        </w:rPr>
        <w:t>,</w:t>
      </w:r>
      <w:r w:rsidR="00FD1F16" w:rsidRPr="00E4709C">
        <w:rPr>
          <w:lang w:val="en-GB"/>
        </w:rPr>
        <w:t xml:space="preserve"> 2024)</w:t>
      </w:r>
      <w:r w:rsidRPr="00E4709C">
        <w:rPr>
          <w:lang w:val="en-GB"/>
        </w:rPr>
        <w:t xml:space="preserve">, stable working conditions, and responsible vehicle operation. From this perspective, remuneration and travel allowance systems are relevant mainly to the economic and social dimensions of sustainability, but they may also have indirect environmental relevance when they support predictable rest planning and remain compatible with efficient routing and environmentally responsible transport operations </w:t>
      </w:r>
      <w:r w:rsidR="00327350" w:rsidRPr="00E4709C">
        <w:rPr>
          <w:lang w:val="en-GB"/>
        </w:rPr>
        <w:t xml:space="preserve">(UNCTAD, 2026). </w:t>
      </w:r>
    </w:p>
    <w:p w14:paraId="3C508DE6" w14:textId="48F95DCB" w:rsidR="009806B8" w:rsidRPr="00E4709C" w:rsidRDefault="009806B8" w:rsidP="009806B8">
      <w:pPr>
        <w:pStyle w:val="AAENormaltext"/>
        <w:spacing w:after="0"/>
        <w:ind w:firstLine="284"/>
        <w:rPr>
          <w:lang w:val="en-GB"/>
        </w:rPr>
      </w:pPr>
      <w:r w:rsidRPr="00E4709C">
        <w:rPr>
          <w:lang w:val="en-GB"/>
        </w:rPr>
        <w:lastRenderedPageBreak/>
        <w:t xml:space="preserve">In recent years, the road transport sector has faced increasing pressure related to the availability of qualified professional drivers. The shortage of truck drivers is no longer only a national issue, but a structural problem affecting several European countries. The European Labor Authority reported that, in 2023, approximately 7% of truck driver positions in Europe remained vacant, corresponding to around 233 000 unfilled jobs in the road freight sector </w:t>
      </w:r>
      <w:r w:rsidRPr="00E4709C">
        <w:rPr>
          <w:lang w:val="en-GB"/>
        </w:rPr>
        <w:fldChar w:fldCharType="begin"/>
      </w:r>
      <w:r w:rsidR="0035064C" w:rsidRPr="00E4709C">
        <w:rPr>
          <w:lang w:val="en-GB"/>
        </w:rPr>
        <w:instrText xml:space="preserve"> ADDIN ZOTERO_ITEM CSL_CITATION {"citationID":"fbS4pvPK","properties":{"unsorted":false,"formattedCitation":"(IRU, 2026b)","plainCitation":"(IRU, 2026b)","noteIndex":0},"citationItems":[{"id":35,"uris":["http://zotero.org/users/local/DCHUYpvV/items/TSGEDM2Y"],"itemData":{"id":35,"type":"webpage","abstract":"IRU’s new European truck driver shortage report has found that over half of operators are unable to expand their business due to the shortage of drivers.","language":"en","title":"Half of European truck operators can’t expand due to driver shortages","URL":"https://www.iru.org/news-resources/newsroom/half-european-truck-operators-cant-expand-due-driver-shortages","author":[{"family":"IRU","given":""}],"accessed":{"date-parts":[["2026",5,28]]},"issued":{"date-parts":[["2026",5,22]]}}}],"schema":"https://github.com/citation-style-language/schema/raw/master/csl-citation.json"} </w:instrText>
      </w:r>
      <w:r w:rsidRPr="00E4709C">
        <w:rPr>
          <w:lang w:val="en-GB"/>
        </w:rPr>
        <w:fldChar w:fldCharType="separate"/>
      </w:r>
      <w:r w:rsidR="0035064C" w:rsidRPr="00E4709C">
        <w:rPr>
          <w:lang w:val="en-GB"/>
        </w:rPr>
        <w:t>(IRU</w:t>
      </w:r>
      <w:r w:rsidR="00E4709C" w:rsidRPr="00E4709C">
        <w:rPr>
          <w:lang w:val="en-GB"/>
        </w:rPr>
        <w:t>,</w:t>
      </w:r>
      <w:r w:rsidR="0035064C" w:rsidRPr="00E4709C">
        <w:rPr>
          <w:lang w:val="en-GB"/>
        </w:rPr>
        <w:t xml:space="preserve"> 2026b)</w:t>
      </w:r>
      <w:r w:rsidRPr="00E4709C">
        <w:rPr>
          <w:lang w:val="en-GB"/>
        </w:rPr>
        <w:fldChar w:fldCharType="end"/>
      </w:r>
      <w:r w:rsidRPr="00E4709C">
        <w:rPr>
          <w:lang w:val="en-GB"/>
        </w:rPr>
        <w:t xml:space="preserve">. This shortage is affected by several factors, including the demanding nature of the profession, long periods away from home, irregular working patterns, the overall attractiveness of remuneration relative to the working conditions required of drivers </w:t>
      </w:r>
      <w:r w:rsidRPr="00E4709C">
        <w:rPr>
          <w:lang w:val="en-GB"/>
        </w:rPr>
        <w:fldChar w:fldCharType="begin"/>
      </w:r>
      <w:r w:rsidR="0035064C" w:rsidRPr="00E4709C">
        <w:rPr>
          <w:lang w:val="en-GB"/>
        </w:rPr>
        <w:instrText xml:space="preserve"> ADDIN ZOTERO_ITEM CSL_CITATION {"citationID":"C9C81hLx","properties":{"unsorted":false,"formattedCitation":"(IRU, 2026a)","plainCitation":"(IRU, 2026a)","noteIndex":0},"citationItems":[{"id":37,"uris":["http://zotero.org/users/local/DCHUYpvV/items/PAWA5PTH"],"itemData":{"id":37,"type":"webpage","abstract":"The Upply x Ti x IRU Q4 2025 European road freight rates index shows divergence between contract and spot markets. Contract rates climbed to 136.9, a solid 2.6-point increase quarter on quarter (q-o-q), and a 3.1-point rise year on year (y-o-y). Meanwhile, spot rates reached 135.1, advancing modestly by 0.3 points from the previous quarter, but declining 3.3 points compared to the same period last year.","language":"en","title":"European road freight rates Q4 2025: Contract rates up, spot rates steady","title-short":"European road freight rates Q4 2025","URL":"https://www.iru.org/news-resources/newsroom/european-road-freight-rates-q4-2025-contract-rates-spot-rates-steady","author":[{"family":"IRU","given":""}],"accessed":{"date-parts":[["2026",5,28]]},"issued":{"date-parts":[["2026",5,5]]}}}],"schema":"https://github.com/citation-style-language/schema/raw/master/csl-citation.json"} </w:instrText>
      </w:r>
      <w:r w:rsidRPr="00E4709C">
        <w:rPr>
          <w:lang w:val="en-GB"/>
        </w:rPr>
        <w:fldChar w:fldCharType="separate"/>
      </w:r>
      <w:r w:rsidR="0035064C" w:rsidRPr="00E4709C">
        <w:rPr>
          <w:lang w:val="en-GB"/>
        </w:rPr>
        <w:t>(IRU</w:t>
      </w:r>
      <w:r w:rsidR="00E4709C" w:rsidRPr="00E4709C">
        <w:rPr>
          <w:lang w:val="en-GB"/>
        </w:rPr>
        <w:t>,</w:t>
      </w:r>
      <w:r w:rsidR="0035064C" w:rsidRPr="00E4709C">
        <w:rPr>
          <w:lang w:val="en-GB"/>
        </w:rPr>
        <w:t xml:space="preserve"> 2026a)</w:t>
      </w:r>
      <w:r w:rsidRPr="00E4709C">
        <w:rPr>
          <w:lang w:val="en-GB"/>
        </w:rPr>
        <w:fldChar w:fldCharType="end"/>
      </w:r>
      <w:r w:rsidRPr="00E4709C">
        <w:rPr>
          <w:lang w:val="en-GB"/>
        </w:rPr>
        <w:t xml:space="preserve">, </w:t>
      </w:r>
      <w:r w:rsidR="00082705" w:rsidRPr="00E4709C">
        <w:rPr>
          <w:lang w:val="en-GB"/>
        </w:rPr>
        <w:t>as well as increasing regulatory and societal pressure to reduce the negative environmental impacts of road freight transport</w:t>
      </w:r>
      <w:r w:rsidRPr="00E4709C">
        <w:rPr>
          <w:lang w:val="en-GB"/>
        </w:rPr>
        <w:t xml:space="preserve"> </w:t>
      </w:r>
      <w:r w:rsidRPr="00E4709C">
        <w:rPr>
          <w:lang w:val="en-GB"/>
        </w:rPr>
        <w:fldChar w:fldCharType="begin"/>
      </w:r>
      <w:r w:rsidR="0035064C" w:rsidRPr="00E4709C">
        <w:rPr>
          <w:lang w:val="en-GB"/>
        </w:rPr>
        <w:instrText xml:space="preserve"> ADDIN ZOTERO_ITEM CSL_CITATION {"citationID":"ehAFkTjy","properties":{"unsorted":false,"formattedCitation":"(Chamier-Gliszczynski, Wyszomirski, Balewski, &amp; K\\uc0\\u322{}odawski, 2024; Ji-Hyland &amp; Allen, 2022)","plainCitation":"(Chamier-Gliszczynski, Wyszomirski, Balewski, &amp; Kłodawski, 2024; Ji-Hyland &amp; Allen, 2022)","noteIndex":0},"citationItems":[{"id":105,"uris":["http://zotero.org/users/local/DCHUYpvV/items/JRILSUJL"],"itemData":{"id":105,"type":"article-journal","abstract":"The concept of green public transport in Poland is a challenge posed to Polish cities, which reflects the AFIR (Regulation for the Deployment of Alternative Fuels Infrastructure) regulation and the amended Polish Law on Electromobility and Alternative Fuels. The fulfillment of the established prerequisites requires taking steps toward the implementation of the electrification process of the fleet of bus vehicles. The goal of this process is to replace the fleet of buses equipped with internal combustion engines (conventional buses) with zero-emission buses. In the category of zero-emission vehicles, we distinguish between electric-powered buses (electric buses), hydrogen-powered buses (hydrogen buses) and trolleybuses. It is forecast that such exchanges will be spread out over time and may last 16 to 20 years. Thus, an important element in these activities is planning, which, as a process, leads to the establishment of tasks, resources and activities aimed at realizing or achieving the desired goal. It was assumed that the purpose of the article is to present the essence of planning the process of electrification of the bus fleet of vehicles in Polish cities. The content of the article refers to the concept of planning the process of electrification of the bus fleet of vehicles in urban areas, taking into account economic aspects, sources of financing and analysis of the feasibility of this process on the example of a selected Polish city. The planning process was presented using the example of a city integrated with the surrounding nature. The choice of the city is not accidental because the analyzed urban area lies in the green part of the West Pomeranian Voivodeship, in the vicinity of which there are four nature reserves. The city is situated on two lakes, which together occupy 11.2% of the city’s area, and there are also numerous green areas in the city. The green nature of the city argued for taking action to reduce local emissions of pollutants generated by public transport. The process of planning the electrification of the bus fleet was carried out based on environmental and economic aspects. In economic terms, an important element is the possibility of obtaining external financing and the analysis of the feasibility of the planned process of electrification of the bus fleet. The conducted research clearly indicated that the presented process of planning the electrification of the bus fleet in the selected urban area allows for a precise interpretation of the considered planning in environmental and economic terms. Such an interpretation is important for the evaluation process of the analyzed planning and the implementation of the concept of green public transport in Polish cities, as well as the transparency of this process to other European cities and beyond.","container-title":"Energies","DOI":"10.3390/en17246362","ISSN":"1996-1073","issue":"24","language":"en","license":"http://creativecommons.org/licenses/by/3.0/","page":"6362","publisher":"Multidisciplinary Digital Publishing Institute","source":"www.mdpi.com","title":"Green Public Transport in Poland—Planning the Process of the Electrification of the Bus Fleet of Vehicles","volume":"17","author":[{"family":"Chamier-Gliszczynski","given":"Norbert"},{"family":"Wyszomirski","given":"Adam"},{"family":"Balewski","given":"Cezary"},{"family":"Kłodawski","given":"Michał"}],"issued":{"date-parts":[["2024",1]]}}},{"id":52,"uris":["http://zotero.org/users/local/DCHUYpvV/items/9W7MNJN5"],"itemData":{"id":52,"type":"article-journal","abstract":"A shortage of qualified and available professional drivers in the Freight, Transport, Distribution and Logistics (FTDL) sector is becoming an area of increasing concern in Ireland, and across the European mainland. This paper applies a two-stage research approach to address the issues causing the driver shortage and to analyse contributing factors. The findings reveal that remuneration and salaries are detrimental to recruitment and retention. While driver wellbeing in terms of physical and mental health is a major issue, little support is provided for training and education. There is a relationship between a driver’s age group and job satisfaction, and between the length of time working as a professional driver and job satisfaction. By uncovering the variety of factors that contribute to driver shortage, this research provides theoretical and practical knowledge in order to attract and retain a sustainable labour force of drivers required to sustain transportation services.","container-title":"International Journal of Logistics Research and Applications","DOI":"10.1080/13675567.2020.1821623","ISSN":"1367-5567","issue":"3","note":"_eprint: https://doi.org/10.1080/13675567.2020.1821623","page":"231-246","publisher":"Taylor &amp; Francis","source":"Taylor and Francis+NEJM","title":"What do professional drivers think about their profession? An examination of factors contributing to the driver shortage","title-short":"What do professional drivers think about their profession?","volume":"25","author":[{"family":"Ji-Hyland","given":"Chao"},{"family":"Allen","given":"Declan"}],"issued":{"date-parts":[["2022",3,4]]}}}],"schema":"https://github.com/citation-style-language/schema/raw/master/csl-citation.json"} </w:instrText>
      </w:r>
      <w:r w:rsidRPr="00E4709C">
        <w:rPr>
          <w:lang w:val="en-GB"/>
        </w:rPr>
        <w:fldChar w:fldCharType="separate"/>
      </w:r>
      <w:r w:rsidR="0035064C" w:rsidRPr="00E4709C">
        <w:rPr>
          <w:lang w:val="en-GB"/>
        </w:rPr>
        <w:t>(Chamier-Gliszczynski</w:t>
      </w:r>
      <w:r w:rsidR="00506906" w:rsidRPr="00E4709C">
        <w:rPr>
          <w:lang w:val="en-GB"/>
        </w:rPr>
        <w:t xml:space="preserve"> et al.</w:t>
      </w:r>
      <w:r w:rsidR="00E4709C" w:rsidRPr="00E4709C">
        <w:rPr>
          <w:lang w:val="en-GB"/>
        </w:rPr>
        <w:t>,</w:t>
      </w:r>
      <w:r w:rsidR="0035064C" w:rsidRPr="00E4709C">
        <w:rPr>
          <w:lang w:val="en-GB"/>
        </w:rPr>
        <w:t xml:space="preserve"> 2024; Ji-Hyland &amp; Allen</w:t>
      </w:r>
      <w:r w:rsidR="00E4709C" w:rsidRPr="00E4709C">
        <w:rPr>
          <w:lang w:val="en-GB"/>
        </w:rPr>
        <w:t>,</w:t>
      </w:r>
      <w:r w:rsidR="0035064C" w:rsidRPr="00E4709C">
        <w:rPr>
          <w:lang w:val="en-GB"/>
        </w:rPr>
        <w:t xml:space="preserve"> 2022)</w:t>
      </w:r>
      <w:r w:rsidRPr="00E4709C">
        <w:rPr>
          <w:lang w:val="en-GB"/>
        </w:rPr>
        <w:fldChar w:fldCharType="end"/>
      </w:r>
      <w:r w:rsidRPr="00E4709C">
        <w:rPr>
          <w:lang w:val="en-GB"/>
        </w:rPr>
        <w:t>.</w:t>
      </w:r>
    </w:p>
    <w:p w14:paraId="796089B7" w14:textId="5DD51410" w:rsidR="009806B8" w:rsidRPr="00E4709C" w:rsidRDefault="009806B8" w:rsidP="009806B8">
      <w:pPr>
        <w:pStyle w:val="AAENormaltext"/>
        <w:spacing w:after="0"/>
        <w:ind w:firstLine="284"/>
        <w:rPr>
          <w:lang w:val="en-GB"/>
        </w:rPr>
      </w:pPr>
      <w:r w:rsidRPr="00E4709C">
        <w:rPr>
          <w:lang w:val="en-GB"/>
        </w:rPr>
        <w:t>Remuneration in international road freight transport cannot be assessed only through the basic wage. In</w:t>
      </w:r>
      <w:r w:rsidR="006A5CCB">
        <w:rPr>
          <w:lang w:val="en-GB"/>
        </w:rPr>
        <w:t> </w:t>
      </w:r>
      <w:r w:rsidRPr="00E4709C">
        <w:rPr>
          <w:lang w:val="en-GB"/>
        </w:rPr>
        <w:t xml:space="preserve">practice, a driver's total income often comprises several elements, including wages, bonuses, overtime pay, and travel allowances. Driver compensation is also relevant beyond income formation, as prior research has linked compensation practices to broader operational and safety outcomes in road freight transport </w:t>
      </w:r>
      <w:r w:rsidRPr="00E4709C">
        <w:rPr>
          <w:lang w:val="en-GB"/>
        </w:rPr>
        <w:fldChar w:fldCharType="begin"/>
      </w:r>
      <w:r w:rsidR="00E93C7C" w:rsidRPr="00E4709C">
        <w:rPr>
          <w:lang w:val="en-GB"/>
        </w:rPr>
        <w:instrText xml:space="preserve"> ADDIN ZOTERO_ITEM CSL_CITATION {"citationID":"XHeNDKEs","properties":{"unsorted":false,"formattedCitation":"(Ryley &amp; Belzer, 2023)","plainCitation":"(Ryley &amp; Belzer, 2023)","noteIndex":0},"citationItems":[{"id":99,"uris":["http://zotero.org/users/local/DCHUYpvV/items/YJ9ITVS3"],"itemData":{"id":99,"type":"article-journal","abstract":"Commercial motor vehicle driving is one of the most dangerous occupations in the United States. The production of most trucking services takes places on public roadways, which makes commercial motor vehicle safety a topic of concern for industry stakeholders, supply chain operations, policy makers, and the general public. This study explores the relationship between new employee driver compensation and for-hire interstate truckload motor carrier crash incidence. The results suggest that, all else constant, higher benefits are associated with fewer crashes. While mileage pay rates predict crashes, we find that higher mileage rates can be correlated with either higher or lower crash frequency – depending on the carrier’s existing starting pay level. This may be due to pernicious incentives created by piece-rate pay structures, because drivers who have more unpaid non-driving work time may earn a slightly higher mileage pay rate, which only partially compensates them for unpaid labour time. Regardless, these results suggest that compensation is an important predictor of safety and the existing pay practices in the industry may be unsafe. It also suggests that the role of compensation in motor carrier safety performance deserves further exploration with better quality data–especially full documentation of hours of work and pay rates.","container-title":"The Economic and Labour Relations Review","DOI":"10.1017/elr.2022.13","ISSN":"1838-2673","issue":"1","language":"en","page":"118-139","source":"Cambridge University Press","title":"Compensation and crash incidence: Evidence from the National Survey of Driver Wages","title-short":"Compensation and crash incidence","volume":"34","author":[{"family":"Ryley","given":"Walter T."},{"family":"Belzer","given":"Michael H."}],"issued":{"date-parts":[["2023",3]]}}}],"schema":"https://github.com/citation-style-language/schema/raw/master/csl-citation.json"} </w:instrText>
      </w:r>
      <w:r w:rsidRPr="00E4709C">
        <w:rPr>
          <w:lang w:val="en-GB"/>
        </w:rPr>
        <w:fldChar w:fldCharType="separate"/>
      </w:r>
      <w:r w:rsidR="0035064C" w:rsidRPr="00E4709C">
        <w:rPr>
          <w:lang w:val="en-GB"/>
        </w:rPr>
        <w:t>(Ryley &amp;</w:t>
      </w:r>
      <w:r w:rsidR="006A5CCB">
        <w:rPr>
          <w:lang w:val="en-GB"/>
        </w:rPr>
        <w:t> </w:t>
      </w:r>
      <w:r w:rsidR="0035064C" w:rsidRPr="00E4709C">
        <w:rPr>
          <w:lang w:val="en-GB"/>
        </w:rPr>
        <w:t>Belzer</w:t>
      </w:r>
      <w:r w:rsidR="00E4709C" w:rsidRPr="00E4709C">
        <w:rPr>
          <w:lang w:val="en-GB"/>
        </w:rPr>
        <w:t>,</w:t>
      </w:r>
      <w:r w:rsidR="0035064C" w:rsidRPr="00E4709C">
        <w:rPr>
          <w:lang w:val="en-GB"/>
        </w:rPr>
        <w:t xml:space="preserve"> 2023)</w:t>
      </w:r>
      <w:r w:rsidRPr="00E4709C">
        <w:rPr>
          <w:lang w:val="en-GB"/>
        </w:rPr>
        <w:fldChar w:fldCharType="end"/>
      </w:r>
      <w:r w:rsidRPr="00E4709C">
        <w:rPr>
          <w:lang w:val="en-GB"/>
        </w:rPr>
        <w:t xml:space="preserve">. Travel allowances are particularly important because they are linked to the increased expenses incurred during business trips </w:t>
      </w:r>
      <w:r w:rsidRPr="00E4709C">
        <w:rPr>
          <w:lang w:val="en-GB"/>
        </w:rPr>
        <w:fldChar w:fldCharType="begin"/>
      </w:r>
      <w:r w:rsidR="0035064C" w:rsidRPr="00E4709C">
        <w:rPr>
          <w:lang w:val="en-GB"/>
        </w:rPr>
        <w:instrText xml:space="preserve"> ADDIN ZOTERO_ITEM CSL_CITATION {"citationID":"ZLWS616p","properties":{"formattedCitation":"(\\uc0\\u352{}kerli\\uc0\\u269{} &amp; Er\\uc0\\u269{}ulj, 2021; Soro, Haworth, &amp; Debnath, 2025; Sternad, 2019)","plainCitation":"(Škerlič &amp; Erčulj, 2021; Soro, Haworth, &amp; Debnath, 2025; Sternad, 2019)","noteIndex":0},"citationItems":[{"id":47,"uris":["http://zotero.org/users/local/DCHUYpvV/items/HIZ23EMM"],"itemData":{"id":47,"type":"article-journal","abstract":"Heavy trucks largely contribute to road fatalities and injuries with most of the severely injured and killed being road users other than heavy truck occupants. Research has shown that the causes of truck crashes have economic roots, including high levels of competition creating economic pressure that could increase the likelihood of carriers reducing safety investments and adopting payment practices that encourage truck drivers to drive faster and longer than legally required. With a large body of research on safety policies and payment practices in the heavy trucking industry, there is a strong need to comprehensively understand the relationships between economic pressure in terms of truck company financial performance and driver compensation, and safety outcomes and the factors influencing the relationships. This paper presents a systematic review of the literature to address this important gap in the literature. The review identified 43 English-language articles published between 1988 and 2024. There is a general consensus in these articles that paying truck drivers based on the amount of work performed is associated with poorer safety outcomes than paying them based on the amount of time worked. In contrast, higher pay levels and payments for non-driving tasks positively influence safety outcomes. Regarding truck company financial performance, most of the studies reported a positive influence on safety outcomes. This review highlights the strengths and limitations of the methodologies of existing studies and proposes areas for future research.","container-title":"Transport Reviews","DOI":"10.1080/01441647.2025.2451422","ISSN":"0144-1647, 1464-5327","issue":"2","journalAbbreviation":"Transp. Rev.","language":"English","note":"number-of-pages: 20\nWeb of Science ID: WOS:001397234100001","page":"239-258","publisher":"Taylor &amp; Francis Ltd","publisher-place":"Abingdon","source":"Clarivate Analytics Web of Science","title":"The relationships between financial performance and driver compensation and safety outcomes in the trucking industry: a systematic review","title-short":"The relationships between financial performance and driver compensation and safety outcomes in the trucking industry","volume":"45","author":[{"family":"Soro","given":"Wonmongo Lacina"},{"family":"Haworth","given":"Narelle"},{"family":"Debnath","given":"Ashim Kumar"}],"issued":{"date-parts":[["2025",3,4]]}}},{"id":48,"uris":["http://zotero.org/users/local/DCHUYpvV/items/4K87IYR9"],"itemData":{"id":48,"type":"article-journal","abstract":"Cost management is important for every transport company. Increasing competition in road freight transport forces companies to cost-effectiveness, so they need to know their costs of carrying out the transport service. The article aims to illustrate the structure of costs in road freight transport and analyze the changes in fixed and variable costs for different annual kilometers traveled. Traditional accounting was used to calculate the total and average costs. In the research, we determined the changes in total and average costs for different annual kilometers, which are expected and comparable with other countries. From the transport company's point of view, the structure of costs is also important, and the finding that the highest of the costs are fuel, labor and toll costs. The research enables transport companies to understand the cost structure and provide opportunities for increasing competitiveness based on cost control. Further research is aimed at determining the cost structure of different types of transport vehicles and the changes of fixed and variable costs in the case of different mileage with using ABC costing methods.","container-title":"Business Logistics in Modern Management","ISSN":"1849-6148","language":"en","source":"ojs.srce.hr","title":"COST CALCULATION IN ROAD FREIGHT TRANSPORT","URL":"https://ojs.srce.hr/plusm/article/view/10358","author":[{"family":"Sternad","given":"Marjan"}],"accessed":{"date-parts":[["2026",5,28]]},"issued":{"date-parts":[["2019",10,10]]}}},{"id":64,"uris":["http://zotero.org/users/local/DCHUYpvV/items/ZHJSEFRR"],"itemData":{"id":64,"type":"article-journal","abstract":"The goal of the research is to determine how compensation affects the safety behavior of truck drivers and consequently the frequency of traffic accidents. For this purpose, a survey was conducted on a sample of 220 truck drivers in international road transport in the EU, where the results of the Structural Equation Model (SEM) show that in the current state of the transport sector, financial and non-financial incentives have a positive impact on the work and safety behavior of drivers. Financial incentives also have an impact on drivers’ increased perception of their driving ability, while moving violations continue to have a major impact on the number of accidents. The proposed improvements enable decision-makers at the highest level to adopt legal solutions to help manage the issues that have been affecting the industry from a work, social and safety point of view for the past several years. The results of the research therefore represent an important guideline for improvements to the legislature as well as in the systematization of truck driver compensation within companies.","container-title":"International Journal of Environmental Research and Public Health","DOI":"10.3390/ijerph18052759","ISSN":"1661-7827","issue":"5","journalAbbreviation":"Int J Environ Res Public Health","page":"2759","PMID":"33803170","PMCID":"PMC7967259","source":"PubMed Central","title":"The Impact of Financial and Non-Financial Work Incentives on the Safety Behavior of Heavy Truck Drivers","volume":"18","author":[{"family":"Škerlič","given":"Sebastjan"},{"family":"Erčulj","given":"Vanja"}],"issued":{"date-parts":[["2021",3,9]]}}}],"schema":"https://github.com/citation-style-language/schema/raw/master/csl-citation.json"} </w:instrText>
      </w:r>
      <w:r w:rsidRPr="00E4709C">
        <w:rPr>
          <w:lang w:val="en-GB"/>
        </w:rPr>
        <w:fldChar w:fldCharType="separate"/>
      </w:r>
      <w:r w:rsidR="0035064C" w:rsidRPr="00E4709C">
        <w:rPr>
          <w:lang w:val="en-GB"/>
        </w:rPr>
        <w:t>(Škerlič &amp; Erčulj</w:t>
      </w:r>
      <w:r w:rsidR="00E4709C" w:rsidRPr="00E4709C">
        <w:rPr>
          <w:lang w:val="en-GB"/>
        </w:rPr>
        <w:t>,</w:t>
      </w:r>
      <w:r w:rsidR="0035064C" w:rsidRPr="00E4709C">
        <w:rPr>
          <w:lang w:val="en-GB"/>
        </w:rPr>
        <w:t xml:space="preserve"> 2021; Soro</w:t>
      </w:r>
      <w:r w:rsidR="003351BA" w:rsidRPr="00E4709C">
        <w:rPr>
          <w:lang w:val="en-GB"/>
        </w:rPr>
        <w:t xml:space="preserve"> et al.</w:t>
      </w:r>
      <w:r w:rsidR="00E4709C" w:rsidRPr="00E4709C">
        <w:rPr>
          <w:lang w:val="en-GB"/>
        </w:rPr>
        <w:t>,</w:t>
      </w:r>
      <w:r w:rsidR="0035064C" w:rsidRPr="00E4709C">
        <w:rPr>
          <w:lang w:val="en-GB"/>
        </w:rPr>
        <w:t xml:space="preserve"> 2025; Sternad</w:t>
      </w:r>
      <w:r w:rsidR="00E4709C" w:rsidRPr="00E4709C">
        <w:rPr>
          <w:lang w:val="en-GB"/>
        </w:rPr>
        <w:t>,</w:t>
      </w:r>
      <w:r w:rsidR="0035064C" w:rsidRPr="00E4709C">
        <w:rPr>
          <w:lang w:val="en-GB"/>
        </w:rPr>
        <w:t xml:space="preserve"> 2019)</w:t>
      </w:r>
      <w:r w:rsidRPr="00E4709C">
        <w:rPr>
          <w:lang w:val="en-GB"/>
        </w:rPr>
        <w:fldChar w:fldCharType="end"/>
      </w:r>
      <w:r w:rsidRPr="00E4709C">
        <w:rPr>
          <w:lang w:val="en-GB"/>
        </w:rPr>
        <w:t>. In the case of international transport, these allowances may constitute a significant portion of the driver</w:t>
      </w:r>
      <w:r w:rsidR="00C942C7">
        <w:rPr>
          <w:lang w:val="en-GB"/>
        </w:rPr>
        <w:t>'</w:t>
      </w:r>
      <w:r w:rsidRPr="00E4709C">
        <w:rPr>
          <w:lang w:val="en-GB"/>
        </w:rPr>
        <w:t xml:space="preserve">s net income </w:t>
      </w:r>
      <w:r w:rsidRPr="00E4709C">
        <w:rPr>
          <w:lang w:val="en-GB"/>
        </w:rPr>
        <w:fldChar w:fldCharType="begin"/>
      </w:r>
      <w:r w:rsidR="0035064C" w:rsidRPr="00E4709C">
        <w:rPr>
          <w:lang w:val="en-GB"/>
        </w:rPr>
        <w:instrText xml:space="preserve"> ADDIN ZOTERO_ITEM CSL_CITATION {"citationID":"raUwSJVf","properties":{"formattedCitation":"(\\uc0\\u352{}kerli\\uc0\\u269{} &amp; Er\\uc0\\u269{}ulj, 2021; Soro et al., 2025; Sternad, 2019)","plainCitation":"(Škerlič &amp; Erčulj, 2021; Soro et al., 2025; Sternad, 2019)","noteIndex":0},"citationItems":[{"id":47,"uris":["http://zotero.org/users/local/DCHUYpvV/items/HIZ23EMM"],"itemData":{"id":47,"type":"article-journal","abstract":"Heavy trucks largely contribute to road fatalities and injuries with most of the severely injured and killed being road users other than heavy truck occupants. Research has shown that the causes of truck crashes have economic roots, including high levels of competition creating economic pressure that could increase the likelihood of carriers reducing safety investments and adopting payment practices that encourage truck drivers to drive faster and longer than legally required. With a large body of research on safety policies and payment practices in the heavy trucking industry, there is a strong need to comprehensively understand the relationships between economic pressure in terms of truck company financial performance and driver compensation, and safety outcomes and the factors influencing the relationships. This paper presents a systematic review of the literature to address this important gap in the literature. The review identified 43 English-language articles published between 1988 and 2024. There is a general consensus in these articles that paying truck drivers based on the amount of work performed is associated with poorer safety outcomes than paying them based on the amount of time worked. In contrast, higher pay levels and payments for non-driving tasks positively influence safety outcomes. Regarding truck company financial performance, most of the studies reported a positive influence on safety outcomes. This review highlights the strengths and limitations of the methodologies of existing studies and proposes areas for future research.","container-title":"Transport Reviews","DOI":"10.1080/01441647.2025.2451422","ISSN":"0144-1647, 1464-5327","issue":"2","journalAbbreviation":"Transp. Rev.","language":"English","note":"number-of-pages: 20\nWeb of Science ID: WOS:001397234100001","page":"239-258","publisher":"Taylor &amp; Francis Ltd","publisher-place":"Abingdon","source":"Clarivate Analytics Web of Science","title":"The relationships between financial performance and driver compensation and safety outcomes in the trucking industry: a systematic review","title-short":"The relationships between financial performance and driver compensation and safety outcomes in the trucking industry","volume":"45","author":[{"family":"Soro","given":"Wonmongo Lacina"},{"family":"Haworth","given":"Narelle"},{"family":"Debnath","given":"Ashim Kumar"}],"issued":{"date-parts":[["2025",3,4]]}}},{"id":48,"uris":["http://zotero.org/users/local/DCHUYpvV/items/4K87IYR9"],"itemData":{"id":48,"type":"article-journal","abstract":"Cost management is important for every transport company. Increasing competition in road freight transport forces companies to cost-effectiveness, so they need to know their costs of carrying out the transport service. The article aims to illustrate the structure of costs in road freight transport and analyze the changes in fixed and variable costs for different annual kilometers traveled. Traditional accounting was used to calculate the total and average costs. In the research, we determined the changes in total and average costs for different annual kilometers, which are expected and comparable with other countries. From the transport company's point of view, the structure of costs is also important, and the finding that the highest of the costs are fuel, labor and toll costs. The research enables transport companies to understand the cost structure and provide opportunities for increasing competitiveness based on cost control. Further research is aimed at determining the cost structure of different types of transport vehicles and the changes of fixed and variable costs in the case of different mileage with using ABC costing methods.","container-title":"Business Logistics in Modern Management","ISSN":"1849-6148","language":"en","source":"ojs.srce.hr","title":"COST CALCULATION IN ROAD FREIGHT TRANSPORT","URL":"https://ojs.srce.hr/plusm/article/view/10358","author":[{"family":"Sternad","given":"Marjan"}],"accessed":{"date-parts":[["2026",5,28]]},"issued":{"date-parts":[["2019",10,10]]}}},{"id":64,"uris":["http://zotero.org/users/local/DCHUYpvV/items/ZHJSEFRR"],"itemData":{"id":64,"type":"article-journal","abstract":"The goal of the research is to determine how compensation affects the safety behavior of truck drivers and consequently the frequency of traffic accidents. For this purpose, a survey was conducted on a sample of 220 truck drivers in international road transport in the EU, where the results of the Structural Equation Model (SEM) show that in the current state of the transport sector, financial and non-financial incentives have a positive impact on the work and safety behavior of drivers. Financial incentives also have an impact on drivers’ increased perception of their driving ability, while moving violations continue to have a major impact on the number of accidents. The proposed improvements enable decision-makers at the highest level to adopt legal solutions to help manage the issues that have been affecting the industry from a work, social and safety point of view for the past several years. The results of the research therefore represent an important guideline for improvements to the legislature as well as in the systematization of truck driver compensation within companies.","container-title":"International Journal of Environmental Research and Public Health","DOI":"10.3390/ijerph18052759","ISSN":"1661-7827","issue":"5","journalAbbreviation":"Int J Environ Res Public Health","page":"2759","PMID":"33803170","PMCID":"PMC7967259","source":"PubMed Central","title":"The Impact of Financial and Non-Financial Work Incentives on the Safety Behavior of Heavy Truck Drivers","volume":"18","author":[{"family":"Škerlič","given":"Sebastjan"},{"family":"Erčulj","given":"Vanja"}],"issued":{"date-parts":[["2021",3,9]]}}}],"schema":"https://github.com/citation-style-language/schema/raw/master/csl-citation.json"} </w:instrText>
      </w:r>
      <w:r w:rsidRPr="00E4709C">
        <w:rPr>
          <w:lang w:val="en-GB"/>
        </w:rPr>
        <w:fldChar w:fldCharType="separate"/>
      </w:r>
      <w:r w:rsidR="0035064C" w:rsidRPr="00E4709C">
        <w:rPr>
          <w:lang w:val="en-GB"/>
        </w:rPr>
        <w:t>(Škerlič &amp; Erčulj</w:t>
      </w:r>
      <w:r w:rsidR="00E4709C" w:rsidRPr="00E4709C">
        <w:rPr>
          <w:lang w:val="en-GB"/>
        </w:rPr>
        <w:t>,</w:t>
      </w:r>
      <w:r w:rsidR="0035064C" w:rsidRPr="00E4709C">
        <w:rPr>
          <w:lang w:val="en-GB"/>
        </w:rPr>
        <w:t xml:space="preserve"> 2021; Soro et al.</w:t>
      </w:r>
      <w:r w:rsidR="00E4709C" w:rsidRPr="00E4709C">
        <w:rPr>
          <w:lang w:val="en-GB"/>
        </w:rPr>
        <w:t>,</w:t>
      </w:r>
      <w:r w:rsidR="0035064C" w:rsidRPr="00E4709C">
        <w:rPr>
          <w:lang w:val="en-GB"/>
        </w:rPr>
        <w:t xml:space="preserve"> 2025; Sternad</w:t>
      </w:r>
      <w:r w:rsidR="00E4709C" w:rsidRPr="00E4709C">
        <w:rPr>
          <w:lang w:val="en-GB"/>
        </w:rPr>
        <w:t>,</w:t>
      </w:r>
      <w:r w:rsidR="0035064C" w:rsidRPr="00E4709C">
        <w:rPr>
          <w:lang w:val="en-GB"/>
        </w:rPr>
        <w:t xml:space="preserve"> 2019)</w:t>
      </w:r>
      <w:r w:rsidRPr="00E4709C">
        <w:rPr>
          <w:lang w:val="en-GB"/>
        </w:rPr>
        <w:fldChar w:fldCharType="end"/>
      </w:r>
      <w:r w:rsidRPr="00E4709C">
        <w:rPr>
          <w:lang w:val="en-GB"/>
        </w:rPr>
        <w:t xml:space="preserve">. Therefore, the design of travel allowance systems is relevant not only from an accounting or tax perspective, but also from the perspective of employee motivation, retention, and fairness </w:t>
      </w:r>
      <w:r w:rsidRPr="00E4709C">
        <w:rPr>
          <w:lang w:val="en-GB"/>
        </w:rPr>
        <w:fldChar w:fldCharType="begin"/>
      </w:r>
      <w:r w:rsidR="0035064C" w:rsidRPr="00E4709C">
        <w:rPr>
          <w:lang w:val="en-GB"/>
        </w:rPr>
        <w:instrText xml:space="preserve"> ADDIN ZOTERO_ITEM CSL_CITATION {"citationID":"nIkdEDVT","properties":{"formattedCitation":"(\\uc0\\u352{}kerli\\uc0\\u269{} &amp; Er\\uc0\\u269{}ulj, 2021; Soro et al., 2025; Sternad, 2019)","plainCitation":"(Škerlič &amp; Erčulj, 2021; Soro et al., 2025; Sternad, 2019)","noteIndex":0},"citationItems":[{"id":47,"uris":["http://zotero.org/users/local/DCHUYpvV/items/HIZ23EMM"],"itemData":{"id":47,"type":"article-journal","abstract":"Heavy trucks largely contribute to road fatalities and injuries with most of the severely injured and killed being road users other than heavy truck occupants. Research has shown that the causes of truck crashes have economic roots, including high levels of competition creating economic pressure that could increase the likelihood of carriers reducing safety investments and adopting payment practices that encourage truck drivers to drive faster and longer than legally required. With a large body of research on safety policies and payment practices in the heavy trucking industry, there is a strong need to comprehensively understand the relationships between economic pressure in terms of truck company financial performance and driver compensation, and safety outcomes and the factors influencing the relationships. This paper presents a systematic review of the literature to address this important gap in the literature. The review identified 43 English-language articles published between 1988 and 2024. There is a general consensus in these articles that paying truck drivers based on the amount of work performed is associated with poorer safety outcomes than paying them based on the amount of time worked. In contrast, higher pay levels and payments for non-driving tasks positively influence safety outcomes. Regarding truck company financial performance, most of the studies reported a positive influence on safety outcomes. This review highlights the strengths and limitations of the methodologies of existing studies and proposes areas for future research.","container-title":"Transport Reviews","DOI":"10.1080/01441647.2025.2451422","ISSN":"0144-1647, 1464-5327","issue":"2","journalAbbreviation":"Transp. Rev.","language":"English","note":"number-of-pages: 20\nWeb of Science ID: WOS:001397234100001","page":"239-258","publisher":"Taylor &amp; Francis Ltd","publisher-place":"Abingdon","source":"Clarivate Analytics Web of Science","title":"The relationships between financial performance and driver compensation and safety outcomes in the trucking industry: a systematic review","title-short":"The relationships between financial performance and driver compensation and safety outcomes in the trucking industry","volume":"45","author":[{"family":"Soro","given":"Wonmongo Lacina"},{"family":"Haworth","given":"Narelle"},{"family":"Debnath","given":"Ashim Kumar"}],"issued":{"date-parts":[["2025",3,4]]}}},{"id":48,"uris":["http://zotero.org/users/local/DCHUYpvV/items/4K87IYR9"],"itemData":{"id":48,"type":"article-journal","abstract":"Cost management is important for every transport company. Increasing competition in road freight transport forces companies to cost-effectiveness, so they need to know their costs of carrying out the transport service. The article aims to illustrate the structure of costs in road freight transport and analyze the changes in fixed and variable costs for different annual kilometers traveled. Traditional accounting was used to calculate the total and average costs. In the research, we determined the changes in total and average costs for different annual kilometers, which are expected and comparable with other countries. From the transport company's point of view, the structure of costs is also important, and the finding that the highest of the costs are fuel, labor and toll costs. The research enables transport companies to understand the cost structure and provide opportunities for increasing competitiveness based on cost control. Further research is aimed at determining the cost structure of different types of transport vehicles and the changes of fixed and variable costs in the case of different mileage with using ABC costing methods.","container-title":"Business Logistics in Modern Management","ISSN":"1849-6148","language":"en","source":"ojs.srce.hr","title":"COST CALCULATION IN ROAD FREIGHT TRANSPORT","URL":"https://ojs.srce.hr/plusm/article/view/10358","author":[{"family":"Sternad","given":"Marjan"}],"accessed":{"date-parts":[["2026",5,28]]},"issued":{"date-parts":[["2019",10,10]]}}},{"id":64,"uris":["http://zotero.org/users/local/DCHUYpvV/items/ZHJSEFRR"],"itemData":{"id":64,"type":"article-journal","abstract":"The goal of the research is to determine how compensation affects the safety behavior of truck drivers and consequently the frequency of traffic accidents. For this purpose, a survey was conducted on a sample of 220 truck drivers in international road transport in the EU, where the results of the Structural Equation Model (SEM) show that in the current state of the transport sector, financial and non-financial incentives have a positive impact on the work and safety behavior of drivers. Financial incentives also have an impact on drivers’ increased perception of their driving ability, while moving violations continue to have a major impact on the number of accidents. The proposed improvements enable decision-makers at the highest level to adopt legal solutions to help manage the issues that have been affecting the industry from a work, social and safety point of view for the past several years. The results of the research therefore represent an important guideline for improvements to the legislature as well as in the systematization of truck driver compensation within companies.","container-title":"International Journal of Environmental Research and Public Health","DOI":"10.3390/ijerph18052759","ISSN":"1661-7827","issue":"5","journalAbbreviation":"Int J Environ Res Public Health","page":"2759","PMID":"33803170","PMCID":"PMC7967259","source":"PubMed Central","title":"The Impact of Financial and Non-Financial Work Incentives on the Safety Behavior of Heavy Truck Drivers","volume":"18","author":[{"family":"Škerlič","given":"Sebastjan"},{"family":"Erčulj","given":"Vanja"}],"issued":{"date-parts":[["2021",3,9]]}}}],"schema":"https://github.com/citation-style-language/schema/raw/master/csl-citation.json"} </w:instrText>
      </w:r>
      <w:r w:rsidRPr="00E4709C">
        <w:rPr>
          <w:lang w:val="en-GB"/>
        </w:rPr>
        <w:fldChar w:fldCharType="separate"/>
      </w:r>
      <w:r w:rsidR="0035064C" w:rsidRPr="00E4709C">
        <w:rPr>
          <w:lang w:val="en-GB"/>
        </w:rPr>
        <w:t>(Škerlič &amp; Erčulj</w:t>
      </w:r>
      <w:r w:rsidR="00E4709C" w:rsidRPr="00E4709C">
        <w:rPr>
          <w:lang w:val="en-GB"/>
        </w:rPr>
        <w:t>,</w:t>
      </w:r>
      <w:r w:rsidR="0035064C" w:rsidRPr="00E4709C">
        <w:rPr>
          <w:lang w:val="en-GB"/>
        </w:rPr>
        <w:t xml:space="preserve"> 2021; Soro et al.</w:t>
      </w:r>
      <w:r w:rsidR="00E4709C" w:rsidRPr="00E4709C">
        <w:rPr>
          <w:lang w:val="en-GB"/>
        </w:rPr>
        <w:t>,</w:t>
      </w:r>
      <w:r w:rsidR="0035064C" w:rsidRPr="00E4709C">
        <w:rPr>
          <w:lang w:val="en-GB"/>
        </w:rPr>
        <w:t xml:space="preserve"> 2025; Sternad</w:t>
      </w:r>
      <w:r w:rsidR="00E4709C" w:rsidRPr="00E4709C">
        <w:rPr>
          <w:lang w:val="en-GB"/>
        </w:rPr>
        <w:t>,</w:t>
      </w:r>
      <w:r w:rsidR="0035064C" w:rsidRPr="00E4709C">
        <w:rPr>
          <w:lang w:val="en-GB"/>
        </w:rPr>
        <w:t xml:space="preserve"> 2019)</w:t>
      </w:r>
      <w:r w:rsidRPr="00E4709C">
        <w:rPr>
          <w:lang w:val="en-GB"/>
        </w:rPr>
        <w:fldChar w:fldCharType="end"/>
      </w:r>
      <w:r w:rsidR="00C53824" w:rsidRPr="00E4709C">
        <w:rPr>
          <w:lang w:val="en-GB"/>
        </w:rPr>
        <w:t>.</w:t>
      </w:r>
    </w:p>
    <w:p w14:paraId="07903788" w14:textId="6550D94B" w:rsidR="009806B8" w:rsidRPr="00E4709C" w:rsidRDefault="009806B8" w:rsidP="009806B8">
      <w:pPr>
        <w:pStyle w:val="AAENormaltext"/>
        <w:spacing w:after="0"/>
        <w:ind w:firstLine="284"/>
        <w:rPr>
          <w:lang w:val="en-GB"/>
        </w:rPr>
      </w:pPr>
      <w:r w:rsidRPr="00E4709C">
        <w:rPr>
          <w:lang w:val="en-GB"/>
        </w:rPr>
        <w:t xml:space="preserve">Travel allowances </w:t>
      </w:r>
      <w:r w:rsidR="00C942C7">
        <w:rPr>
          <w:lang w:val="en-GB"/>
        </w:rPr>
        <w:t>compensate for additional expenses incurred during</w:t>
      </w:r>
      <w:r w:rsidRPr="00E4709C">
        <w:rPr>
          <w:lang w:val="en-GB"/>
        </w:rPr>
        <w:t xml:space="preserve"> a business trip. In international road freight transport, the most relevant components are meal allowances and accommodation-related reimbursements. Their importance is not limited to cost compensation; they may also influence the driver</w:t>
      </w:r>
      <w:r w:rsidR="00C942C7">
        <w:rPr>
          <w:lang w:val="en-GB"/>
        </w:rPr>
        <w:t>'</w:t>
      </w:r>
      <w:r w:rsidRPr="00E4709C">
        <w:rPr>
          <w:lang w:val="en-GB"/>
        </w:rPr>
        <w:t xml:space="preserve">s net income and the overall attractiveness of employment in the transport sector </w:t>
      </w:r>
      <w:r w:rsidRPr="00E4709C">
        <w:rPr>
          <w:lang w:val="en-GB"/>
        </w:rPr>
        <w:fldChar w:fldCharType="begin"/>
      </w:r>
      <w:r w:rsidR="00E93C7C" w:rsidRPr="00E4709C">
        <w:rPr>
          <w:lang w:val="en-GB"/>
        </w:rPr>
        <w:instrText xml:space="preserve"> ADDIN ZOTERO_ITEM CSL_CITATION {"citationID":"dCI3wHdk","properties":{"formattedCitation":"(Soro et al., 2025)","plainCitation":"(Soro et al., 2025)","noteIndex":0},"citationItems":[{"id":47,"uris":["http://zotero.org/users/local/DCHUYpvV/items/HIZ23EMM"],"itemData":{"id":47,"type":"article-journal","abstract":"Heavy trucks largely contribute to road fatalities and injuries with most of the severely injured and killed being road users other than heavy truck occupants. Research has shown that the causes of truck crashes have economic roots, including high levels of competition creating economic pressure that could increase the likelihood of carriers reducing safety investments and adopting payment practices that encourage truck drivers to drive faster and longer than legally required. With a large body of research on safety policies and payment practices in the heavy trucking industry, there is a strong need to comprehensively understand the relationships between economic pressure in terms of truck company financial performance and driver compensation, and safety outcomes and the factors influencing the relationships. This paper presents a systematic review of the literature to address this important gap in the literature. The review identified 43 English-language articles published between 1988 and 2024. There is a general consensus in these articles that paying truck drivers based on the amount of work performed is associated with poorer safety outcomes than paying them based on the amount of time worked. In contrast, higher pay levels and payments for non-driving tasks positively influence safety outcomes. Regarding truck company financial performance, most of the studies reported a positive influence on safety outcomes. This review highlights the strengths and limitations of the methodologies of existing studies and proposes areas for future research.","container-title":"Transport Reviews","DOI":"10.1080/01441647.2025.2451422","ISSN":"0144-1647, 1464-5327","issue":"2","journalAbbreviation":"Transp. Rev.","language":"English","note":"number-of-pages: 20\nWeb of Science ID: WOS:001397234100001","page":"239-258","publisher":"Taylor &amp; Francis Ltd","publisher-place":"Abingdon","source":"Clarivate Analytics Web of Science","title":"The relationships between financial performance and driver compensation and safety outcomes in the trucking industry: a systematic review","title-short":"The relationships between financial performance and driver compensation and safety outcomes in the trucking industry","volume":"45","author":[{"family":"Soro","given":"Wonmongo Lacina"},{"family":"Haworth","given":"Narelle"},{"family":"Debnath","given":"Ashim Kumar"}],"issued":{"date-parts":[["2025",3,4]]}}}],"schema":"https://github.com/citation-style-language/schema/raw/master/csl-citation.json"} </w:instrText>
      </w:r>
      <w:r w:rsidRPr="00E4709C">
        <w:rPr>
          <w:lang w:val="en-GB"/>
        </w:rPr>
        <w:fldChar w:fldCharType="separate"/>
      </w:r>
      <w:r w:rsidR="0035064C" w:rsidRPr="00E4709C">
        <w:rPr>
          <w:lang w:val="en-GB"/>
        </w:rPr>
        <w:t>(Soro et al.</w:t>
      </w:r>
      <w:r w:rsidR="00E4709C" w:rsidRPr="00E4709C">
        <w:rPr>
          <w:lang w:val="en-GB"/>
        </w:rPr>
        <w:t>,</w:t>
      </w:r>
      <w:r w:rsidR="0035064C" w:rsidRPr="00E4709C">
        <w:rPr>
          <w:lang w:val="en-GB"/>
        </w:rPr>
        <w:t xml:space="preserve"> 2025)</w:t>
      </w:r>
      <w:r w:rsidRPr="00E4709C">
        <w:rPr>
          <w:lang w:val="en-GB"/>
        </w:rPr>
        <w:fldChar w:fldCharType="end"/>
      </w:r>
      <w:r w:rsidRPr="00E4709C">
        <w:rPr>
          <w:lang w:val="en-GB"/>
        </w:rPr>
        <w:t>.</w:t>
      </w:r>
    </w:p>
    <w:p w14:paraId="42AF0E3C" w14:textId="03661A86" w:rsidR="009806B8" w:rsidRPr="00E4709C" w:rsidRDefault="009806B8" w:rsidP="009806B8">
      <w:pPr>
        <w:pStyle w:val="AAENormaltext"/>
        <w:spacing w:after="0"/>
        <w:ind w:firstLine="284"/>
        <w:rPr>
          <w:lang w:val="en-GB"/>
        </w:rPr>
      </w:pPr>
      <w:r w:rsidRPr="00E4709C">
        <w:rPr>
          <w:lang w:val="en-GB"/>
        </w:rPr>
        <w:t xml:space="preserve">The contribution of the paper lies in connecting legal comparison with a practical model calculation. Rather than providing a broad theoretical overview of travel allowances, the paper focuses on a specific unresolved issue in Slovak practice: compensation for accommodation without proof of accommodation. </w:t>
      </w:r>
      <w:r w:rsidR="00B35065" w:rsidRPr="00E4709C">
        <w:rPr>
          <w:lang w:val="en-GB"/>
        </w:rPr>
        <w:t>This approach allows the proposed model to be evaluated not only as a legislative idea, but also as a practical remuneration-related mechanism with measurable effects on the driver</w:t>
      </w:r>
      <w:r w:rsidR="00C942C7">
        <w:rPr>
          <w:lang w:val="en-GB"/>
        </w:rPr>
        <w:t>'</w:t>
      </w:r>
      <w:r w:rsidR="00B35065" w:rsidRPr="00E4709C">
        <w:rPr>
          <w:lang w:val="en-GB"/>
        </w:rPr>
        <w:t>s income and with relevance to the broader framework of sustainable development.</w:t>
      </w:r>
    </w:p>
    <w:p w14:paraId="542265FC" w14:textId="2E40C2CB" w:rsidR="009806B8" w:rsidRPr="00E4709C" w:rsidRDefault="009806B8" w:rsidP="009806B8">
      <w:pPr>
        <w:pStyle w:val="AAENormaltext"/>
        <w:spacing w:after="0"/>
        <w:ind w:firstLine="284"/>
        <w:rPr>
          <w:lang w:val="en-GB"/>
        </w:rPr>
      </w:pPr>
      <w:r w:rsidRPr="00E4709C">
        <w:rPr>
          <w:lang w:val="en-GB"/>
        </w:rPr>
        <w:t xml:space="preserve">The research gap addressed in this paper is therefore narrow and practical. The paper does not aim to </w:t>
      </w:r>
      <w:proofErr w:type="spellStart"/>
      <w:r w:rsidRPr="00E4709C">
        <w:rPr>
          <w:lang w:val="en-GB"/>
        </w:rPr>
        <w:t>analyze</w:t>
      </w:r>
      <w:proofErr w:type="spellEnd"/>
      <w:r w:rsidRPr="00E4709C">
        <w:rPr>
          <w:lang w:val="en-GB"/>
        </w:rPr>
        <w:t xml:space="preserve"> all aspects of driver remuneration or the full legal framework of travel allowances in Europe. Instead, it focuses on one specific issue: whether a flat-rate accommodation allowance could provide a more transparent solution for Slovak international road freight drivers when no accommodation document is submitted.</w:t>
      </w:r>
    </w:p>
    <w:p w14:paraId="0D9DD737" w14:textId="3132233D" w:rsidR="00AE66C0" w:rsidRPr="00E4709C" w:rsidRDefault="00AE66C0" w:rsidP="007C04DE">
      <w:pPr>
        <w:pStyle w:val="Rn1"/>
        <w:rPr>
          <w:lang w:val="en-GB"/>
        </w:rPr>
      </w:pPr>
      <w:r w:rsidRPr="00E4709C">
        <w:rPr>
          <w:lang w:val="en-GB"/>
        </w:rPr>
        <w:t xml:space="preserve">2. </w:t>
      </w:r>
      <w:r w:rsidR="009806B8" w:rsidRPr="00E4709C">
        <w:rPr>
          <w:lang w:val="en-GB"/>
        </w:rPr>
        <w:t>Data and Methods</w:t>
      </w:r>
    </w:p>
    <w:p w14:paraId="01281D42" w14:textId="2AD86EEE" w:rsidR="009806B8" w:rsidRPr="00E4709C" w:rsidRDefault="009806B8" w:rsidP="009806B8">
      <w:pPr>
        <w:pStyle w:val="AAENormaltext"/>
        <w:spacing w:after="0"/>
        <w:ind w:firstLine="284"/>
        <w:rPr>
          <w:lang w:val="en-GB"/>
        </w:rPr>
      </w:pPr>
      <w:r w:rsidRPr="00E4709C">
        <w:rPr>
          <w:lang w:val="en-GB"/>
        </w:rPr>
        <w:t xml:space="preserve">This chapter describes the methodological framework </w:t>
      </w:r>
      <w:r w:rsidR="00C942C7">
        <w:rPr>
          <w:lang w:val="en-GB"/>
        </w:rPr>
        <w:t>for evaluating</w:t>
      </w:r>
      <w:r w:rsidRPr="00E4709C">
        <w:rPr>
          <w:lang w:val="en-GB"/>
        </w:rPr>
        <w:t xml:space="preserve"> the proposed flat-rate accommodation allowance model. The research combines a comparative analysis of selected European travel allowance systems with a model-based calculation applied to an international road freight route. This structure enables assessment of both the legal differences between national systems and the economic impact of the proposed model on the driver</w:t>
      </w:r>
      <w:r w:rsidR="00C942C7">
        <w:rPr>
          <w:lang w:val="en-GB"/>
        </w:rPr>
        <w:t>'</w:t>
      </w:r>
      <w:r w:rsidRPr="00E4709C">
        <w:rPr>
          <w:lang w:val="en-GB"/>
        </w:rPr>
        <w:t>s total net income.</w:t>
      </w:r>
    </w:p>
    <w:p w14:paraId="7AF725C5" w14:textId="2969B176" w:rsidR="009806B8" w:rsidRPr="00E4709C" w:rsidRDefault="009806B8" w:rsidP="009806B8">
      <w:pPr>
        <w:pStyle w:val="AAENormaltext"/>
        <w:spacing w:after="0"/>
        <w:ind w:firstLine="284"/>
        <w:rPr>
          <w:lang w:val="en-GB"/>
        </w:rPr>
      </w:pPr>
      <w:r w:rsidRPr="00E4709C">
        <w:rPr>
          <w:lang w:val="en-GB"/>
        </w:rPr>
        <w:t xml:space="preserve">In the Slovak context, meal allowances are regulated through fixed rates depending on the duration and destination of the business trip </w:t>
      </w:r>
      <w:r w:rsidRPr="00E4709C">
        <w:rPr>
          <w:lang w:val="en-GB"/>
        </w:rPr>
        <w:fldChar w:fldCharType="begin"/>
      </w:r>
      <w:r w:rsidR="00E93C7C" w:rsidRPr="00E4709C">
        <w:rPr>
          <w:lang w:val="en-GB"/>
        </w:rPr>
        <w:instrText xml:space="preserve"> ADDIN ZOTERO_ITEM CSL_CITATION {"citationID":"VrzZ1NOM","properties":{"unsorted":false,"formattedCitation":"(Ministry of Labour, Social Affairs and Family of the Slovak Republic, 2025)","plainCitation":"(Ministry of Labour, Social Affairs and Family of the Slovak Republic, 2025)","noteIndex":0},"citationItems":[{"id":101,"uris":["http://zotero.org/users/local/DCHUYpvV/items/UDKCEIQA"],"itemData":{"id":101,"type":"webpage","container-title":"Slov-Lex","language":"sk","title":"Act No. 283/2002 Coll. on Travel Allowances, as amended.","URL":"https://www.slov-lex.sk/ezbierky/pravne-predpisy/SK/ZZ/2002/283/20251101","author":[{"literal":"Ministry of Labour, Social Affairs and Family of the Slovak Republic"}],"accessed":{"date-parts":[["2026",5,28]]},"issued":{"date-parts":[["2025"]]}}}],"schema":"https://github.com/citation-style-language/schema/raw/master/csl-citation.json"} </w:instrText>
      </w:r>
      <w:r w:rsidRPr="00E4709C">
        <w:rPr>
          <w:lang w:val="en-GB"/>
        </w:rPr>
        <w:fldChar w:fldCharType="separate"/>
      </w:r>
      <w:r w:rsidR="0035064C" w:rsidRPr="00E4709C">
        <w:rPr>
          <w:lang w:val="en-GB"/>
        </w:rPr>
        <w:t>(Ministry of Labour, Social Affairs and Family of the Slovak Republic</w:t>
      </w:r>
      <w:r w:rsidR="00E4709C" w:rsidRPr="00E4709C">
        <w:rPr>
          <w:lang w:val="en-GB"/>
        </w:rPr>
        <w:t>,</w:t>
      </w:r>
      <w:r w:rsidR="0035064C" w:rsidRPr="00E4709C">
        <w:rPr>
          <w:lang w:val="en-GB"/>
        </w:rPr>
        <w:t xml:space="preserve"> 2025)</w:t>
      </w:r>
      <w:r w:rsidRPr="00E4709C">
        <w:rPr>
          <w:lang w:val="en-GB"/>
        </w:rPr>
        <w:fldChar w:fldCharType="end"/>
      </w:r>
      <w:r w:rsidRPr="00E4709C">
        <w:rPr>
          <w:lang w:val="en-GB"/>
        </w:rPr>
        <w:t xml:space="preserve">. Accommodation reimbursement, however, is less suitable when the driver does not submit proof of accommodation. This is particularly relevant in road freight transport, where rest periods may be spent in or near the vehicle rather than in conventional accommodation facilities </w:t>
      </w:r>
      <w:r w:rsidRPr="00E4709C">
        <w:rPr>
          <w:lang w:val="en-GB"/>
        </w:rPr>
        <w:fldChar w:fldCharType="begin"/>
      </w:r>
      <w:r w:rsidR="00E93C7C" w:rsidRPr="00E4709C">
        <w:rPr>
          <w:lang w:val="en-GB"/>
        </w:rPr>
        <w:instrText xml:space="preserve"> ADDIN ZOTERO_ITEM CSL_CITATION {"citationID":"Bc9MFDWj","properties":{"formattedCitation":"(Lise et al., 2024)","plainCitation":"(Lise et al., 2024)","noteIndex":0},"citationItems":[{"id":76,"uris":["http://zotero.org/users/local/DCHUYpvV/items/ZW6EBQDK"],"itemData":{"id":76,"type":"article-journal","abstract":"The work and life routine of long-haul truck drivers (LHTDs) involve the use of truck stops and rest areas to meet their basic human needs. These extensions of their workspaces on the road do not always offer adequate physical structures and services that drivers need for optimal health. This study aimed to evaluate long-haul truck drivers’ perceptions of food services, safety, physical activity, rest, and personal hygiene offered at truck stops and rest areas, as well as the correlation between these perceptions and sociodemographic, health, and work conditions variables. A cross-sectional, quantitative, and descriptive study was conducted with long-haul truck drivers from the southern region of Brazil. For data collection, a sociodemographic questionnaire and a Likert scale on food, rest, personal hygiene, safety, and physical activity services offered at truck stops and rest areas along Brazilian roads from March to August 2023 were used. The data were analyzed with simple frequency descriptive statistics. The sample consisted of 175 long-haul truck drivers. Out of these, 70.29% declared that the services of the truck stops and rest areas were charged; more than half (53.59%) of the professionals evaluated the rest service as “good” or “excellent”; the food services were “good” or “excellent” for 42.24% of the drivers. The spaces for physical activities were the worst evaluated as “bad” or “terrible” by 41.61%, followed by bathroom services (28.42%) and safety (34.24%). Rest and feeding services had better evaluations, while the services of bathroom, safety, and physical activity presented worse evaluations. Variables such as nationality, weekly working days, and marital status presented positive significance and influenced drivers’ perceptions of the services offered at truck stops and rest areas. Drivers who were Brazilian and worked more than five days a week negatively evaluated the services of rest (p = 0.018), safety [0.020], physical activity (0.003), and bathrooms (0.020). In addition, the physical activity services were better evaluated by single drivers than married drivers. These findings suggest that the work conditions and nationality may influence LHTDs’ perceptions of services and structures of truck stops and rest areas. These findings may reflect a lack of investments and support efforts to improve basic services such as personal hygiene, a safe environment, and physical exercises, which are fundamental to the health of the workers and aimed at reducing vulnerability and a sedentary lifestyle and meeting the basic human needs of LHTDs.","container-title":"International Journal of Environmental Research and Public Health","DOI":"10.3390/ijerph21091251","ISSN":"1660-4601","issue":"9","language":"en","license":"http://creativecommons.org/licenses/by/3.0/","page":"1251","publisher":"Multidisciplinary Digital Publishing Institute","source":"www.mdpi.com","title":"Long-Haul Truck Drivers’ Perceptions of Truck Stops and Rest Areas: Focusing on Health and Wellness","title-short":"Long-Haul Truck Drivers’ Perceptions of Truck Stops and Rest Areas","volume":"21","author":[{"family":"Lise","given":"Fernanda"},{"family":"Shattell","given":"Mona"},{"family":"Garcia","given":"Raquel Pötter"},{"family":"Rodrigues","given":"Kethelyn Costa"},{"family":"Ávila","given":"Wilson Teixeira","non-dropping-particle":"de"},{"family":"Garcia","given":"Flávia Lise"},{"family":"Schwartz","given":"Eda"}],"issued":{"date-parts":[["2024",9]]}}}],"schema":"https://github.com/citation-style-language/schema/raw/master/csl-citation.json"} </w:instrText>
      </w:r>
      <w:r w:rsidRPr="00E4709C">
        <w:rPr>
          <w:lang w:val="en-GB"/>
        </w:rPr>
        <w:fldChar w:fldCharType="separate"/>
      </w:r>
      <w:r w:rsidR="0035064C" w:rsidRPr="00E4709C">
        <w:rPr>
          <w:lang w:val="en-GB"/>
        </w:rPr>
        <w:t>(Lise et al.</w:t>
      </w:r>
      <w:r w:rsidR="00E4709C" w:rsidRPr="00E4709C">
        <w:rPr>
          <w:lang w:val="en-GB"/>
        </w:rPr>
        <w:t>,</w:t>
      </w:r>
      <w:r w:rsidR="0035064C" w:rsidRPr="00E4709C">
        <w:rPr>
          <w:lang w:val="en-GB"/>
        </w:rPr>
        <w:t xml:space="preserve"> 2024)</w:t>
      </w:r>
      <w:r w:rsidRPr="00E4709C">
        <w:rPr>
          <w:lang w:val="en-GB"/>
        </w:rPr>
        <w:fldChar w:fldCharType="end"/>
      </w:r>
      <w:r w:rsidRPr="00E4709C">
        <w:rPr>
          <w:lang w:val="en-GB"/>
        </w:rPr>
        <w:t xml:space="preserve">. The issue addressed in this paper is therefore not the absence of accommodation reimbursement as such, but the absence of a clear flat-rate mechanism for cases without documented accommodation </w:t>
      </w:r>
      <w:r w:rsidRPr="00E4709C">
        <w:rPr>
          <w:lang w:val="en-GB"/>
        </w:rPr>
        <w:fldChar w:fldCharType="begin"/>
      </w:r>
      <w:r w:rsidR="00E93C7C" w:rsidRPr="00E4709C">
        <w:rPr>
          <w:lang w:val="en-GB"/>
        </w:rPr>
        <w:instrText xml:space="preserve"> ADDIN ZOTERO_ITEM CSL_CITATION {"citationID":"lbBzKTXt","properties":{"formattedCitation":"(Ministry of Labour, Social Affairs and Family of the SR, 2026)","plainCitation":"(Ministry of Labour, Social Affairs and Family of the SR, 2026)","noteIndex":0},"citationItems":[{"id":50,"uris":["http://zotero.org/users/local/DCHUYpvV/items/GT9JXLT7"],"itemData":{"id":50,"type":"webpage","title":"Travel allowances","URL":"https://www.employment.gov.sk/en/labour-employment/labour-code/travel-allowances/","author":[{"literal":"Ministry of Labour, Social Affairs and Family of the SR"}],"accessed":{"date-parts":[["2026",5,28]]},"issued":{"date-parts":[["2026"]]}}}],"schema":"https://github.com/citation-style-language/schema/raw/master/csl-citation.json"} </w:instrText>
      </w:r>
      <w:r w:rsidRPr="00E4709C">
        <w:rPr>
          <w:lang w:val="en-GB"/>
        </w:rPr>
        <w:fldChar w:fldCharType="separate"/>
      </w:r>
      <w:r w:rsidR="0035064C" w:rsidRPr="00E4709C">
        <w:rPr>
          <w:lang w:val="en-GB"/>
        </w:rPr>
        <w:t>(Ministry of Labour, Social Affairs and Family of the SR</w:t>
      </w:r>
      <w:r w:rsidR="00E4709C" w:rsidRPr="00E4709C">
        <w:rPr>
          <w:lang w:val="en-GB"/>
        </w:rPr>
        <w:t>,</w:t>
      </w:r>
      <w:r w:rsidR="0035064C" w:rsidRPr="00E4709C">
        <w:rPr>
          <w:lang w:val="en-GB"/>
        </w:rPr>
        <w:t xml:space="preserve"> 2026)</w:t>
      </w:r>
      <w:r w:rsidRPr="00E4709C">
        <w:rPr>
          <w:lang w:val="en-GB"/>
        </w:rPr>
        <w:fldChar w:fldCharType="end"/>
      </w:r>
      <w:r w:rsidRPr="00E4709C">
        <w:rPr>
          <w:lang w:val="en-GB"/>
        </w:rPr>
        <w:t xml:space="preserve">. </w:t>
      </w:r>
    </w:p>
    <w:p w14:paraId="18DC5625" w14:textId="71517932" w:rsidR="005669FE" w:rsidRPr="00E4709C" w:rsidRDefault="005669FE" w:rsidP="009806B8">
      <w:pPr>
        <w:pStyle w:val="AAENormaltext"/>
        <w:spacing w:after="0"/>
        <w:ind w:firstLine="284"/>
        <w:rPr>
          <w:lang w:val="en-GB"/>
        </w:rPr>
      </w:pPr>
      <w:r w:rsidRPr="00E4709C">
        <w:rPr>
          <w:lang w:val="en-GB"/>
        </w:rPr>
        <w:t>The environmental dimension of the study is assessed conceptually within the framework of sustainable development, rather than through a separate emission calculation. This means that the proposed allowance model is evaluated primarily in terms of its economic and social effects, while its environmental relevance is interpreted indirectly through its compatibility with predictable rest planning, efficient routing, and sustainability-oriented transport operations.</w:t>
      </w:r>
    </w:p>
    <w:p w14:paraId="31390910" w14:textId="77777777" w:rsidR="008C4284" w:rsidRDefault="008C4284">
      <w:pPr>
        <w:autoSpaceDE/>
        <w:autoSpaceDN/>
        <w:spacing w:after="160" w:line="259" w:lineRule="auto"/>
        <w:jc w:val="left"/>
        <w:rPr>
          <w:rFonts w:eastAsiaTheme="minorHAnsi" w:cstheme="minorBidi"/>
          <w:b/>
          <w:kern w:val="2"/>
          <w:sz w:val="22"/>
          <w:szCs w:val="22"/>
          <w:lang w:val="en-GB"/>
          <w14:ligatures w14:val="standardContextual"/>
        </w:rPr>
      </w:pPr>
      <w:r>
        <w:rPr>
          <w:lang w:val="en-GB"/>
        </w:rPr>
        <w:br w:type="page"/>
      </w:r>
    </w:p>
    <w:p w14:paraId="05C93226" w14:textId="11602A07" w:rsidR="009806B8" w:rsidRPr="00E4709C" w:rsidRDefault="009806B8" w:rsidP="007C04DE">
      <w:pPr>
        <w:pStyle w:val="Rn2"/>
        <w:rPr>
          <w:lang w:val="en-GB"/>
        </w:rPr>
      </w:pPr>
      <w:r w:rsidRPr="00E4709C">
        <w:rPr>
          <w:lang w:val="en-GB"/>
        </w:rPr>
        <w:lastRenderedPageBreak/>
        <w:t>2.</w:t>
      </w:r>
      <w:r w:rsidR="00082705" w:rsidRPr="00E4709C">
        <w:rPr>
          <w:lang w:val="en-GB"/>
        </w:rPr>
        <w:t>1</w:t>
      </w:r>
      <w:r w:rsidRPr="00E4709C">
        <w:rPr>
          <w:lang w:val="en-GB"/>
        </w:rPr>
        <w:t xml:space="preserve">. Research </w:t>
      </w:r>
      <w:r w:rsidR="00E4709C">
        <w:rPr>
          <w:lang w:val="en-GB"/>
        </w:rPr>
        <w:t>D</w:t>
      </w:r>
      <w:r w:rsidRPr="00E4709C">
        <w:rPr>
          <w:lang w:val="en-GB"/>
        </w:rPr>
        <w:t>esign</w:t>
      </w:r>
    </w:p>
    <w:p w14:paraId="4649F82A" w14:textId="2EDF08DC" w:rsidR="009662D3" w:rsidRPr="00E4709C" w:rsidRDefault="009806B8" w:rsidP="009662D3">
      <w:pPr>
        <w:pStyle w:val="AAENormaltext"/>
        <w:ind w:firstLine="284"/>
        <w:rPr>
          <w:lang w:val="en-GB"/>
        </w:rPr>
      </w:pPr>
      <w:r w:rsidRPr="00E4709C">
        <w:rPr>
          <w:lang w:val="en-GB"/>
        </w:rPr>
        <w:t xml:space="preserve">This study employs a comparative, model-based research design. In line with </w:t>
      </w:r>
      <w:r w:rsidR="00C942C7">
        <w:rPr>
          <w:lang w:val="en-GB"/>
        </w:rPr>
        <w:t xml:space="preserve">the principles of comparative case study research, the selected countries are </w:t>
      </w:r>
      <w:proofErr w:type="spellStart"/>
      <w:r w:rsidR="00C942C7">
        <w:rPr>
          <w:lang w:val="en-GB"/>
        </w:rPr>
        <w:t>analyzed</w:t>
      </w:r>
      <w:proofErr w:type="spellEnd"/>
      <w:r w:rsidR="00C942C7">
        <w:rPr>
          <w:lang w:val="en-GB"/>
        </w:rPr>
        <w:t xml:space="preserve"> using a common analytical framework to identify differences across</w:t>
      </w:r>
      <w:r w:rsidRPr="00E4709C">
        <w:rPr>
          <w:lang w:val="en-GB"/>
        </w:rPr>
        <w:t xml:space="preserve"> national systems while maintaining transparency in case selection and comparison</w:t>
      </w:r>
      <w:r w:rsidR="007B563A" w:rsidRPr="00E4709C">
        <w:rPr>
          <w:lang w:val="en-GB"/>
        </w:rPr>
        <w:t xml:space="preserve"> </w:t>
      </w:r>
      <w:r w:rsidR="007B563A" w:rsidRPr="00E4709C">
        <w:rPr>
          <w:lang w:val="en-GB"/>
        </w:rPr>
        <w:fldChar w:fldCharType="begin"/>
      </w:r>
      <w:r w:rsidR="0035064C" w:rsidRPr="00E4709C">
        <w:rPr>
          <w:lang w:val="en-GB"/>
        </w:rPr>
        <w:instrText xml:space="preserve"> ADDIN ZOTERO_ITEM CSL_CITATION {"citationID":"Xqdg2qWo","properties":{"unsorted":false,"formattedCitation":"(Krehl &amp; Weck, 2020)","plainCitation":"(Krehl &amp; Weck, 2020)","noteIndex":0},"citationItems":[{"id":107,"uris":["http://zotero.org/users/local/DCHUYpvV/items/E8TN56ZS"],"itemData":{"id":107,"type":"article-journal","abstract":"Recent years have seen a vivid debate on the epistemological foundations of comparative urban research. Remarkably, comparative case study research practice has remained unaffected by these wider debates and empirical research processes often stay a ‘black box’. Thus, we identify an unmet need for a critical and transparent reflection of conceptual foundations and empirical processes. Based on a review of EU-funded projects in the field of territorial cohesion, we discuss minimum standards of comparative case study research. These standards encompass the theoretical framework of the study, the objective of comparison, questions regarding the ambition to generalize, the case study selection strategy, and potential trade-offs. We conclude that researchers should be more explicit in their way of carrying out comparative research. Eventually, this transparency supports both a fruitful debate on comparative case study designs and the soundness of academic and policy conclusions.","container-title":"European Planning Studies","DOI":"10.1080/09654313.2019.1699909","ISSN":"0965-4313","issue":"9","note":"_eprint: https://doi.org/10.1080/09654313.2019.1699909","page":"1858-1876","publisher":"Routledge","source":"Taylor and Francis+NEJM","title":"Doing comparative case study research in urban and regional studies: what can be learnt from practice?","title-short":"Doing comparative case study research in urban and regional studies","volume":"28","author":[{"family":"Krehl","given":"Angelika"},{"family":"Weck","given":"Sabine"}],"issued":{"date-parts":[["2020",9,1]]}}}],"schema":"https://github.com/citation-style-language/schema/raw/master/csl-citation.json"} </w:instrText>
      </w:r>
      <w:r w:rsidR="007B563A" w:rsidRPr="00E4709C">
        <w:rPr>
          <w:lang w:val="en-GB"/>
        </w:rPr>
        <w:fldChar w:fldCharType="separate"/>
      </w:r>
      <w:r w:rsidR="0035064C" w:rsidRPr="00E4709C">
        <w:rPr>
          <w:lang w:val="en-GB"/>
        </w:rPr>
        <w:t>(Krehl &amp; Weck</w:t>
      </w:r>
      <w:r w:rsidR="00E4709C" w:rsidRPr="00E4709C">
        <w:rPr>
          <w:lang w:val="en-GB"/>
        </w:rPr>
        <w:t>,</w:t>
      </w:r>
      <w:r w:rsidR="0035064C" w:rsidRPr="00E4709C">
        <w:rPr>
          <w:lang w:val="en-GB"/>
        </w:rPr>
        <w:t xml:space="preserve"> 2020)</w:t>
      </w:r>
      <w:r w:rsidR="007B563A" w:rsidRPr="00E4709C">
        <w:rPr>
          <w:lang w:val="en-GB"/>
        </w:rPr>
        <w:fldChar w:fldCharType="end"/>
      </w:r>
      <w:r w:rsidRPr="00E4709C">
        <w:rPr>
          <w:lang w:val="en-GB"/>
        </w:rPr>
        <w:t>. The methodological approach consists of two main stages. The first stage is based on a comparative analysis of travel allowance systems, taxation, and the treatment of social contributions in selected European countries. The second stage applies the findings from this comparison to a model international road freight operation to evaluate the economic impact of different allowance systems on a professional driver's total net income.</w:t>
      </w:r>
    </w:p>
    <w:p w14:paraId="2EEB576D" w14:textId="28620E3D" w:rsidR="009662D3" w:rsidRPr="00E4709C" w:rsidRDefault="009662D3" w:rsidP="007C04DE">
      <w:pPr>
        <w:pStyle w:val="Rn2"/>
        <w:rPr>
          <w:lang w:val="en-GB"/>
        </w:rPr>
      </w:pPr>
      <w:r w:rsidRPr="00E4709C">
        <w:rPr>
          <w:lang w:val="en-GB"/>
        </w:rPr>
        <w:t>2.</w:t>
      </w:r>
      <w:r w:rsidR="00082705" w:rsidRPr="00E4709C">
        <w:rPr>
          <w:lang w:val="en-GB"/>
        </w:rPr>
        <w:t>2</w:t>
      </w:r>
      <w:r w:rsidRPr="00E4709C">
        <w:rPr>
          <w:lang w:val="en-GB"/>
        </w:rPr>
        <w:t xml:space="preserve">. </w:t>
      </w:r>
      <w:r w:rsidR="005669FE" w:rsidRPr="00E4709C">
        <w:rPr>
          <w:lang w:val="en-GB"/>
        </w:rPr>
        <w:t xml:space="preserve">Data </w:t>
      </w:r>
      <w:r w:rsidR="00E4709C">
        <w:rPr>
          <w:lang w:val="en-GB"/>
        </w:rPr>
        <w:t>S</w:t>
      </w:r>
      <w:r w:rsidR="005669FE" w:rsidRPr="00E4709C">
        <w:rPr>
          <w:lang w:val="en-GB"/>
        </w:rPr>
        <w:t xml:space="preserve">ources and </w:t>
      </w:r>
      <w:r w:rsidR="00E4709C">
        <w:rPr>
          <w:lang w:val="en-GB"/>
        </w:rPr>
        <w:t>A</w:t>
      </w:r>
      <w:r w:rsidR="005669FE" w:rsidRPr="00E4709C">
        <w:rPr>
          <w:lang w:val="en-GB"/>
        </w:rPr>
        <w:t xml:space="preserve">nalytical </w:t>
      </w:r>
      <w:r w:rsidR="00E4709C">
        <w:rPr>
          <w:lang w:val="en-GB"/>
        </w:rPr>
        <w:t>P</w:t>
      </w:r>
      <w:r w:rsidR="005669FE" w:rsidRPr="00E4709C">
        <w:rPr>
          <w:lang w:val="en-GB"/>
        </w:rPr>
        <w:t>arameters</w:t>
      </w:r>
    </w:p>
    <w:p w14:paraId="1FC72F4E" w14:textId="77777777" w:rsidR="009662D3" w:rsidRPr="006A5CCB" w:rsidRDefault="009662D3" w:rsidP="007C04DE">
      <w:pPr>
        <w:pStyle w:val="AAENormaltext"/>
        <w:spacing w:after="0"/>
        <w:ind w:firstLine="284"/>
        <w:rPr>
          <w:spacing w:val="-2"/>
          <w:lang w:val="en-GB"/>
        </w:rPr>
      </w:pPr>
      <w:r w:rsidRPr="006A5CCB">
        <w:rPr>
          <w:spacing w:val="-2"/>
          <w:lang w:val="en-GB"/>
        </w:rPr>
        <w:t xml:space="preserve">The study uses secondary data obtained from legal regulations and official administrative sources. The </w:t>
      </w:r>
      <w:proofErr w:type="spellStart"/>
      <w:r w:rsidRPr="006A5CCB">
        <w:rPr>
          <w:spacing w:val="-2"/>
          <w:lang w:val="en-GB"/>
        </w:rPr>
        <w:t>analyzed</w:t>
      </w:r>
      <w:proofErr w:type="spellEnd"/>
      <w:r w:rsidRPr="006A5CCB">
        <w:rPr>
          <w:spacing w:val="-2"/>
          <w:lang w:val="en-GB"/>
        </w:rPr>
        <w:t xml:space="preserve"> parameters include:</w:t>
      </w:r>
    </w:p>
    <w:p w14:paraId="376E91B6" w14:textId="77777777" w:rsidR="009662D3" w:rsidRPr="00E4709C" w:rsidRDefault="009662D3" w:rsidP="007C04DE">
      <w:pPr>
        <w:pStyle w:val="AAENormaltext"/>
        <w:numPr>
          <w:ilvl w:val="0"/>
          <w:numId w:val="20"/>
        </w:numPr>
        <w:spacing w:after="0"/>
        <w:rPr>
          <w:lang w:val="en-GB"/>
        </w:rPr>
      </w:pPr>
      <w:r w:rsidRPr="00E4709C">
        <w:rPr>
          <w:lang w:val="en-GB"/>
        </w:rPr>
        <w:t xml:space="preserve">meal allowance rates, </w:t>
      </w:r>
    </w:p>
    <w:p w14:paraId="27D8CCCF" w14:textId="77777777" w:rsidR="009662D3" w:rsidRPr="00E4709C" w:rsidRDefault="009662D3" w:rsidP="007C04DE">
      <w:pPr>
        <w:pStyle w:val="AAENormaltext"/>
        <w:numPr>
          <w:ilvl w:val="0"/>
          <w:numId w:val="20"/>
        </w:numPr>
        <w:spacing w:after="0"/>
        <w:rPr>
          <w:lang w:val="en-GB"/>
        </w:rPr>
      </w:pPr>
      <w:r w:rsidRPr="00E4709C">
        <w:rPr>
          <w:lang w:val="en-GB"/>
        </w:rPr>
        <w:t>accommodation allowance rules,</w:t>
      </w:r>
    </w:p>
    <w:p w14:paraId="4335E4EF" w14:textId="77777777" w:rsidR="009662D3" w:rsidRPr="00E4709C" w:rsidRDefault="009662D3" w:rsidP="007C04DE">
      <w:pPr>
        <w:pStyle w:val="AAENormaltext"/>
        <w:numPr>
          <w:ilvl w:val="0"/>
          <w:numId w:val="20"/>
        </w:numPr>
        <w:spacing w:after="0"/>
        <w:rPr>
          <w:lang w:val="en-GB"/>
        </w:rPr>
      </w:pPr>
      <w:r w:rsidRPr="00E4709C">
        <w:rPr>
          <w:lang w:val="en-GB"/>
        </w:rPr>
        <w:t>income tax rates,</w:t>
      </w:r>
    </w:p>
    <w:p w14:paraId="059C8676" w14:textId="77777777" w:rsidR="009662D3" w:rsidRPr="00E4709C" w:rsidRDefault="009662D3" w:rsidP="007C04DE">
      <w:pPr>
        <w:pStyle w:val="AAENormaltext"/>
        <w:numPr>
          <w:ilvl w:val="0"/>
          <w:numId w:val="20"/>
        </w:numPr>
        <w:spacing w:after="0"/>
        <w:rPr>
          <w:lang w:val="en-GB"/>
        </w:rPr>
      </w:pPr>
      <w:r w:rsidRPr="00E4709C">
        <w:rPr>
          <w:lang w:val="en-GB"/>
        </w:rPr>
        <w:t xml:space="preserve">employee social contributions, and </w:t>
      </w:r>
    </w:p>
    <w:p w14:paraId="60DF03FA" w14:textId="77777777" w:rsidR="009662D3" w:rsidRPr="00E4709C" w:rsidRDefault="009662D3" w:rsidP="007C04DE">
      <w:pPr>
        <w:pStyle w:val="AAENormaltext"/>
        <w:numPr>
          <w:ilvl w:val="0"/>
          <w:numId w:val="20"/>
        </w:numPr>
        <w:spacing w:after="0"/>
        <w:rPr>
          <w:lang w:val="en-GB"/>
        </w:rPr>
      </w:pPr>
      <w:r w:rsidRPr="00E4709C">
        <w:rPr>
          <w:lang w:val="en-GB"/>
        </w:rPr>
        <w:t xml:space="preserve">employer social contributions. </w:t>
      </w:r>
    </w:p>
    <w:p w14:paraId="4E2D7F79" w14:textId="77777777" w:rsidR="007C04DE" w:rsidRPr="00E4709C" w:rsidRDefault="007C04DE" w:rsidP="007C04DE">
      <w:pPr>
        <w:pStyle w:val="AAENormaltext"/>
        <w:spacing w:after="0"/>
        <w:ind w:firstLine="360"/>
        <w:rPr>
          <w:lang w:val="en-GB"/>
        </w:rPr>
      </w:pPr>
    </w:p>
    <w:p w14:paraId="1707154F" w14:textId="42E7B592" w:rsidR="009806B8" w:rsidRPr="00E4709C" w:rsidRDefault="009662D3" w:rsidP="007C04DE">
      <w:pPr>
        <w:pStyle w:val="AAENormaltext"/>
        <w:spacing w:after="0"/>
        <w:ind w:firstLine="360"/>
        <w:rPr>
          <w:lang w:val="en-GB"/>
        </w:rPr>
      </w:pPr>
      <w:r w:rsidRPr="00E4709C">
        <w:rPr>
          <w:lang w:val="en-GB"/>
        </w:rPr>
        <w:t>In the Slovak context, particular attention is paid to the distinction between meal allowances, which are regulated through fixed rates, and accommodation reimbursement, which is more problematic in cases without proof of accommodation.</w:t>
      </w:r>
    </w:p>
    <w:p w14:paraId="2FA777F6" w14:textId="7EF754F0" w:rsidR="009662D3" w:rsidRPr="00E4709C" w:rsidRDefault="009662D3" w:rsidP="007C04DE">
      <w:pPr>
        <w:pStyle w:val="Rn2"/>
        <w:rPr>
          <w:lang w:val="en-GB"/>
        </w:rPr>
      </w:pPr>
      <w:r w:rsidRPr="00E4709C">
        <w:rPr>
          <w:lang w:val="en-GB"/>
        </w:rPr>
        <w:t xml:space="preserve">2.3. </w:t>
      </w:r>
      <w:r w:rsidR="005669FE" w:rsidRPr="00E4709C">
        <w:rPr>
          <w:lang w:val="en-GB"/>
        </w:rPr>
        <w:t xml:space="preserve">Model </w:t>
      </w:r>
      <w:r w:rsidR="00E4709C">
        <w:rPr>
          <w:lang w:val="en-GB"/>
        </w:rPr>
        <w:t>R</w:t>
      </w:r>
      <w:r w:rsidR="005669FE" w:rsidRPr="00E4709C">
        <w:rPr>
          <w:lang w:val="en-GB"/>
        </w:rPr>
        <w:t xml:space="preserve">oute and </w:t>
      </w:r>
      <w:r w:rsidR="00E4709C">
        <w:rPr>
          <w:lang w:val="en-GB"/>
        </w:rPr>
        <w:t>C</w:t>
      </w:r>
      <w:r w:rsidR="005669FE" w:rsidRPr="00E4709C">
        <w:rPr>
          <w:lang w:val="en-GB"/>
        </w:rPr>
        <w:t xml:space="preserve">alculation </w:t>
      </w:r>
      <w:r w:rsidR="00E4709C">
        <w:rPr>
          <w:lang w:val="en-GB"/>
        </w:rPr>
        <w:t>P</w:t>
      </w:r>
      <w:r w:rsidR="005669FE" w:rsidRPr="00E4709C">
        <w:rPr>
          <w:lang w:val="en-GB"/>
        </w:rPr>
        <w:t>rocedure</w:t>
      </w:r>
    </w:p>
    <w:p w14:paraId="156A9C34" w14:textId="5C3D7150" w:rsidR="003B34BA" w:rsidRPr="00E4709C" w:rsidRDefault="009662D3" w:rsidP="008C4284">
      <w:pPr>
        <w:pStyle w:val="AAENormaltext"/>
        <w:spacing w:after="0"/>
        <w:ind w:firstLine="284"/>
        <w:rPr>
          <w:lang w:val="en-GB"/>
        </w:rPr>
      </w:pPr>
      <w:r w:rsidRPr="00E4709C">
        <w:rPr>
          <w:lang w:val="en-GB"/>
        </w:rPr>
        <w:t xml:space="preserve">The empirical part of the study is based on a model international transport route from Prague to Athens and back. The route represents a one-week international road freight operation and was selected because it includes several countries and allows the application of foreign travel allowance rules. The route was created using </w:t>
      </w:r>
      <w:proofErr w:type="spellStart"/>
      <w:r w:rsidRPr="00E4709C">
        <w:rPr>
          <w:lang w:val="en-GB"/>
        </w:rPr>
        <w:t>Map&amp;Guide</w:t>
      </w:r>
      <w:proofErr w:type="spellEnd"/>
      <w:r w:rsidRPr="00E4709C">
        <w:rPr>
          <w:lang w:val="en-GB"/>
        </w:rPr>
        <w:t xml:space="preserve"> (see Fig. 1) and was used to calculate travel allowances and net wages.</w:t>
      </w:r>
    </w:p>
    <w:p w14:paraId="3D2781B3" w14:textId="328B2AD5" w:rsidR="009662D3" w:rsidRPr="00E4709C" w:rsidRDefault="009662D3" w:rsidP="008C4284">
      <w:pPr>
        <w:pStyle w:val="AAENormaltext"/>
        <w:spacing w:before="120" w:after="0"/>
        <w:jc w:val="center"/>
        <w:rPr>
          <w:lang w:val="en-GB"/>
        </w:rPr>
      </w:pPr>
      <w:r w:rsidRPr="00E4709C">
        <w:rPr>
          <w:noProof/>
          <w:lang w:val="en-GB"/>
        </w:rPr>
        <w:drawing>
          <wp:inline distT="0" distB="0" distL="0" distR="0" wp14:anchorId="1FF6EF65" wp14:editId="1A55CABE">
            <wp:extent cx="2971800" cy="3344760"/>
            <wp:effectExtent l="0" t="0" r="0" b="8255"/>
            <wp:docPr id="58494940" name="Obrázok 1" descr="Obrázok, na ktorom je text, mapa, atlas&#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94940" name="Obrázok 1" descr="Obrázok, na ktorom je text, mapa, atlas&#10;&#10;Obsah vygenerovaný pomocou AI môže byť nesprávny."/>
                    <pic:cNvPicPr/>
                  </pic:nvPicPr>
                  <pic:blipFill>
                    <a:blip r:embed="rId9"/>
                    <a:stretch>
                      <a:fillRect/>
                    </a:stretch>
                  </pic:blipFill>
                  <pic:spPr>
                    <a:xfrm>
                      <a:off x="0" y="0"/>
                      <a:ext cx="3184764" cy="3584451"/>
                    </a:xfrm>
                    <a:prstGeom prst="rect">
                      <a:avLst/>
                    </a:prstGeom>
                  </pic:spPr>
                </pic:pic>
              </a:graphicData>
            </a:graphic>
          </wp:inline>
        </w:drawing>
      </w:r>
    </w:p>
    <w:p w14:paraId="4CDFEEDE" w14:textId="78439832" w:rsidR="009662D3" w:rsidRPr="00E4709C" w:rsidRDefault="009662D3" w:rsidP="007C04DE">
      <w:pPr>
        <w:pStyle w:val="Rrys"/>
        <w:rPr>
          <w:lang w:val="en-GB"/>
        </w:rPr>
      </w:pPr>
      <w:r w:rsidRPr="00E4709C">
        <w:rPr>
          <w:b/>
          <w:bCs/>
          <w:lang w:val="en-GB"/>
        </w:rPr>
        <w:t xml:space="preserve">Fig. </w:t>
      </w:r>
      <w:r w:rsidRPr="00E4709C">
        <w:rPr>
          <w:b/>
          <w:bCs/>
          <w:lang w:val="en-GB"/>
        </w:rPr>
        <w:fldChar w:fldCharType="begin"/>
      </w:r>
      <w:r w:rsidRPr="00E4709C">
        <w:rPr>
          <w:b/>
          <w:bCs/>
          <w:lang w:val="en-GB"/>
        </w:rPr>
        <w:instrText xml:space="preserve"> SEQ Figure \* ARABIC </w:instrText>
      </w:r>
      <w:r w:rsidRPr="00E4709C">
        <w:rPr>
          <w:b/>
          <w:bCs/>
          <w:lang w:val="en-GB"/>
        </w:rPr>
        <w:fldChar w:fldCharType="separate"/>
      </w:r>
      <w:r w:rsidR="006D5918">
        <w:rPr>
          <w:b/>
          <w:bCs/>
          <w:noProof/>
          <w:lang w:val="en-GB"/>
        </w:rPr>
        <w:t>1</w:t>
      </w:r>
      <w:r w:rsidRPr="00E4709C">
        <w:rPr>
          <w:b/>
          <w:bCs/>
          <w:lang w:val="en-GB"/>
        </w:rPr>
        <w:fldChar w:fldCharType="end"/>
      </w:r>
      <w:r w:rsidRPr="00E4709C">
        <w:rPr>
          <w:b/>
          <w:bCs/>
          <w:lang w:val="en-GB"/>
        </w:rPr>
        <w:t>.</w:t>
      </w:r>
      <w:r w:rsidRPr="00E4709C">
        <w:rPr>
          <w:lang w:val="en-GB"/>
        </w:rPr>
        <w:t xml:space="preserve"> Simulation of the route Prague-Athens</w:t>
      </w:r>
      <w:r w:rsidR="00D54B40" w:rsidRPr="00E4709C">
        <w:rPr>
          <w:lang w:val="en-GB"/>
        </w:rPr>
        <w:t>.</w:t>
      </w:r>
      <w:r w:rsidR="00611182" w:rsidRPr="00E4709C">
        <w:rPr>
          <w:lang w:val="en-GB"/>
        </w:rPr>
        <w:t xml:space="preserve"> Source: authors</w:t>
      </w:r>
      <w:r w:rsidR="00D54B40" w:rsidRPr="00E4709C">
        <w:rPr>
          <w:lang w:val="en-GB"/>
        </w:rPr>
        <w:t>, based on</w:t>
      </w:r>
      <w:r w:rsidR="00611182" w:rsidRPr="00E4709C">
        <w:rPr>
          <w:lang w:val="en-GB"/>
        </w:rPr>
        <w:t xml:space="preserve"> </w:t>
      </w:r>
      <w:proofErr w:type="spellStart"/>
      <w:r w:rsidR="00611182" w:rsidRPr="00E4709C">
        <w:rPr>
          <w:lang w:val="en-GB"/>
        </w:rPr>
        <w:t>Map&amp;Guide</w:t>
      </w:r>
      <w:proofErr w:type="spellEnd"/>
    </w:p>
    <w:p w14:paraId="1B3F877C" w14:textId="77777777" w:rsidR="007C04DE" w:rsidRPr="00E4709C" w:rsidRDefault="007C04DE" w:rsidP="009662D3">
      <w:pPr>
        <w:pStyle w:val="AAENormaltext"/>
        <w:spacing w:after="0"/>
        <w:ind w:firstLine="284"/>
        <w:rPr>
          <w:lang w:val="en-GB"/>
        </w:rPr>
      </w:pPr>
    </w:p>
    <w:p w14:paraId="743515F7" w14:textId="43EABC0F" w:rsidR="009662D3" w:rsidRPr="00E4709C" w:rsidRDefault="009662D3" w:rsidP="009662D3">
      <w:pPr>
        <w:pStyle w:val="AAENormaltext"/>
        <w:spacing w:after="0"/>
        <w:ind w:firstLine="284"/>
        <w:rPr>
          <w:lang w:val="en-GB"/>
        </w:rPr>
      </w:pPr>
      <w:r w:rsidRPr="00E4709C">
        <w:rPr>
          <w:lang w:val="en-GB"/>
        </w:rPr>
        <w:t xml:space="preserve">The route was used as a standardized operational scenario for all </w:t>
      </w:r>
      <w:proofErr w:type="spellStart"/>
      <w:r w:rsidRPr="00E4709C">
        <w:rPr>
          <w:lang w:val="en-GB"/>
        </w:rPr>
        <w:t>analyzed</w:t>
      </w:r>
      <w:proofErr w:type="spellEnd"/>
      <w:r w:rsidRPr="00E4709C">
        <w:rPr>
          <w:lang w:val="en-GB"/>
        </w:rPr>
        <w:t xml:space="preserve"> systems. This means that the same route, duration, and sequence of countries were applied when calculating the driver</w:t>
      </w:r>
      <w:r w:rsidR="00C942C7">
        <w:rPr>
          <w:lang w:val="en-GB"/>
        </w:rPr>
        <w:t>'</w:t>
      </w:r>
      <w:r w:rsidRPr="00E4709C">
        <w:rPr>
          <w:lang w:val="en-GB"/>
        </w:rPr>
        <w:t>s entitlement to travel allowances under different national frameworks. Using a single model route makes the comparison more transparent because the results are not affected by varying transport distances or numbers of rest periods.</w:t>
      </w:r>
    </w:p>
    <w:p w14:paraId="3C67A098" w14:textId="35EE5E9B" w:rsidR="009662D3" w:rsidRPr="00E4709C" w:rsidRDefault="009662D3" w:rsidP="009662D3">
      <w:pPr>
        <w:pStyle w:val="AAENormaltext"/>
        <w:spacing w:after="0"/>
        <w:ind w:firstLine="284"/>
        <w:rPr>
          <w:lang w:val="en-GB"/>
        </w:rPr>
      </w:pPr>
      <w:r w:rsidRPr="00E4709C">
        <w:rPr>
          <w:lang w:val="en-GB"/>
        </w:rPr>
        <w:lastRenderedPageBreak/>
        <w:t xml:space="preserve">The model route includes both the outward journey from Prague to Athens and the return journey from Athens to Prague. The practical output from </w:t>
      </w:r>
      <w:proofErr w:type="spellStart"/>
      <w:r w:rsidRPr="00E4709C">
        <w:rPr>
          <w:lang w:val="en-GB"/>
        </w:rPr>
        <w:t>Map&amp;Guide</w:t>
      </w:r>
      <w:proofErr w:type="spellEnd"/>
      <w:r w:rsidRPr="00E4709C">
        <w:rPr>
          <w:lang w:val="en-GB"/>
        </w:rPr>
        <w:t xml:space="preserve"> </w:t>
      </w:r>
      <w:r w:rsidR="00C942C7">
        <w:rPr>
          <w:lang w:val="en-GB"/>
        </w:rPr>
        <w:t>included</w:t>
      </w:r>
      <w:r w:rsidRPr="00E4709C">
        <w:rPr>
          <w:lang w:val="en-GB"/>
        </w:rPr>
        <w:t xml:space="preserve"> route distance, country sequence, arrival and departure times, rest periods, and border crossings. These data were necessary to determine the duration of the driver</w:t>
      </w:r>
      <w:r w:rsidR="00C942C7">
        <w:rPr>
          <w:lang w:val="en-GB"/>
        </w:rPr>
        <w:t>'</w:t>
      </w:r>
      <w:r w:rsidRPr="00E4709C">
        <w:rPr>
          <w:lang w:val="en-GB"/>
        </w:rPr>
        <w:t>s stay in individual countries and to calculate the relevant meal- and accommodation-related allowances.</w:t>
      </w:r>
    </w:p>
    <w:p w14:paraId="5914816F" w14:textId="220E0127" w:rsidR="009662D3" w:rsidRPr="00E4709C" w:rsidRDefault="009662D3" w:rsidP="007C04DE">
      <w:pPr>
        <w:pStyle w:val="Rn2"/>
        <w:rPr>
          <w:lang w:val="en-GB"/>
        </w:rPr>
      </w:pPr>
      <w:r w:rsidRPr="00E4709C">
        <w:rPr>
          <w:lang w:val="en-GB"/>
        </w:rPr>
        <w:t xml:space="preserve">2.4. Calculation </w:t>
      </w:r>
      <w:r w:rsidR="00E4709C">
        <w:rPr>
          <w:lang w:val="en-GB"/>
        </w:rPr>
        <w:t>P</w:t>
      </w:r>
      <w:r w:rsidRPr="00E4709C">
        <w:rPr>
          <w:lang w:val="en-GB"/>
        </w:rPr>
        <w:t>rocedure</w:t>
      </w:r>
    </w:p>
    <w:p w14:paraId="20515A90" w14:textId="2FED4E06" w:rsidR="009662D3" w:rsidRPr="00E4709C" w:rsidRDefault="009662D3" w:rsidP="007C04DE">
      <w:pPr>
        <w:pStyle w:val="AAENormaltext"/>
        <w:spacing w:after="0"/>
        <w:ind w:firstLine="284"/>
        <w:rPr>
          <w:lang w:val="en-GB"/>
        </w:rPr>
      </w:pPr>
      <w:r w:rsidRPr="00E4709C">
        <w:rPr>
          <w:lang w:val="en-GB"/>
        </w:rPr>
        <w:t>The calculation procedure consisted of several steps. The travel allowances for the model route were calculated in accordance with the rules of each selected country. The calculation included meal allowances and accommodation-related allowances where applicable. The time spent in each country and the location of rest periods were used to determine the relevant daily allowance amounts. The calculation was based on the following general relationships (Eq. 1</w:t>
      </w:r>
      <w:r w:rsidR="00E4709C" w:rsidRPr="00E4709C">
        <w:rPr>
          <w:lang w:val="en-GB"/>
        </w:rPr>
        <w:t>–</w:t>
      </w:r>
      <w:r w:rsidRPr="00E4709C">
        <w:rPr>
          <w:lang w:val="en-GB"/>
        </w:rPr>
        <w:t>5):</w:t>
      </w:r>
    </w:p>
    <w:p w14:paraId="1B6D6375" w14:textId="49D9C60E" w:rsidR="007615E4" w:rsidRPr="00E4709C" w:rsidRDefault="007615E4" w:rsidP="007C04DE">
      <w:pPr>
        <w:pStyle w:val="AAENormaltext"/>
        <w:tabs>
          <w:tab w:val="center" w:pos="4536"/>
          <w:tab w:val="right" w:pos="9638"/>
        </w:tabs>
        <w:spacing w:before="120"/>
        <w:rPr>
          <w:rStyle w:val="AAEEQZnak"/>
          <w:rFonts w:eastAsiaTheme="minorEastAsia"/>
          <w:sz w:val="22"/>
          <w:szCs w:val="22"/>
        </w:rPr>
      </w:pPr>
      <w:r w:rsidRPr="00E4709C">
        <w:rPr>
          <w:rStyle w:val="AAENormaltextZnak"/>
          <w:lang w:val="en-GB"/>
        </w:rPr>
        <w:tab/>
      </w:r>
      <m:oMath>
        <m:r>
          <w:rPr>
            <w:rStyle w:val="AAENormaltextZnak"/>
            <w:rFonts w:ascii="Cambria Math" w:hAnsi="Cambria Math"/>
            <w:lang w:val="en-GB"/>
          </w:rPr>
          <m:t>TT=MA+AA</m:t>
        </m:r>
      </m:oMath>
      <w:r w:rsidRPr="00E4709C">
        <w:rPr>
          <w:rStyle w:val="AAENormaltextZnak"/>
          <w:rFonts w:ascii="Cambria Math" w:eastAsiaTheme="minorEastAsia" w:hAnsi="Cambria Math"/>
          <w:i/>
          <w:lang w:val="en-GB"/>
        </w:rPr>
        <w:tab/>
      </w:r>
      <w:r w:rsidRPr="00E4709C">
        <w:rPr>
          <w:rStyle w:val="AAEEQZnak"/>
          <w:rFonts w:eastAsiaTheme="minorEastAsia"/>
          <w:sz w:val="22"/>
          <w:szCs w:val="22"/>
        </w:rPr>
        <w:t>(1)</w:t>
      </w:r>
    </w:p>
    <w:p w14:paraId="575A5CC1" w14:textId="058F0151" w:rsidR="00521609" w:rsidRPr="00E4709C" w:rsidRDefault="00521609" w:rsidP="007C04DE">
      <w:pPr>
        <w:pStyle w:val="AAENormaltext"/>
        <w:tabs>
          <w:tab w:val="decimal" w:pos="4536"/>
        </w:tabs>
        <w:spacing w:after="0"/>
        <w:rPr>
          <w:rStyle w:val="AAENormaltextZnak"/>
          <w:lang w:val="en-GB"/>
        </w:rPr>
      </w:pPr>
      <w:r w:rsidRPr="00E4709C">
        <w:rPr>
          <w:rStyle w:val="AAENormaltextZnak"/>
          <w:lang w:val="en-GB"/>
        </w:rPr>
        <w:t>where:</w:t>
      </w:r>
    </w:p>
    <w:p w14:paraId="3EA1A963" w14:textId="47D871C1" w:rsidR="00521609" w:rsidRPr="00E4709C" w:rsidRDefault="00B1027B" w:rsidP="007C04DE">
      <w:pPr>
        <w:pStyle w:val="AAENormaltext"/>
        <w:tabs>
          <w:tab w:val="decimal" w:pos="4536"/>
        </w:tabs>
        <w:spacing w:after="0"/>
        <w:rPr>
          <w:rStyle w:val="AAENormaltextZnak"/>
          <w:lang w:val="en-GB"/>
        </w:rPr>
      </w:pPr>
      <w:r w:rsidRPr="00E4709C">
        <w:rPr>
          <w:rStyle w:val="AAENormaltextZnak"/>
          <w:lang w:val="en-GB"/>
        </w:rPr>
        <w:t>TTA</w:t>
      </w:r>
      <w:r w:rsidR="00521609" w:rsidRPr="00E4709C">
        <w:rPr>
          <w:rStyle w:val="AAENormaltextZnak"/>
          <w:lang w:val="en-GB"/>
        </w:rPr>
        <w:t xml:space="preserve"> – </w:t>
      </w:r>
      <w:r w:rsidRPr="00E4709C">
        <w:rPr>
          <w:rStyle w:val="AAENormaltextZnak"/>
          <w:lang w:val="en-GB"/>
        </w:rPr>
        <w:t>total travel allowances</w:t>
      </w:r>
      <w:r w:rsidR="00521609" w:rsidRPr="00E4709C">
        <w:rPr>
          <w:rStyle w:val="AAENormaltextZnak"/>
          <w:lang w:val="en-GB"/>
        </w:rPr>
        <w:t xml:space="preserve"> [€]</w:t>
      </w:r>
      <w:r w:rsidR="002F607C" w:rsidRPr="00E4709C">
        <w:rPr>
          <w:rStyle w:val="AAENormaltextZnak"/>
          <w:lang w:val="en-GB"/>
        </w:rPr>
        <w:t>,</w:t>
      </w:r>
    </w:p>
    <w:p w14:paraId="00E65C92" w14:textId="1FD42950" w:rsidR="00521609" w:rsidRPr="00E4709C" w:rsidRDefault="00B1027B" w:rsidP="007C04DE">
      <w:pPr>
        <w:pStyle w:val="AAENormaltext"/>
        <w:tabs>
          <w:tab w:val="decimal" w:pos="4536"/>
        </w:tabs>
        <w:spacing w:after="0"/>
        <w:rPr>
          <w:rStyle w:val="AAENormaltextZnak"/>
          <w:lang w:val="en-GB"/>
        </w:rPr>
      </w:pPr>
      <w:r w:rsidRPr="00E4709C">
        <w:rPr>
          <w:rStyle w:val="AAENormaltextZnak"/>
          <w:lang w:val="en-GB"/>
        </w:rPr>
        <w:t>MA</w:t>
      </w:r>
      <w:r w:rsidR="00521609" w:rsidRPr="00E4709C">
        <w:rPr>
          <w:rStyle w:val="AAENormaltextZnak"/>
          <w:lang w:val="en-GB"/>
        </w:rPr>
        <w:t xml:space="preserve"> – </w:t>
      </w:r>
      <w:r w:rsidRPr="00E4709C">
        <w:rPr>
          <w:rStyle w:val="AAENormaltextZnak"/>
          <w:lang w:val="en-GB"/>
        </w:rPr>
        <w:t>represents meal allowances</w:t>
      </w:r>
      <w:r w:rsidR="002F607C" w:rsidRPr="00E4709C">
        <w:rPr>
          <w:rStyle w:val="AAENormaltextZnak"/>
          <w:lang w:val="en-GB"/>
        </w:rPr>
        <w:t xml:space="preserve"> [€],</w:t>
      </w:r>
    </w:p>
    <w:p w14:paraId="57655B0E" w14:textId="1F349650" w:rsidR="009521F6" w:rsidRPr="00E4709C" w:rsidRDefault="00B1027B" w:rsidP="007C04DE">
      <w:pPr>
        <w:pStyle w:val="AAENormaltext"/>
        <w:tabs>
          <w:tab w:val="decimal" w:pos="4536"/>
        </w:tabs>
        <w:spacing w:after="0"/>
        <w:rPr>
          <w:bCs w:val="0"/>
          <w:lang w:val="en-GB"/>
        </w:rPr>
      </w:pPr>
      <w:r w:rsidRPr="00E4709C">
        <w:rPr>
          <w:rStyle w:val="AAENormaltextZnak"/>
          <w:lang w:val="en-GB"/>
        </w:rPr>
        <w:t xml:space="preserve">AA </w:t>
      </w:r>
      <w:r w:rsidR="00521609" w:rsidRPr="00E4709C">
        <w:rPr>
          <w:rStyle w:val="AAENormaltextZnak"/>
          <w:lang w:val="en-GB"/>
        </w:rPr>
        <w:t xml:space="preserve">– </w:t>
      </w:r>
      <w:r w:rsidRPr="00E4709C">
        <w:rPr>
          <w:rStyle w:val="AAENormaltextZnak"/>
          <w:lang w:val="en-GB"/>
        </w:rPr>
        <w:t>accommodation-related allowances</w:t>
      </w:r>
      <w:r w:rsidRPr="00E4709C">
        <w:rPr>
          <w:lang w:val="en-GB"/>
        </w:rPr>
        <w:t xml:space="preserve"> </w:t>
      </w:r>
      <w:r w:rsidR="002F607C" w:rsidRPr="00E4709C">
        <w:rPr>
          <w:rStyle w:val="AAENormaltextZnak"/>
          <w:lang w:val="en-GB"/>
        </w:rPr>
        <w:t>[€].</w:t>
      </w:r>
    </w:p>
    <w:p w14:paraId="2A3D90DA" w14:textId="77777777" w:rsidR="0081289A" w:rsidRPr="00E4709C" w:rsidRDefault="00B1027B" w:rsidP="007C04DE">
      <w:pPr>
        <w:pStyle w:val="AAENormaltext"/>
        <w:tabs>
          <w:tab w:val="right" w:pos="266"/>
          <w:tab w:val="center" w:pos="4536"/>
          <w:tab w:val="right" w:pos="9638"/>
        </w:tabs>
        <w:spacing w:before="120"/>
        <w:ind w:firstLine="284"/>
        <w:rPr>
          <w:lang w:val="en-GB"/>
        </w:rPr>
      </w:pPr>
      <w:r w:rsidRPr="00E4709C">
        <w:rPr>
          <w:lang w:val="en-GB"/>
        </w:rPr>
        <w:tab/>
      </w:r>
      <m:oMath>
        <m:r>
          <w:rPr>
            <w:rFonts w:ascii="Cambria Math" w:hAnsi="Cambria Math"/>
            <w:lang w:val="en-GB"/>
          </w:rPr>
          <m:t>SGW=GW+EC</m:t>
        </m:r>
      </m:oMath>
      <w:r w:rsidRPr="00E4709C">
        <w:rPr>
          <w:lang w:val="en-GB"/>
        </w:rPr>
        <w:tab/>
        <w:t>(2)</w:t>
      </w:r>
    </w:p>
    <w:p w14:paraId="7A93B238" w14:textId="0B799B0C" w:rsidR="002F607C" w:rsidRPr="00E4709C" w:rsidRDefault="002F607C" w:rsidP="007C04DE">
      <w:pPr>
        <w:pStyle w:val="AAENormaltext"/>
        <w:tabs>
          <w:tab w:val="right" w:pos="266"/>
          <w:tab w:val="right" w:pos="9638"/>
        </w:tabs>
        <w:spacing w:after="0"/>
        <w:rPr>
          <w:lang w:val="en-GB"/>
        </w:rPr>
      </w:pPr>
      <w:r w:rsidRPr="00E4709C">
        <w:rPr>
          <w:lang w:val="en-GB"/>
        </w:rPr>
        <w:t>where:</w:t>
      </w:r>
    </w:p>
    <w:p w14:paraId="35FD95FA" w14:textId="77777777" w:rsidR="002F607C" w:rsidRPr="00E4709C" w:rsidRDefault="0081289A" w:rsidP="007C04DE">
      <w:pPr>
        <w:pStyle w:val="AAENormaltext"/>
        <w:tabs>
          <w:tab w:val="right" w:pos="266"/>
          <w:tab w:val="right" w:pos="9638"/>
        </w:tabs>
        <w:spacing w:after="0"/>
        <w:rPr>
          <w:lang w:val="en-GB"/>
        </w:rPr>
      </w:pPr>
      <w:r w:rsidRPr="00E4709C">
        <w:rPr>
          <w:lang w:val="en-GB"/>
        </w:rPr>
        <w:t>SGW</w:t>
      </w:r>
      <w:r w:rsidR="002F607C" w:rsidRPr="00E4709C">
        <w:rPr>
          <w:lang w:val="en-GB"/>
        </w:rPr>
        <w:t xml:space="preserve"> – </w:t>
      </w:r>
      <w:r w:rsidRPr="00E4709C">
        <w:rPr>
          <w:lang w:val="en-GB"/>
        </w:rPr>
        <w:t>super-gross wage</w:t>
      </w:r>
      <w:r w:rsidR="002F607C" w:rsidRPr="00E4709C">
        <w:rPr>
          <w:lang w:val="en-GB"/>
        </w:rPr>
        <w:t xml:space="preserve"> </w:t>
      </w:r>
      <w:r w:rsidR="002F607C" w:rsidRPr="00E4709C">
        <w:rPr>
          <w:rStyle w:val="AAENormaltextZnak"/>
          <w:lang w:val="en-GB"/>
        </w:rPr>
        <w:t>[€]</w:t>
      </w:r>
      <w:r w:rsidRPr="00E4709C">
        <w:rPr>
          <w:lang w:val="en-GB"/>
        </w:rPr>
        <w:t>,</w:t>
      </w:r>
    </w:p>
    <w:p w14:paraId="7C9D7625" w14:textId="77777777" w:rsidR="002F607C" w:rsidRPr="00E4709C" w:rsidRDefault="0081289A" w:rsidP="007C04DE">
      <w:pPr>
        <w:pStyle w:val="AAENormaltext"/>
        <w:tabs>
          <w:tab w:val="right" w:pos="266"/>
          <w:tab w:val="right" w:pos="9638"/>
        </w:tabs>
        <w:spacing w:after="0"/>
        <w:rPr>
          <w:lang w:val="en-GB"/>
        </w:rPr>
      </w:pPr>
      <w:r w:rsidRPr="00E4709C">
        <w:rPr>
          <w:lang w:val="en-GB"/>
        </w:rPr>
        <w:t>GW</w:t>
      </w:r>
      <w:r w:rsidR="002F607C" w:rsidRPr="00E4709C">
        <w:rPr>
          <w:lang w:val="en-GB"/>
        </w:rPr>
        <w:t xml:space="preserve"> –</w:t>
      </w:r>
      <w:r w:rsidRPr="00E4709C">
        <w:rPr>
          <w:lang w:val="en-GB"/>
        </w:rPr>
        <w:t xml:space="preserve"> gross wage</w:t>
      </w:r>
      <w:r w:rsidR="002F607C" w:rsidRPr="00E4709C">
        <w:rPr>
          <w:lang w:val="en-GB"/>
        </w:rPr>
        <w:t xml:space="preserve"> </w:t>
      </w:r>
      <w:r w:rsidR="002F607C" w:rsidRPr="00E4709C">
        <w:rPr>
          <w:rStyle w:val="AAENormaltextZnak"/>
          <w:lang w:val="en-GB"/>
        </w:rPr>
        <w:t>[€]</w:t>
      </w:r>
      <w:r w:rsidRPr="00E4709C">
        <w:rPr>
          <w:lang w:val="en-GB"/>
        </w:rPr>
        <w:t>,</w:t>
      </w:r>
    </w:p>
    <w:p w14:paraId="01645AB8" w14:textId="3FD0A8FD" w:rsidR="009521F6" w:rsidRPr="00E4709C" w:rsidRDefault="0081289A" w:rsidP="007C04DE">
      <w:pPr>
        <w:pStyle w:val="AAENormaltext"/>
        <w:tabs>
          <w:tab w:val="right" w:pos="266"/>
          <w:tab w:val="right" w:pos="9638"/>
        </w:tabs>
        <w:spacing w:after="0"/>
        <w:rPr>
          <w:lang w:val="en-GB"/>
        </w:rPr>
      </w:pPr>
      <w:r w:rsidRPr="00E4709C">
        <w:rPr>
          <w:lang w:val="en-GB"/>
        </w:rPr>
        <w:t xml:space="preserve">EC </w:t>
      </w:r>
      <w:r w:rsidR="002F607C" w:rsidRPr="00E4709C">
        <w:rPr>
          <w:lang w:val="en-GB"/>
        </w:rPr>
        <w:t xml:space="preserve">– </w:t>
      </w:r>
      <w:r w:rsidRPr="00E4709C">
        <w:rPr>
          <w:lang w:val="en-GB"/>
        </w:rPr>
        <w:t>employer contributions</w:t>
      </w:r>
      <w:r w:rsidR="002F607C" w:rsidRPr="00E4709C">
        <w:rPr>
          <w:lang w:val="en-GB"/>
        </w:rPr>
        <w:t xml:space="preserve"> </w:t>
      </w:r>
      <w:r w:rsidR="002F607C" w:rsidRPr="00E4709C">
        <w:rPr>
          <w:rStyle w:val="AAENormaltextZnak"/>
          <w:lang w:val="en-GB"/>
        </w:rPr>
        <w:t>[€]</w:t>
      </w:r>
      <w:r w:rsidRPr="00E4709C">
        <w:rPr>
          <w:lang w:val="en-GB"/>
        </w:rPr>
        <w:t>.</w:t>
      </w:r>
    </w:p>
    <w:p w14:paraId="10298B94" w14:textId="77777777" w:rsidR="0081289A" w:rsidRPr="00E4709C" w:rsidRDefault="0081289A" w:rsidP="007C04DE">
      <w:pPr>
        <w:pStyle w:val="AAENormaltext"/>
        <w:tabs>
          <w:tab w:val="right" w:pos="266"/>
          <w:tab w:val="center" w:pos="4536"/>
          <w:tab w:val="right" w:pos="9638"/>
        </w:tabs>
        <w:spacing w:before="120"/>
        <w:rPr>
          <w:lang w:val="en-GB"/>
        </w:rPr>
      </w:pPr>
      <w:r w:rsidRPr="00E4709C">
        <w:rPr>
          <w:lang w:val="en-GB"/>
        </w:rPr>
        <w:tab/>
      </w:r>
      <w:r w:rsidRPr="00E4709C">
        <w:rPr>
          <w:lang w:val="en-GB"/>
        </w:rPr>
        <w:tab/>
      </w:r>
      <m:oMath>
        <m:r>
          <m:rPr>
            <m:sty m:val="p"/>
          </m:rPr>
          <w:rPr>
            <w:rFonts w:ascii="Cambria Math" w:hAnsi="Cambria Math"/>
            <w:lang w:val="en-GB"/>
          </w:rPr>
          <m:t>NW = GW - ECC - PIT</m:t>
        </m:r>
      </m:oMath>
      <w:r w:rsidRPr="00E4709C">
        <w:rPr>
          <w:lang w:val="en-GB"/>
        </w:rPr>
        <w:tab/>
        <w:t>(3)</w:t>
      </w:r>
    </w:p>
    <w:p w14:paraId="39E006FD" w14:textId="54B6E63B" w:rsidR="002F607C" w:rsidRPr="00E4709C" w:rsidRDefault="0081289A" w:rsidP="007C04DE">
      <w:pPr>
        <w:pStyle w:val="AAENormaltext"/>
        <w:tabs>
          <w:tab w:val="right" w:pos="266"/>
          <w:tab w:val="center" w:pos="4536"/>
          <w:tab w:val="right" w:pos="9638"/>
        </w:tabs>
        <w:spacing w:after="0"/>
        <w:rPr>
          <w:rStyle w:val="AAENormaltextZnak"/>
          <w:lang w:val="en-GB"/>
        </w:rPr>
      </w:pPr>
      <w:r w:rsidRPr="00E4709C">
        <w:rPr>
          <w:lang w:val="en-GB"/>
        </w:rPr>
        <w:tab/>
      </w:r>
      <w:r w:rsidR="002F607C" w:rsidRPr="00E4709C">
        <w:rPr>
          <w:rStyle w:val="AAENormaltextZnak"/>
          <w:lang w:val="en-GB"/>
        </w:rPr>
        <w:t>where:</w:t>
      </w:r>
    </w:p>
    <w:p w14:paraId="42BCE08E" w14:textId="3A41EC77" w:rsidR="002F607C" w:rsidRPr="00E4709C" w:rsidRDefault="0081289A" w:rsidP="007C04DE">
      <w:pPr>
        <w:pStyle w:val="AAENormaltext"/>
        <w:tabs>
          <w:tab w:val="right" w:pos="266"/>
          <w:tab w:val="center" w:pos="4536"/>
          <w:tab w:val="right" w:pos="9638"/>
        </w:tabs>
        <w:spacing w:after="0"/>
        <w:rPr>
          <w:rStyle w:val="AAENormaltextZnak"/>
          <w:lang w:val="en-GB"/>
        </w:rPr>
      </w:pPr>
      <w:r w:rsidRPr="00E4709C">
        <w:rPr>
          <w:rStyle w:val="AAENormaltextZnak"/>
          <w:lang w:val="en-GB"/>
        </w:rPr>
        <w:t>NW</w:t>
      </w:r>
      <w:r w:rsidR="002F607C" w:rsidRPr="00E4709C">
        <w:rPr>
          <w:rStyle w:val="AAENormaltextZnak"/>
          <w:lang w:val="en-GB"/>
        </w:rPr>
        <w:t xml:space="preserve"> –</w:t>
      </w:r>
      <w:r w:rsidRPr="00E4709C">
        <w:rPr>
          <w:rStyle w:val="AAENormaltextZnak"/>
          <w:lang w:val="en-GB"/>
        </w:rPr>
        <w:t xml:space="preserve"> net wage</w:t>
      </w:r>
      <w:r w:rsidR="002F607C" w:rsidRPr="00E4709C">
        <w:rPr>
          <w:rStyle w:val="AAENormaltextZnak"/>
          <w:lang w:val="en-GB"/>
        </w:rPr>
        <w:t xml:space="preserve"> [€]</w:t>
      </w:r>
      <w:r w:rsidRPr="00E4709C">
        <w:rPr>
          <w:rStyle w:val="AAENormaltextZnak"/>
          <w:lang w:val="en-GB"/>
        </w:rPr>
        <w:t xml:space="preserve">, </w:t>
      </w:r>
    </w:p>
    <w:p w14:paraId="5E86DA94" w14:textId="77777777" w:rsidR="002F607C" w:rsidRPr="00E4709C" w:rsidRDefault="0081289A" w:rsidP="007C04DE">
      <w:pPr>
        <w:pStyle w:val="AAENormaltext"/>
        <w:tabs>
          <w:tab w:val="right" w:pos="266"/>
          <w:tab w:val="center" w:pos="4536"/>
          <w:tab w:val="right" w:pos="9638"/>
        </w:tabs>
        <w:spacing w:after="0"/>
        <w:rPr>
          <w:rStyle w:val="AAENormaltextZnak"/>
          <w:lang w:val="en-GB"/>
        </w:rPr>
      </w:pPr>
      <w:r w:rsidRPr="00E4709C">
        <w:rPr>
          <w:rStyle w:val="AAENormaltextZnak"/>
          <w:lang w:val="en-GB"/>
        </w:rPr>
        <w:t xml:space="preserve">EEC </w:t>
      </w:r>
      <w:r w:rsidR="002F607C" w:rsidRPr="00E4709C">
        <w:rPr>
          <w:rStyle w:val="AAENormaltextZnak"/>
          <w:lang w:val="en-GB"/>
        </w:rPr>
        <w:t xml:space="preserve">– </w:t>
      </w:r>
      <w:r w:rsidRPr="00E4709C">
        <w:rPr>
          <w:rStyle w:val="AAENormaltextZnak"/>
          <w:lang w:val="en-GB"/>
        </w:rPr>
        <w:t>employee contributions</w:t>
      </w:r>
      <w:r w:rsidR="002F607C" w:rsidRPr="00E4709C">
        <w:rPr>
          <w:rStyle w:val="AAENormaltextZnak"/>
          <w:lang w:val="en-GB"/>
        </w:rPr>
        <w:t xml:space="preserve"> [€]</w:t>
      </w:r>
      <w:r w:rsidRPr="00E4709C">
        <w:rPr>
          <w:rStyle w:val="AAENormaltextZnak"/>
          <w:lang w:val="en-GB"/>
        </w:rPr>
        <w:t>,</w:t>
      </w:r>
    </w:p>
    <w:p w14:paraId="7804991A" w14:textId="43529B95" w:rsidR="009521F6" w:rsidRPr="00E4709C" w:rsidRDefault="0081289A" w:rsidP="007C04DE">
      <w:pPr>
        <w:pStyle w:val="AAENormaltext"/>
        <w:tabs>
          <w:tab w:val="right" w:pos="266"/>
          <w:tab w:val="center" w:pos="4536"/>
          <w:tab w:val="right" w:pos="9638"/>
        </w:tabs>
        <w:spacing w:after="0"/>
        <w:rPr>
          <w:lang w:val="en-GB"/>
        </w:rPr>
      </w:pPr>
      <w:r w:rsidRPr="00E4709C">
        <w:rPr>
          <w:rStyle w:val="AAENormaltextZnak"/>
          <w:lang w:val="en-GB"/>
        </w:rPr>
        <w:t xml:space="preserve">PIT </w:t>
      </w:r>
      <w:r w:rsidR="002F607C" w:rsidRPr="00E4709C">
        <w:rPr>
          <w:rStyle w:val="AAENormaltextZnak"/>
          <w:lang w:val="en-GB"/>
        </w:rPr>
        <w:t xml:space="preserve">– </w:t>
      </w:r>
      <w:r w:rsidRPr="00E4709C">
        <w:rPr>
          <w:rStyle w:val="AAENormaltextZnak"/>
          <w:lang w:val="en-GB"/>
        </w:rPr>
        <w:t>personal income tax</w:t>
      </w:r>
      <w:r w:rsidR="002F607C" w:rsidRPr="00E4709C">
        <w:rPr>
          <w:rStyle w:val="AAENormaltextZnak"/>
          <w:lang w:val="en-GB"/>
        </w:rPr>
        <w:t xml:space="preserve"> [€]</w:t>
      </w:r>
      <w:r w:rsidRPr="00E4709C">
        <w:rPr>
          <w:lang w:val="en-GB"/>
        </w:rPr>
        <w:t>.</w:t>
      </w:r>
    </w:p>
    <w:p w14:paraId="4296DC09" w14:textId="1CDC3D78" w:rsidR="0081289A" w:rsidRPr="00E4709C" w:rsidRDefault="0081289A" w:rsidP="007C04DE">
      <w:pPr>
        <w:pStyle w:val="AAENormaltext"/>
        <w:tabs>
          <w:tab w:val="right" w:pos="266"/>
          <w:tab w:val="center" w:pos="4536"/>
          <w:tab w:val="right" w:pos="9638"/>
        </w:tabs>
        <w:spacing w:before="120"/>
        <w:rPr>
          <w:lang w:val="en-GB"/>
        </w:rPr>
      </w:pPr>
      <w:r w:rsidRPr="00E4709C">
        <w:rPr>
          <w:lang w:val="en-GB"/>
        </w:rPr>
        <w:tab/>
      </w:r>
      <w:r w:rsidRPr="00E4709C">
        <w:rPr>
          <w:lang w:val="en-GB"/>
        </w:rPr>
        <w:tab/>
      </w:r>
      <m:oMath>
        <m:r>
          <m:rPr>
            <m:sty m:val="p"/>
          </m:rPr>
          <w:rPr>
            <w:rFonts w:ascii="Cambria Math" w:hAnsi="Cambria Math"/>
            <w:lang w:val="en-GB"/>
          </w:rPr>
          <m:t>TNI = NW + TA</m:t>
        </m:r>
      </m:oMath>
      <w:r w:rsidRPr="00E4709C">
        <w:rPr>
          <w:lang w:val="en-GB"/>
        </w:rPr>
        <w:tab/>
        <w:t>(4)</w:t>
      </w:r>
    </w:p>
    <w:p w14:paraId="3BE33EE6" w14:textId="3A64125A" w:rsidR="002F607C" w:rsidRPr="00E4709C" w:rsidRDefault="002F607C" w:rsidP="007C04DE">
      <w:pPr>
        <w:pStyle w:val="AAENormaltext"/>
        <w:spacing w:after="0"/>
        <w:rPr>
          <w:lang w:val="en-GB"/>
        </w:rPr>
      </w:pPr>
      <w:r w:rsidRPr="00E4709C">
        <w:rPr>
          <w:lang w:val="en-GB"/>
        </w:rPr>
        <w:t>where:</w:t>
      </w:r>
    </w:p>
    <w:p w14:paraId="7A8A5372" w14:textId="77777777" w:rsidR="002F607C" w:rsidRPr="00E4709C" w:rsidRDefault="009662D3" w:rsidP="007C04DE">
      <w:pPr>
        <w:pStyle w:val="AAENormaltext"/>
        <w:spacing w:after="0"/>
        <w:rPr>
          <w:lang w:val="en-GB"/>
        </w:rPr>
      </w:pPr>
      <w:r w:rsidRPr="00E4709C">
        <w:rPr>
          <w:lang w:val="en-GB"/>
        </w:rPr>
        <w:t xml:space="preserve">TNI </w:t>
      </w:r>
      <w:r w:rsidR="002F607C" w:rsidRPr="00E4709C">
        <w:rPr>
          <w:lang w:val="en-GB"/>
        </w:rPr>
        <w:t xml:space="preserve">– </w:t>
      </w:r>
      <w:r w:rsidRPr="00E4709C">
        <w:rPr>
          <w:lang w:val="en-GB"/>
        </w:rPr>
        <w:t>total net income</w:t>
      </w:r>
      <w:r w:rsidR="002F607C" w:rsidRPr="00E4709C">
        <w:rPr>
          <w:lang w:val="en-GB"/>
        </w:rPr>
        <w:t xml:space="preserve"> </w:t>
      </w:r>
      <w:r w:rsidR="002F607C" w:rsidRPr="00E4709C">
        <w:rPr>
          <w:rStyle w:val="AAENormaltextZnak"/>
          <w:lang w:val="en-GB"/>
        </w:rPr>
        <w:t>[€]</w:t>
      </w:r>
      <w:r w:rsidRPr="00E4709C">
        <w:rPr>
          <w:lang w:val="en-GB"/>
        </w:rPr>
        <w:t xml:space="preserve">, </w:t>
      </w:r>
    </w:p>
    <w:p w14:paraId="5CF0DD3D" w14:textId="77777777" w:rsidR="002F607C" w:rsidRPr="00E4709C" w:rsidRDefault="009662D3" w:rsidP="007C04DE">
      <w:pPr>
        <w:pStyle w:val="AAENormaltext"/>
        <w:spacing w:after="0"/>
        <w:rPr>
          <w:lang w:val="en-GB"/>
        </w:rPr>
      </w:pPr>
      <w:r w:rsidRPr="00E4709C">
        <w:rPr>
          <w:lang w:val="en-GB"/>
        </w:rPr>
        <w:t xml:space="preserve">NW </w:t>
      </w:r>
      <w:r w:rsidR="002F607C" w:rsidRPr="00E4709C">
        <w:rPr>
          <w:lang w:val="en-GB"/>
        </w:rPr>
        <w:t xml:space="preserve">– </w:t>
      </w:r>
      <w:r w:rsidRPr="00E4709C">
        <w:rPr>
          <w:lang w:val="en-GB"/>
        </w:rPr>
        <w:t>net wage</w:t>
      </w:r>
      <w:r w:rsidR="002F607C" w:rsidRPr="00E4709C">
        <w:rPr>
          <w:lang w:val="en-GB"/>
        </w:rPr>
        <w:t xml:space="preserve"> </w:t>
      </w:r>
      <w:r w:rsidR="002F607C" w:rsidRPr="00E4709C">
        <w:rPr>
          <w:rStyle w:val="AAENormaltextZnak"/>
          <w:lang w:val="en-GB"/>
        </w:rPr>
        <w:t>[€]</w:t>
      </w:r>
      <w:r w:rsidRPr="00E4709C">
        <w:rPr>
          <w:lang w:val="en-GB"/>
        </w:rPr>
        <w:t>,</w:t>
      </w:r>
    </w:p>
    <w:p w14:paraId="4FE3CD1E" w14:textId="5D761BE6" w:rsidR="0026527F" w:rsidRPr="00E4709C" w:rsidRDefault="009662D3" w:rsidP="007C04DE">
      <w:pPr>
        <w:pStyle w:val="AAENormaltext"/>
        <w:spacing w:after="0"/>
        <w:rPr>
          <w:lang w:val="en-GB"/>
        </w:rPr>
      </w:pPr>
      <w:r w:rsidRPr="00E4709C">
        <w:rPr>
          <w:lang w:val="en-GB"/>
        </w:rPr>
        <w:t xml:space="preserve">TA </w:t>
      </w:r>
      <w:r w:rsidR="002F607C" w:rsidRPr="00E4709C">
        <w:rPr>
          <w:lang w:val="en-GB"/>
        </w:rPr>
        <w:t xml:space="preserve">– </w:t>
      </w:r>
      <w:r w:rsidRPr="00E4709C">
        <w:rPr>
          <w:lang w:val="en-GB"/>
        </w:rPr>
        <w:t>total travel allowances</w:t>
      </w:r>
      <w:r w:rsidR="002F607C" w:rsidRPr="00E4709C">
        <w:rPr>
          <w:lang w:val="en-GB"/>
        </w:rPr>
        <w:t xml:space="preserve"> </w:t>
      </w:r>
      <w:r w:rsidR="002F607C" w:rsidRPr="00E4709C">
        <w:rPr>
          <w:rStyle w:val="AAENormaltextZnak"/>
          <w:lang w:val="en-GB"/>
        </w:rPr>
        <w:t>[€]</w:t>
      </w:r>
      <w:r w:rsidR="0081289A" w:rsidRPr="00E4709C">
        <w:rPr>
          <w:lang w:val="en-GB"/>
        </w:rPr>
        <w:t>.</w:t>
      </w:r>
    </w:p>
    <w:p w14:paraId="50FD4693" w14:textId="268E3B54" w:rsidR="0081289A" w:rsidRPr="00E4709C" w:rsidRDefault="0081289A" w:rsidP="007C04DE">
      <w:pPr>
        <w:pStyle w:val="AAENormaltext"/>
        <w:tabs>
          <w:tab w:val="left" w:pos="284"/>
          <w:tab w:val="center" w:pos="4536"/>
          <w:tab w:val="right" w:pos="9638"/>
        </w:tabs>
        <w:spacing w:before="120"/>
        <w:rPr>
          <w:lang w:val="en-GB"/>
        </w:rPr>
      </w:pPr>
      <w:r w:rsidRPr="00E4709C">
        <w:rPr>
          <w:lang w:val="en-GB"/>
        </w:rPr>
        <w:tab/>
      </w:r>
      <w:r w:rsidRPr="00E4709C">
        <w:rPr>
          <w:lang w:val="en-GB"/>
        </w:rPr>
        <w:tab/>
      </w:r>
      <m:oMath>
        <m:r>
          <m:rPr>
            <m:sty m:val="p"/>
          </m:rPr>
          <w:rPr>
            <w:rFonts w:ascii="Cambria Math" w:hAnsi="Cambria Math"/>
            <w:lang w:val="en-GB"/>
          </w:rPr>
          <m:t xml:space="preserve">ΔTNI= </m:t>
        </m:r>
        <m:f>
          <m:fPr>
            <m:ctrlPr>
              <w:rPr>
                <w:rFonts w:ascii="Cambria Math" w:hAnsi="Cambria Math"/>
                <w:lang w:val="en-GB"/>
              </w:rPr>
            </m:ctrlPr>
          </m:fPr>
          <m:num>
            <m:r>
              <m:rPr>
                <m:sty m:val="p"/>
              </m:rPr>
              <w:rPr>
                <w:rFonts w:ascii="Cambria Math" w:hAnsi="Cambria Math"/>
                <w:lang w:val="en-GB"/>
              </w:rPr>
              <m:t>​</m:t>
            </m:r>
            <m:sSub>
              <m:sSubPr>
                <m:ctrlPr>
                  <w:rPr>
                    <w:rFonts w:ascii="Cambria Math" w:hAnsi="Cambria Math"/>
                    <w:lang w:val="en-GB"/>
                  </w:rPr>
                </m:ctrlPr>
              </m:sSubPr>
              <m:e>
                <m:r>
                  <w:rPr>
                    <w:rFonts w:ascii="Cambria Math" w:hAnsi="Cambria Math"/>
                    <w:lang w:val="en-GB"/>
                  </w:rPr>
                  <m:t>TNI</m:t>
                </m:r>
              </m:e>
              <m:sub>
                <m:r>
                  <w:rPr>
                    <w:rFonts w:ascii="Cambria Math" w:hAnsi="Cambria Math"/>
                    <w:lang w:val="en-GB"/>
                  </w:rPr>
                  <m:t>proposed</m:t>
                </m:r>
              </m:sub>
            </m:sSub>
            <m:r>
              <m:rPr>
                <m:sty m:val="p"/>
              </m:rPr>
              <w:rPr>
                <w:rFonts w:ascii="Cambria Math" w:hAnsi="Cambria Math"/>
                <w:lang w:val="en-GB"/>
              </w:rPr>
              <m:t>​-</m:t>
            </m:r>
            <m:sSub>
              <m:sSubPr>
                <m:ctrlPr>
                  <w:rPr>
                    <w:rFonts w:ascii="Cambria Math" w:hAnsi="Cambria Math"/>
                    <w:lang w:val="en-GB"/>
                  </w:rPr>
                </m:ctrlPr>
              </m:sSubPr>
              <m:e>
                <m:r>
                  <w:rPr>
                    <w:rFonts w:ascii="Cambria Math" w:hAnsi="Cambria Math"/>
                    <w:lang w:val="en-GB"/>
                  </w:rPr>
                  <m:t>TNI</m:t>
                </m:r>
              </m:e>
              <m:sub>
                <m:r>
                  <w:rPr>
                    <w:rFonts w:ascii="Cambria Math" w:hAnsi="Cambria Math"/>
                    <w:lang w:val="en-GB"/>
                  </w:rPr>
                  <m:t>current</m:t>
                </m:r>
              </m:sub>
            </m:sSub>
          </m:num>
          <m:den>
            <m:sSub>
              <m:sSubPr>
                <m:ctrlPr>
                  <w:rPr>
                    <w:rFonts w:ascii="Cambria Math" w:hAnsi="Cambria Math"/>
                    <w:lang w:val="en-GB"/>
                  </w:rPr>
                </m:ctrlPr>
              </m:sSubPr>
              <m:e>
                <m:r>
                  <w:rPr>
                    <w:rFonts w:ascii="Cambria Math" w:hAnsi="Cambria Math"/>
                    <w:lang w:val="en-GB"/>
                  </w:rPr>
                  <m:t>TNI</m:t>
                </m:r>
              </m:e>
              <m:sub>
                <m:r>
                  <w:rPr>
                    <w:rFonts w:ascii="Cambria Math" w:hAnsi="Cambria Math"/>
                    <w:lang w:val="en-GB"/>
                  </w:rPr>
                  <m:t>current</m:t>
                </m:r>
              </m:sub>
            </m:sSub>
          </m:den>
        </m:f>
        <m:r>
          <m:rPr>
            <m:sty m:val="p"/>
          </m:rPr>
          <w:rPr>
            <w:rFonts w:ascii="Cambria Math" w:hAnsi="Cambria Math"/>
            <w:lang w:val="en-GB"/>
          </w:rPr>
          <m:t>​​×100</m:t>
        </m:r>
      </m:oMath>
      <w:r w:rsidRPr="00E4709C">
        <w:rPr>
          <w:lang w:val="en-GB"/>
        </w:rPr>
        <w:tab/>
        <w:t>(5)</w:t>
      </w:r>
    </w:p>
    <w:p w14:paraId="26A90AA2" w14:textId="22EE2C69" w:rsidR="002F607C" w:rsidRPr="00E4709C" w:rsidRDefault="002F607C" w:rsidP="007C04DE">
      <w:pPr>
        <w:pStyle w:val="AAENormaltext"/>
        <w:spacing w:after="0"/>
        <w:rPr>
          <w:lang w:val="en-GB"/>
        </w:rPr>
      </w:pPr>
      <w:r w:rsidRPr="00E4709C">
        <w:rPr>
          <w:lang w:val="en-GB"/>
        </w:rPr>
        <w:t>where:</w:t>
      </w:r>
    </w:p>
    <w:p w14:paraId="36378DC0" w14:textId="0C45CC87" w:rsidR="009521F6" w:rsidRPr="00E4709C" w:rsidRDefault="009662D3" w:rsidP="007C04DE">
      <w:pPr>
        <w:pStyle w:val="AAENormaltext"/>
        <w:spacing w:after="0"/>
        <w:rPr>
          <w:lang w:val="en-GB"/>
        </w:rPr>
      </w:pPr>
      <w:r w:rsidRPr="00E4709C">
        <w:rPr>
          <w:lang w:val="en-GB"/>
        </w:rPr>
        <w:t>ΔTNI</w:t>
      </w:r>
      <w:r w:rsidR="002F607C" w:rsidRPr="00E4709C">
        <w:rPr>
          <w:lang w:val="en-GB"/>
        </w:rPr>
        <w:t xml:space="preserve"> – </w:t>
      </w:r>
      <w:r w:rsidRPr="00E4709C">
        <w:rPr>
          <w:lang w:val="en-GB"/>
        </w:rPr>
        <w:t>the percentage change in total net income after applying the proposed model</w:t>
      </w:r>
      <w:r w:rsidR="002F607C" w:rsidRPr="00E4709C">
        <w:rPr>
          <w:lang w:val="en-GB"/>
        </w:rPr>
        <w:t xml:space="preserve"> </w:t>
      </w:r>
      <w:r w:rsidR="002F607C" w:rsidRPr="00E4709C">
        <w:rPr>
          <w:rStyle w:val="AAENormaltextZnak"/>
          <w:lang w:val="en-GB"/>
        </w:rPr>
        <w:t>[%]</w:t>
      </w:r>
      <w:r w:rsidRPr="00E4709C">
        <w:rPr>
          <w:lang w:val="en-GB"/>
        </w:rPr>
        <w:t>.</w:t>
      </w:r>
    </w:p>
    <w:p w14:paraId="50C015ED" w14:textId="77777777" w:rsidR="007C04DE" w:rsidRPr="00E4709C" w:rsidRDefault="007C04DE" w:rsidP="0081289A">
      <w:pPr>
        <w:pStyle w:val="AAENormaltext"/>
        <w:ind w:firstLine="284"/>
        <w:rPr>
          <w:lang w:val="en-GB"/>
        </w:rPr>
      </w:pPr>
    </w:p>
    <w:p w14:paraId="40CFCD2B" w14:textId="4F0E556B" w:rsidR="0081289A" w:rsidRPr="00E4709C" w:rsidRDefault="0081289A" w:rsidP="0081289A">
      <w:pPr>
        <w:pStyle w:val="AAENormaltext"/>
        <w:ind w:firstLine="284"/>
        <w:rPr>
          <w:lang w:val="en-GB"/>
        </w:rPr>
      </w:pPr>
      <w:r w:rsidRPr="00E4709C">
        <w:rPr>
          <w:lang w:val="en-GB"/>
        </w:rPr>
        <w:t>Based on these relationships, the calculation first determined travel allowances, then net wage, and finally the driver</w:t>
      </w:r>
      <w:r w:rsidR="00C942C7">
        <w:rPr>
          <w:lang w:val="en-GB"/>
        </w:rPr>
        <w:t>'</w:t>
      </w:r>
      <w:r w:rsidRPr="00E4709C">
        <w:rPr>
          <w:lang w:val="en-GB"/>
        </w:rPr>
        <w:t xml:space="preserve">s total net income. The current Slovak system was subsequently compared with the proposed flat-rate accommodation allowance model. The impact of the proposed model was evaluated by assessing changes in total net income, including both net wages and travel allowances, as this indicator reflects the amount effectively received by the driver during the </w:t>
      </w:r>
      <w:proofErr w:type="spellStart"/>
      <w:r w:rsidRPr="00E4709C">
        <w:rPr>
          <w:lang w:val="en-GB"/>
        </w:rPr>
        <w:t>modeled</w:t>
      </w:r>
      <w:proofErr w:type="spellEnd"/>
      <w:r w:rsidRPr="00E4709C">
        <w:rPr>
          <w:lang w:val="en-GB"/>
        </w:rPr>
        <w:t xml:space="preserve"> working week.</w:t>
      </w:r>
    </w:p>
    <w:p w14:paraId="1671FD33" w14:textId="7652E822" w:rsidR="004A5AE7" w:rsidRPr="00E4709C" w:rsidRDefault="00AE66C0" w:rsidP="007C04DE">
      <w:pPr>
        <w:pStyle w:val="Rn1"/>
        <w:rPr>
          <w:lang w:val="en-GB"/>
        </w:rPr>
      </w:pPr>
      <w:r w:rsidRPr="00E4709C">
        <w:rPr>
          <w:lang w:val="en-GB"/>
        </w:rPr>
        <w:t>3</w:t>
      </w:r>
      <w:r w:rsidR="00010C75" w:rsidRPr="00E4709C">
        <w:rPr>
          <w:lang w:val="en-GB"/>
        </w:rPr>
        <w:t xml:space="preserve">. </w:t>
      </w:r>
      <w:r w:rsidR="0081289A" w:rsidRPr="00E4709C">
        <w:rPr>
          <w:lang w:val="en-GB"/>
        </w:rPr>
        <w:t>Results</w:t>
      </w:r>
    </w:p>
    <w:p w14:paraId="160CC696" w14:textId="490F65D4" w:rsidR="0081289A" w:rsidRPr="00E4709C" w:rsidRDefault="0081289A" w:rsidP="0081289A">
      <w:pPr>
        <w:pStyle w:val="AAENormaltext"/>
        <w:spacing w:after="0"/>
        <w:ind w:firstLine="284"/>
        <w:rPr>
          <w:lang w:val="en-GB"/>
        </w:rPr>
      </w:pPr>
      <w:r w:rsidRPr="00E4709C">
        <w:rPr>
          <w:lang w:val="en-GB"/>
        </w:rPr>
        <w:t xml:space="preserve">The results are based on model route calculations and compare remuneration outcomes under the travel allowance, tax, and social contribution systems of selected European countries. Although the same model transport operation and total weekly </w:t>
      </w:r>
      <w:proofErr w:type="spellStart"/>
      <w:r w:rsidRPr="00E4709C">
        <w:rPr>
          <w:lang w:val="en-GB"/>
        </w:rPr>
        <w:t>labor</w:t>
      </w:r>
      <w:proofErr w:type="spellEnd"/>
      <w:r w:rsidRPr="00E4709C">
        <w:rPr>
          <w:lang w:val="en-GB"/>
        </w:rPr>
        <w:t xml:space="preserve"> cost were applied across all cases, the calculated values of travel allowances, net wage, and total net income differed substantially between countries. The structure of travel allowances</w:t>
      </w:r>
      <w:r w:rsidR="00C942C7">
        <w:rPr>
          <w:lang w:val="en-GB"/>
        </w:rPr>
        <w:t>, along with the treatment of accommodation-related compensation and the level of employee deductions, mainly caused these difference</w:t>
      </w:r>
      <w:r w:rsidRPr="00E4709C">
        <w:rPr>
          <w:lang w:val="en-GB"/>
        </w:rPr>
        <w:t>s.</w:t>
      </w:r>
    </w:p>
    <w:p w14:paraId="3CAFE3D2" w14:textId="77777777" w:rsidR="0081289A" w:rsidRDefault="0081289A" w:rsidP="0081289A">
      <w:pPr>
        <w:pStyle w:val="AAENormaltext"/>
        <w:spacing w:after="0"/>
        <w:ind w:firstLine="284"/>
        <w:rPr>
          <w:lang w:val="en-GB"/>
        </w:rPr>
      </w:pPr>
    </w:p>
    <w:p w14:paraId="156B5752" w14:textId="77777777" w:rsidR="008C4284" w:rsidRPr="00E4709C" w:rsidRDefault="008C4284" w:rsidP="0081289A">
      <w:pPr>
        <w:pStyle w:val="AAENormaltext"/>
        <w:spacing w:after="0"/>
        <w:ind w:firstLine="284"/>
        <w:rPr>
          <w:lang w:val="en-GB"/>
        </w:rPr>
      </w:pPr>
    </w:p>
    <w:p w14:paraId="032B24BD" w14:textId="77777777" w:rsidR="0081289A" w:rsidRPr="00E4709C" w:rsidRDefault="0081289A" w:rsidP="0081289A">
      <w:pPr>
        <w:pStyle w:val="AAENormaltext"/>
        <w:spacing w:after="0"/>
        <w:ind w:firstLine="284"/>
        <w:rPr>
          <w:lang w:val="en-GB"/>
        </w:rPr>
      </w:pPr>
      <w:r w:rsidRPr="00E4709C">
        <w:rPr>
          <w:lang w:val="en-GB"/>
        </w:rPr>
        <w:lastRenderedPageBreak/>
        <w:t xml:space="preserve">The results are presented in four steps as follows: </w:t>
      </w:r>
    </w:p>
    <w:p w14:paraId="292D1BA3" w14:textId="77777777" w:rsidR="0081289A" w:rsidRPr="00E4709C" w:rsidRDefault="0081289A" w:rsidP="0081289A">
      <w:pPr>
        <w:pStyle w:val="AAENormaltext"/>
        <w:numPr>
          <w:ilvl w:val="0"/>
          <w:numId w:val="22"/>
        </w:numPr>
        <w:spacing w:after="0"/>
        <w:rPr>
          <w:lang w:val="en-GB"/>
        </w:rPr>
      </w:pPr>
      <w:r w:rsidRPr="00E4709C">
        <w:rPr>
          <w:lang w:val="en-GB"/>
        </w:rPr>
        <w:t xml:space="preserve">First, the model route calculation is evaluated under the selected national systems. </w:t>
      </w:r>
    </w:p>
    <w:p w14:paraId="4289FFCD" w14:textId="77777777" w:rsidR="0081289A" w:rsidRPr="00E4709C" w:rsidRDefault="0081289A" w:rsidP="0081289A">
      <w:pPr>
        <w:pStyle w:val="AAENormaltext"/>
        <w:numPr>
          <w:ilvl w:val="0"/>
          <w:numId w:val="22"/>
        </w:numPr>
        <w:spacing w:after="0"/>
        <w:rPr>
          <w:lang w:val="en-GB"/>
        </w:rPr>
      </w:pPr>
      <w:r w:rsidRPr="00E4709C">
        <w:rPr>
          <w:lang w:val="en-GB"/>
        </w:rPr>
        <w:t xml:space="preserve">Second, the accommodation allowance component is </w:t>
      </w:r>
      <w:proofErr w:type="spellStart"/>
      <w:r w:rsidRPr="00E4709C">
        <w:rPr>
          <w:lang w:val="en-GB"/>
        </w:rPr>
        <w:t>analyzed</w:t>
      </w:r>
      <w:proofErr w:type="spellEnd"/>
      <w:r w:rsidRPr="00E4709C">
        <w:rPr>
          <w:lang w:val="en-GB"/>
        </w:rPr>
        <w:t xml:space="preserve"> separately, as it represents the key basis for the proposed Slovak flat-rate model. </w:t>
      </w:r>
    </w:p>
    <w:p w14:paraId="4327462C" w14:textId="2F6FF6E1" w:rsidR="0081289A" w:rsidRPr="00E4709C" w:rsidRDefault="0081289A" w:rsidP="0081289A">
      <w:pPr>
        <w:pStyle w:val="AAENormaltext"/>
        <w:numPr>
          <w:ilvl w:val="0"/>
          <w:numId w:val="22"/>
        </w:numPr>
        <w:spacing w:after="0"/>
        <w:rPr>
          <w:lang w:val="en-GB"/>
        </w:rPr>
      </w:pPr>
      <w:r w:rsidRPr="00E4709C">
        <w:rPr>
          <w:lang w:val="en-GB"/>
        </w:rPr>
        <w:t xml:space="preserve">Third, the proposed </w:t>
      </w:r>
      <w:r w:rsidR="00C942C7">
        <w:rPr>
          <w:lang w:val="en-GB"/>
        </w:rPr>
        <w:t>flat-rate accommodation allowance percentag</w:t>
      </w:r>
      <w:r w:rsidRPr="00E4709C">
        <w:rPr>
          <w:lang w:val="en-GB"/>
        </w:rPr>
        <w:t xml:space="preserve">e is derived. </w:t>
      </w:r>
    </w:p>
    <w:p w14:paraId="535D4813" w14:textId="526F89DF" w:rsidR="0081289A" w:rsidRPr="00E4709C" w:rsidRDefault="0081289A" w:rsidP="0081289A">
      <w:pPr>
        <w:pStyle w:val="AAENormaltext"/>
        <w:numPr>
          <w:ilvl w:val="0"/>
          <w:numId w:val="22"/>
        </w:numPr>
        <w:spacing w:after="0"/>
        <w:rPr>
          <w:b/>
          <w:lang w:val="en-GB"/>
        </w:rPr>
      </w:pPr>
      <w:r w:rsidRPr="00E4709C">
        <w:rPr>
          <w:lang w:val="en-GB"/>
        </w:rPr>
        <w:t>Finally, the proposed model is applied to the Slovak system, and its impact on the driver</w:t>
      </w:r>
      <w:r w:rsidR="00C942C7">
        <w:rPr>
          <w:lang w:val="en-GB"/>
        </w:rPr>
        <w:t>'</w:t>
      </w:r>
      <w:r w:rsidRPr="00E4709C">
        <w:rPr>
          <w:lang w:val="en-GB"/>
        </w:rPr>
        <w:t>s total net income is evaluated</w:t>
      </w:r>
      <w:r w:rsidR="006A5CCB">
        <w:rPr>
          <w:lang w:val="en-GB"/>
        </w:rPr>
        <w:t>.</w:t>
      </w:r>
    </w:p>
    <w:p w14:paraId="29EF6CAC" w14:textId="6E653430" w:rsidR="003038CD" w:rsidRPr="00E4709C" w:rsidRDefault="003038CD" w:rsidP="007C04DE">
      <w:pPr>
        <w:pStyle w:val="Rn2"/>
        <w:rPr>
          <w:lang w:val="en-GB"/>
        </w:rPr>
      </w:pPr>
      <w:r w:rsidRPr="00E4709C">
        <w:rPr>
          <w:lang w:val="en-GB"/>
        </w:rPr>
        <w:t xml:space="preserve">3.1. </w:t>
      </w:r>
      <w:r w:rsidR="0081289A" w:rsidRPr="00E4709C">
        <w:rPr>
          <w:lang w:val="en-GB"/>
        </w:rPr>
        <w:t xml:space="preserve">Model </w:t>
      </w:r>
      <w:r w:rsidR="00E4709C">
        <w:rPr>
          <w:lang w:val="en-GB"/>
        </w:rPr>
        <w:t>R</w:t>
      </w:r>
      <w:r w:rsidR="0081289A" w:rsidRPr="00E4709C">
        <w:rPr>
          <w:lang w:val="en-GB"/>
        </w:rPr>
        <w:t xml:space="preserve">oute </w:t>
      </w:r>
      <w:r w:rsidR="00E4709C">
        <w:rPr>
          <w:lang w:val="en-GB"/>
        </w:rPr>
        <w:t>Q</w:t>
      </w:r>
      <w:r w:rsidR="0081289A" w:rsidRPr="00E4709C">
        <w:rPr>
          <w:lang w:val="en-GB"/>
        </w:rPr>
        <w:t>uantification</w:t>
      </w:r>
    </w:p>
    <w:p w14:paraId="0237F2C1" w14:textId="536231BC" w:rsidR="00AE431C" w:rsidRPr="00E4709C" w:rsidRDefault="0081289A" w:rsidP="008A1B9D">
      <w:pPr>
        <w:pStyle w:val="AAENormaltext"/>
        <w:spacing w:after="0"/>
        <w:ind w:firstLine="284"/>
        <w:rPr>
          <w:lang w:val="en-GB"/>
        </w:rPr>
      </w:pPr>
      <w:r w:rsidRPr="00E4709C">
        <w:rPr>
          <w:lang w:val="en-GB"/>
        </w:rPr>
        <w:t xml:space="preserve">The model route quantification confirmed that the same international transport operation can lead to considerably different remuneration outcomes depending on the national system applied. The comparison included Slovakia, Poland, Germany, France, Spain, and Italy. For each country, the calculation included travel allowances, gross wage, employee contributions, income tax, net wage, and total net income. The gross wage values were derived from the fixed weekly super-gross wage using Equation (2). Employee contributions and income tax were then deducted from </w:t>
      </w:r>
      <w:r w:rsidR="00C942C7">
        <w:rPr>
          <w:lang w:val="en-GB"/>
        </w:rPr>
        <w:t>the gross wage to determine the net wage,</w:t>
      </w:r>
      <w:r w:rsidRPr="00E4709C">
        <w:rPr>
          <w:lang w:val="en-GB"/>
        </w:rPr>
        <w:t xml:space="preserve"> according to Equation (3). The updated calculation results are summarized in Table 1.</w:t>
      </w:r>
    </w:p>
    <w:p w14:paraId="7069BAA1" w14:textId="77777777" w:rsidR="008A1B9D" w:rsidRPr="00E4709C" w:rsidRDefault="008A1B9D" w:rsidP="008A1B9D">
      <w:pPr>
        <w:pStyle w:val="AAENormaltext"/>
        <w:spacing w:after="0"/>
        <w:ind w:firstLine="284"/>
        <w:rPr>
          <w:lang w:val="en-GB"/>
        </w:rPr>
      </w:pPr>
    </w:p>
    <w:p w14:paraId="0F210B64" w14:textId="3DD6F7C0" w:rsidR="008A1B9D" w:rsidRPr="00E4709C" w:rsidRDefault="008A1B9D" w:rsidP="008A1B9D">
      <w:pPr>
        <w:pStyle w:val="Rtab"/>
        <w:rPr>
          <w:lang w:val="en-GB"/>
        </w:rPr>
      </w:pPr>
      <w:r w:rsidRPr="00E4709C">
        <w:rPr>
          <w:b/>
          <w:lang w:val="en-GB"/>
        </w:rPr>
        <w:t xml:space="preserve">Table 1. </w:t>
      </w:r>
      <w:r w:rsidRPr="00E4709C">
        <w:rPr>
          <w:lang w:val="en-GB"/>
        </w:rPr>
        <w:t xml:space="preserve">Model route quantification results under selected national systems (related to beginning of 2026). </w:t>
      </w:r>
      <w:r w:rsidR="00E4709C" w:rsidRPr="00E4709C">
        <w:rPr>
          <w:lang w:val="en-GB"/>
        </w:rPr>
        <w:br/>
      </w:r>
      <w:r w:rsidRPr="00E4709C">
        <w:rPr>
          <w:lang w:val="en-GB"/>
        </w:rPr>
        <w:t>Source: authors</w:t>
      </w:r>
    </w:p>
    <w:tbl>
      <w:tblPr>
        <w:tblStyle w:val="MDPI41threelinetable"/>
        <w:tblW w:w="0" w:type="auto"/>
        <w:jc w:val="left"/>
        <w:tblBorders>
          <w:top w:val="single" w:sz="4" w:space="0" w:color="auto"/>
          <w:bottom w:val="single" w:sz="4" w:space="0" w:color="auto"/>
          <w:insideH w:val="single" w:sz="4" w:space="0" w:color="auto"/>
        </w:tblBorders>
        <w:tblLook w:val="04A0" w:firstRow="1" w:lastRow="0" w:firstColumn="1" w:lastColumn="0" w:noHBand="0" w:noVBand="1"/>
      </w:tblPr>
      <w:tblGrid>
        <w:gridCol w:w="1134"/>
        <w:gridCol w:w="1560"/>
        <w:gridCol w:w="1172"/>
        <w:gridCol w:w="1809"/>
        <w:gridCol w:w="1134"/>
        <w:gridCol w:w="1418"/>
        <w:gridCol w:w="1411"/>
      </w:tblGrid>
      <w:tr w:rsidR="00521609" w:rsidRPr="00E4709C" w14:paraId="4D0E71E0" w14:textId="77777777" w:rsidTr="00F22035">
        <w:trPr>
          <w:cnfStyle w:val="100000000000" w:firstRow="1" w:lastRow="0" w:firstColumn="0" w:lastColumn="0" w:oddVBand="0" w:evenVBand="0" w:oddHBand="0" w:evenHBand="0" w:firstRowFirstColumn="0" w:firstRowLastColumn="0" w:lastRowFirstColumn="0" w:lastRowLastColumn="0"/>
          <w:trHeight w:val="589"/>
          <w:jc w:val="left"/>
        </w:trPr>
        <w:tc>
          <w:tcPr>
            <w:tcW w:w="1134" w:type="dxa"/>
            <w:tcBorders>
              <w:bottom w:val="none" w:sz="0" w:space="0" w:color="auto"/>
            </w:tcBorders>
          </w:tcPr>
          <w:p w14:paraId="7E799A58" w14:textId="77777777" w:rsidR="00521609" w:rsidRPr="00E4709C" w:rsidRDefault="00521609" w:rsidP="008A1B9D">
            <w:pPr>
              <w:pStyle w:val="AAENormaltext"/>
              <w:spacing w:after="0"/>
              <w:jc w:val="center"/>
              <w:rPr>
                <w:b w:val="0"/>
                <w:bCs w:val="0"/>
                <w:lang w:val="en-GB"/>
              </w:rPr>
            </w:pPr>
            <w:r w:rsidRPr="00E4709C">
              <w:rPr>
                <w:b w:val="0"/>
                <w:bCs w:val="0"/>
                <w:lang w:val="en-GB"/>
              </w:rPr>
              <w:t>Country</w:t>
            </w:r>
          </w:p>
        </w:tc>
        <w:tc>
          <w:tcPr>
            <w:tcW w:w="1560" w:type="dxa"/>
            <w:tcBorders>
              <w:bottom w:val="none" w:sz="0" w:space="0" w:color="auto"/>
            </w:tcBorders>
          </w:tcPr>
          <w:p w14:paraId="53020B36" w14:textId="022AFE2A" w:rsidR="00521609" w:rsidRPr="00E4709C" w:rsidRDefault="00521609" w:rsidP="008A1B9D">
            <w:pPr>
              <w:pStyle w:val="AAENormaltext"/>
              <w:spacing w:after="0"/>
              <w:jc w:val="center"/>
              <w:rPr>
                <w:b w:val="0"/>
                <w:bCs w:val="0"/>
                <w:lang w:val="en-GB"/>
              </w:rPr>
            </w:pPr>
            <w:r w:rsidRPr="00E4709C">
              <w:rPr>
                <w:b w:val="0"/>
                <w:bCs w:val="0"/>
                <w:lang w:val="en-GB"/>
              </w:rPr>
              <w:t xml:space="preserve">Travel </w:t>
            </w:r>
            <w:r w:rsidR="008A1B9D" w:rsidRPr="00E4709C">
              <w:rPr>
                <w:b w:val="0"/>
                <w:bCs w:val="0"/>
                <w:lang w:val="en-GB"/>
              </w:rPr>
              <w:br/>
            </w:r>
            <w:r w:rsidRPr="00E4709C">
              <w:rPr>
                <w:b w:val="0"/>
                <w:bCs w:val="0"/>
                <w:lang w:val="en-GB"/>
              </w:rPr>
              <w:t>allowances</w:t>
            </w:r>
            <w:r w:rsidR="00621A34" w:rsidRPr="00E4709C">
              <w:rPr>
                <w:b w:val="0"/>
                <w:bCs w:val="0"/>
                <w:lang w:val="en-GB"/>
              </w:rPr>
              <w:t xml:space="preserve"> </w:t>
            </w:r>
            <w:r w:rsidRPr="00E4709C">
              <w:rPr>
                <w:b w:val="0"/>
                <w:bCs w:val="0"/>
                <w:lang w:val="en-GB"/>
              </w:rPr>
              <w:t>[€]</w:t>
            </w:r>
          </w:p>
        </w:tc>
        <w:tc>
          <w:tcPr>
            <w:tcW w:w="1172" w:type="dxa"/>
            <w:tcBorders>
              <w:bottom w:val="none" w:sz="0" w:space="0" w:color="auto"/>
            </w:tcBorders>
          </w:tcPr>
          <w:p w14:paraId="752A7CC8" w14:textId="595F9AF1" w:rsidR="00521609" w:rsidRPr="00E4709C" w:rsidRDefault="00521609" w:rsidP="008A1B9D">
            <w:pPr>
              <w:pStyle w:val="AAENormaltext"/>
              <w:spacing w:after="0"/>
              <w:jc w:val="center"/>
              <w:rPr>
                <w:b w:val="0"/>
                <w:bCs w:val="0"/>
                <w:lang w:val="en-GB"/>
              </w:rPr>
            </w:pPr>
            <w:r w:rsidRPr="00E4709C">
              <w:rPr>
                <w:b w:val="0"/>
                <w:bCs w:val="0"/>
                <w:lang w:val="en-GB"/>
              </w:rPr>
              <w:t>Gross wage</w:t>
            </w:r>
            <w:r w:rsidR="00621A34" w:rsidRPr="00E4709C">
              <w:rPr>
                <w:b w:val="0"/>
                <w:bCs w:val="0"/>
                <w:lang w:val="en-GB"/>
              </w:rPr>
              <w:t xml:space="preserve"> </w:t>
            </w:r>
            <w:r w:rsidRPr="00E4709C">
              <w:rPr>
                <w:b w:val="0"/>
                <w:bCs w:val="0"/>
                <w:lang w:val="en-GB"/>
              </w:rPr>
              <w:t>[€]</w:t>
            </w:r>
          </w:p>
        </w:tc>
        <w:tc>
          <w:tcPr>
            <w:tcW w:w="1809" w:type="dxa"/>
            <w:tcBorders>
              <w:bottom w:val="none" w:sz="0" w:space="0" w:color="auto"/>
            </w:tcBorders>
          </w:tcPr>
          <w:p w14:paraId="36624D0F" w14:textId="6E557BC5" w:rsidR="00521609" w:rsidRPr="00E4709C" w:rsidRDefault="00521609" w:rsidP="008A1B9D">
            <w:pPr>
              <w:pStyle w:val="AAENormaltext"/>
              <w:spacing w:after="0"/>
              <w:jc w:val="center"/>
              <w:rPr>
                <w:b w:val="0"/>
                <w:bCs w:val="0"/>
                <w:lang w:val="en-GB"/>
              </w:rPr>
            </w:pPr>
            <w:r w:rsidRPr="00E4709C">
              <w:rPr>
                <w:b w:val="0"/>
                <w:bCs w:val="0"/>
                <w:lang w:val="en-GB"/>
              </w:rPr>
              <w:t xml:space="preserve">Employee </w:t>
            </w:r>
            <w:r w:rsidR="008A1B9D" w:rsidRPr="00E4709C">
              <w:rPr>
                <w:b w:val="0"/>
                <w:bCs w:val="0"/>
                <w:lang w:val="en-GB"/>
              </w:rPr>
              <w:br/>
            </w:r>
            <w:r w:rsidRPr="00E4709C">
              <w:rPr>
                <w:b w:val="0"/>
                <w:bCs w:val="0"/>
                <w:lang w:val="en-GB"/>
              </w:rPr>
              <w:t>contributions</w:t>
            </w:r>
            <w:r w:rsidR="00621A34" w:rsidRPr="00E4709C">
              <w:rPr>
                <w:b w:val="0"/>
                <w:bCs w:val="0"/>
                <w:lang w:val="en-GB"/>
              </w:rPr>
              <w:t xml:space="preserve"> </w:t>
            </w:r>
            <w:r w:rsidRPr="00E4709C">
              <w:rPr>
                <w:b w:val="0"/>
                <w:bCs w:val="0"/>
                <w:lang w:val="en-GB"/>
              </w:rPr>
              <w:t>[€]</w:t>
            </w:r>
          </w:p>
        </w:tc>
        <w:tc>
          <w:tcPr>
            <w:tcW w:w="1134" w:type="dxa"/>
            <w:tcBorders>
              <w:bottom w:val="none" w:sz="0" w:space="0" w:color="auto"/>
            </w:tcBorders>
          </w:tcPr>
          <w:p w14:paraId="62F3195A" w14:textId="6AAFCC33" w:rsidR="00521609" w:rsidRPr="00E4709C" w:rsidRDefault="00521609" w:rsidP="008A1B9D">
            <w:pPr>
              <w:pStyle w:val="AAENormaltext"/>
              <w:spacing w:after="0"/>
              <w:jc w:val="center"/>
              <w:rPr>
                <w:b w:val="0"/>
                <w:bCs w:val="0"/>
                <w:lang w:val="en-GB"/>
              </w:rPr>
            </w:pPr>
            <w:r w:rsidRPr="00E4709C">
              <w:rPr>
                <w:b w:val="0"/>
                <w:bCs w:val="0"/>
                <w:lang w:val="en-GB"/>
              </w:rPr>
              <w:t>Income tax</w:t>
            </w:r>
            <w:r w:rsidR="00621A34" w:rsidRPr="00E4709C">
              <w:rPr>
                <w:b w:val="0"/>
                <w:bCs w:val="0"/>
                <w:lang w:val="en-GB"/>
              </w:rPr>
              <w:t xml:space="preserve"> </w:t>
            </w:r>
            <w:r w:rsidRPr="00E4709C">
              <w:rPr>
                <w:b w:val="0"/>
                <w:bCs w:val="0"/>
                <w:lang w:val="en-GB"/>
              </w:rPr>
              <w:t>[€]</w:t>
            </w:r>
          </w:p>
        </w:tc>
        <w:tc>
          <w:tcPr>
            <w:tcW w:w="1418" w:type="dxa"/>
            <w:tcBorders>
              <w:bottom w:val="none" w:sz="0" w:space="0" w:color="auto"/>
            </w:tcBorders>
          </w:tcPr>
          <w:p w14:paraId="2F0C29F5" w14:textId="3E9D0084" w:rsidR="00521609" w:rsidRPr="00E4709C" w:rsidRDefault="00521609" w:rsidP="008A1B9D">
            <w:pPr>
              <w:pStyle w:val="AAENormaltext"/>
              <w:spacing w:after="0"/>
              <w:jc w:val="center"/>
              <w:rPr>
                <w:b w:val="0"/>
                <w:bCs w:val="0"/>
                <w:lang w:val="en-GB"/>
              </w:rPr>
            </w:pPr>
            <w:r w:rsidRPr="00E4709C">
              <w:rPr>
                <w:b w:val="0"/>
                <w:bCs w:val="0"/>
                <w:lang w:val="en-GB"/>
              </w:rPr>
              <w:t>Net wage</w:t>
            </w:r>
            <w:r w:rsidR="00621A34" w:rsidRPr="00E4709C">
              <w:rPr>
                <w:b w:val="0"/>
                <w:bCs w:val="0"/>
                <w:lang w:val="en-GB"/>
              </w:rPr>
              <w:t xml:space="preserve"> [€]</w:t>
            </w:r>
          </w:p>
        </w:tc>
        <w:tc>
          <w:tcPr>
            <w:tcW w:w="1411" w:type="dxa"/>
            <w:tcBorders>
              <w:bottom w:val="none" w:sz="0" w:space="0" w:color="auto"/>
            </w:tcBorders>
          </w:tcPr>
          <w:p w14:paraId="592073FC" w14:textId="2829AEC2" w:rsidR="00521609" w:rsidRPr="00E4709C" w:rsidRDefault="00521609" w:rsidP="008A1B9D">
            <w:pPr>
              <w:pStyle w:val="AAENormaltext"/>
              <w:spacing w:after="0"/>
              <w:jc w:val="center"/>
              <w:rPr>
                <w:b w:val="0"/>
                <w:bCs w:val="0"/>
                <w:lang w:val="en-GB"/>
              </w:rPr>
            </w:pPr>
            <w:r w:rsidRPr="00E4709C">
              <w:rPr>
                <w:b w:val="0"/>
                <w:bCs w:val="0"/>
                <w:lang w:val="en-GB"/>
              </w:rPr>
              <w:t xml:space="preserve">Total net </w:t>
            </w:r>
            <w:r w:rsidR="008A1B9D" w:rsidRPr="00E4709C">
              <w:rPr>
                <w:b w:val="0"/>
                <w:bCs w:val="0"/>
                <w:lang w:val="en-GB"/>
              </w:rPr>
              <w:br/>
            </w:r>
            <w:r w:rsidRPr="00E4709C">
              <w:rPr>
                <w:b w:val="0"/>
                <w:bCs w:val="0"/>
                <w:lang w:val="en-GB"/>
              </w:rPr>
              <w:t>income</w:t>
            </w:r>
            <w:r w:rsidR="00621A34" w:rsidRPr="00E4709C">
              <w:rPr>
                <w:b w:val="0"/>
                <w:bCs w:val="0"/>
                <w:lang w:val="en-GB"/>
              </w:rPr>
              <w:t xml:space="preserve"> </w:t>
            </w:r>
            <w:r w:rsidRPr="00E4709C">
              <w:rPr>
                <w:b w:val="0"/>
                <w:bCs w:val="0"/>
                <w:lang w:val="en-GB"/>
              </w:rPr>
              <w:t>[€]</w:t>
            </w:r>
          </w:p>
        </w:tc>
      </w:tr>
      <w:tr w:rsidR="00521609" w:rsidRPr="00E4709C" w14:paraId="582CDC6C" w14:textId="77777777" w:rsidTr="00F22035">
        <w:trPr>
          <w:trHeight w:val="283"/>
          <w:jc w:val="left"/>
        </w:trPr>
        <w:tc>
          <w:tcPr>
            <w:tcW w:w="1134" w:type="dxa"/>
          </w:tcPr>
          <w:p w14:paraId="3E336FD3" w14:textId="77777777" w:rsidR="00521609" w:rsidRPr="00E4709C" w:rsidRDefault="00521609" w:rsidP="008A1B9D">
            <w:pPr>
              <w:pStyle w:val="AAENormaltext"/>
              <w:spacing w:after="0"/>
              <w:jc w:val="left"/>
              <w:rPr>
                <w:lang w:val="en-GB"/>
              </w:rPr>
            </w:pPr>
            <w:r w:rsidRPr="00E4709C">
              <w:rPr>
                <w:lang w:val="en-GB"/>
              </w:rPr>
              <w:t>Slovakia</w:t>
            </w:r>
          </w:p>
        </w:tc>
        <w:tc>
          <w:tcPr>
            <w:tcW w:w="1560" w:type="dxa"/>
          </w:tcPr>
          <w:p w14:paraId="5655B623" w14:textId="70291AB2" w:rsidR="00521609" w:rsidRPr="00E4709C" w:rsidRDefault="00521609" w:rsidP="008A1B9D">
            <w:pPr>
              <w:pStyle w:val="AAENormaltext"/>
              <w:spacing w:after="0"/>
              <w:jc w:val="center"/>
              <w:rPr>
                <w:lang w:val="en-GB"/>
              </w:rPr>
            </w:pPr>
            <w:r w:rsidRPr="00E4709C">
              <w:rPr>
                <w:lang w:val="en-GB"/>
              </w:rPr>
              <w:t>373</w:t>
            </w:r>
            <w:r w:rsidR="00D54B40" w:rsidRPr="00E4709C">
              <w:rPr>
                <w:lang w:val="en-GB"/>
              </w:rPr>
              <w:t>.</w:t>
            </w:r>
            <w:r w:rsidRPr="00E4709C">
              <w:rPr>
                <w:lang w:val="en-GB"/>
              </w:rPr>
              <w:t>75</w:t>
            </w:r>
          </w:p>
        </w:tc>
        <w:tc>
          <w:tcPr>
            <w:tcW w:w="1172" w:type="dxa"/>
          </w:tcPr>
          <w:p w14:paraId="3139374E" w14:textId="2EE206CD" w:rsidR="00521609" w:rsidRPr="00E4709C" w:rsidRDefault="00521609" w:rsidP="008A1B9D">
            <w:pPr>
              <w:pStyle w:val="AAENormaltext"/>
              <w:spacing w:after="0"/>
              <w:jc w:val="center"/>
              <w:rPr>
                <w:lang w:val="en-GB"/>
              </w:rPr>
            </w:pPr>
            <w:r w:rsidRPr="00E4709C">
              <w:rPr>
                <w:lang w:val="en-GB"/>
              </w:rPr>
              <w:t>734</w:t>
            </w:r>
            <w:r w:rsidR="00D54B40" w:rsidRPr="00E4709C">
              <w:rPr>
                <w:lang w:val="en-GB"/>
              </w:rPr>
              <w:t>.</w:t>
            </w:r>
            <w:r w:rsidRPr="00E4709C">
              <w:rPr>
                <w:lang w:val="en-GB"/>
              </w:rPr>
              <w:t>21</w:t>
            </w:r>
          </w:p>
        </w:tc>
        <w:tc>
          <w:tcPr>
            <w:tcW w:w="1809" w:type="dxa"/>
          </w:tcPr>
          <w:p w14:paraId="7B0B75F6" w14:textId="10013C8B" w:rsidR="00521609" w:rsidRPr="00E4709C" w:rsidRDefault="00521609" w:rsidP="008A1B9D">
            <w:pPr>
              <w:pStyle w:val="AAENormaltext"/>
              <w:spacing w:after="0"/>
              <w:jc w:val="center"/>
              <w:rPr>
                <w:lang w:val="en-GB"/>
              </w:rPr>
            </w:pPr>
            <w:r w:rsidRPr="00E4709C">
              <w:rPr>
                <w:lang w:val="en-GB"/>
              </w:rPr>
              <w:t>105</w:t>
            </w:r>
            <w:r w:rsidR="00D54B40" w:rsidRPr="00E4709C">
              <w:rPr>
                <w:lang w:val="en-GB"/>
              </w:rPr>
              <w:t>.</w:t>
            </w:r>
            <w:r w:rsidRPr="00E4709C">
              <w:rPr>
                <w:lang w:val="en-GB"/>
              </w:rPr>
              <w:t>73</w:t>
            </w:r>
          </w:p>
        </w:tc>
        <w:tc>
          <w:tcPr>
            <w:tcW w:w="1134" w:type="dxa"/>
          </w:tcPr>
          <w:p w14:paraId="01B95B47" w14:textId="09376CE6" w:rsidR="00521609" w:rsidRPr="00E4709C" w:rsidRDefault="00521609" w:rsidP="008A1B9D">
            <w:pPr>
              <w:pStyle w:val="AAENormaltext"/>
              <w:spacing w:after="0"/>
              <w:jc w:val="center"/>
              <w:rPr>
                <w:lang w:val="en-GB"/>
              </w:rPr>
            </w:pPr>
            <w:r w:rsidRPr="00E4709C">
              <w:rPr>
                <w:lang w:val="en-GB"/>
              </w:rPr>
              <w:t>105</w:t>
            </w:r>
            <w:r w:rsidR="00D54B40" w:rsidRPr="00E4709C">
              <w:rPr>
                <w:lang w:val="en-GB"/>
              </w:rPr>
              <w:t>.</w:t>
            </w:r>
            <w:r w:rsidRPr="00E4709C">
              <w:rPr>
                <w:lang w:val="en-GB"/>
              </w:rPr>
              <w:t>65</w:t>
            </w:r>
          </w:p>
        </w:tc>
        <w:tc>
          <w:tcPr>
            <w:tcW w:w="1418" w:type="dxa"/>
          </w:tcPr>
          <w:p w14:paraId="3EEF5E7A" w14:textId="360658C3" w:rsidR="00521609" w:rsidRPr="00E4709C" w:rsidRDefault="00521609" w:rsidP="008A1B9D">
            <w:pPr>
              <w:pStyle w:val="AAENormaltext"/>
              <w:spacing w:after="0"/>
              <w:jc w:val="center"/>
              <w:rPr>
                <w:lang w:val="en-GB"/>
              </w:rPr>
            </w:pPr>
            <w:r w:rsidRPr="00E4709C">
              <w:rPr>
                <w:lang w:val="en-GB"/>
              </w:rPr>
              <w:t>522</w:t>
            </w:r>
            <w:r w:rsidR="00D54B40" w:rsidRPr="00E4709C">
              <w:rPr>
                <w:lang w:val="en-GB"/>
              </w:rPr>
              <w:t>.</w:t>
            </w:r>
            <w:r w:rsidRPr="00E4709C">
              <w:rPr>
                <w:lang w:val="en-GB"/>
              </w:rPr>
              <w:t>83</w:t>
            </w:r>
          </w:p>
        </w:tc>
        <w:tc>
          <w:tcPr>
            <w:tcW w:w="1411" w:type="dxa"/>
          </w:tcPr>
          <w:p w14:paraId="00084432" w14:textId="112AB416" w:rsidR="00521609" w:rsidRPr="00E4709C" w:rsidRDefault="00521609" w:rsidP="008A1B9D">
            <w:pPr>
              <w:pStyle w:val="AAENormaltext"/>
              <w:spacing w:after="0"/>
              <w:jc w:val="center"/>
              <w:rPr>
                <w:lang w:val="en-GB"/>
              </w:rPr>
            </w:pPr>
            <w:r w:rsidRPr="00E4709C">
              <w:rPr>
                <w:lang w:val="en-GB"/>
              </w:rPr>
              <w:t>896</w:t>
            </w:r>
            <w:r w:rsidR="00D54B40" w:rsidRPr="00E4709C">
              <w:rPr>
                <w:lang w:val="en-GB"/>
              </w:rPr>
              <w:t>.</w:t>
            </w:r>
            <w:r w:rsidRPr="00E4709C">
              <w:rPr>
                <w:lang w:val="en-GB"/>
              </w:rPr>
              <w:t>58</w:t>
            </w:r>
          </w:p>
        </w:tc>
      </w:tr>
      <w:tr w:rsidR="00521609" w:rsidRPr="00E4709C" w14:paraId="422BC38B" w14:textId="77777777" w:rsidTr="00F22035">
        <w:trPr>
          <w:trHeight w:val="283"/>
          <w:jc w:val="left"/>
        </w:trPr>
        <w:tc>
          <w:tcPr>
            <w:tcW w:w="1134" w:type="dxa"/>
          </w:tcPr>
          <w:p w14:paraId="4C110628" w14:textId="77777777" w:rsidR="00521609" w:rsidRPr="00E4709C" w:rsidRDefault="00521609" w:rsidP="008A1B9D">
            <w:pPr>
              <w:pStyle w:val="AAENormaltext"/>
              <w:spacing w:after="0"/>
              <w:jc w:val="left"/>
              <w:rPr>
                <w:lang w:val="en-GB"/>
              </w:rPr>
            </w:pPr>
            <w:r w:rsidRPr="00E4709C">
              <w:rPr>
                <w:lang w:val="en-GB"/>
              </w:rPr>
              <w:t>Poland</w:t>
            </w:r>
          </w:p>
        </w:tc>
        <w:tc>
          <w:tcPr>
            <w:tcW w:w="1560" w:type="dxa"/>
          </w:tcPr>
          <w:p w14:paraId="44261BBA" w14:textId="094CFA6C" w:rsidR="00521609" w:rsidRPr="00E4709C" w:rsidRDefault="00521609" w:rsidP="008A1B9D">
            <w:pPr>
              <w:pStyle w:val="AAENormaltext"/>
              <w:spacing w:after="0"/>
              <w:jc w:val="center"/>
              <w:rPr>
                <w:lang w:val="en-GB"/>
              </w:rPr>
            </w:pPr>
            <w:r w:rsidRPr="00E4709C">
              <w:rPr>
                <w:lang w:val="en-GB"/>
              </w:rPr>
              <w:t>519</w:t>
            </w:r>
            <w:r w:rsidR="00D54B40" w:rsidRPr="00E4709C">
              <w:rPr>
                <w:lang w:val="en-GB"/>
              </w:rPr>
              <w:t>.</w:t>
            </w:r>
            <w:r w:rsidRPr="00E4709C">
              <w:rPr>
                <w:lang w:val="en-GB"/>
              </w:rPr>
              <w:t>42</w:t>
            </w:r>
          </w:p>
        </w:tc>
        <w:tc>
          <w:tcPr>
            <w:tcW w:w="1172" w:type="dxa"/>
          </w:tcPr>
          <w:p w14:paraId="05027754" w14:textId="6E0CD9DB" w:rsidR="00521609" w:rsidRPr="00E4709C" w:rsidRDefault="00521609" w:rsidP="008A1B9D">
            <w:pPr>
              <w:pStyle w:val="AAENormaltext"/>
              <w:spacing w:after="0"/>
              <w:jc w:val="center"/>
              <w:rPr>
                <w:lang w:val="en-GB"/>
              </w:rPr>
            </w:pPr>
            <w:r w:rsidRPr="00E4709C">
              <w:rPr>
                <w:lang w:val="en-GB"/>
              </w:rPr>
              <w:t>835</w:t>
            </w:r>
            <w:r w:rsidR="00D54B40" w:rsidRPr="00E4709C">
              <w:rPr>
                <w:lang w:val="en-GB"/>
              </w:rPr>
              <w:t>.</w:t>
            </w:r>
            <w:r w:rsidRPr="00E4709C">
              <w:rPr>
                <w:lang w:val="en-GB"/>
              </w:rPr>
              <w:t>14</w:t>
            </w:r>
          </w:p>
        </w:tc>
        <w:tc>
          <w:tcPr>
            <w:tcW w:w="1809" w:type="dxa"/>
          </w:tcPr>
          <w:p w14:paraId="4AA8934D" w14:textId="19CE0B1E" w:rsidR="00521609" w:rsidRPr="00E4709C" w:rsidRDefault="00521609" w:rsidP="008A1B9D">
            <w:pPr>
              <w:pStyle w:val="AAENormaltext"/>
              <w:spacing w:after="0"/>
              <w:jc w:val="center"/>
              <w:rPr>
                <w:lang w:val="en-GB"/>
              </w:rPr>
            </w:pPr>
            <w:r w:rsidRPr="00E4709C">
              <w:rPr>
                <w:lang w:val="en-GB"/>
              </w:rPr>
              <w:t>179</w:t>
            </w:r>
            <w:r w:rsidR="00D54B40" w:rsidRPr="00E4709C">
              <w:rPr>
                <w:lang w:val="en-GB"/>
              </w:rPr>
              <w:t>.</w:t>
            </w:r>
            <w:r w:rsidRPr="00E4709C">
              <w:rPr>
                <w:lang w:val="en-GB"/>
              </w:rPr>
              <w:t>36</w:t>
            </w:r>
          </w:p>
        </w:tc>
        <w:tc>
          <w:tcPr>
            <w:tcW w:w="1134" w:type="dxa"/>
          </w:tcPr>
          <w:p w14:paraId="4027DD3F" w14:textId="146CE929" w:rsidR="00521609" w:rsidRPr="00E4709C" w:rsidRDefault="00521609" w:rsidP="008A1B9D">
            <w:pPr>
              <w:pStyle w:val="AAENormaltext"/>
              <w:spacing w:after="0"/>
              <w:jc w:val="center"/>
              <w:rPr>
                <w:lang w:val="en-GB"/>
              </w:rPr>
            </w:pPr>
            <w:r w:rsidRPr="00E4709C">
              <w:rPr>
                <w:lang w:val="en-GB"/>
              </w:rPr>
              <w:t>83</w:t>
            </w:r>
            <w:r w:rsidR="00D54B40" w:rsidRPr="00E4709C">
              <w:rPr>
                <w:lang w:val="en-GB"/>
              </w:rPr>
              <w:t>.</w:t>
            </w:r>
            <w:r w:rsidRPr="00E4709C">
              <w:rPr>
                <w:lang w:val="en-GB"/>
              </w:rPr>
              <w:t>21</w:t>
            </w:r>
          </w:p>
        </w:tc>
        <w:tc>
          <w:tcPr>
            <w:tcW w:w="1418" w:type="dxa"/>
          </w:tcPr>
          <w:p w14:paraId="545F7F6B" w14:textId="77D8405B" w:rsidR="00521609" w:rsidRPr="00E4709C" w:rsidRDefault="00521609" w:rsidP="008A1B9D">
            <w:pPr>
              <w:pStyle w:val="AAENormaltext"/>
              <w:spacing w:after="0"/>
              <w:jc w:val="center"/>
              <w:rPr>
                <w:lang w:val="en-GB"/>
              </w:rPr>
            </w:pPr>
            <w:r w:rsidRPr="00E4709C">
              <w:rPr>
                <w:lang w:val="en-GB"/>
              </w:rPr>
              <w:t>572</w:t>
            </w:r>
            <w:r w:rsidR="00D54B40" w:rsidRPr="00E4709C">
              <w:rPr>
                <w:lang w:val="en-GB"/>
              </w:rPr>
              <w:t>.</w:t>
            </w:r>
            <w:r w:rsidRPr="00E4709C">
              <w:rPr>
                <w:lang w:val="en-GB"/>
              </w:rPr>
              <w:t>57</w:t>
            </w:r>
          </w:p>
        </w:tc>
        <w:tc>
          <w:tcPr>
            <w:tcW w:w="1411" w:type="dxa"/>
          </w:tcPr>
          <w:p w14:paraId="6EA81B49" w14:textId="74401357" w:rsidR="00521609" w:rsidRPr="00E4709C" w:rsidRDefault="00521609" w:rsidP="008A1B9D">
            <w:pPr>
              <w:pStyle w:val="AAENormaltext"/>
              <w:spacing w:after="0"/>
              <w:jc w:val="center"/>
              <w:rPr>
                <w:lang w:val="en-GB"/>
              </w:rPr>
            </w:pPr>
            <w:r w:rsidRPr="00E4709C">
              <w:rPr>
                <w:lang w:val="en-GB"/>
              </w:rPr>
              <w:t>1</w:t>
            </w:r>
            <w:r w:rsidR="00D54B40" w:rsidRPr="00E4709C">
              <w:rPr>
                <w:lang w:val="en-GB"/>
              </w:rPr>
              <w:t> </w:t>
            </w:r>
            <w:r w:rsidRPr="00E4709C">
              <w:rPr>
                <w:lang w:val="en-GB"/>
              </w:rPr>
              <w:t>091</w:t>
            </w:r>
            <w:r w:rsidR="00D54B40" w:rsidRPr="00E4709C">
              <w:rPr>
                <w:lang w:val="en-GB"/>
              </w:rPr>
              <w:t>.</w:t>
            </w:r>
            <w:r w:rsidRPr="00E4709C">
              <w:rPr>
                <w:lang w:val="en-GB"/>
              </w:rPr>
              <w:t>99</w:t>
            </w:r>
          </w:p>
        </w:tc>
      </w:tr>
      <w:tr w:rsidR="00521609" w:rsidRPr="00E4709C" w14:paraId="7444A84F" w14:textId="77777777" w:rsidTr="00F22035">
        <w:trPr>
          <w:trHeight w:val="283"/>
          <w:jc w:val="left"/>
        </w:trPr>
        <w:tc>
          <w:tcPr>
            <w:tcW w:w="1134" w:type="dxa"/>
          </w:tcPr>
          <w:p w14:paraId="23F9876F" w14:textId="77777777" w:rsidR="00521609" w:rsidRPr="00E4709C" w:rsidRDefault="00521609" w:rsidP="008A1B9D">
            <w:pPr>
              <w:pStyle w:val="AAENormaltext"/>
              <w:spacing w:after="0"/>
              <w:jc w:val="left"/>
              <w:rPr>
                <w:lang w:val="en-GB"/>
              </w:rPr>
            </w:pPr>
            <w:r w:rsidRPr="00E4709C">
              <w:rPr>
                <w:lang w:val="en-GB"/>
              </w:rPr>
              <w:t>Germany</w:t>
            </w:r>
          </w:p>
        </w:tc>
        <w:tc>
          <w:tcPr>
            <w:tcW w:w="1560" w:type="dxa"/>
          </w:tcPr>
          <w:p w14:paraId="36CD824B" w14:textId="3E34C3EC" w:rsidR="00521609" w:rsidRPr="00E4709C" w:rsidRDefault="00521609" w:rsidP="008A1B9D">
            <w:pPr>
              <w:pStyle w:val="AAENormaltext"/>
              <w:spacing w:after="0"/>
              <w:jc w:val="center"/>
              <w:rPr>
                <w:lang w:val="en-GB"/>
              </w:rPr>
            </w:pPr>
            <w:r w:rsidRPr="00E4709C">
              <w:rPr>
                <w:lang w:val="en-GB"/>
              </w:rPr>
              <w:t>339</w:t>
            </w:r>
            <w:r w:rsidR="00D54B40" w:rsidRPr="00E4709C">
              <w:rPr>
                <w:lang w:val="en-GB"/>
              </w:rPr>
              <w:t>.</w:t>
            </w:r>
            <w:r w:rsidRPr="00E4709C">
              <w:rPr>
                <w:lang w:val="en-GB"/>
              </w:rPr>
              <w:t>00</w:t>
            </w:r>
          </w:p>
        </w:tc>
        <w:tc>
          <w:tcPr>
            <w:tcW w:w="1172" w:type="dxa"/>
          </w:tcPr>
          <w:p w14:paraId="050C5057" w14:textId="5757BB4C" w:rsidR="00521609" w:rsidRPr="00E4709C" w:rsidRDefault="00521609" w:rsidP="008A1B9D">
            <w:pPr>
              <w:pStyle w:val="AAENormaltext"/>
              <w:spacing w:after="0"/>
              <w:jc w:val="center"/>
              <w:rPr>
                <w:lang w:val="en-GB"/>
              </w:rPr>
            </w:pPr>
            <w:r w:rsidRPr="00E4709C">
              <w:rPr>
                <w:lang w:val="en-GB"/>
              </w:rPr>
              <w:t>808</w:t>
            </w:r>
            <w:r w:rsidR="00D54B40" w:rsidRPr="00E4709C">
              <w:rPr>
                <w:lang w:val="en-GB"/>
              </w:rPr>
              <w:t>.</w:t>
            </w:r>
            <w:r w:rsidRPr="00E4709C">
              <w:rPr>
                <w:lang w:val="en-GB"/>
              </w:rPr>
              <w:t>47</w:t>
            </w:r>
          </w:p>
        </w:tc>
        <w:tc>
          <w:tcPr>
            <w:tcW w:w="1809" w:type="dxa"/>
          </w:tcPr>
          <w:p w14:paraId="4472CBF5" w14:textId="138F42D8" w:rsidR="00521609" w:rsidRPr="00E4709C" w:rsidRDefault="00521609" w:rsidP="008A1B9D">
            <w:pPr>
              <w:pStyle w:val="AAENormaltext"/>
              <w:spacing w:after="0"/>
              <w:jc w:val="center"/>
              <w:rPr>
                <w:lang w:val="en-GB"/>
              </w:rPr>
            </w:pPr>
            <w:r w:rsidRPr="00E4709C">
              <w:rPr>
                <w:lang w:val="en-GB"/>
              </w:rPr>
              <w:t>176</w:t>
            </w:r>
            <w:r w:rsidR="00D54B40" w:rsidRPr="00E4709C">
              <w:rPr>
                <w:lang w:val="en-GB"/>
              </w:rPr>
              <w:t>.</w:t>
            </w:r>
            <w:r w:rsidRPr="00E4709C">
              <w:rPr>
                <w:lang w:val="en-GB"/>
              </w:rPr>
              <w:t>64</w:t>
            </w:r>
          </w:p>
        </w:tc>
        <w:tc>
          <w:tcPr>
            <w:tcW w:w="1134" w:type="dxa"/>
          </w:tcPr>
          <w:p w14:paraId="0307523F" w14:textId="4DD656A6" w:rsidR="00521609" w:rsidRPr="00E4709C" w:rsidRDefault="00521609" w:rsidP="008A1B9D">
            <w:pPr>
              <w:pStyle w:val="AAENormaltext"/>
              <w:spacing w:after="0"/>
              <w:jc w:val="center"/>
              <w:rPr>
                <w:lang w:val="en-GB"/>
              </w:rPr>
            </w:pPr>
            <w:r w:rsidRPr="00E4709C">
              <w:rPr>
                <w:lang w:val="en-GB"/>
              </w:rPr>
              <w:t>100</w:t>
            </w:r>
            <w:r w:rsidR="00D54B40" w:rsidRPr="00E4709C">
              <w:rPr>
                <w:lang w:val="en-GB"/>
              </w:rPr>
              <w:t>.</w:t>
            </w:r>
            <w:r w:rsidRPr="00E4709C">
              <w:rPr>
                <w:lang w:val="en-GB"/>
              </w:rPr>
              <w:t>50</w:t>
            </w:r>
          </w:p>
        </w:tc>
        <w:tc>
          <w:tcPr>
            <w:tcW w:w="1418" w:type="dxa"/>
          </w:tcPr>
          <w:p w14:paraId="4AEADF00" w14:textId="68DDA90D" w:rsidR="00521609" w:rsidRPr="00E4709C" w:rsidRDefault="00521609" w:rsidP="008A1B9D">
            <w:pPr>
              <w:pStyle w:val="AAENormaltext"/>
              <w:spacing w:after="0"/>
              <w:jc w:val="center"/>
              <w:rPr>
                <w:lang w:val="en-GB"/>
              </w:rPr>
            </w:pPr>
            <w:r w:rsidRPr="00E4709C">
              <w:rPr>
                <w:lang w:val="en-GB"/>
              </w:rPr>
              <w:t>531</w:t>
            </w:r>
            <w:r w:rsidR="00D54B40" w:rsidRPr="00E4709C">
              <w:rPr>
                <w:lang w:val="en-GB"/>
              </w:rPr>
              <w:t>.</w:t>
            </w:r>
            <w:r w:rsidRPr="00E4709C">
              <w:rPr>
                <w:lang w:val="en-GB"/>
              </w:rPr>
              <w:t>33</w:t>
            </w:r>
          </w:p>
        </w:tc>
        <w:tc>
          <w:tcPr>
            <w:tcW w:w="1411" w:type="dxa"/>
          </w:tcPr>
          <w:p w14:paraId="2F79F1F9" w14:textId="38844305" w:rsidR="00521609" w:rsidRPr="00E4709C" w:rsidRDefault="00521609" w:rsidP="008A1B9D">
            <w:pPr>
              <w:pStyle w:val="AAENormaltext"/>
              <w:spacing w:after="0"/>
              <w:jc w:val="center"/>
              <w:rPr>
                <w:lang w:val="en-GB"/>
              </w:rPr>
            </w:pPr>
            <w:r w:rsidRPr="00E4709C">
              <w:rPr>
                <w:lang w:val="en-GB"/>
              </w:rPr>
              <w:t>870</w:t>
            </w:r>
            <w:r w:rsidR="00D54B40" w:rsidRPr="00E4709C">
              <w:rPr>
                <w:lang w:val="en-GB"/>
              </w:rPr>
              <w:t>.</w:t>
            </w:r>
            <w:r w:rsidRPr="00E4709C">
              <w:rPr>
                <w:lang w:val="en-GB"/>
              </w:rPr>
              <w:t>33</w:t>
            </w:r>
          </w:p>
        </w:tc>
      </w:tr>
      <w:tr w:rsidR="00521609" w:rsidRPr="00E4709C" w14:paraId="702DD2B3" w14:textId="77777777" w:rsidTr="00F22035">
        <w:trPr>
          <w:trHeight w:val="283"/>
          <w:jc w:val="left"/>
        </w:trPr>
        <w:tc>
          <w:tcPr>
            <w:tcW w:w="1134" w:type="dxa"/>
          </w:tcPr>
          <w:p w14:paraId="08F9CA26" w14:textId="77777777" w:rsidR="00521609" w:rsidRPr="00E4709C" w:rsidRDefault="00521609" w:rsidP="008A1B9D">
            <w:pPr>
              <w:pStyle w:val="AAENormaltext"/>
              <w:spacing w:after="0"/>
              <w:jc w:val="left"/>
              <w:rPr>
                <w:lang w:val="en-GB"/>
              </w:rPr>
            </w:pPr>
            <w:r w:rsidRPr="00E4709C">
              <w:rPr>
                <w:lang w:val="en-GB"/>
              </w:rPr>
              <w:t>France</w:t>
            </w:r>
          </w:p>
        </w:tc>
        <w:tc>
          <w:tcPr>
            <w:tcW w:w="1560" w:type="dxa"/>
          </w:tcPr>
          <w:p w14:paraId="71CCD98F" w14:textId="65C740B4" w:rsidR="00521609" w:rsidRPr="00E4709C" w:rsidRDefault="00521609" w:rsidP="008A1B9D">
            <w:pPr>
              <w:pStyle w:val="AAENormaltext"/>
              <w:spacing w:after="0"/>
              <w:jc w:val="center"/>
              <w:rPr>
                <w:lang w:val="en-GB"/>
              </w:rPr>
            </w:pPr>
            <w:r w:rsidRPr="00E4709C">
              <w:rPr>
                <w:lang w:val="en-GB"/>
              </w:rPr>
              <w:t>354</w:t>
            </w:r>
            <w:r w:rsidR="00D54B40" w:rsidRPr="00E4709C">
              <w:rPr>
                <w:lang w:val="en-GB"/>
              </w:rPr>
              <w:t>.</w:t>
            </w:r>
            <w:r w:rsidRPr="00E4709C">
              <w:rPr>
                <w:lang w:val="en-GB"/>
              </w:rPr>
              <w:t>77</w:t>
            </w:r>
          </w:p>
        </w:tc>
        <w:tc>
          <w:tcPr>
            <w:tcW w:w="1172" w:type="dxa"/>
          </w:tcPr>
          <w:p w14:paraId="5AC34745" w14:textId="2426819A" w:rsidR="00521609" w:rsidRPr="00E4709C" w:rsidRDefault="00521609" w:rsidP="008A1B9D">
            <w:pPr>
              <w:pStyle w:val="AAENormaltext"/>
              <w:spacing w:after="0"/>
              <w:jc w:val="center"/>
              <w:rPr>
                <w:lang w:val="en-GB"/>
              </w:rPr>
            </w:pPr>
            <w:r w:rsidRPr="00E4709C">
              <w:rPr>
                <w:lang w:val="en-GB"/>
              </w:rPr>
              <w:t>733</w:t>
            </w:r>
            <w:r w:rsidR="00D54B40" w:rsidRPr="00E4709C">
              <w:rPr>
                <w:lang w:val="en-GB"/>
              </w:rPr>
              <w:t>.</w:t>
            </w:r>
            <w:r w:rsidRPr="00E4709C">
              <w:rPr>
                <w:lang w:val="en-GB"/>
              </w:rPr>
              <w:t>73</w:t>
            </w:r>
          </w:p>
        </w:tc>
        <w:tc>
          <w:tcPr>
            <w:tcW w:w="1809" w:type="dxa"/>
          </w:tcPr>
          <w:p w14:paraId="109219E1" w14:textId="08A71074" w:rsidR="00521609" w:rsidRPr="00E4709C" w:rsidRDefault="00521609" w:rsidP="008A1B9D">
            <w:pPr>
              <w:pStyle w:val="AAENormaltext"/>
              <w:spacing w:after="0"/>
              <w:jc w:val="center"/>
              <w:rPr>
                <w:lang w:val="en-GB"/>
              </w:rPr>
            </w:pPr>
            <w:r w:rsidRPr="00E4709C">
              <w:rPr>
                <w:lang w:val="en-GB"/>
              </w:rPr>
              <w:t>146</w:t>
            </w:r>
            <w:r w:rsidR="00D54B40" w:rsidRPr="00E4709C">
              <w:rPr>
                <w:lang w:val="en-GB"/>
              </w:rPr>
              <w:t>.</w:t>
            </w:r>
            <w:r w:rsidRPr="00E4709C">
              <w:rPr>
                <w:lang w:val="en-GB"/>
              </w:rPr>
              <w:t>59</w:t>
            </w:r>
          </w:p>
        </w:tc>
        <w:tc>
          <w:tcPr>
            <w:tcW w:w="1134" w:type="dxa"/>
          </w:tcPr>
          <w:p w14:paraId="4FF79139" w14:textId="46F6E696" w:rsidR="00521609" w:rsidRPr="00E4709C" w:rsidRDefault="00521609" w:rsidP="008A1B9D">
            <w:pPr>
              <w:pStyle w:val="AAENormaltext"/>
              <w:spacing w:after="0"/>
              <w:jc w:val="center"/>
              <w:rPr>
                <w:lang w:val="en-GB"/>
              </w:rPr>
            </w:pPr>
            <w:r w:rsidRPr="00E4709C">
              <w:rPr>
                <w:lang w:val="en-GB"/>
              </w:rPr>
              <w:t>33</w:t>
            </w:r>
            <w:r w:rsidR="00D54B40" w:rsidRPr="00E4709C">
              <w:rPr>
                <w:lang w:val="en-GB"/>
              </w:rPr>
              <w:t>.</w:t>
            </w:r>
            <w:r w:rsidRPr="00E4709C">
              <w:rPr>
                <w:lang w:val="en-GB"/>
              </w:rPr>
              <w:t>81</w:t>
            </w:r>
          </w:p>
        </w:tc>
        <w:tc>
          <w:tcPr>
            <w:tcW w:w="1418" w:type="dxa"/>
          </w:tcPr>
          <w:p w14:paraId="678B124B" w14:textId="38B82386" w:rsidR="00521609" w:rsidRPr="00E4709C" w:rsidRDefault="00521609" w:rsidP="008A1B9D">
            <w:pPr>
              <w:pStyle w:val="AAENormaltext"/>
              <w:spacing w:after="0"/>
              <w:jc w:val="center"/>
              <w:rPr>
                <w:lang w:val="en-GB"/>
              </w:rPr>
            </w:pPr>
            <w:r w:rsidRPr="00E4709C">
              <w:rPr>
                <w:lang w:val="en-GB"/>
              </w:rPr>
              <w:t>553</w:t>
            </w:r>
            <w:r w:rsidR="00D54B40" w:rsidRPr="00E4709C">
              <w:rPr>
                <w:lang w:val="en-GB"/>
              </w:rPr>
              <w:t>.</w:t>
            </w:r>
            <w:r w:rsidRPr="00E4709C">
              <w:rPr>
                <w:lang w:val="en-GB"/>
              </w:rPr>
              <w:t>33</w:t>
            </w:r>
          </w:p>
        </w:tc>
        <w:tc>
          <w:tcPr>
            <w:tcW w:w="1411" w:type="dxa"/>
          </w:tcPr>
          <w:p w14:paraId="5D49B83D" w14:textId="25AB644A" w:rsidR="00521609" w:rsidRPr="00E4709C" w:rsidRDefault="00521609" w:rsidP="008A1B9D">
            <w:pPr>
              <w:pStyle w:val="AAENormaltext"/>
              <w:spacing w:after="0"/>
              <w:jc w:val="center"/>
              <w:rPr>
                <w:lang w:val="en-GB"/>
              </w:rPr>
            </w:pPr>
            <w:r w:rsidRPr="00E4709C">
              <w:rPr>
                <w:lang w:val="en-GB"/>
              </w:rPr>
              <w:t>908</w:t>
            </w:r>
            <w:r w:rsidR="00D54B40" w:rsidRPr="00E4709C">
              <w:rPr>
                <w:lang w:val="en-GB"/>
              </w:rPr>
              <w:t>.</w:t>
            </w:r>
            <w:r w:rsidRPr="00E4709C">
              <w:rPr>
                <w:lang w:val="en-GB"/>
              </w:rPr>
              <w:t>10</w:t>
            </w:r>
          </w:p>
        </w:tc>
      </w:tr>
      <w:tr w:rsidR="00521609" w:rsidRPr="00E4709C" w14:paraId="60E20A5D" w14:textId="77777777" w:rsidTr="00F22035">
        <w:trPr>
          <w:trHeight w:val="283"/>
          <w:jc w:val="left"/>
        </w:trPr>
        <w:tc>
          <w:tcPr>
            <w:tcW w:w="1134" w:type="dxa"/>
          </w:tcPr>
          <w:p w14:paraId="28F9155D" w14:textId="77777777" w:rsidR="00521609" w:rsidRPr="00E4709C" w:rsidRDefault="00521609" w:rsidP="008A1B9D">
            <w:pPr>
              <w:pStyle w:val="AAENormaltext"/>
              <w:spacing w:after="0"/>
              <w:jc w:val="left"/>
              <w:rPr>
                <w:lang w:val="en-GB"/>
              </w:rPr>
            </w:pPr>
            <w:r w:rsidRPr="00E4709C">
              <w:rPr>
                <w:lang w:val="en-GB"/>
              </w:rPr>
              <w:t>Spain</w:t>
            </w:r>
          </w:p>
        </w:tc>
        <w:tc>
          <w:tcPr>
            <w:tcW w:w="1560" w:type="dxa"/>
          </w:tcPr>
          <w:p w14:paraId="76B55FD5" w14:textId="25F80B74" w:rsidR="00521609" w:rsidRPr="00E4709C" w:rsidRDefault="00521609" w:rsidP="008A1B9D">
            <w:pPr>
              <w:pStyle w:val="AAENormaltext"/>
              <w:spacing w:after="0"/>
              <w:jc w:val="center"/>
              <w:rPr>
                <w:lang w:val="en-GB"/>
              </w:rPr>
            </w:pPr>
            <w:r w:rsidRPr="00E4709C">
              <w:rPr>
                <w:lang w:val="en-GB"/>
              </w:rPr>
              <w:t>403</w:t>
            </w:r>
            <w:r w:rsidR="00D54B40" w:rsidRPr="00E4709C">
              <w:rPr>
                <w:lang w:val="en-GB"/>
              </w:rPr>
              <w:t>.</w:t>
            </w:r>
            <w:r w:rsidRPr="00E4709C">
              <w:rPr>
                <w:lang w:val="en-GB"/>
              </w:rPr>
              <w:t>03</w:t>
            </w:r>
          </w:p>
        </w:tc>
        <w:tc>
          <w:tcPr>
            <w:tcW w:w="1172" w:type="dxa"/>
          </w:tcPr>
          <w:p w14:paraId="272A606C" w14:textId="5D67477A" w:rsidR="00521609" w:rsidRPr="00E4709C" w:rsidRDefault="00521609" w:rsidP="008A1B9D">
            <w:pPr>
              <w:pStyle w:val="AAENormaltext"/>
              <w:spacing w:after="0"/>
              <w:jc w:val="center"/>
              <w:rPr>
                <w:lang w:val="en-GB"/>
              </w:rPr>
            </w:pPr>
            <w:r w:rsidRPr="00E4709C">
              <w:rPr>
                <w:lang w:val="en-GB"/>
              </w:rPr>
              <w:t>728</w:t>
            </w:r>
            <w:r w:rsidR="00D54B40" w:rsidRPr="00E4709C">
              <w:rPr>
                <w:lang w:val="en-GB"/>
              </w:rPr>
              <w:t>.</w:t>
            </w:r>
            <w:r w:rsidRPr="00E4709C">
              <w:rPr>
                <w:lang w:val="en-GB"/>
              </w:rPr>
              <w:t>07</w:t>
            </w:r>
          </w:p>
        </w:tc>
        <w:tc>
          <w:tcPr>
            <w:tcW w:w="1809" w:type="dxa"/>
          </w:tcPr>
          <w:p w14:paraId="1FC1D465" w14:textId="7B9C4D8E" w:rsidR="00521609" w:rsidRPr="00E4709C" w:rsidRDefault="00521609" w:rsidP="008A1B9D">
            <w:pPr>
              <w:pStyle w:val="AAENormaltext"/>
              <w:spacing w:after="0"/>
              <w:jc w:val="center"/>
              <w:rPr>
                <w:lang w:val="en-GB"/>
              </w:rPr>
            </w:pPr>
            <w:r w:rsidRPr="00E4709C">
              <w:rPr>
                <w:lang w:val="en-GB"/>
              </w:rPr>
              <w:t>47</w:t>
            </w:r>
            <w:r w:rsidR="00D54B40" w:rsidRPr="00E4709C">
              <w:rPr>
                <w:lang w:val="en-GB"/>
              </w:rPr>
              <w:t>.</w:t>
            </w:r>
            <w:r w:rsidRPr="00E4709C">
              <w:rPr>
                <w:lang w:val="en-GB"/>
              </w:rPr>
              <w:t>32</w:t>
            </w:r>
          </w:p>
        </w:tc>
        <w:tc>
          <w:tcPr>
            <w:tcW w:w="1134" w:type="dxa"/>
          </w:tcPr>
          <w:p w14:paraId="69FDF344" w14:textId="1C4F9A45" w:rsidR="00521609" w:rsidRPr="00E4709C" w:rsidRDefault="00521609" w:rsidP="008A1B9D">
            <w:pPr>
              <w:pStyle w:val="AAENormaltext"/>
              <w:spacing w:after="0"/>
              <w:jc w:val="center"/>
              <w:rPr>
                <w:lang w:val="en-GB"/>
              </w:rPr>
            </w:pPr>
            <w:r w:rsidRPr="00E4709C">
              <w:rPr>
                <w:lang w:val="en-GB"/>
              </w:rPr>
              <w:t>136</w:t>
            </w:r>
            <w:r w:rsidR="00D54B40" w:rsidRPr="00E4709C">
              <w:rPr>
                <w:lang w:val="en-GB"/>
              </w:rPr>
              <w:t>.</w:t>
            </w:r>
            <w:r w:rsidRPr="00E4709C">
              <w:rPr>
                <w:lang w:val="en-GB"/>
              </w:rPr>
              <w:t>92</w:t>
            </w:r>
          </w:p>
        </w:tc>
        <w:tc>
          <w:tcPr>
            <w:tcW w:w="1418" w:type="dxa"/>
          </w:tcPr>
          <w:p w14:paraId="4E6A69F8" w14:textId="6E54ADD3" w:rsidR="00521609" w:rsidRPr="00E4709C" w:rsidRDefault="00521609" w:rsidP="008A1B9D">
            <w:pPr>
              <w:pStyle w:val="AAENormaltext"/>
              <w:spacing w:after="0"/>
              <w:jc w:val="center"/>
              <w:rPr>
                <w:lang w:val="en-GB"/>
              </w:rPr>
            </w:pPr>
            <w:r w:rsidRPr="00E4709C">
              <w:rPr>
                <w:lang w:val="en-GB"/>
              </w:rPr>
              <w:t>543</w:t>
            </w:r>
            <w:r w:rsidR="00D54B40" w:rsidRPr="00E4709C">
              <w:rPr>
                <w:lang w:val="en-GB"/>
              </w:rPr>
              <w:t>.</w:t>
            </w:r>
            <w:r w:rsidRPr="00E4709C">
              <w:rPr>
                <w:lang w:val="en-GB"/>
              </w:rPr>
              <w:t>83</w:t>
            </w:r>
          </w:p>
        </w:tc>
        <w:tc>
          <w:tcPr>
            <w:tcW w:w="1411" w:type="dxa"/>
          </w:tcPr>
          <w:p w14:paraId="63702902" w14:textId="49BA80E9" w:rsidR="00521609" w:rsidRPr="00E4709C" w:rsidRDefault="00521609" w:rsidP="008A1B9D">
            <w:pPr>
              <w:pStyle w:val="AAENormaltext"/>
              <w:spacing w:after="0"/>
              <w:jc w:val="center"/>
              <w:rPr>
                <w:lang w:val="en-GB"/>
              </w:rPr>
            </w:pPr>
            <w:r w:rsidRPr="00E4709C">
              <w:rPr>
                <w:lang w:val="en-GB"/>
              </w:rPr>
              <w:t>946</w:t>
            </w:r>
            <w:r w:rsidR="00D54B40" w:rsidRPr="00E4709C">
              <w:rPr>
                <w:lang w:val="en-GB"/>
              </w:rPr>
              <w:t>.</w:t>
            </w:r>
            <w:r w:rsidRPr="00E4709C">
              <w:rPr>
                <w:lang w:val="en-GB"/>
              </w:rPr>
              <w:t>86</w:t>
            </w:r>
          </w:p>
        </w:tc>
      </w:tr>
      <w:tr w:rsidR="00521609" w:rsidRPr="00E4709C" w14:paraId="27DD560E" w14:textId="77777777" w:rsidTr="00F22035">
        <w:trPr>
          <w:trHeight w:val="283"/>
          <w:jc w:val="left"/>
        </w:trPr>
        <w:tc>
          <w:tcPr>
            <w:tcW w:w="1134" w:type="dxa"/>
          </w:tcPr>
          <w:p w14:paraId="5AB48D6A" w14:textId="77777777" w:rsidR="00521609" w:rsidRPr="00E4709C" w:rsidRDefault="00521609" w:rsidP="008A1B9D">
            <w:pPr>
              <w:pStyle w:val="AAENormaltext"/>
              <w:spacing w:after="0"/>
              <w:jc w:val="left"/>
              <w:rPr>
                <w:lang w:val="en-GB"/>
              </w:rPr>
            </w:pPr>
            <w:r w:rsidRPr="00E4709C">
              <w:rPr>
                <w:lang w:val="en-GB"/>
              </w:rPr>
              <w:t>Italy</w:t>
            </w:r>
          </w:p>
        </w:tc>
        <w:tc>
          <w:tcPr>
            <w:tcW w:w="1560" w:type="dxa"/>
          </w:tcPr>
          <w:p w14:paraId="5BA21078" w14:textId="11C1FB0E" w:rsidR="00521609" w:rsidRPr="00E4709C" w:rsidRDefault="00521609" w:rsidP="008A1B9D">
            <w:pPr>
              <w:pStyle w:val="AAENormaltext"/>
              <w:spacing w:after="0"/>
              <w:jc w:val="center"/>
              <w:rPr>
                <w:lang w:val="en-GB"/>
              </w:rPr>
            </w:pPr>
            <w:r w:rsidRPr="00E4709C">
              <w:rPr>
                <w:lang w:val="en-GB"/>
              </w:rPr>
              <w:t>542</w:t>
            </w:r>
            <w:r w:rsidR="00D54B40" w:rsidRPr="00E4709C">
              <w:rPr>
                <w:lang w:val="en-GB"/>
              </w:rPr>
              <w:t>.</w:t>
            </w:r>
            <w:r w:rsidRPr="00E4709C">
              <w:rPr>
                <w:lang w:val="en-GB"/>
              </w:rPr>
              <w:t>22</w:t>
            </w:r>
          </w:p>
        </w:tc>
        <w:tc>
          <w:tcPr>
            <w:tcW w:w="1172" w:type="dxa"/>
          </w:tcPr>
          <w:p w14:paraId="735EBA2F" w14:textId="104A7F43" w:rsidR="00521609" w:rsidRPr="00E4709C" w:rsidRDefault="00521609" w:rsidP="008A1B9D">
            <w:pPr>
              <w:pStyle w:val="AAENormaltext"/>
              <w:spacing w:after="0"/>
              <w:jc w:val="center"/>
              <w:rPr>
                <w:lang w:val="en-GB"/>
              </w:rPr>
            </w:pPr>
            <w:r w:rsidRPr="00E4709C">
              <w:rPr>
                <w:lang w:val="en-GB"/>
              </w:rPr>
              <w:t>755</w:t>
            </w:r>
            <w:r w:rsidR="00D54B40" w:rsidRPr="00E4709C">
              <w:rPr>
                <w:lang w:val="en-GB"/>
              </w:rPr>
              <w:t>.</w:t>
            </w:r>
            <w:r w:rsidRPr="00E4709C">
              <w:rPr>
                <w:lang w:val="en-GB"/>
              </w:rPr>
              <w:t>66</w:t>
            </w:r>
          </w:p>
        </w:tc>
        <w:tc>
          <w:tcPr>
            <w:tcW w:w="1809" w:type="dxa"/>
          </w:tcPr>
          <w:p w14:paraId="1419A12D" w14:textId="6FBDB987" w:rsidR="00521609" w:rsidRPr="00E4709C" w:rsidRDefault="00521609" w:rsidP="008A1B9D">
            <w:pPr>
              <w:pStyle w:val="AAENormaltext"/>
              <w:spacing w:after="0"/>
              <w:jc w:val="center"/>
              <w:rPr>
                <w:lang w:val="en-GB"/>
              </w:rPr>
            </w:pPr>
            <w:r w:rsidRPr="00E4709C">
              <w:rPr>
                <w:lang w:val="en-GB"/>
              </w:rPr>
              <w:t>69</w:t>
            </w:r>
            <w:r w:rsidR="00D54B40" w:rsidRPr="00E4709C">
              <w:rPr>
                <w:lang w:val="en-GB"/>
              </w:rPr>
              <w:t>.</w:t>
            </w:r>
            <w:r w:rsidRPr="00E4709C">
              <w:rPr>
                <w:lang w:val="en-GB"/>
              </w:rPr>
              <w:t>45</w:t>
            </w:r>
          </w:p>
        </w:tc>
        <w:tc>
          <w:tcPr>
            <w:tcW w:w="1134" w:type="dxa"/>
          </w:tcPr>
          <w:p w14:paraId="3648F7D1" w14:textId="37FD6380" w:rsidR="00521609" w:rsidRPr="00E4709C" w:rsidRDefault="00521609" w:rsidP="008A1B9D">
            <w:pPr>
              <w:pStyle w:val="AAENormaltext"/>
              <w:spacing w:after="0"/>
              <w:jc w:val="center"/>
              <w:rPr>
                <w:lang w:val="en-GB"/>
              </w:rPr>
            </w:pPr>
            <w:r w:rsidRPr="00E4709C">
              <w:rPr>
                <w:lang w:val="en-GB"/>
              </w:rPr>
              <w:t>171</w:t>
            </w:r>
            <w:r w:rsidR="00D54B40" w:rsidRPr="00E4709C">
              <w:rPr>
                <w:lang w:val="en-GB"/>
              </w:rPr>
              <w:t>.</w:t>
            </w:r>
            <w:r w:rsidRPr="00E4709C">
              <w:rPr>
                <w:lang w:val="en-GB"/>
              </w:rPr>
              <w:t>93</w:t>
            </w:r>
          </w:p>
        </w:tc>
        <w:tc>
          <w:tcPr>
            <w:tcW w:w="1418" w:type="dxa"/>
          </w:tcPr>
          <w:p w14:paraId="2857D6CF" w14:textId="50B88221" w:rsidR="00521609" w:rsidRPr="00E4709C" w:rsidRDefault="00521609" w:rsidP="008A1B9D">
            <w:pPr>
              <w:pStyle w:val="AAENormaltext"/>
              <w:spacing w:after="0"/>
              <w:jc w:val="center"/>
              <w:rPr>
                <w:lang w:val="en-GB"/>
              </w:rPr>
            </w:pPr>
            <w:r w:rsidRPr="00E4709C">
              <w:rPr>
                <w:lang w:val="en-GB"/>
              </w:rPr>
              <w:t>514</w:t>
            </w:r>
            <w:r w:rsidR="00D54B40" w:rsidRPr="00E4709C">
              <w:rPr>
                <w:lang w:val="en-GB"/>
              </w:rPr>
              <w:t>.</w:t>
            </w:r>
            <w:r w:rsidRPr="00E4709C">
              <w:rPr>
                <w:lang w:val="en-GB"/>
              </w:rPr>
              <w:t>28</w:t>
            </w:r>
          </w:p>
        </w:tc>
        <w:tc>
          <w:tcPr>
            <w:tcW w:w="1411" w:type="dxa"/>
          </w:tcPr>
          <w:p w14:paraId="4CD87A6C" w14:textId="2BAED934" w:rsidR="00521609" w:rsidRPr="00E4709C" w:rsidRDefault="00521609" w:rsidP="008A1B9D">
            <w:pPr>
              <w:pStyle w:val="AAENormaltext"/>
              <w:spacing w:after="0"/>
              <w:jc w:val="center"/>
              <w:rPr>
                <w:lang w:val="en-GB"/>
              </w:rPr>
            </w:pPr>
            <w:r w:rsidRPr="00E4709C">
              <w:rPr>
                <w:lang w:val="en-GB"/>
              </w:rPr>
              <w:t>1</w:t>
            </w:r>
            <w:r w:rsidR="00D54B40" w:rsidRPr="00E4709C">
              <w:rPr>
                <w:lang w:val="en-GB"/>
              </w:rPr>
              <w:t> </w:t>
            </w:r>
            <w:r w:rsidRPr="00E4709C">
              <w:rPr>
                <w:lang w:val="en-GB"/>
              </w:rPr>
              <w:t>056</w:t>
            </w:r>
            <w:r w:rsidR="00D54B40" w:rsidRPr="00E4709C">
              <w:rPr>
                <w:lang w:val="en-GB"/>
              </w:rPr>
              <w:t>.</w:t>
            </w:r>
            <w:r w:rsidRPr="00E4709C">
              <w:rPr>
                <w:lang w:val="en-GB"/>
              </w:rPr>
              <w:t>50</w:t>
            </w:r>
          </w:p>
        </w:tc>
      </w:tr>
    </w:tbl>
    <w:p w14:paraId="4CF71A69" w14:textId="77777777" w:rsidR="008A1B9D" w:rsidRPr="00E4709C" w:rsidRDefault="008A1B9D" w:rsidP="008A1B9D">
      <w:pPr>
        <w:pStyle w:val="AAENormaltext"/>
        <w:spacing w:after="0"/>
        <w:ind w:firstLine="284"/>
        <w:rPr>
          <w:lang w:val="en-GB"/>
        </w:rPr>
      </w:pPr>
    </w:p>
    <w:p w14:paraId="44218E93" w14:textId="1AF1E551" w:rsidR="00521609" w:rsidRPr="00E4709C" w:rsidRDefault="00521609" w:rsidP="008A1B9D">
      <w:pPr>
        <w:pStyle w:val="AAENormaltext"/>
        <w:spacing w:after="0"/>
        <w:ind w:firstLine="284"/>
        <w:rPr>
          <w:lang w:val="en-GB"/>
        </w:rPr>
      </w:pPr>
      <w:r w:rsidRPr="00E4709C">
        <w:rPr>
          <w:lang w:val="en-GB"/>
        </w:rPr>
        <w:t>The values presented in Table 1 were calculated using the formula framework defined in Section 2.4. Total travel allowances were calculated according to Equation (1), net wage according to Equation (3), and total net income according to Equation (4).</w:t>
      </w:r>
    </w:p>
    <w:p w14:paraId="75409F7B" w14:textId="150BB86D" w:rsidR="00521609" w:rsidRPr="00E4709C" w:rsidRDefault="00521609" w:rsidP="008A1B9D">
      <w:pPr>
        <w:pStyle w:val="AAENormaltext"/>
        <w:spacing w:after="0"/>
        <w:ind w:firstLine="284"/>
        <w:rPr>
          <w:lang w:val="en-GB"/>
        </w:rPr>
      </w:pPr>
      <w:r w:rsidRPr="00E4709C">
        <w:rPr>
          <w:lang w:val="en-GB"/>
        </w:rPr>
        <w:t xml:space="preserve">The highest travel allowances were calculated under the Italian system, reaching 542.22 €, followed by Poland with 519.42 €. These two countries, therefore, provided the highest travel allowance compensation in the model case. By contrast, the lowest travel allowances were calculated under the German system, amounting to 339.00 €, while France reached 354.77 €. Slovakia reached 373.75 €, </w:t>
      </w:r>
      <w:r w:rsidR="00C942C7">
        <w:rPr>
          <w:lang w:val="en-GB"/>
        </w:rPr>
        <w:t>higher than Germany and France</w:t>
      </w:r>
      <w:r w:rsidRPr="00E4709C">
        <w:rPr>
          <w:lang w:val="en-GB"/>
        </w:rPr>
        <w:t xml:space="preserve"> but still lower than Spain, Poland, and Italy. In the Slovak case, the amount consisted solely of meal allowances because a separate flat-rate accommodation allowance without proof of accommodation was not applied under the current model. </w:t>
      </w:r>
      <w:r w:rsidR="00C53824" w:rsidRPr="00E4709C">
        <w:rPr>
          <w:lang w:val="en-GB"/>
        </w:rPr>
        <w:t>The S</w:t>
      </w:r>
      <w:r w:rsidRPr="00E4709C">
        <w:rPr>
          <w:lang w:val="en-GB"/>
        </w:rPr>
        <w:t xml:space="preserve">lovak result reflects the absence of a legally regulated accommodation allowance without proof of accommodation. In contrast, Italy and Poland achieved the highest allowance values due to their more </w:t>
      </w:r>
      <w:proofErr w:type="spellStart"/>
      <w:r w:rsidRPr="00E4709C">
        <w:rPr>
          <w:lang w:val="en-GB"/>
        </w:rPr>
        <w:t>favorable</w:t>
      </w:r>
      <w:proofErr w:type="spellEnd"/>
      <w:r w:rsidRPr="00E4709C">
        <w:rPr>
          <w:lang w:val="en-GB"/>
        </w:rPr>
        <w:t xml:space="preserve"> allowance mechanisms.</w:t>
      </w:r>
    </w:p>
    <w:p w14:paraId="037DAE5B" w14:textId="68C43EA3" w:rsidR="007338F2" w:rsidRPr="00E4709C" w:rsidRDefault="007338F2" w:rsidP="008A1B9D">
      <w:pPr>
        <w:pStyle w:val="Rn2"/>
        <w:rPr>
          <w:lang w:val="en-GB"/>
        </w:rPr>
      </w:pPr>
      <w:r w:rsidRPr="00E4709C">
        <w:rPr>
          <w:lang w:val="en-GB"/>
        </w:rPr>
        <w:t xml:space="preserve">3.2. </w:t>
      </w:r>
      <w:r w:rsidR="00521609" w:rsidRPr="00E4709C">
        <w:rPr>
          <w:lang w:val="en-GB"/>
        </w:rPr>
        <w:t xml:space="preserve">Accommodation </w:t>
      </w:r>
      <w:r w:rsidR="00E4709C" w:rsidRPr="00E4709C">
        <w:rPr>
          <w:lang w:val="en-GB"/>
        </w:rPr>
        <w:t>A</w:t>
      </w:r>
      <w:r w:rsidR="00521609" w:rsidRPr="00E4709C">
        <w:rPr>
          <w:lang w:val="en-GB"/>
        </w:rPr>
        <w:t xml:space="preserve">llowances in the </w:t>
      </w:r>
      <w:r w:rsidR="00E4709C" w:rsidRPr="00E4709C">
        <w:rPr>
          <w:lang w:val="en-GB"/>
        </w:rPr>
        <w:t>C</w:t>
      </w:r>
      <w:r w:rsidR="00521609" w:rsidRPr="00E4709C">
        <w:rPr>
          <w:lang w:val="en-GB"/>
        </w:rPr>
        <w:t>ountries</w:t>
      </w:r>
    </w:p>
    <w:p w14:paraId="6679D966" w14:textId="77777777" w:rsidR="002F607C" w:rsidRPr="00E4709C" w:rsidRDefault="002F607C" w:rsidP="002F607C">
      <w:pPr>
        <w:pStyle w:val="AAENormaltext"/>
        <w:spacing w:after="0"/>
        <w:ind w:firstLine="284"/>
        <w:rPr>
          <w:lang w:val="en-GB"/>
        </w:rPr>
      </w:pPr>
      <w:r w:rsidRPr="00E4709C">
        <w:rPr>
          <w:lang w:val="en-GB"/>
        </w:rPr>
        <w:t xml:space="preserve">Since the main objective of the paper is to evaluate the possibility of introducing a flat-rate accommodation allowance in Slovakia, the accommodation-related component was </w:t>
      </w:r>
      <w:proofErr w:type="spellStart"/>
      <w:r w:rsidRPr="00E4709C">
        <w:rPr>
          <w:lang w:val="en-GB"/>
        </w:rPr>
        <w:t>analyzed</w:t>
      </w:r>
      <w:proofErr w:type="spellEnd"/>
      <w:r w:rsidRPr="00E4709C">
        <w:rPr>
          <w:lang w:val="en-GB"/>
        </w:rPr>
        <w:t xml:space="preserve"> separately from total travel allowances. This step was necessary because the selected national systems differ not only in the amount of travel allowances but also in how accommodation costs are recognized when no accommodation document is submitted.</w:t>
      </w:r>
    </w:p>
    <w:p w14:paraId="1AEEB82C" w14:textId="531C2B07" w:rsidR="00621A34" w:rsidRPr="00E4709C" w:rsidRDefault="002F607C" w:rsidP="00621A34">
      <w:pPr>
        <w:pStyle w:val="AAENormaltext"/>
        <w:spacing w:after="0"/>
        <w:ind w:firstLine="284"/>
        <w:rPr>
          <w:lang w:val="en-GB"/>
        </w:rPr>
      </w:pPr>
      <w:r w:rsidRPr="00E4709C">
        <w:rPr>
          <w:lang w:val="en-GB"/>
        </w:rPr>
        <w:t>The calculated accommodation allowance values for the model route are presented in Table 2.</w:t>
      </w:r>
    </w:p>
    <w:p w14:paraId="1B84589C" w14:textId="77777777" w:rsidR="004C570C" w:rsidRPr="00E4709C" w:rsidRDefault="004C570C" w:rsidP="004C570C">
      <w:pPr>
        <w:pStyle w:val="AAENormaltext"/>
        <w:spacing w:after="0"/>
        <w:ind w:firstLine="284"/>
        <w:rPr>
          <w:lang w:val="en-GB"/>
        </w:rPr>
      </w:pPr>
    </w:p>
    <w:p w14:paraId="6F18B70F" w14:textId="77777777" w:rsidR="00F22035" w:rsidRDefault="00F22035">
      <w:pPr>
        <w:autoSpaceDE/>
        <w:autoSpaceDN/>
        <w:spacing w:after="160" w:line="259" w:lineRule="auto"/>
        <w:jc w:val="left"/>
        <w:rPr>
          <w:rFonts w:eastAsiaTheme="minorHAnsi" w:cstheme="minorBidi"/>
          <w:b/>
          <w:kern w:val="2"/>
          <w:sz w:val="20"/>
          <w:szCs w:val="22"/>
          <w:lang w:val="en-GB"/>
          <w14:ligatures w14:val="standardContextual"/>
        </w:rPr>
      </w:pPr>
      <w:r>
        <w:rPr>
          <w:b/>
          <w:lang w:val="en-GB"/>
        </w:rPr>
        <w:br w:type="page"/>
      </w:r>
    </w:p>
    <w:p w14:paraId="77B2215D" w14:textId="57F863C7" w:rsidR="002F607C" w:rsidRPr="00E4709C" w:rsidRDefault="002F607C" w:rsidP="008A1B9D">
      <w:pPr>
        <w:pStyle w:val="Rtab"/>
        <w:rPr>
          <w:lang w:val="en-GB"/>
        </w:rPr>
      </w:pPr>
      <w:r w:rsidRPr="00E4709C">
        <w:rPr>
          <w:b/>
          <w:lang w:val="en-GB"/>
        </w:rPr>
        <w:lastRenderedPageBreak/>
        <w:t>Table 2.</w:t>
      </w:r>
      <w:r w:rsidRPr="00E4709C">
        <w:rPr>
          <w:lang w:val="en-GB"/>
        </w:rPr>
        <w:t xml:space="preserve"> Accommodation allowance component under individual national systems</w:t>
      </w:r>
      <w:r w:rsidR="00B242C2" w:rsidRPr="00E4709C">
        <w:rPr>
          <w:lang w:val="en-GB"/>
        </w:rPr>
        <w:t>.</w:t>
      </w:r>
      <w:r w:rsidRPr="00E4709C">
        <w:rPr>
          <w:lang w:val="en-GB"/>
        </w:rPr>
        <w:t xml:space="preserve"> Source: authors</w:t>
      </w:r>
    </w:p>
    <w:tbl>
      <w:tblPr>
        <w:tblStyle w:val="MDPI41threelinetable"/>
        <w:tblW w:w="0" w:type="auto"/>
        <w:jc w:val="left"/>
        <w:tblBorders>
          <w:top w:val="single" w:sz="4" w:space="0" w:color="auto"/>
          <w:bottom w:val="single" w:sz="4" w:space="0" w:color="auto"/>
          <w:insideH w:val="single" w:sz="4" w:space="0" w:color="auto"/>
        </w:tblBorders>
        <w:shd w:val="clear" w:color="auto" w:fill="FFFF00"/>
        <w:tblLook w:val="04A0" w:firstRow="1" w:lastRow="0" w:firstColumn="1" w:lastColumn="0" w:noHBand="0" w:noVBand="1"/>
      </w:tblPr>
      <w:tblGrid>
        <w:gridCol w:w="1134"/>
        <w:gridCol w:w="3119"/>
      </w:tblGrid>
      <w:tr w:rsidR="004C570C" w:rsidRPr="00E4709C" w14:paraId="6E690F30" w14:textId="77777777" w:rsidTr="008A1B9D">
        <w:trPr>
          <w:cnfStyle w:val="100000000000" w:firstRow="1" w:lastRow="0" w:firstColumn="0" w:lastColumn="0" w:oddVBand="0" w:evenVBand="0" w:oddHBand="0" w:evenHBand="0" w:firstRowFirstColumn="0" w:firstRowLastColumn="0" w:lastRowFirstColumn="0" w:lastRowLastColumn="0"/>
          <w:tblHeader/>
          <w:jc w:val="left"/>
        </w:trPr>
        <w:tc>
          <w:tcPr>
            <w:tcW w:w="1134" w:type="dxa"/>
            <w:tcBorders>
              <w:bottom w:val="none" w:sz="0" w:space="0" w:color="auto"/>
            </w:tcBorders>
            <w:hideMark/>
          </w:tcPr>
          <w:p w14:paraId="4400B2AD" w14:textId="77777777" w:rsidR="004C570C" w:rsidRPr="00E4709C" w:rsidRDefault="004C570C" w:rsidP="00E41729">
            <w:pPr>
              <w:pStyle w:val="AAENormaltext"/>
              <w:spacing w:after="0"/>
              <w:jc w:val="left"/>
              <w:rPr>
                <w:b w:val="0"/>
                <w:bCs w:val="0"/>
                <w:lang w:val="en-GB"/>
              </w:rPr>
            </w:pPr>
            <w:r w:rsidRPr="00E4709C">
              <w:rPr>
                <w:b w:val="0"/>
                <w:bCs w:val="0"/>
                <w:lang w:val="en-GB"/>
              </w:rPr>
              <w:t>Country</w:t>
            </w:r>
          </w:p>
        </w:tc>
        <w:tc>
          <w:tcPr>
            <w:tcW w:w="3119" w:type="dxa"/>
            <w:tcBorders>
              <w:bottom w:val="none" w:sz="0" w:space="0" w:color="auto"/>
            </w:tcBorders>
            <w:hideMark/>
          </w:tcPr>
          <w:p w14:paraId="69D368D1" w14:textId="77777777" w:rsidR="004C570C" w:rsidRPr="00E4709C" w:rsidRDefault="004C570C" w:rsidP="00D73F7E">
            <w:pPr>
              <w:pStyle w:val="AAENormaltext"/>
              <w:spacing w:after="0"/>
              <w:jc w:val="center"/>
              <w:rPr>
                <w:b w:val="0"/>
                <w:bCs w:val="0"/>
                <w:lang w:val="en-GB"/>
              </w:rPr>
            </w:pPr>
            <w:r w:rsidRPr="00E4709C">
              <w:rPr>
                <w:b w:val="0"/>
                <w:bCs w:val="0"/>
                <w:lang w:val="en-GB"/>
              </w:rPr>
              <w:t>Accommodation allowance [€]</w:t>
            </w:r>
          </w:p>
        </w:tc>
      </w:tr>
      <w:tr w:rsidR="004C570C" w:rsidRPr="00E4709C" w14:paraId="4E51C8A4" w14:textId="77777777" w:rsidTr="00F22035">
        <w:trPr>
          <w:trHeight w:val="283"/>
          <w:jc w:val="left"/>
        </w:trPr>
        <w:tc>
          <w:tcPr>
            <w:tcW w:w="1134" w:type="dxa"/>
            <w:hideMark/>
          </w:tcPr>
          <w:p w14:paraId="4F78888B" w14:textId="77777777" w:rsidR="004C570C" w:rsidRPr="00E4709C" w:rsidRDefault="004C570C" w:rsidP="00E41729">
            <w:pPr>
              <w:pStyle w:val="AAENormaltext"/>
              <w:spacing w:after="0"/>
              <w:jc w:val="left"/>
              <w:rPr>
                <w:lang w:val="en-GB"/>
              </w:rPr>
            </w:pPr>
            <w:r w:rsidRPr="00E4709C">
              <w:rPr>
                <w:lang w:val="en-GB"/>
              </w:rPr>
              <w:t>Poland</w:t>
            </w:r>
          </w:p>
        </w:tc>
        <w:tc>
          <w:tcPr>
            <w:tcW w:w="3119" w:type="dxa"/>
            <w:hideMark/>
          </w:tcPr>
          <w:p w14:paraId="5E1B09BF" w14:textId="4F341DE1" w:rsidR="004C570C" w:rsidRPr="00E4709C" w:rsidRDefault="004C570C" w:rsidP="004C570C">
            <w:pPr>
              <w:pStyle w:val="AAENormaltext"/>
              <w:spacing w:after="0"/>
              <w:jc w:val="center"/>
              <w:rPr>
                <w:lang w:val="en-GB"/>
              </w:rPr>
            </w:pPr>
            <w:r w:rsidRPr="00E4709C">
              <w:rPr>
                <w:lang w:val="en-GB"/>
              </w:rPr>
              <w:t>202</w:t>
            </w:r>
            <w:r w:rsidR="00B242C2" w:rsidRPr="00E4709C">
              <w:rPr>
                <w:lang w:val="en-GB"/>
              </w:rPr>
              <w:t>.</w:t>
            </w:r>
            <w:r w:rsidRPr="00E4709C">
              <w:rPr>
                <w:lang w:val="en-GB"/>
              </w:rPr>
              <w:t>75</w:t>
            </w:r>
          </w:p>
        </w:tc>
      </w:tr>
      <w:tr w:rsidR="004C570C" w:rsidRPr="00E4709C" w14:paraId="06A0CEEC" w14:textId="77777777" w:rsidTr="00F22035">
        <w:trPr>
          <w:trHeight w:val="283"/>
          <w:jc w:val="left"/>
        </w:trPr>
        <w:tc>
          <w:tcPr>
            <w:tcW w:w="1134" w:type="dxa"/>
            <w:hideMark/>
          </w:tcPr>
          <w:p w14:paraId="328B16C4" w14:textId="77777777" w:rsidR="004C570C" w:rsidRPr="00E4709C" w:rsidRDefault="004C570C" w:rsidP="00E41729">
            <w:pPr>
              <w:pStyle w:val="AAENormaltext"/>
              <w:spacing w:after="0"/>
              <w:jc w:val="left"/>
              <w:rPr>
                <w:lang w:val="en-GB"/>
              </w:rPr>
            </w:pPr>
            <w:r w:rsidRPr="00E4709C">
              <w:rPr>
                <w:lang w:val="en-GB"/>
              </w:rPr>
              <w:t>Germany</w:t>
            </w:r>
          </w:p>
        </w:tc>
        <w:tc>
          <w:tcPr>
            <w:tcW w:w="3119" w:type="dxa"/>
            <w:hideMark/>
          </w:tcPr>
          <w:p w14:paraId="1CF53938" w14:textId="30913552" w:rsidR="004C570C" w:rsidRPr="00E4709C" w:rsidRDefault="004C570C" w:rsidP="004C570C">
            <w:pPr>
              <w:pStyle w:val="AAENormaltext"/>
              <w:spacing w:after="0"/>
              <w:jc w:val="center"/>
              <w:rPr>
                <w:lang w:val="en-GB"/>
              </w:rPr>
            </w:pPr>
            <w:r w:rsidRPr="00E4709C">
              <w:rPr>
                <w:lang w:val="en-GB"/>
              </w:rPr>
              <w:t>54</w:t>
            </w:r>
            <w:r w:rsidR="00B242C2" w:rsidRPr="00E4709C">
              <w:rPr>
                <w:lang w:val="en-GB"/>
              </w:rPr>
              <w:t>.</w:t>
            </w:r>
            <w:r w:rsidRPr="00E4709C">
              <w:rPr>
                <w:lang w:val="en-GB"/>
              </w:rPr>
              <w:t>00</w:t>
            </w:r>
          </w:p>
        </w:tc>
      </w:tr>
      <w:tr w:rsidR="004C570C" w:rsidRPr="00E4709C" w14:paraId="1CC41162" w14:textId="77777777" w:rsidTr="00F22035">
        <w:trPr>
          <w:trHeight w:val="283"/>
          <w:jc w:val="left"/>
        </w:trPr>
        <w:tc>
          <w:tcPr>
            <w:tcW w:w="1134" w:type="dxa"/>
            <w:hideMark/>
          </w:tcPr>
          <w:p w14:paraId="622EE257" w14:textId="77777777" w:rsidR="004C570C" w:rsidRPr="00E4709C" w:rsidRDefault="004C570C" w:rsidP="00E41729">
            <w:pPr>
              <w:pStyle w:val="AAENormaltext"/>
              <w:spacing w:after="0"/>
              <w:jc w:val="left"/>
              <w:rPr>
                <w:lang w:val="en-GB"/>
              </w:rPr>
            </w:pPr>
            <w:r w:rsidRPr="00E4709C">
              <w:rPr>
                <w:lang w:val="en-GB"/>
              </w:rPr>
              <w:t>France</w:t>
            </w:r>
          </w:p>
        </w:tc>
        <w:tc>
          <w:tcPr>
            <w:tcW w:w="3119" w:type="dxa"/>
            <w:hideMark/>
          </w:tcPr>
          <w:p w14:paraId="3BADFCB2" w14:textId="0B12FA69" w:rsidR="004C570C" w:rsidRPr="00E4709C" w:rsidRDefault="004C570C" w:rsidP="004C570C">
            <w:pPr>
              <w:pStyle w:val="AAENormaltext"/>
              <w:spacing w:after="0"/>
              <w:jc w:val="center"/>
              <w:rPr>
                <w:lang w:val="en-GB"/>
              </w:rPr>
            </w:pPr>
            <w:r w:rsidRPr="00E4709C">
              <w:rPr>
                <w:lang w:val="en-GB"/>
              </w:rPr>
              <w:t>0</w:t>
            </w:r>
            <w:r w:rsidR="00B242C2" w:rsidRPr="00E4709C">
              <w:rPr>
                <w:lang w:val="en-GB"/>
              </w:rPr>
              <w:t>.</w:t>
            </w:r>
            <w:r w:rsidRPr="00E4709C">
              <w:rPr>
                <w:lang w:val="en-GB"/>
              </w:rPr>
              <w:t>00</w:t>
            </w:r>
          </w:p>
        </w:tc>
      </w:tr>
      <w:tr w:rsidR="004C570C" w:rsidRPr="00E4709C" w14:paraId="2F50AD14" w14:textId="77777777" w:rsidTr="00F22035">
        <w:trPr>
          <w:trHeight w:val="283"/>
          <w:jc w:val="left"/>
        </w:trPr>
        <w:tc>
          <w:tcPr>
            <w:tcW w:w="1134" w:type="dxa"/>
            <w:hideMark/>
          </w:tcPr>
          <w:p w14:paraId="28DB927A" w14:textId="77777777" w:rsidR="004C570C" w:rsidRPr="00E4709C" w:rsidRDefault="004C570C" w:rsidP="00E41729">
            <w:pPr>
              <w:pStyle w:val="AAENormaltext"/>
              <w:spacing w:after="0"/>
              <w:jc w:val="left"/>
              <w:rPr>
                <w:lang w:val="en-GB"/>
              </w:rPr>
            </w:pPr>
            <w:r w:rsidRPr="00E4709C">
              <w:rPr>
                <w:lang w:val="en-GB"/>
              </w:rPr>
              <w:t>Spain</w:t>
            </w:r>
          </w:p>
        </w:tc>
        <w:tc>
          <w:tcPr>
            <w:tcW w:w="3119" w:type="dxa"/>
            <w:hideMark/>
          </w:tcPr>
          <w:p w14:paraId="0A8F1CCD" w14:textId="69A468D3" w:rsidR="004C570C" w:rsidRPr="00E4709C" w:rsidRDefault="004C570C" w:rsidP="004C570C">
            <w:pPr>
              <w:pStyle w:val="AAENormaltext"/>
              <w:spacing w:after="0"/>
              <w:jc w:val="center"/>
              <w:rPr>
                <w:lang w:val="en-GB"/>
              </w:rPr>
            </w:pPr>
            <w:r w:rsidRPr="00E4709C">
              <w:rPr>
                <w:lang w:val="en-GB"/>
              </w:rPr>
              <w:t>150</w:t>
            </w:r>
            <w:r w:rsidR="00B242C2" w:rsidRPr="00E4709C">
              <w:rPr>
                <w:lang w:val="en-GB"/>
              </w:rPr>
              <w:t>.</w:t>
            </w:r>
            <w:r w:rsidRPr="00E4709C">
              <w:rPr>
                <w:lang w:val="en-GB"/>
              </w:rPr>
              <w:t>00</w:t>
            </w:r>
          </w:p>
        </w:tc>
      </w:tr>
      <w:tr w:rsidR="004C570C" w:rsidRPr="00E4709C" w14:paraId="7CCF6486" w14:textId="77777777" w:rsidTr="00F22035">
        <w:trPr>
          <w:trHeight w:val="283"/>
          <w:jc w:val="left"/>
        </w:trPr>
        <w:tc>
          <w:tcPr>
            <w:tcW w:w="1134" w:type="dxa"/>
            <w:hideMark/>
          </w:tcPr>
          <w:p w14:paraId="450CB27B" w14:textId="77777777" w:rsidR="004C570C" w:rsidRPr="00E4709C" w:rsidRDefault="004C570C" w:rsidP="00E41729">
            <w:pPr>
              <w:pStyle w:val="AAENormaltext"/>
              <w:spacing w:after="0"/>
              <w:jc w:val="left"/>
              <w:rPr>
                <w:lang w:val="en-GB"/>
              </w:rPr>
            </w:pPr>
            <w:r w:rsidRPr="00E4709C">
              <w:rPr>
                <w:lang w:val="en-GB"/>
              </w:rPr>
              <w:t>Italy</w:t>
            </w:r>
          </w:p>
        </w:tc>
        <w:tc>
          <w:tcPr>
            <w:tcW w:w="3119" w:type="dxa"/>
            <w:hideMark/>
          </w:tcPr>
          <w:p w14:paraId="1327E6D6" w14:textId="0316C3DB" w:rsidR="004C570C" w:rsidRPr="00E4709C" w:rsidRDefault="004C570C" w:rsidP="004C570C">
            <w:pPr>
              <w:pStyle w:val="AAENormaltext"/>
              <w:spacing w:after="0"/>
              <w:jc w:val="center"/>
              <w:rPr>
                <w:lang w:val="en-GB"/>
              </w:rPr>
            </w:pPr>
            <w:r w:rsidRPr="00E4709C">
              <w:rPr>
                <w:lang w:val="en-GB"/>
              </w:rPr>
              <w:t>361</w:t>
            </w:r>
            <w:r w:rsidR="00B242C2" w:rsidRPr="00E4709C">
              <w:rPr>
                <w:lang w:val="en-GB"/>
              </w:rPr>
              <w:t>.</w:t>
            </w:r>
            <w:r w:rsidRPr="00E4709C">
              <w:rPr>
                <w:lang w:val="en-GB"/>
              </w:rPr>
              <w:t>48</w:t>
            </w:r>
          </w:p>
        </w:tc>
      </w:tr>
    </w:tbl>
    <w:p w14:paraId="3624C37D" w14:textId="77777777" w:rsidR="00F22035" w:rsidRDefault="00F22035" w:rsidP="00C53824">
      <w:pPr>
        <w:pStyle w:val="AAENormaltext"/>
        <w:spacing w:after="0"/>
        <w:ind w:firstLine="284"/>
        <w:rPr>
          <w:lang w:val="en-GB"/>
        </w:rPr>
      </w:pPr>
    </w:p>
    <w:p w14:paraId="24E63069" w14:textId="2233BEA0" w:rsidR="004C570C" w:rsidRPr="00E4709C" w:rsidRDefault="004C570C" w:rsidP="00C53824">
      <w:pPr>
        <w:pStyle w:val="AAENormaltext"/>
        <w:spacing w:after="0"/>
        <w:ind w:firstLine="284"/>
        <w:rPr>
          <w:lang w:val="en-GB"/>
        </w:rPr>
      </w:pPr>
      <w:r w:rsidRPr="00E4709C">
        <w:rPr>
          <w:lang w:val="en-GB"/>
        </w:rPr>
        <w:t xml:space="preserve">The results show that the </w:t>
      </w:r>
      <w:proofErr w:type="spellStart"/>
      <w:r w:rsidRPr="00E4709C">
        <w:rPr>
          <w:lang w:val="en-GB"/>
        </w:rPr>
        <w:t>analyzed</w:t>
      </w:r>
      <w:proofErr w:type="spellEnd"/>
      <w:r w:rsidRPr="00E4709C">
        <w:rPr>
          <w:lang w:val="en-GB"/>
        </w:rPr>
        <w:t xml:space="preserve"> countries use very different approaches to a</w:t>
      </w:r>
      <w:r w:rsidR="00D54B40" w:rsidRPr="00E4709C">
        <w:rPr>
          <w:lang w:val="en-GB"/>
        </w:rPr>
        <w:t>c</w:t>
      </w:r>
      <w:r w:rsidRPr="00E4709C">
        <w:rPr>
          <w:lang w:val="en-GB"/>
        </w:rPr>
        <w:t>commodation-related compensation. Some systems provide an explicit flat-rate mechanism without proof of accommodation, while others rely on documented reimbursement or use a combined travel allowance structure. This heterogeneity confirms that Slovakia cannot simply copy one national model. Instead, the proposed Slovak solution should be based on a simplified, transparent mechanism that can be applied consistently to foreign business trips.</w:t>
      </w:r>
    </w:p>
    <w:p w14:paraId="2170461E" w14:textId="7DAEDB60" w:rsidR="004C570C" w:rsidRPr="00E4709C" w:rsidRDefault="004C570C" w:rsidP="004C570C">
      <w:pPr>
        <w:pStyle w:val="AAENormaltext"/>
        <w:spacing w:after="0"/>
        <w:ind w:firstLine="284"/>
        <w:rPr>
          <w:lang w:val="en-GB"/>
        </w:rPr>
      </w:pPr>
      <w:r w:rsidRPr="00E4709C">
        <w:rPr>
          <w:lang w:val="en-GB"/>
        </w:rPr>
        <w:t>To this end, the accommodation values in Table 2 were used to derive a unified percentage rate for the Slovak flat-rate accommodation allowance. The derivation of this percentage rate is presented in the following section.</w:t>
      </w:r>
    </w:p>
    <w:p w14:paraId="70DEF301" w14:textId="2EBFCE83" w:rsidR="004C570C" w:rsidRPr="00E4709C" w:rsidRDefault="004C570C" w:rsidP="008A1B9D">
      <w:pPr>
        <w:pStyle w:val="Rn2"/>
        <w:rPr>
          <w:lang w:val="en-GB"/>
        </w:rPr>
      </w:pPr>
      <w:r w:rsidRPr="00E4709C">
        <w:rPr>
          <w:lang w:val="en-GB"/>
        </w:rPr>
        <w:t xml:space="preserve">3.3. Derivation of the </w:t>
      </w:r>
      <w:r w:rsidR="00E4709C" w:rsidRPr="00E4709C">
        <w:rPr>
          <w:lang w:val="en-GB"/>
        </w:rPr>
        <w:t>P</w:t>
      </w:r>
      <w:r w:rsidRPr="00E4709C">
        <w:rPr>
          <w:lang w:val="en-GB"/>
        </w:rPr>
        <w:t xml:space="preserve">roposed </w:t>
      </w:r>
      <w:r w:rsidR="00E4709C" w:rsidRPr="00E4709C">
        <w:rPr>
          <w:lang w:val="en-GB"/>
        </w:rPr>
        <w:t>F</w:t>
      </w:r>
      <w:r w:rsidRPr="00E4709C">
        <w:rPr>
          <w:lang w:val="en-GB"/>
        </w:rPr>
        <w:t xml:space="preserve">lat-rate </w:t>
      </w:r>
      <w:r w:rsidR="00E4709C" w:rsidRPr="00E4709C">
        <w:rPr>
          <w:lang w:val="en-GB"/>
        </w:rPr>
        <w:t>A</w:t>
      </w:r>
      <w:r w:rsidRPr="00E4709C">
        <w:rPr>
          <w:lang w:val="en-GB"/>
        </w:rPr>
        <w:t xml:space="preserve">ccommodation </w:t>
      </w:r>
      <w:r w:rsidR="00E4709C" w:rsidRPr="00E4709C">
        <w:rPr>
          <w:lang w:val="en-GB"/>
        </w:rPr>
        <w:t>A</w:t>
      </w:r>
      <w:r w:rsidRPr="00E4709C">
        <w:rPr>
          <w:lang w:val="en-GB"/>
        </w:rPr>
        <w:t>llowance</w:t>
      </w:r>
    </w:p>
    <w:p w14:paraId="338555C3" w14:textId="2F93DC41" w:rsidR="004C570C" w:rsidRPr="00E4709C" w:rsidRDefault="004C570C" w:rsidP="004C570C">
      <w:pPr>
        <w:pStyle w:val="AAENormaltext"/>
        <w:spacing w:after="0"/>
        <w:ind w:firstLine="284"/>
        <w:rPr>
          <w:lang w:val="en-GB"/>
        </w:rPr>
      </w:pPr>
      <w:r w:rsidRPr="00E4709C">
        <w:rPr>
          <w:lang w:val="en-GB"/>
        </w:rPr>
        <w:t>The proposed flat-rate accommodation allowance was derived from the accommodation allowance values calculated for the selected countries. The aim was to create a simple</w:t>
      </w:r>
      <w:r w:rsidR="00C942C7">
        <w:rPr>
          <w:lang w:val="en-GB"/>
        </w:rPr>
        <w:t>, percentage-based mechanism applicable under Slovak conditions for international road freight drivers who spend</w:t>
      </w:r>
      <w:r w:rsidRPr="00E4709C">
        <w:rPr>
          <w:lang w:val="en-GB"/>
        </w:rPr>
        <w:t xml:space="preserve"> a rest period abroad without submitting proof of accommodation. The proposed mechanism was therefore not based solely on one foreign system, but on the average accommodation-related compensation identified in the comparative model.</w:t>
      </w:r>
    </w:p>
    <w:p w14:paraId="6BFA4DBA" w14:textId="1D37D689" w:rsidR="004C570C" w:rsidRPr="00E4709C" w:rsidRDefault="004C570C" w:rsidP="004C570C">
      <w:pPr>
        <w:pStyle w:val="AAENormaltext"/>
        <w:spacing w:after="0"/>
        <w:ind w:firstLine="284"/>
        <w:rPr>
          <w:lang w:val="en-GB"/>
        </w:rPr>
      </w:pPr>
      <w:r w:rsidRPr="00E4709C">
        <w:rPr>
          <w:lang w:val="en-GB"/>
        </w:rPr>
        <w:t>The first step was to calculate the total accommodation allowance values from the selected countries. The model included Poland, Germany, France, Spain, and Italy. Slovakia was not included in this calculation because the objective was to derive a new mechanism for the Slovak system. The total accommodation-related compensation from the selected systems amounted to 768.23 €.</w:t>
      </w:r>
    </w:p>
    <w:p w14:paraId="31F042C5" w14:textId="693E4A6B" w:rsidR="004C570C" w:rsidRPr="00E4709C" w:rsidRDefault="004C570C" w:rsidP="008A1B9D">
      <w:pPr>
        <w:pStyle w:val="AAENormaltext"/>
        <w:spacing w:before="120"/>
        <w:rPr>
          <w:lang w:val="en-GB"/>
        </w:rPr>
      </w:pPr>
      <m:oMathPara>
        <m:oMath>
          <m:r>
            <m:rPr>
              <m:sty m:val="p"/>
            </m:rPr>
            <w:rPr>
              <w:rFonts w:ascii="Cambria Math" w:hAnsi="Cambria Math"/>
              <w:lang w:val="en-GB"/>
            </w:rPr>
            <m:t>202.75 + 54.00 + 0.00 + 150.00 + 361.48 = 768.23 €</m:t>
          </m:r>
        </m:oMath>
      </m:oMathPara>
    </w:p>
    <w:p w14:paraId="409F034C" w14:textId="77777777" w:rsidR="004C570C" w:rsidRPr="00E4709C" w:rsidRDefault="004C570C" w:rsidP="004C570C">
      <w:pPr>
        <w:pStyle w:val="AAENormaltext"/>
        <w:ind w:firstLine="284"/>
        <w:rPr>
          <w:lang w:val="en-GB"/>
        </w:rPr>
      </w:pPr>
      <w:r w:rsidRPr="00E4709C">
        <w:rPr>
          <w:lang w:val="en-GB"/>
        </w:rPr>
        <w:t>This value was then divided by the number of selected foreign systems:</w:t>
      </w:r>
    </w:p>
    <w:p w14:paraId="5ABEC7FE" w14:textId="5947C684" w:rsidR="004C570C" w:rsidRPr="00E4709C" w:rsidRDefault="00000000" w:rsidP="008A1B9D">
      <w:pPr>
        <w:pStyle w:val="AAENormaltext"/>
        <w:spacing w:before="120"/>
        <w:rPr>
          <w:lang w:val="en-GB"/>
        </w:rPr>
      </w:pPr>
      <m:oMathPara>
        <m:oMath>
          <m:f>
            <m:fPr>
              <m:ctrlPr>
                <w:rPr>
                  <w:rFonts w:ascii="Cambria Math" w:hAnsi="Cambria Math"/>
                  <w:i/>
                  <w:lang w:val="en-GB"/>
                </w:rPr>
              </m:ctrlPr>
            </m:fPr>
            <m:num>
              <m:r>
                <w:rPr>
                  <w:rFonts w:ascii="Cambria Math" w:hAnsi="Cambria Math"/>
                  <w:lang w:val="en-GB"/>
                </w:rPr>
                <m:t>768.23</m:t>
              </m:r>
            </m:num>
            <m:den>
              <m:r>
                <w:rPr>
                  <w:rFonts w:ascii="Cambria Math" w:hAnsi="Cambria Math"/>
                  <w:lang w:val="en-GB"/>
                </w:rPr>
                <m:t>5</m:t>
              </m:r>
            </m:den>
          </m:f>
          <m:r>
            <w:rPr>
              <w:rFonts w:ascii="Cambria Math" w:hAnsi="Cambria Math"/>
              <w:lang w:val="en-GB"/>
            </w:rPr>
            <m:t>=153.65 €</m:t>
          </m:r>
        </m:oMath>
      </m:oMathPara>
    </w:p>
    <w:p w14:paraId="40B3F98C" w14:textId="02D92978" w:rsidR="004C570C" w:rsidRPr="00F22035" w:rsidRDefault="004C570C" w:rsidP="004C570C">
      <w:pPr>
        <w:pStyle w:val="AAENormaltext"/>
        <w:ind w:firstLine="284"/>
        <w:rPr>
          <w:spacing w:val="-2"/>
          <w:lang w:val="en-GB"/>
        </w:rPr>
      </w:pPr>
      <w:r w:rsidRPr="00F22035">
        <w:rPr>
          <w:spacing w:val="-2"/>
          <w:lang w:val="en-GB"/>
        </w:rPr>
        <w:t>The resulting value of 153.65 € represents the average accommodation-related compensation for the whole model transport operation. Since the model route included six rest periods for which an accommodation allowance could be considered, the average compensation was subsequently converted into an average value per night:</w:t>
      </w:r>
    </w:p>
    <w:p w14:paraId="62326CE4" w14:textId="4388580B" w:rsidR="004C570C" w:rsidRPr="00E4709C" w:rsidRDefault="00000000" w:rsidP="008A1B9D">
      <w:pPr>
        <w:pStyle w:val="AAENormaltext"/>
        <w:spacing w:before="120"/>
        <w:ind w:firstLine="284"/>
        <w:rPr>
          <w:szCs w:val="20"/>
          <w:lang w:val="en-GB"/>
        </w:rPr>
      </w:pPr>
      <m:oMathPara>
        <m:oMath>
          <m:f>
            <m:fPr>
              <m:ctrlPr>
                <w:rPr>
                  <w:rFonts w:ascii="Cambria Math" w:hAnsi="Cambria Math"/>
                  <w:i/>
                  <w:szCs w:val="20"/>
                  <w:lang w:val="en-GB"/>
                </w:rPr>
              </m:ctrlPr>
            </m:fPr>
            <m:num>
              <m:r>
                <w:rPr>
                  <w:rFonts w:ascii="Cambria Math" w:hAnsi="Cambria Math"/>
                  <w:szCs w:val="20"/>
                  <w:lang w:val="en-GB"/>
                </w:rPr>
                <m:t>153.65</m:t>
              </m:r>
            </m:num>
            <m:den>
              <m:r>
                <w:rPr>
                  <w:rFonts w:ascii="Cambria Math" w:hAnsi="Cambria Math"/>
                  <w:szCs w:val="20"/>
                  <w:lang w:val="en-GB"/>
                </w:rPr>
                <m:t>6</m:t>
              </m:r>
            </m:den>
          </m:f>
          <m:r>
            <w:rPr>
              <w:rFonts w:ascii="Cambria Math" w:hAnsi="Cambria Math"/>
              <w:szCs w:val="20"/>
              <w:lang w:val="en-GB"/>
            </w:rPr>
            <m:t>=25.61 €</m:t>
          </m:r>
        </m:oMath>
      </m:oMathPara>
    </w:p>
    <w:p w14:paraId="546AC0EE" w14:textId="715597F2" w:rsidR="004C570C" w:rsidRPr="00E4709C" w:rsidRDefault="004C570C" w:rsidP="008A1B9D">
      <w:pPr>
        <w:pStyle w:val="AAENormaltext"/>
        <w:spacing w:after="0"/>
        <w:ind w:firstLine="284"/>
        <w:rPr>
          <w:lang w:val="en-GB"/>
        </w:rPr>
      </w:pPr>
      <w:r w:rsidRPr="00E4709C">
        <w:rPr>
          <w:lang w:val="en-GB"/>
        </w:rPr>
        <w:t>The calculated average accommodation allowance was therefore 25.61 € per night. This value was used to determine the percentage relationship between accommodation compensation and the meal allowance. In the next step, the amount of 25.61 € was compared with the full foreign meal allowance rates applicable under the Slovak system for the selected countries (see Table 3). The updated thesis applies the same procedure and reports an average accommodation value of 25.61 € per night before calculating its percentage relationship to the 100% meal allowance rates</w:t>
      </w:r>
      <w:r w:rsidR="00B242C2" w:rsidRPr="00E4709C">
        <w:rPr>
          <w:lang w:val="en-GB"/>
        </w:rPr>
        <w:t xml:space="preserve"> (see Table 3)</w:t>
      </w:r>
      <w:r w:rsidRPr="00E4709C">
        <w:rPr>
          <w:lang w:val="en-GB"/>
        </w:rPr>
        <w:t>.</w:t>
      </w:r>
    </w:p>
    <w:p w14:paraId="112F8E4F" w14:textId="77777777" w:rsidR="004C570C" w:rsidRPr="00E4709C" w:rsidRDefault="004C570C" w:rsidP="004C570C">
      <w:pPr>
        <w:pStyle w:val="AAENormaltext"/>
        <w:spacing w:after="0"/>
        <w:ind w:firstLine="284"/>
        <w:rPr>
          <w:lang w:val="en-GB"/>
        </w:rPr>
      </w:pPr>
    </w:p>
    <w:p w14:paraId="2DEF7FAD" w14:textId="13F4C76D" w:rsidR="004C570C" w:rsidRPr="00E4709C" w:rsidRDefault="004C570C" w:rsidP="008A1B9D">
      <w:pPr>
        <w:pStyle w:val="Rtab"/>
        <w:rPr>
          <w:lang w:val="en-GB"/>
        </w:rPr>
      </w:pPr>
      <w:r w:rsidRPr="00E4709C">
        <w:rPr>
          <w:b/>
          <w:lang w:val="en-GB"/>
        </w:rPr>
        <w:t>Table 3</w:t>
      </w:r>
      <w:r w:rsidRPr="00E4709C">
        <w:rPr>
          <w:b/>
          <w:bCs/>
          <w:lang w:val="en-GB"/>
        </w:rPr>
        <w:t>.</w:t>
      </w:r>
      <w:r w:rsidRPr="00E4709C">
        <w:rPr>
          <w:lang w:val="en-GB"/>
        </w:rPr>
        <w:t xml:space="preserve"> Derivation of the flat-rate accommodation allowance percentage</w:t>
      </w:r>
      <w:r w:rsidR="00B242C2" w:rsidRPr="00E4709C">
        <w:rPr>
          <w:lang w:val="en-GB"/>
        </w:rPr>
        <w:t>.</w:t>
      </w:r>
      <w:r w:rsidRPr="00E4709C">
        <w:rPr>
          <w:lang w:val="en-GB"/>
        </w:rPr>
        <w:t xml:space="preserve"> Source: authors</w:t>
      </w:r>
    </w:p>
    <w:tbl>
      <w:tblPr>
        <w:tblStyle w:val="MDPI41threelinetable"/>
        <w:tblW w:w="0" w:type="auto"/>
        <w:jc w:val="left"/>
        <w:tblBorders>
          <w:top w:val="single" w:sz="4" w:space="0" w:color="auto"/>
          <w:bottom w:val="single" w:sz="4" w:space="0" w:color="auto"/>
          <w:insideH w:val="single" w:sz="4" w:space="0" w:color="auto"/>
        </w:tblBorders>
        <w:tblLook w:val="04A0" w:firstRow="1" w:lastRow="0" w:firstColumn="1" w:lastColumn="0" w:noHBand="0" w:noVBand="1"/>
      </w:tblPr>
      <w:tblGrid>
        <w:gridCol w:w="1260"/>
        <w:gridCol w:w="2704"/>
        <w:gridCol w:w="3721"/>
      </w:tblGrid>
      <w:tr w:rsidR="004C570C" w:rsidRPr="00E4709C" w14:paraId="7A967211" w14:textId="77777777" w:rsidTr="00F22035">
        <w:trPr>
          <w:cnfStyle w:val="100000000000" w:firstRow="1" w:lastRow="0" w:firstColumn="0" w:lastColumn="0" w:oddVBand="0" w:evenVBand="0" w:oddHBand="0" w:evenHBand="0" w:firstRowFirstColumn="0" w:firstRowLastColumn="0" w:lastRowFirstColumn="0" w:lastRowLastColumn="0"/>
          <w:trHeight w:val="340"/>
          <w:jc w:val="left"/>
        </w:trPr>
        <w:tc>
          <w:tcPr>
            <w:tcW w:w="1260" w:type="dxa"/>
            <w:tcBorders>
              <w:bottom w:val="none" w:sz="0" w:space="0" w:color="auto"/>
            </w:tcBorders>
          </w:tcPr>
          <w:p w14:paraId="05987F4A" w14:textId="77777777" w:rsidR="004C570C" w:rsidRPr="00E4709C" w:rsidRDefault="004C570C" w:rsidP="009521F6">
            <w:pPr>
              <w:pStyle w:val="AAENormaltext"/>
              <w:spacing w:after="0"/>
              <w:jc w:val="left"/>
              <w:rPr>
                <w:b w:val="0"/>
                <w:bCs w:val="0"/>
                <w:lang w:val="en-GB"/>
              </w:rPr>
            </w:pPr>
            <w:r w:rsidRPr="00E4709C">
              <w:rPr>
                <w:b w:val="0"/>
                <w:bCs w:val="0"/>
                <w:lang w:val="en-GB"/>
              </w:rPr>
              <w:t>Country</w:t>
            </w:r>
          </w:p>
        </w:tc>
        <w:tc>
          <w:tcPr>
            <w:tcW w:w="2704" w:type="dxa"/>
            <w:tcBorders>
              <w:bottom w:val="none" w:sz="0" w:space="0" w:color="auto"/>
            </w:tcBorders>
          </w:tcPr>
          <w:p w14:paraId="4657E26B" w14:textId="77777777" w:rsidR="004C570C" w:rsidRPr="00E4709C" w:rsidRDefault="004C570C" w:rsidP="009521F6">
            <w:pPr>
              <w:pStyle w:val="AAENormaltext"/>
              <w:spacing w:after="0"/>
              <w:jc w:val="center"/>
              <w:rPr>
                <w:b w:val="0"/>
                <w:bCs w:val="0"/>
                <w:lang w:val="en-GB"/>
              </w:rPr>
            </w:pPr>
            <w:r w:rsidRPr="00E4709C">
              <w:rPr>
                <w:b w:val="0"/>
                <w:bCs w:val="0"/>
                <w:lang w:val="en-GB"/>
              </w:rPr>
              <w:t>Full meal allowance rate [€]</w:t>
            </w:r>
          </w:p>
        </w:tc>
        <w:tc>
          <w:tcPr>
            <w:tcW w:w="3721" w:type="dxa"/>
            <w:tcBorders>
              <w:bottom w:val="none" w:sz="0" w:space="0" w:color="auto"/>
            </w:tcBorders>
          </w:tcPr>
          <w:p w14:paraId="349606FA" w14:textId="77777777" w:rsidR="004C570C" w:rsidRPr="00E4709C" w:rsidRDefault="004C570C" w:rsidP="009521F6">
            <w:pPr>
              <w:pStyle w:val="AAENormaltext"/>
              <w:spacing w:after="0"/>
              <w:jc w:val="center"/>
              <w:rPr>
                <w:b w:val="0"/>
                <w:bCs w:val="0"/>
                <w:lang w:val="en-GB"/>
              </w:rPr>
            </w:pPr>
            <w:r w:rsidRPr="00E4709C">
              <w:rPr>
                <w:b w:val="0"/>
                <w:bCs w:val="0"/>
                <w:lang w:val="en-GB"/>
              </w:rPr>
              <w:t>Accommodation allowance ratio [%]</w:t>
            </w:r>
          </w:p>
        </w:tc>
      </w:tr>
      <w:tr w:rsidR="004C570C" w:rsidRPr="00E4709C" w14:paraId="46CA1355" w14:textId="77777777" w:rsidTr="00F22035">
        <w:trPr>
          <w:trHeight w:val="283"/>
          <w:jc w:val="left"/>
        </w:trPr>
        <w:tc>
          <w:tcPr>
            <w:tcW w:w="1260" w:type="dxa"/>
          </w:tcPr>
          <w:p w14:paraId="78A300CA" w14:textId="77777777" w:rsidR="004C570C" w:rsidRPr="00E4709C" w:rsidRDefault="004C570C" w:rsidP="009521F6">
            <w:pPr>
              <w:pStyle w:val="AAENormaltext"/>
              <w:spacing w:after="0"/>
              <w:rPr>
                <w:lang w:val="en-GB"/>
              </w:rPr>
            </w:pPr>
            <w:r w:rsidRPr="00E4709C">
              <w:rPr>
                <w:lang w:val="en-GB"/>
              </w:rPr>
              <w:t>Poland</w:t>
            </w:r>
          </w:p>
        </w:tc>
        <w:tc>
          <w:tcPr>
            <w:tcW w:w="2704" w:type="dxa"/>
          </w:tcPr>
          <w:p w14:paraId="20624716" w14:textId="77777777" w:rsidR="004C570C" w:rsidRPr="00E4709C" w:rsidRDefault="004C570C" w:rsidP="009521F6">
            <w:pPr>
              <w:pStyle w:val="AAENormaltext"/>
              <w:spacing w:after="0"/>
              <w:jc w:val="center"/>
              <w:rPr>
                <w:lang w:val="en-GB"/>
              </w:rPr>
            </w:pPr>
            <w:r w:rsidRPr="00E4709C">
              <w:rPr>
                <w:lang w:val="en-GB"/>
              </w:rPr>
              <w:t>52</w:t>
            </w:r>
          </w:p>
        </w:tc>
        <w:tc>
          <w:tcPr>
            <w:tcW w:w="3721" w:type="dxa"/>
          </w:tcPr>
          <w:p w14:paraId="754DDAA6" w14:textId="52D5C14C" w:rsidR="004C570C" w:rsidRPr="00E4709C" w:rsidRDefault="004C570C" w:rsidP="009521F6">
            <w:pPr>
              <w:pStyle w:val="AAENormaltext"/>
              <w:spacing w:after="0"/>
              <w:jc w:val="center"/>
              <w:rPr>
                <w:lang w:val="en-GB"/>
              </w:rPr>
            </w:pPr>
            <w:r w:rsidRPr="00E4709C">
              <w:rPr>
                <w:lang w:val="en-GB"/>
              </w:rPr>
              <w:t>49</w:t>
            </w:r>
            <w:r w:rsidR="00B242C2" w:rsidRPr="00E4709C">
              <w:rPr>
                <w:lang w:val="en-GB"/>
              </w:rPr>
              <w:t>.</w:t>
            </w:r>
            <w:r w:rsidRPr="00E4709C">
              <w:rPr>
                <w:lang w:val="en-GB"/>
              </w:rPr>
              <w:t>25</w:t>
            </w:r>
          </w:p>
        </w:tc>
      </w:tr>
      <w:tr w:rsidR="004C570C" w:rsidRPr="00E4709C" w14:paraId="49819A4B" w14:textId="77777777" w:rsidTr="00F22035">
        <w:trPr>
          <w:trHeight w:val="283"/>
          <w:jc w:val="left"/>
        </w:trPr>
        <w:tc>
          <w:tcPr>
            <w:tcW w:w="1260" w:type="dxa"/>
          </w:tcPr>
          <w:p w14:paraId="515475A0" w14:textId="77777777" w:rsidR="004C570C" w:rsidRPr="00E4709C" w:rsidRDefault="004C570C" w:rsidP="009521F6">
            <w:pPr>
              <w:pStyle w:val="AAENormaltext"/>
              <w:spacing w:after="0"/>
              <w:rPr>
                <w:lang w:val="en-GB"/>
              </w:rPr>
            </w:pPr>
            <w:r w:rsidRPr="00E4709C">
              <w:rPr>
                <w:lang w:val="en-GB"/>
              </w:rPr>
              <w:t>Germany</w:t>
            </w:r>
          </w:p>
        </w:tc>
        <w:tc>
          <w:tcPr>
            <w:tcW w:w="2704" w:type="dxa"/>
          </w:tcPr>
          <w:p w14:paraId="30315B7C" w14:textId="77777777" w:rsidR="004C570C" w:rsidRPr="00E4709C" w:rsidRDefault="004C570C" w:rsidP="009521F6">
            <w:pPr>
              <w:pStyle w:val="AAENormaltext"/>
              <w:spacing w:after="0"/>
              <w:jc w:val="center"/>
              <w:rPr>
                <w:lang w:val="en-GB"/>
              </w:rPr>
            </w:pPr>
            <w:r w:rsidRPr="00E4709C">
              <w:rPr>
                <w:lang w:val="en-GB"/>
              </w:rPr>
              <w:t>63</w:t>
            </w:r>
          </w:p>
        </w:tc>
        <w:tc>
          <w:tcPr>
            <w:tcW w:w="3721" w:type="dxa"/>
          </w:tcPr>
          <w:p w14:paraId="708F6E26" w14:textId="67599C45" w:rsidR="004C570C" w:rsidRPr="00E4709C" w:rsidRDefault="004C570C" w:rsidP="009521F6">
            <w:pPr>
              <w:pStyle w:val="AAENormaltext"/>
              <w:spacing w:after="0"/>
              <w:jc w:val="center"/>
              <w:rPr>
                <w:lang w:val="en-GB"/>
              </w:rPr>
            </w:pPr>
            <w:r w:rsidRPr="00E4709C">
              <w:rPr>
                <w:lang w:val="en-GB"/>
              </w:rPr>
              <w:t>40</w:t>
            </w:r>
            <w:r w:rsidR="00B242C2" w:rsidRPr="00E4709C">
              <w:rPr>
                <w:lang w:val="en-GB"/>
              </w:rPr>
              <w:t>.</w:t>
            </w:r>
            <w:r w:rsidRPr="00E4709C">
              <w:rPr>
                <w:lang w:val="en-GB"/>
              </w:rPr>
              <w:t>65</w:t>
            </w:r>
          </w:p>
        </w:tc>
      </w:tr>
      <w:tr w:rsidR="004C570C" w:rsidRPr="00E4709C" w14:paraId="420D51CE" w14:textId="77777777" w:rsidTr="00F22035">
        <w:trPr>
          <w:trHeight w:val="283"/>
          <w:jc w:val="left"/>
        </w:trPr>
        <w:tc>
          <w:tcPr>
            <w:tcW w:w="1260" w:type="dxa"/>
          </w:tcPr>
          <w:p w14:paraId="0C091E12" w14:textId="77777777" w:rsidR="004C570C" w:rsidRPr="00E4709C" w:rsidRDefault="004C570C" w:rsidP="009521F6">
            <w:pPr>
              <w:pStyle w:val="AAENormaltext"/>
              <w:spacing w:after="0"/>
              <w:rPr>
                <w:lang w:val="en-GB"/>
              </w:rPr>
            </w:pPr>
            <w:r w:rsidRPr="00E4709C">
              <w:rPr>
                <w:lang w:val="en-GB"/>
              </w:rPr>
              <w:t>France</w:t>
            </w:r>
          </w:p>
        </w:tc>
        <w:tc>
          <w:tcPr>
            <w:tcW w:w="2704" w:type="dxa"/>
          </w:tcPr>
          <w:p w14:paraId="54D33E74" w14:textId="77777777" w:rsidR="004C570C" w:rsidRPr="00E4709C" w:rsidRDefault="004C570C" w:rsidP="009521F6">
            <w:pPr>
              <w:pStyle w:val="AAENormaltext"/>
              <w:spacing w:after="0"/>
              <w:jc w:val="center"/>
              <w:rPr>
                <w:lang w:val="en-GB"/>
              </w:rPr>
            </w:pPr>
            <w:r w:rsidRPr="00E4709C">
              <w:rPr>
                <w:lang w:val="en-GB"/>
              </w:rPr>
              <w:t>63</w:t>
            </w:r>
          </w:p>
        </w:tc>
        <w:tc>
          <w:tcPr>
            <w:tcW w:w="3721" w:type="dxa"/>
          </w:tcPr>
          <w:p w14:paraId="470FBE88" w14:textId="19B5CEBE" w:rsidR="004C570C" w:rsidRPr="00E4709C" w:rsidRDefault="004C570C" w:rsidP="009521F6">
            <w:pPr>
              <w:pStyle w:val="AAENormaltext"/>
              <w:spacing w:after="0"/>
              <w:jc w:val="center"/>
              <w:rPr>
                <w:lang w:val="en-GB"/>
              </w:rPr>
            </w:pPr>
            <w:r w:rsidRPr="00E4709C">
              <w:rPr>
                <w:lang w:val="en-GB"/>
              </w:rPr>
              <w:t>40</w:t>
            </w:r>
            <w:r w:rsidR="00B242C2" w:rsidRPr="00E4709C">
              <w:rPr>
                <w:lang w:val="en-GB"/>
              </w:rPr>
              <w:t>.</w:t>
            </w:r>
            <w:r w:rsidRPr="00E4709C">
              <w:rPr>
                <w:lang w:val="en-GB"/>
              </w:rPr>
              <w:t>65</w:t>
            </w:r>
          </w:p>
        </w:tc>
      </w:tr>
      <w:tr w:rsidR="004C570C" w:rsidRPr="00E4709C" w14:paraId="4AA0D8AE" w14:textId="77777777" w:rsidTr="00F22035">
        <w:trPr>
          <w:trHeight w:val="283"/>
          <w:jc w:val="left"/>
        </w:trPr>
        <w:tc>
          <w:tcPr>
            <w:tcW w:w="1260" w:type="dxa"/>
          </w:tcPr>
          <w:p w14:paraId="140822FB" w14:textId="77777777" w:rsidR="004C570C" w:rsidRPr="00E4709C" w:rsidRDefault="004C570C" w:rsidP="009521F6">
            <w:pPr>
              <w:pStyle w:val="AAENormaltext"/>
              <w:spacing w:after="0"/>
              <w:rPr>
                <w:lang w:val="en-GB"/>
              </w:rPr>
            </w:pPr>
            <w:r w:rsidRPr="00E4709C">
              <w:rPr>
                <w:lang w:val="en-GB"/>
              </w:rPr>
              <w:t>Spain</w:t>
            </w:r>
          </w:p>
        </w:tc>
        <w:tc>
          <w:tcPr>
            <w:tcW w:w="2704" w:type="dxa"/>
          </w:tcPr>
          <w:p w14:paraId="1732B42E" w14:textId="77777777" w:rsidR="004C570C" w:rsidRPr="00E4709C" w:rsidRDefault="004C570C" w:rsidP="009521F6">
            <w:pPr>
              <w:pStyle w:val="AAENormaltext"/>
              <w:spacing w:after="0"/>
              <w:jc w:val="center"/>
              <w:rPr>
                <w:lang w:val="en-GB"/>
              </w:rPr>
            </w:pPr>
            <w:r w:rsidRPr="00E4709C">
              <w:rPr>
                <w:lang w:val="en-GB"/>
              </w:rPr>
              <w:t>60</w:t>
            </w:r>
          </w:p>
        </w:tc>
        <w:tc>
          <w:tcPr>
            <w:tcW w:w="3721" w:type="dxa"/>
          </w:tcPr>
          <w:p w14:paraId="0F36F6A5" w14:textId="330C9C2B" w:rsidR="004C570C" w:rsidRPr="00E4709C" w:rsidRDefault="004C570C" w:rsidP="009521F6">
            <w:pPr>
              <w:pStyle w:val="AAENormaltext"/>
              <w:spacing w:after="0"/>
              <w:jc w:val="center"/>
              <w:rPr>
                <w:lang w:val="en-GB"/>
              </w:rPr>
            </w:pPr>
            <w:r w:rsidRPr="00E4709C">
              <w:rPr>
                <w:lang w:val="en-GB"/>
              </w:rPr>
              <w:t>42</w:t>
            </w:r>
            <w:r w:rsidR="00B242C2" w:rsidRPr="00E4709C">
              <w:rPr>
                <w:lang w:val="en-GB"/>
              </w:rPr>
              <w:t>.</w:t>
            </w:r>
            <w:r w:rsidRPr="00E4709C">
              <w:rPr>
                <w:lang w:val="en-GB"/>
              </w:rPr>
              <w:t>68</w:t>
            </w:r>
          </w:p>
        </w:tc>
      </w:tr>
      <w:tr w:rsidR="004C570C" w:rsidRPr="00E4709C" w14:paraId="7F87565D" w14:textId="77777777" w:rsidTr="00F22035">
        <w:trPr>
          <w:trHeight w:val="283"/>
          <w:jc w:val="left"/>
        </w:trPr>
        <w:tc>
          <w:tcPr>
            <w:tcW w:w="1260" w:type="dxa"/>
          </w:tcPr>
          <w:p w14:paraId="17A562A8" w14:textId="77777777" w:rsidR="004C570C" w:rsidRPr="00E4709C" w:rsidRDefault="004C570C" w:rsidP="00F22035">
            <w:pPr>
              <w:pStyle w:val="AAENormaltext"/>
              <w:spacing w:after="0"/>
              <w:jc w:val="left"/>
              <w:rPr>
                <w:lang w:val="en-GB"/>
              </w:rPr>
            </w:pPr>
            <w:r w:rsidRPr="00E4709C">
              <w:rPr>
                <w:lang w:val="en-GB"/>
              </w:rPr>
              <w:t>Italy</w:t>
            </w:r>
          </w:p>
        </w:tc>
        <w:tc>
          <w:tcPr>
            <w:tcW w:w="2704" w:type="dxa"/>
          </w:tcPr>
          <w:p w14:paraId="3EC67989" w14:textId="77777777" w:rsidR="004C570C" w:rsidRPr="00E4709C" w:rsidRDefault="004C570C" w:rsidP="009521F6">
            <w:pPr>
              <w:pStyle w:val="AAENormaltext"/>
              <w:spacing w:after="0"/>
              <w:jc w:val="center"/>
              <w:rPr>
                <w:lang w:val="en-GB"/>
              </w:rPr>
            </w:pPr>
            <w:r w:rsidRPr="00E4709C">
              <w:rPr>
                <w:lang w:val="en-GB"/>
              </w:rPr>
              <w:t>63</w:t>
            </w:r>
          </w:p>
        </w:tc>
        <w:tc>
          <w:tcPr>
            <w:tcW w:w="3721" w:type="dxa"/>
          </w:tcPr>
          <w:p w14:paraId="5F314094" w14:textId="16BCB6E3" w:rsidR="004C570C" w:rsidRPr="00E4709C" w:rsidRDefault="004C570C" w:rsidP="009521F6">
            <w:pPr>
              <w:pStyle w:val="AAENormaltext"/>
              <w:spacing w:after="0"/>
              <w:jc w:val="center"/>
              <w:rPr>
                <w:lang w:val="en-GB"/>
              </w:rPr>
            </w:pPr>
            <w:r w:rsidRPr="00E4709C">
              <w:rPr>
                <w:lang w:val="en-GB"/>
              </w:rPr>
              <w:t>40</w:t>
            </w:r>
            <w:r w:rsidR="00B242C2" w:rsidRPr="00E4709C">
              <w:rPr>
                <w:lang w:val="en-GB"/>
              </w:rPr>
              <w:t>.</w:t>
            </w:r>
            <w:r w:rsidRPr="00E4709C">
              <w:rPr>
                <w:lang w:val="en-GB"/>
              </w:rPr>
              <w:t>65</w:t>
            </w:r>
          </w:p>
        </w:tc>
      </w:tr>
      <w:tr w:rsidR="004C570C" w:rsidRPr="00E4709C" w14:paraId="7C8146D2" w14:textId="77777777" w:rsidTr="00F22035">
        <w:trPr>
          <w:trHeight w:val="283"/>
          <w:jc w:val="left"/>
        </w:trPr>
        <w:tc>
          <w:tcPr>
            <w:tcW w:w="1260" w:type="dxa"/>
          </w:tcPr>
          <w:p w14:paraId="06091D82" w14:textId="77777777" w:rsidR="004C570C" w:rsidRPr="00E4709C" w:rsidRDefault="004C570C" w:rsidP="009521F6">
            <w:pPr>
              <w:pStyle w:val="AAENormaltext"/>
              <w:spacing w:after="0"/>
              <w:rPr>
                <w:lang w:val="en-GB"/>
              </w:rPr>
            </w:pPr>
            <w:r w:rsidRPr="00E4709C">
              <w:rPr>
                <w:lang w:val="en-GB"/>
              </w:rPr>
              <w:t>Average</w:t>
            </w:r>
          </w:p>
        </w:tc>
        <w:tc>
          <w:tcPr>
            <w:tcW w:w="2704" w:type="dxa"/>
          </w:tcPr>
          <w:p w14:paraId="26BDB11C" w14:textId="758C11BC" w:rsidR="004C570C" w:rsidRPr="00E4709C" w:rsidRDefault="00F22035" w:rsidP="009521F6">
            <w:pPr>
              <w:pStyle w:val="AAENormaltext"/>
              <w:spacing w:after="0"/>
              <w:jc w:val="center"/>
              <w:rPr>
                <w:lang w:val="en-GB"/>
              </w:rPr>
            </w:pPr>
            <w:r>
              <w:rPr>
                <w:lang w:val="en-GB"/>
              </w:rPr>
              <w:t>–</w:t>
            </w:r>
          </w:p>
        </w:tc>
        <w:tc>
          <w:tcPr>
            <w:tcW w:w="3721" w:type="dxa"/>
          </w:tcPr>
          <w:p w14:paraId="56405171" w14:textId="618E8834" w:rsidR="004C570C" w:rsidRPr="00E4709C" w:rsidRDefault="004C570C" w:rsidP="009521F6">
            <w:pPr>
              <w:pStyle w:val="AAENormaltext"/>
              <w:spacing w:after="0"/>
              <w:jc w:val="center"/>
              <w:rPr>
                <w:lang w:val="en-GB"/>
              </w:rPr>
            </w:pPr>
            <w:r w:rsidRPr="00E4709C">
              <w:rPr>
                <w:lang w:val="en-GB"/>
              </w:rPr>
              <w:t>42</w:t>
            </w:r>
            <w:r w:rsidR="00B242C2" w:rsidRPr="00E4709C">
              <w:rPr>
                <w:lang w:val="en-GB"/>
              </w:rPr>
              <w:t>.</w:t>
            </w:r>
            <w:r w:rsidRPr="00E4709C">
              <w:rPr>
                <w:lang w:val="en-GB"/>
              </w:rPr>
              <w:t>78</w:t>
            </w:r>
          </w:p>
        </w:tc>
      </w:tr>
    </w:tbl>
    <w:p w14:paraId="3E397519" w14:textId="608CAC6F" w:rsidR="009521F6" w:rsidRPr="00E4709C" w:rsidRDefault="009521F6" w:rsidP="009521F6">
      <w:pPr>
        <w:pStyle w:val="AAENormaltext"/>
        <w:ind w:firstLine="284"/>
        <w:rPr>
          <w:lang w:val="en-GB"/>
        </w:rPr>
      </w:pPr>
      <w:r w:rsidRPr="00E4709C">
        <w:rPr>
          <w:lang w:val="en-GB"/>
        </w:rPr>
        <w:lastRenderedPageBreak/>
        <w:t>The calculated ratios show that the average accommodation allowance of 25.61 € per night corresponds to 49.25% of the Polish full meal allowance, 40.65% of the German, French, and Italian full meal allowance, and 42.68% of the Spanish full meal allowance. The arithmetic average of these ratios was calculated as follows:</w:t>
      </w:r>
    </w:p>
    <w:p w14:paraId="78762234" w14:textId="55ACC0D3" w:rsidR="009521F6" w:rsidRPr="00E4709C" w:rsidRDefault="00000000" w:rsidP="00E41729">
      <w:pPr>
        <w:pStyle w:val="AAENormaltext"/>
        <w:spacing w:before="120"/>
        <w:rPr>
          <w:lang w:val="en-GB"/>
        </w:rPr>
      </w:pPr>
      <m:oMathPara>
        <m:oMath>
          <m:f>
            <m:fPr>
              <m:ctrlPr>
                <w:rPr>
                  <w:rFonts w:ascii="Cambria Math" w:hAnsi="Cambria Math"/>
                  <w:lang w:val="en-GB"/>
                </w:rPr>
              </m:ctrlPr>
            </m:fPr>
            <m:num>
              <m:r>
                <w:rPr>
                  <w:rFonts w:ascii="Cambria Math" w:hAnsi="Cambria Math"/>
                  <w:lang w:val="en-GB"/>
                </w:rPr>
                <m:t>49.25+40.65+40.65+42.68+40.65</m:t>
              </m:r>
            </m:num>
            <m:den>
              <m:r>
                <w:rPr>
                  <w:rFonts w:ascii="Cambria Math" w:hAnsi="Cambria Math"/>
                  <w:lang w:val="en-GB"/>
                </w:rPr>
                <m:t>5</m:t>
              </m:r>
            </m:den>
          </m:f>
          <m:r>
            <w:rPr>
              <w:rFonts w:ascii="Cambria Math" w:hAnsi="Cambria Math"/>
              <w:lang w:val="en-GB"/>
            </w:rPr>
            <m:t>=42.78 %</m:t>
          </m:r>
        </m:oMath>
      </m:oMathPara>
    </w:p>
    <w:p w14:paraId="16FADE96" w14:textId="7BB30B1B" w:rsidR="009521F6" w:rsidRPr="00E4709C" w:rsidRDefault="009521F6" w:rsidP="009521F6">
      <w:pPr>
        <w:pStyle w:val="AAENormaltext"/>
        <w:ind w:firstLine="284"/>
        <w:rPr>
          <w:lang w:val="en-GB"/>
        </w:rPr>
      </w:pPr>
      <w:r w:rsidRPr="00E4709C">
        <w:rPr>
          <w:lang w:val="en-GB"/>
        </w:rPr>
        <w:t>The resulting average value was 42.78%. For practical application, this value was rounded upward to 45%. The upward rounding was selected because a five-percentage-point interval is easier to apply in payroll calculations and possible legislative wording than a highly specific value such as 42.78%. This means that the proposed Slovak model is based on the following principle (Eq. 6):</w:t>
      </w:r>
    </w:p>
    <w:p w14:paraId="09CB70BF" w14:textId="0E583BDF" w:rsidR="009521F6" w:rsidRPr="00E4709C" w:rsidRDefault="009521F6" w:rsidP="00E41729">
      <w:pPr>
        <w:pStyle w:val="AAENormaltext"/>
        <w:tabs>
          <w:tab w:val="center" w:pos="4536"/>
          <w:tab w:val="right" w:pos="9638"/>
        </w:tabs>
        <w:spacing w:before="120"/>
        <w:rPr>
          <w:rStyle w:val="AAEEQZnak"/>
          <w:rFonts w:eastAsiaTheme="minorEastAsia"/>
          <w:sz w:val="22"/>
          <w:szCs w:val="22"/>
        </w:rPr>
      </w:pPr>
      <w:r w:rsidRPr="00E4709C">
        <w:rPr>
          <w:rStyle w:val="AAENormaltextZnak"/>
          <w:bCs/>
          <w:lang w:val="en-GB"/>
        </w:rPr>
        <w:tab/>
      </w:r>
      <m:oMath>
        <m:r>
          <w:rPr>
            <w:rStyle w:val="AAENormaltextZnak"/>
            <w:rFonts w:ascii="Cambria Math" w:hAnsi="Cambria Math"/>
            <w:lang w:val="en-GB"/>
          </w:rPr>
          <m:t>AA=0.45 ×MA</m:t>
        </m:r>
      </m:oMath>
      <w:r w:rsidRPr="00E4709C">
        <w:rPr>
          <w:rStyle w:val="AAENormaltextZnak"/>
          <w:rFonts w:ascii="Cambria Math" w:eastAsiaTheme="minorEastAsia" w:hAnsi="Cambria Math"/>
          <w:i/>
          <w:lang w:val="en-GB"/>
        </w:rPr>
        <w:tab/>
      </w:r>
      <w:r w:rsidRPr="00E4709C">
        <w:rPr>
          <w:rStyle w:val="AAEEQZnak"/>
          <w:rFonts w:eastAsiaTheme="minorEastAsia"/>
          <w:sz w:val="22"/>
          <w:szCs w:val="22"/>
        </w:rPr>
        <w:t>(6)</w:t>
      </w:r>
    </w:p>
    <w:p w14:paraId="2233DA1C" w14:textId="736F6AF8" w:rsidR="009521F6" w:rsidRPr="00E4709C" w:rsidRDefault="009521F6" w:rsidP="00E41729">
      <w:pPr>
        <w:pStyle w:val="AAENormaltext"/>
        <w:spacing w:after="0"/>
        <w:rPr>
          <w:lang w:val="en-GB"/>
        </w:rPr>
      </w:pPr>
      <w:r w:rsidRPr="00E4709C">
        <w:rPr>
          <w:lang w:val="en-GB"/>
        </w:rPr>
        <w:t>where:</w:t>
      </w:r>
    </w:p>
    <w:p w14:paraId="514A0A0B" w14:textId="128A5E07" w:rsidR="009521F6" w:rsidRPr="00E4709C" w:rsidRDefault="009521F6" w:rsidP="00E41729">
      <w:pPr>
        <w:pStyle w:val="AAENormaltext"/>
        <w:spacing w:after="0"/>
        <w:rPr>
          <w:lang w:val="en-GB"/>
        </w:rPr>
      </w:pPr>
      <w:r w:rsidRPr="00E4709C">
        <w:rPr>
          <w:lang w:val="en-GB"/>
        </w:rPr>
        <w:t xml:space="preserve">AA – the flat-rate accommodation allowance [€], </w:t>
      </w:r>
    </w:p>
    <w:p w14:paraId="38897DCD" w14:textId="7C0B0EA7" w:rsidR="009521F6" w:rsidRPr="00E4709C" w:rsidRDefault="009521F6" w:rsidP="00E41729">
      <w:pPr>
        <w:pStyle w:val="AAENormaltext"/>
        <w:spacing w:after="0"/>
        <w:rPr>
          <w:lang w:val="en-GB"/>
        </w:rPr>
      </w:pPr>
      <w:r w:rsidRPr="00E4709C">
        <w:rPr>
          <w:lang w:val="en-GB"/>
        </w:rPr>
        <w:t>MA – the full foreign meal allowance applicable in the country where the driver takes the required rest period [€].</w:t>
      </w:r>
    </w:p>
    <w:p w14:paraId="6B34A551" w14:textId="26EA4B43" w:rsidR="003B34BA" w:rsidRPr="00E4709C" w:rsidRDefault="009521F6" w:rsidP="00E41729">
      <w:pPr>
        <w:pStyle w:val="AAENormaltext"/>
        <w:spacing w:after="0"/>
        <w:ind w:firstLine="284"/>
        <w:rPr>
          <w:lang w:val="en-GB"/>
        </w:rPr>
      </w:pPr>
      <w:r w:rsidRPr="00E4709C">
        <w:rPr>
          <w:lang w:val="en-GB"/>
        </w:rPr>
        <w:t>The proposed mechanism, therefore, links the accommodation allowance directly to the existing Slovak system of foreign meal allowance rates. This is important because the meal allowance rates are already defined by country and can be updated through the existing legal framework. As a result, the proposed accommodation allowance would automatically reflect changes in foreign meal allowance rates without requiring a separate, complex accommodation allowance table.</w:t>
      </w:r>
    </w:p>
    <w:p w14:paraId="1D579F87" w14:textId="532AAC13" w:rsidR="009521F6" w:rsidRPr="00E4709C" w:rsidRDefault="009521F6" w:rsidP="00E41729">
      <w:pPr>
        <w:pStyle w:val="Rn2"/>
        <w:rPr>
          <w:lang w:val="en-GB"/>
        </w:rPr>
      </w:pPr>
      <w:r w:rsidRPr="00E4709C">
        <w:rPr>
          <w:lang w:val="en-GB"/>
        </w:rPr>
        <w:t xml:space="preserve">3.4. Impact of the </w:t>
      </w:r>
      <w:r w:rsidR="00E4709C" w:rsidRPr="00E4709C">
        <w:rPr>
          <w:lang w:val="en-GB"/>
        </w:rPr>
        <w:t>D</w:t>
      </w:r>
      <w:r w:rsidRPr="00E4709C">
        <w:rPr>
          <w:lang w:val="en-GB"/>
        </w:rPr>
        <w:t xml:space="preserve">esigned </w:t>
      </w:r>
      <w:r w:rsidR="00E4709C" w:rsidRPr="00E4709C">
        <w:rPr>
          <w:lang w:val="en-GB"/>
        </w:rPr>
        <w:t>M</w:t>
      </w:r>
      <w:r w:rsidRPr="00E4709C">
        <w:rPr>
          <w:lang w:val="en-GB"/>
        </w:rPr>
        <w:t xml:space="preserve">odel on the Slovak </w:t>
      </w:r>
      <w:r w:rsidR="00E4709C" w:rsidRPr="00E4709C">
        <w:rPr>
          <w:lang w:val="en-GB"/>
        </w:rPr>
        <w:t>S</w:t>
      </w:r>
      <w:r w:rsidRPr="00E4709C">
        <w:rPr>
          <w:lang w:val="en-GB"/>
        </w:rPr>
        <w:t>ystem</w:t>
      </w:r>
    </w:p>
    <w:p w14:paraId="1B6A3917" w14:textId="21028AEC" w:rsidR="009521F6" w:rsidRPr="00E4709C" w:rsidRDefault="009521F6" w:rsidP="00E41729">
      <w:pPr>
        <w:pStyle w:val="AAENormaltext"/>
        <w:spacing w:after="0"/>
        <w:ind w:firstLine="284"/>
        <w:rPr>
          <w:lang w:val="en-GB"/>
        </w:rPr>
      </w:pPr>
      <w:r w:rsidRPr="00E4709C">
        <w:rPr>
          <w:lang w:val="en-GB"/>
        </w:rPr>
        <w:t>After deriving the proposed flat-rate accommodation allowance, the model was applied to the Slovak system. The current Slovak calculation included only meal allowances, as the existing system does not provide a</w:t>
      </w:r>
      <w:r w:rsidR="006A5CCB">
        <w:rPr>
          <w:lang w:val="en-GB"/>
        </w:rPr>
        <w:t> </w:t>
      </w:r>
      <w:r w:rsidRPr="00E4709C">
        <w:rPr>
          <w:lang w:val="en-GB"/>
        </w:rPr>
        <w:t>separate flat-rate accommodation allowance without proof of accommodation. Under the current model, Slovak travel allowances reached 373.75 €, and the driver</w:t>
      </w:r>
      <w:r w:rsidR="00C942C7">
        <w:rPr>
          <w:lang w:val="en-GB"/>
        </w:rPr>
        <w:t>'</w:t>
      </w:r>
      <w:r w:rsidRPr="00E4709C">
        <w:rPr>
          <w:lang w:val="en-GB"/>
        </w:rPr>
        <w:t>s total net income amounted to 896.58 €.</w:t>
      </w:r>
    </w:p>
    <w:p w14:paraId="08ABE3C4" w14:textId="7D62B0B1" w:rsidR="00611182" w:rsidRPr="00E4709C" w:rsidRDefault="00611182" w:rsidP="00E41729">
      <w:pPr>
        <w:pStyle w:val="AAENormaltext"/>
        <w:spacing w:after="0"/>
        <w:ind w:firstLine="284"/>
        <w:rPr>
          <w:lang w:val="en-GB"/>
        </w:rPr>
      </w:pPr>
      <w:r w:rsidRPr="00E4709C">
        <w:rPr>
          <w:lang w:val="en-GB"/>
        </w:rPr>
        <w:t xml:space="preserve">The proposed model adds a flat-rate accommodation allowance equal to 45% of the </w:t>
      </w:r>
      <w:r w:rsidR="00C942C7">
        <w:rPr>
          <w:lang w:val="en-GB"/>
        </w:rPr>
        <w:t>country's full foreign meal allowance for the driver's</w:t>
      </w:r>
      <w:r w:rsidRPr="00E4709C">
        <w:rPr>
          <w:lang w:val="en-GB"/>
        </w:rPr>
        <w:t xml:space="preserve"> required rest period. The accommodation allowance for each rest period was calculated according to Equation (6). The accommodation allowance was calculated for six rest periods on the model route. The calculation is summarized in Table 4.</w:t>
      </w:r>
    </w:p>
    <w:p w14:paraId="56459763" w14:textId="77777777" w:rsidR="00611182" w:rsidRPr="00E4709C" w:rsidRDefault="00611182" w:rsidP="00E41729">
      <w:pPr>
        <w:pStyle w:val="AAENormaltext"/>
        <w:spacing w:after="0"/>
        <w:ind w:firstLine="284"/>
        <w:rPr>
          <w:lang w:val="en-GB"/>
        </w:rPr>
      </w:pPr>
    </w:p>
    <w:p w14:paraId="12B417DC" w14:textId="2FBA2A48" w:rsidR="00611182" w:rsidRPr="00E4709C" w:rsidRDefault="00611182" w:rsidP="00E41729">
      <w:pPr>
        <w:pStyle w:val="Rtab"/>
        <w:rPr>
          <w:lang w:val="en-GB"/>
        </w:rPr>
      </w:pPr>
      <w:r w:rsidRPr="00E4709C">
        <w:rPr>
          <w:b/>
          <w:lang w:val="en-GB"/>
        </w:rPr>
        <w:t>Table 4.</w:t>
      </w:r>
      <w:r w:rsidRPr="00E4709C">
        <w:rPr>
          <w:lang w:val="en-GB"/>
        </w:rPr>
        <w:t xml:space="preserve"> Accommodation allowance calculated by the developed Slovak model</w:t>
      </w:r>
      <w:r w:rsidR="00B242C2" w:rsidRPr="00E4709C">
        <w:rPr>
          <w:lang w:val="en-GB"/>
        </w:rPr>
        <w:t>.</w:t>
      </w:r>
      <w:r w:rsidRPr="00E4709C">
        <w:rPr>
          <w:lang w:val="en-GB"/>
        </w:rPr>
        <w:t xml:space="preserve"> Source: authors</w:t>
      </w:r>
    </w:p>
    <w:tbl>
      <w:tblPr>
        <w:tblStyle w:val="MDPI41threelinetable"/>
        <w:tblW w:w="8632" w:type="dxa"/>
        <w:jc w:val="left"/>
        <w:tblBorders>
          <w:top w:val="single" w:sz="4" w:space="0" w:color="auto"/>
          <w:bottom w:val="single" w:sz="4" w:space="0" w:color="auto"/>
          <w:insideH w:val="single" w:sz="4" w:space="0" w:color="auto"/>
        </w:tblBorders>
        <w:tblLook w:val="04A0" w:firstRow="1" w:lastRow="0" w:firstColumn="1" w:lastColumn="0" w:noHBand="0" w:noVBand="1"/>
      </w:tblPr>
      <w:tblGrid>
        <w:gridCol w:w="1701"/>
        <w:gridCol w:w="1843"/>
        <w:gridCol w:w="2307"/>
        <w:gridCol w:w="2781"/>
      </w:tblGrid>
      <w:tr w:rsidR="00611182" w:rsidRPr="00E4709C" w14:paraId="1D828B37" w14:textId="77777777" w:rsidTr="008C4284">
        <w:trPr>
          <w:cnfStyle w:val="100000000000" w:firstRow="1" w:lastRow="0" w:firstColumn="0" w:lastColumn="0" w:oddVBand="0" w:evenVBand="0" w:oddHBand="0" w:evenHBand="0" w:firstRowFirstColumn="0" w:firstRowLastColumn="0" w:lastRowFirstColumn="0" w:lastRowLastColumn="0"/>
          <w:trHeight w:val="589"/>
          <w:jc w:val="left"/>
        </w:trPr>
        <w:tc>
          <w:tcPr>
            <w:tcW w:w="1701" w:type="dxa"/>
            <w:tcBorders>
              <w:bottom w:val="none" w:sz="0" w:space="0" w:color="auto"/>
            </w:tcBorders>
          </w:tcPr>
          <w:p w14:paraId="1B4D8EEC" w14:textId="77777777" w:rsidR="00611182" w:rsidRPr="00E4709C" w:rsidRDefault="00611182" w:rsidP="00F22035">
            <w:pPr>
              <w:pStyle w:val="AAENormaltext"/>
              <w:spacing w:after="0"/>
              <w:ind w:left="253"/>
              <w:jc w:val="left"/>
              <w:rPr>
                <w:b w:val="0"/>
                <w:bCs w:val="0"/>
                <w:lang w:val="en-GB"/>
              </w:rPr>
            </w:pPr>
            <w:r w:rsidRPr="00E4709C">
              <w:rPr>
                <w:b w:val="0"/>
                <w:bCs w:val="0"/>
                <w:lang w:val="en-GB"/>
              </w:rPr>
              <w:t>Date</w:t>
            </w:r>
          </w:p>
        </w:tc>
        <w:tc>
          <w:tcPr>
            <w:tcW w:w="1843" w:type="dxa"/>
            <w:tcBorders>
              <w:bottom w:val="none" w:sz="0" w:space="0" w:color="auto"/>
            </w:tcBorders>
          </w:tcPr>
          <w:p w14:paraId="0970AB7C" w14:textId="50020065" w:rsidR="00611182" w:rsidRPr="00E4709C" w:rsidRDefault="00611182" w:rsidP="00611182">
            <w:pPr>
              <w:pStyle w:val="AAENormaltext"/>
              <w:spacing w:after="0"/>
              <w:jc w:val="center"/>
              <w:rPr>
                <w:b w:val="0"/>
                <w:bCs w:val="0"/>
                <w:lang w:val="en-GB"/>
              </w:rPr>
            </w:pPr>
            <w:r w:rsidRPr="00E4709C">
              <w:rPr>
                <w:b w:val="0"/>
                <w:bCs w:val="0"/>
                <w:lang w:val="en-GB"/>
              </w:rPr>
              <w:t xml:space="preserve">Country </w:t>
            </w:r>
            <w:r w:rsidR="00F22035">
              <w:rPr>
                <w:b w:val="0"/>
                <w:bCs w:val="0"/>
                <w:lang w:val="en-GB"/>
              </w:rPr>
              <w:br/>
            </w:r>
            <w:r w:rsidRPr="00E4709C">
              <w:rPr>
                <w:b w:val="0"/>
                <w:bCs w:val="0"/>
                <w:lang w:val="en-GB"/>
              </w:rPr>
              <w:t>of rest period</w:t>
            </w:r>
          </w:p>
        </w:tc>
        <w:tc>
          <w:tcPr>
            <w:tcW w:w="2307" w:type="dxa"/>
            <w:tcBorders>
              <w:bottom w:val="none" w:sz="0" w:space="0" w:color="auto"/>
            </w:tcBorders>
          </w:tcPr>
          <w:p w14:paraId="426F6CEB" w14:textId="60985BAE" w:rsidR="00611182" w:rsidRPr="00E4709C" w:rsidRDefault="00611182" w:rsidP="00611182">
            <w:pPr>
              <w:pStyle w:val="AAENormaltext"/>
              <w:spacing w:after="0"/>
              <w:jc w:val="center"/>
              <w:rPr>
                <w:b w:val="0"/>
                <w:bCs w:val="0"/>
                <w:lang w:val="en-GB"/>
              </w:rPr>
            </w:pPr>
            <w:r w:rsidRPr="00E4709C">
              <w:rPr>
                <w:b w:val="0"/>
                <w:bCs w:val="0"/>
                <w:lang w:val="en-GB"/>
              </w:rPr>
              <w:t xml:space="preserve">Full meal </w:t>
            </w:r>
            <w:r w:rsidR="00F22035">
              <w:rPr>
                <w:b w:val="0"/>
                <w:bCs w:val="0"/>
                <w:lang w:val="en-GB"/>
              </w:rPr>
              <w:br/>
            </w:r>
            <w:r w:rsidRPr="00E4709C">
              <w:rPr>
                <w:b w:val="0"/>
                <w:bCs w:val="0"/>
                <w:lang w:val="en-GB"/>
              </w:rPr>
              <w:t>allowance rate [€]</w:t>
            </w:r>
          </w:p>
        </w:tc>
        <w:tc>
          <w:tcPr>
            <w:tcW w:w="2781" w:type="dxa"/>
            <w:tcBorders>
              <w:bottom w:val="none" w:sz="0" w:space="0" w:color="auto"/>
            </w:tcBorders>
          </w:tcPr>
          <w:p w14:paraId="47B2480A" w14:textId="77D608E4" w:rsidR="00611182" w:rsidRPr="00E4709C" w:rsidRDefault="00611182" w:rsidP="00611182">
            <w:pPr>
              <w:pStyle w:val="AAENormaltext"/>
              <w:spacing w:after="0"/>
              <w:jc w:val="center"/>
              <w:rPr>
                <w:b w:val="0"/>
                <w:bCs w:val="0"/>
                <w:lang w:val="en-GB"/>
              </w:rPr>
            </w:pPr>
            <w:r w:rsidRPr="00E4709C">
              <w:rPr>
                <w:b w:val="0"/>
                <w:bCs w:val="0"/>
                <w:lang w:val="en-GB"/>
              </w:rPr>
              <w:t>Proposed accommodation allowance, 45% [€]</w:t>
            </w:r>
          </w:p>
        </w:tc>
      </w:tr>
      <w:tr w:rsidR="00611182" w:rsidRPr="00E4709C" w14:paraId="036EA7F1" w14:textId="77777777" w:rsidTr="00E41729">
        <w:trPr>
          <w:jc w:val="left"/>
        </w:trPr>
        <w:tc>
          <w:tcPr>
            <w:tcW w:w="1701" w:type="dxa"/>
          </w:tcPr>
          <w:p w14:paraId="34237FD1" w14:textId="5A1436F5" w:rsidR="00611182" w:rsidRPr="00E4709C" w:rsidRDefault="00611182" w:rsidP="00611182">
            <w:pPr>
              <w:pStyle w:val="AAENormaltext"/>
              <w:spacing w:after="0"/>
              <w:jc w:val="left"/>
              <w:rPr>
                <w:lang w:val="en-GB"/>
              </w:rPr>
            </w:pPr>
            <w:r w:rsidRPr="00E4709C">
              <w:rPr>
                <w:lang w:val="en-GB"/>
              </w:rPr>
              <w:t>20.03.2026</w:t>
            </w:r>
          </w:p>
        </w:tc>
        <w:tc>
          <w:tcPr>
            <w:tcW w:w="1843" w:type="dxa"/>
          </w:tcPr>
          <w:p w14:paraId="50EB4FAA" w14:textId="77777777" w:rsidR="00611182" w:rsidRPr="00E4709C" w:rsidRDefault="00611182" w:rsidP="00611182">
            <w:pPr>
              <w:pStyle w:val="AAENormaltext"/>
              <w:spacing w:after="0"/>
              <w:jc w:val="center"/>
              <w:rPr>
                <w:lang w:val="en-GB"/>
              </w:rPr>
            </w:pPr>
            <w:r w:rsidRPr="00E4709C">
              <w:rPr>
                <w:lang w:val="en-GB"/>
              </w:rPr>
              <w:t>Hungary</w:t>
            </w:r>
          </w:p>
        </w:tc>
        <w:tc>
          <w:tcPr>
            <w:tcW w:w="2307" w:type="dxa"/>
          </w:tcPr>
          <w:p w14:paraId="6E5C0552" w14:textId="3C2ACE7C" w:rsidR="00611182" w:rsidRPr="00E4709C" w:rsidRDefault="00611182" w:rsidP="00611182">
            <w:pPr>
              <w:pStyle w:val="AAENormaltext"/>
              <w:spacing w:after="0"/>
              <w:jc w:val="center"/>
              <w:rPr>
                <w:lang w:val="en-GB"/>
              </w:rPr>
            </w:pPr>
            <w:r w:rsidRPr="00E4709C">
              <w:rPr>
                <w:lang w:val="en-GB"/>
              </w:rPr>
              <w:t>55</w:t>
            </w:r>
            <w:r w:rsidR="00B242C2" w:rsidRPr="00E4709C">
              <w:rPr>
                <w:lang w:val="en-GB"/>
              </w:rPr>
              <w:t>.</w:t>
            </w:r>
            <w:r w:rsidRPr="00E4709C">
              <w:rPr>
                <w:lang w:val="en-GB"/>
              </w:rPr>
              <w:t>00</w:t>
            </w:r>
          </w:p>
        </w:tc>
        <w:tc>
          <w:tcPr>
            <w:tcW w:w="2781" w:type="dxa"/>
          </w:tcPr>
          <w:p w14:paraId="5B450F73" w14:textId="062216C7" w:rsidR="00611182" w:rsidRPr="00E4709C" w:rsidRDefault="00611182" w:rsidP="00611182">
            <w:pPr>
              <w:pStyle w:val="AAENormaltext"/>
              <w:spacing w:after="0"/>
              <w:jc w:val="center"/>
              <w:rPr>
                <w:lang w:val="en-GB"/>
              </w:rPr>
            </w:pPr>
            <w:r w:rsidRPr="00E4709C">
              <w:rPr>
                <w:lang w:val="en-GB"/>
              </w:rPr>
              <w:t>24</w:t>
            </w:r>
            <w:r w:rsidR="00B242C2" w:rsidRPr="00E4709C">
              <w:rPr>
                <w:lang w:val="en-GB"/>
              </w:rPr>
              <w:t>.</w:t>
            </w:r>
            <w:r w:rsidRPr="00E4709C">
              <w:rPr>
                <w:lang w:val="en-GB"/>
              </w:rPr>
              <w:t>75</w:t>
            </w:r>
          </w:p>
        </w:tc>
      </w:tr>
      <w:tr w:rsidR="00611182" w:rsidRPr="00E4709C" w14:paraId="6761B62B" w14:textId="77777777" w:rsidTr="00E41729">
        <w:trPr>
          <w:jc w:val="left"/>
        </w:trPr>
        <w:tc>
          <w:tcPr>
            <w:tcW w:w="1701" w:type="dxa"/>
          </w:tcPr>
          <w:p w14:paraId="472D7103" w14:textId="24991037" w:rsidR="00611182" w:rsidRPr="00E4709C" w:rsidRDefault="00611182" w:rsidP="00611182">
            <w:pPr>
              <w:pStyle w:val="AAENormaltext"/>
              <w:spacing w:after="0"/>
              <w:jc w:val="left"/>
              <w:rPr>
                <w:lang w:val="en-GB"/>
              </w:rPr>
            </w:pPr>
            <w:r w:rsidRPr="00E4709C">
              <w:rPr>
                <w:lang w:val="en-GB"/>
              </w:rPr>
              <w:t>21.03.2026</w:t>
            </w:r>
          </w:p>
        </w:tc>
        <w:tc>
          <w:tcPr>
            <w:tcW w:w="1843" w:type="dxa"/>
          </w:tcPr>
          <w:p w14:paraId="35555D3A" w14:textId="77777777" w:rsidR="00611182" w:rsidRPr="00E4709C" w:rsidRDefault="00611182" w:rsidP="00611182">
            <w:pPr>
              <w:pStyle w:val="AAENormaltext"/>
              <w:spacing w:after="0"/>
              <w:jc w:val="center"/>
              <w:rPr>
                <w:lang w:val="en-GB"/>
              </w:rPr>
            </w:pPr>
            <w:r w:rsidRPr="00E4709C">
              <w:rPr>
                <w:lang w:val="en-GB"/>
              </w:rPr>
              <w:t>Serbia</w:t>
            </w:r>
          </w:p>
        </w:tc>
        <w:tc>
          <w:tcPr>
            <w:tcW w:w="2307" w:type="dxa"/>
          </w:tcPr>
          <w:p w14:paraId="26E64B72" w14:textId="27A2C107" w:rsidR="00611182" w:rsidRPr="00E4709C" w:rsidRDefault="00611182" w:rsidP="00611182">
            <w:pPr>
              <w:pStyle w:val="AAENormaltext"/>
              <w:spacing w:after="0"/>
              <w:jc w:val="center"/>
              <w:rPr>
                <w:lang w:val="en-GB"/>
              </w:rPr>
            </w:pPr>
            <w:r w:rsidRPr="00E4709C">
              <w:rPr>
                <w:lang w:val="en-GB"/>
              </w:rPr>
              <w:t>60</w:t>
            </w:r>
            <w:r w:rsidR="00B242C2" w:rsidRPr="00E4709C">
              <w:rPr>
                <w:lang w:val="en-GB"/>
              </w:rPr>
              <w:t>.</w:t>
            </w:r>
            <w:r w:rsidRPr="00E4709C">
              <w:rPr>
                <w:lang w:val="en-GB"/>
              </w:rPr>
              <w:t>00</w:t>
            </w:r>
          </w:p>
        </w:tc>
        <w:tc>
          <w:tcPr>
            <w:tcW w:w="2781" w:type="dxa"/>
          </w:tcPr>
          <w:p w14:paraId="6BE911EE" w14:textId="4BE950A2" w:rsidR="00611182" w:rsidRPr="00E4709C" w:rsidRDefault="00611182" w:rsidP="00611182">
            <w:pPr>
              <w:pStyle w:val="AAENormaltext"/>
              <w:spacing w:after="0"/>
              <w:jc w:val="center"/>
              <w:rPr>
                <w:lang w:val="en-GB"/>
              </w:rPr>
            </w:pPr>
            <w:r w:rsidRPr="00E4709C">
              <w:rPr>
                <w:lang w:val="en-GB"/>
              </w:rPr>
              <w:t>27</w:t>
            </w:r>
            <w:r w:rsidR="00B242C2" w:rsidRPr="00E4709C">
              <w:rPr>
                <w:lang w:val="en-GB"/>
              </w:rPr>
              <w:t>.</w:t>
            </w:r>
            <w:r w:rsidRPr="00E4709C">
              <w:rPr>
                <w:lang w:val="en-GB"/>
              </w:rPr>
              <w:t>00</w:t>
            </w:r>
          </w:p>
        </w:tc>
      </w:tr>
      <w:tr w:rsidR="00611182" w:rsidRPr="00E4709C" w14:paraId="424EA235" w14:textId="77777777" w:rsidTr="00E41729">
        <w:trPr>
          <w:jc w:val="left"/>
        </w:trPr>
        <w:tc>
          <w:tcPr>
            <w:tcW w:w="1701" w:type="dxa"/>
          </w:tcPr>
          <w:p w14:paraId="2A96803D" w14:textId="1F0FDA09" w:rsidR="00611182" w:rsidRPr="00E4709C" w:rsidRDefault="00611182" w:rsidP="00611182">
            <w:pPr>
              <w:pStyle w:val="AAENormaltext"/>
              <w:spacing w:after="0"/>
              <w:jc w:val="left"/>
              <w:rPr>
                <w:lang w:val="en-GB"/>
              </w:rPr>
            </w:pPr>
            <w:r w:rsidRPr="00E4709C">
              <w:rPr>
                <w:lang w:val="en-GB"/>
              </w:rPr>
              <w:t>22.03.2026</w:t>
            </w:r>
          </w:p>
        </w:tc>
        <w:tc>
          <w:tcPr>
            <w:tcW w:w="1843" w:type="dxa"/>
          </w:tcPr>
          <w:p w14:paraId="6AC27E39" w14:textId="77777777" w:rsidR="00611182" w:rsidRPr="00E4709C" w:rsidRDefault="00611182" w:rsidP="00611182">
            <w:pPr>
              <w:pStyle w:val="AAENormaltext"/>
              <w:spacing w:after="0"/>
              <w:jc w:val="center"/>
              <w:rPr>
                <w:lang w:val="en-GB"/>
              </w:rPr>
            </w:pPr>
            <w:r w:rsidRPr="00E4709C">
              <w:rPr>
                <w:lang w:val="en-GB"/>
              </w:rPr>
              <w:t>Greece</w:t>
            </w:r>
          </w:p>
        </w:tc>
        <w:tc>
          <w:tcPr>
            <w:tcW w:w="2307" w:type="dxa"/>
          </w:tcPr>
          <w:p w14:paraId="42713749" w14:textId="45957825" w:rsidR="00611182" w:rsidRPr="00E4709C" w:rsidRDefault="00611182" w:rsidP="00611182">
            <w:pPr>
              <w:pStyle w:val="AAENormaltext"/>
              <w:spacing w:after="0"/>
              <w:jc w:val="center"/>
              <w:rPr>
                <w:lang w:val="en-GB"/>
              </w:rPr>
            </w:pPr>
            <w:r w:rsidRPr="00E4709C">
              <w:rPr>
                <w:lang w:val="en-GB"/>
              </w:rPr>
              <w:t>59</w:t>
            </w:r>
            <w:r w:rsidR="00B242C2" w:rsidRPr="00E4709C">
              <w:rPr>
                <w:lang w:val="en-GB"/>
              </w:rPr>
              <w:t>.</w:t>
            </w:r>
            <w:r w:rsidRPr="00E4709C">
              <w:rPr>
                <w:lang w:val="en-GB"/>
              </w:rPr>
              <w:t>00</w:t>
            </w:r>
          </w:p>
        </w:tc>
        <w:tc>
          <w:tcPr>
            <w:tcW w:w="2781" w:type="dxa"/>
          </w:tcPr>
          <w:p w14:paraId="0C62B88D" w14:textId="70D092C6" w:rsidR="00611182" w:rsidRPr="00E4709C" w:rsidRDefault="00611182" w:rsidP="00611182">
            <w:pPr>
              <w:pStyle w:val="AAENormaltext"/>
              <w:spacing w:after="0"/>
              <w:jc w:val="center"/>
              <w:rPr>
                <w:lang w:val="en-GB"/>
              </w:rPr>
            </w:pPr>
            <w:r w:rsidRPr="00E4709C">
              <w:rPr>
                <w:lang w:val="en-GB"/>
              </w:rPr>
              <w:t>26</w:t>
            </w:r>
            <w:r w:rsidR="00B242C2" w:rsidRPr="00E4709C">
              <w:rPr>
                <w:lang w:val="en-GB"/>
              </w:rPr>
              <w:t>.</w:t>
            </w:r>
            <w:r w:rsidRPr="00E4709C">
              <w:rPr>
                <w:lang w:val="en-GB"/>
              </w:rPr>
              <w:t>55</w:t>
            </w:r>
          </w:p>
        </w:tc>
      </w:tr>
      <w:tr w:rsidR="00611182" w:rsidRPr="00E4709C" w14:paraId="43C2B3D1" w14:textId="77777777" w:rsidTr="00E41729">
        <w:trPr>
          <w:jc w:val="left"/>
        </w:trPr>
        <w:tc>
          <w:tcPr>
            <w:tcW w:w="1701" w:type="dxa"/>
          </w:tcPr>
          <w:p w14:paraId="5DB1B2CE" w14:textId="3E2C4CC2" w:rsidR="00611182" w:rsidRPr="00E4709C" w:rsidRDefault="00611182" w:rsidP="00611182">
            <w:pPr>
              <w:pStyle w:val="AAENormaltext"/>
              <w:spacing w:after="0"/>
              <w:jc w:val="left"/>
              <w:rPr>
                <w:lang w:val="en-GB"/>
              </w:rPr>
            </w:pPr>
            <w:r w:rsidRPr="00E4709C">
              <w:rPr>
                <w:lang w:val="en-GB"/>
              </w:rPr>
              <w:t>23.03.2026</w:t>
            </w:r>
          </w:p>
        </w:tc>
        <w:tc>
          <w:tcPr>
            <w:tcW w:w="1843" w:type="dxa"/>
          </w:tcPr>
          <w:p w14:paraId="052563BA" w14:textId="77777777" w:rsidR="00611182" w:rsidRPr="00E4709C" w:rsidRDefault="00611182" w:rsidP="00611182">
            <w:pPr>
              <w:pStyle w:val="AAENormaltext"/>
              <w:spacing w:after="0"/>
              <w:jc w:val="center"/>
              <w:rPr>
                <w:lang w:val="en-GB"/>
              </w:rPr>
            </w:pPr>
            <w:r w:rsidRPr="00E4709C">
              <w:rPr>
                <w:lang w:val="en-GB"/>
              </w:rPr>
              <w:t>North Macedonia</w:t>
            </w:r>
          </w:p>
        </w:tc>
        <w:tc>
          <w:tcPr>
            <w:tcW w:w="2307" w:type="dxa"/>
          </w:tcPr>
          <w:p w14:paraId="066F96B6" w14:textId="2F082CB8" w:rsidR="00611182" w:rsidRPr="00E4709C" w:rsidRDefault="00611182" w:rsidP="00611182">
            <w:pPr>
              <w:pStyle w:val="AAENormaltext"/>
              <w:spacing w:after="0"/>
              <w:jc w:val="center"/>
              <w:rPr>
                <w:lang w:val="en-GB"/>
              </w:rPr>
            </w:pPr>
            <w:r w:rsidRPr="00E4709C">
              <w:rPr>
                <w:lang w:val="en-GB"/>
              </w:rPr>
              <w:t>37</w:t>
            </w:r>
            <w:r w:rsidR="00B242C2" w:rsidRPr="00E4709C">
              <w:rPr>
                <w:lang w:val="en-GB"/>
              </w:rPr>
              <w:t>.</w:t>
            </w:r>
            <w:r w:rsidRPr="00E4709C">
              <w:rPr>
                <w:lang w:val="en-GB"/>
              </w:rPr>
              <w:t>00</w:t>
            </w:r>
          </w:p>
        </w:tc>
        <w:tc>
          <w:tcPr>
            <w:tcW w:w="2781" w:type="dxa"/>
          </w:tcPr>
          <w:p w14:paraId="01F58A2E" w14:textId="3BA1EC4A" w:rsidR="00611182" w:rsidRPr="00E4709C" w:rsidRDefault="00611182" w:rsidP="00611182">
            <w:pPr>
              <w:pStyle w:val="AAENormaltext"/>
              <w:spacing w:after="0"/>
              <w:jc w:val="center"/>
              <w:rPr>
                <w:lang w:val="en-GB"/>
              </w:rPr>
            </w:pPr>
            <w:r w:rsidRPr="00E4709C">
              <w:rPr>
                <w:lang w:val="en-GB"/>
              </w:rPr>
              <w:t>16</w:t>
            </w:r>
            <w:r w:rsidR="00B242C2" w:rsidRPr="00E4709C">
              <w:rPr>
                <w:lang w:val="en-GB"/>
              </w:rPr>
              <w:t>.</w:t>
            </w:r>
            <w:r w:rsidRPr="00E4709C">
              <w:rPr>
                <w:lang w:val="en-GB"/>
              </w:rPr>
              <w:t>65</w:t>
            </w:r>
          </w:p>
        </w:tc>
      </w:tr>
      <w:tr w:rsidR="00611182" w:rsidRPr="00E4709C" w14:paraId="408D8AB8" w14:textId="77777777" w:rsidTr="00E41729">
        <w:trPr>
          <w:jc w:val="left"/>
        </w:trPr>
        <w:tc>
          <w:tcPr>
            <w:tcW w:w="1701" w:type="dxa"/>
          </w:tcPr>
          <w:p w14:paraId="1F79401B" w14:textId="44897EE0" w:rsidR="00611182" w:rsidRPr="00E4709C" w:rsidRDefault="00611182" w:rsidP="00611182">
            <w:pPr>
              <w:pStyle w:val="AAENormaltext"/>
              <w:spacing w:after="0"/>
              <w:jc w:val="left"/>
              <w:rPr>
                <w:lang w:val="en-GB"/>
              </w:rPr>
            </w:pPr>
            <w:r w:rsidRPr="00E4709C">
              <w:rPr>
                <w:lang w:val="en-GB"/>
              </w:rPr>
              <w:t>24.03.2026</w:t>
            </w:r>
          </w:p>
        </w:tc>
        <w:tc>
          <w:tcPr>
            <w:tcW w:w="1843" w:type="dxa"/>
          </w:tcPr>
          <w:p w14:paraId="099D1ADD" w14:textId="27252F80" w:rsidR="00611182" w:rsidRPr="00E4709C" w:rsidRDefault="00611182" w:rsidP="00611182">
            <w:pPr>
              <w:pStyle w:val="AAENormaltext"/>
              <w:spacing w:after="0"/>
              <w:jc w:val="center"/>
              <w:rPr>
                <w:lang w:val="en-GB"/>
              </w:rPr>
            </w:pPr>
            <w:r w:rsidRPr="00E4709C">
              <w:rPr>
                <w:lang w:val="en-GB"/>
              </w:rPr>
              <w:t>Serbia</w:t>
            </w:r>
          </w:p>
        </w:tc>
        <w:tc>
          <w:tcPr>
            <w:tcW w:w="2307" w:type="dxa"/>
          </w:tcPr>
          <w:p w14:paraId="6B1C3599" w14:textId="402151A3" w:rsidR="00611182" w:rsidRPr="00E4709C" w:rsidRDefault="00611182" w:rsidP="00611182">
            <w:pPr>
              <w:pStyle w:val="AAENormaltext"/>
              <w:spacing w:after="0"/>
              <w:jc w:val="center"/>
              <w:rPr>
                <w:lang w:val="en-GB"/>
              </w:rPr>
            </w:pPr>
            <w:r w:rsidRPr="00E4709C">
              <w:rPr>
                <w:lang w:val="en-GB"/>
              </w:rPr>
              <w:t>60</w:t>
            </w:r>
            <w:r w:rsidR="00B242C2" w:rsidRPr="00E4709C">
              <w:rPr>
                <w:lang w:val="en-GB"/>
              </w:rPr>
              <w:t>.</w:t>
            </w:r>
            <w:r w:rsidRPr="00E4709C">
              <w:rPr>
                <w:lang w:val="en-GB"/>
              </w:rPr>
              <w:t>00</w:t>
            </w:r>
          </w:p>
        </w:tc>
        <w:tc>
          <w:tcPr>
            <w:tcW w:w="2781" w:type="dxa"/>
          </w:tcPr>
          <w:p w14:paraId="344119F5" w14:textId="58848646" w:rsidR="00611182" w:rsidRPr="00E4709C" w:rsidRDefault="00611182" w:rsidP="00611182">
            <w:pPr>
              <w:pStyle w:val="AAENormaltext"/>
              <w:spacing w:after="0"/>
              <w:jc w:val="center"/>
              <w:rPr>
                <w:lang w:val="en-GB"/>
              </w:rPr>
            </w:pPr>
            <w:r w:rsidRPr="00E4709C">
              <w:rPr>
                <w:lang w:val="en-GB"/>
              </w:rPr>
              <w:t>27</w:t>
            </w:r>
            <w:r w:rsidR="00B242C2" w:rsidRPr="00E4709C">
              <w:rPr>
                <w:lang w:val="en-GB"/>
              </w:rPr>
              <w:t>.</w:t>
            </w:r>
            <w:r w:rsidRPr="00E4709C">
              <w:rPr>
                <w:lang w:val="en-GB"/>
              </w:rPr>
              <w:t>00</w:t>
            </w:r>
          </w:p>
        </w:tc>
      </w:tr>
      <w:tr w:rsidR="00611182" w:rsidRPr="00E4709C" w14:paraId="567E81D7" w14:textId="77777777" w:rsidTr="00E41729">
        <w:trPr>
          <w:jc w:val="left"/>
        </w:trPr>
        <w:tc>
          <w:tcPr>
            <w:tcW w:w="1701" w:type="dxa"/>
          </w:tcPr>
          <w:p w14:paraId="110F8FF6" w14:textId="69D52D64" w:rsidR="00611182" w:rsidRPr="00E4709C" w:rsidRDefault="00611182" w:rsidP="00611182">
            <w:pPr>
              <w:pStyle w:val="AAENormaltext"/>
              <w:spacing w:after="0"/>
              <w:jc w:val="left"/>
              <w:rPr>
                <w:lang w:val="en-GB"/>
              </w:rPr>
            </w:pPr>
            <w:r w:rsidRPr="00E4709C">
              <w:rPr>
                <w:lang w:val="en-GB"/>
              </w:rPr>
              <w:t>25.03.2026</w:t>
            </w:r>
          </w:p>
        </w:tc>
        <w:tc>
          <w:tcPr>
            <w:tcW w:w="1843" w:type="dxa"/>
          </w:tcPr>
          <w:p w14:paraId="1D127F0D" w14:textId="77777777" w:rsidR="00611182" w:rsidRPr="00E4709C" w:rsidRDefault="00611182" w:rsidP="00611182">
            <w:pPr>
              <w:pStyle w:val="AAENormaltext"/>
              <w:spacing w:after="0"/>
              <w:jc w:val="center"/>
              <w:rPr>
                <w:lang w:val="en-GB"/>
              </w:rPr>
            </w:pPr>
            <w:r w:rsidRPr="00E4709C">
              <w:rPr>
                <w:lang w:val="en-GB"/>
              </w:rPr>
              <w:t>Austria</w:t>
            </w:r>
          </w:p>
        </w:tc>
        <w:tc>
          <w:tcPr>
            <w:tcW w:w="2307" w:type="dxa"/>
          </w:tcPr>
          <w:p w14:paraId="69A0CF6A" w14:textId="636F5F5E" w:rsidR="00611182" w:rsidRPr="00E4709C" w:rsidRDefault="00611182" w:rsidP="00611182">
            <w:pPr>
              <w:pStyle w:val="AAENormaltext"/>
              <w:spacing w:after="0"/>
              <w:jc w:val="center"/>
              <w:rPr>
                <w:lang w:val="en-GB"/>
              </w:rPr>
            </w:pPr>
            <w:r w:rsidRPr="00E4709C">
              <w:rPr>
                <w:lang w:val="en-GB"/>
              </w:rPr>
              <w:t>63</w:t>
            </w:r>
            <w:r w:rsidR="00B242C2" w:rsidRPr="00E4709C">
              <w:rPr>
                <w:lang w:val="en-GB"/>
              </w:rPr>
              <w:t>.</w:t>
            </w:r>
            <w:r w:rsidRPr="00E4709C">
              <w:rPr>
                <w:lang w:val="en-GB"/>
              </w:rPr>
              <w:t>00</w:t>
            </w:r>
          </w:p>
        </w:tc>
        <w:tc>
          <w:tcPr>
            <w:tcW w:w="2781" w:type="dxa"/>
          </w:tcPr>
          <w:p w14:paraId="59421077" w14:textId="4A2B07D5" w:rsidR="00611182" w:rsidRPr="00E4709C" w:rsidRDefault="00611182" w:rsidP="00611182">
            <w:pPr>
              <w:pStyle w:val="AAENormaltext"/>
              <w:spacing w:after="0"/>
              <w:jc w:val="center"/>
              <w:rPr>
                <w:lang w:val="en-GB"/>
              </w:rPr>
            </w:pPr>
            <w:r w:rsidRPr="00E4709C">
              <w:rPr>
                <w:lang w:val="en-GB"/>
              </w:rPr>
              <w:t>28</w:t>
            </w:r>
            <w:r w:rsidR="00B242C2" w:rsidRPr="00E4709C">
              <w:rPr>
                <w:lang w:val="en-GB"/>
              </w:rPr>
              <w:t>.</w:t>
            </w:r>
            <w:r w:rsidRPr="00E4709C">
              <w:rPr>
                <w:lang w:val="en-GB"/>
              </w:rPr>
              <w:t>35</w:t>
            </w:r>
          </w:p>
        </w:tc>
      </w:tr>
      <w:tr w:rsidR="00611182" w:rsidRPr="00E4709C" w14:paraId="3CCC7C35" w14:textId="77777777" w:rsidTr="00F22035">
        <w:trPr>
          <w:trHeight w:val="324"/>
          <w:jc w:val="left"/>
        </w:trPr>
        <w:tc>
          <w:tcPr>
            <w:tcW w:w="1701" w:type="dxa"/>
          </w:tcPr>
          <w:p w14:paraId="4E48026D" w14:textId="77777777" w:rsidR="00611182" w:rsidRPr="00E4709C" w:rsidRDefault="00611182" w:rsidP="00F22035">
            <w:pPr>
              <w:pStyle w:val="AAENormaltext"/>
              <w:spacing w:after="0"/>
              <w:ind w:left="173"/>
              <w:jc w:val="left"/>
              <w:rPr>
                <w:lang w:val="en-GB"/>
              </w:rPr>
            </w:pPr>
            <w:r w:rsidRPr="00E4709C">
              <w:rPr>
                <w:lang w:val="en-GB"/>
              </w:rPr>
              <w:t>Total</w:t>
            </w:r>
          </w:p>
        </w:tc>
        <w:tc>
          <w:tcPr>
            <w:tcW w:w="1843" w:type="dxa"/>
          </w:tcPr>
          <w:p w14:paraId="3B91E9F6" w14:textId="77777777" w:rsidR="00611182" w:rsidRPr="00E4709C" w:rsidRDefault="00611182" w:rsidP="00611182">
            <w:pPr>
              <w:pStyle w:val="AAENormaltext"/>
              <w:spacing w:after="0"/>
              <w:jc w:val="center"/>
              <w:rPr>
                <w:lang w:val="en-GB"/>
              </w:rPr>
            </w:pPr>
          </w:p>
        </w:tc>
        <w:tc>
          <w:tcPr>
            <w:tcW w:w="2307" w:type="dxa"/>
          </w:tcPr>
          <w:p w14:paraId="67C95E74" w14:textId="77777777" w:rsidR="00611182" w:rsidRPr="00E4709C" w:rsidRDefault="00611182" w:rsidP="00611182">
            <w:pPr>
              <w:pStyle w:val="AAENormaltext"/>
              <w:spacing w:after="0"/>
              <w:jc w:val="center"/>
              <w:rPr>
                <w:lang w:val="en-GB"/>
              </w:rPr>
            </w:pPr>
          </w:p>
        </w:tc>
        <w:tc>
          <w:tcPr>
            <w:tcW w:w="2781" w:type="dxa"/>
          </w:tcPr>
          <w:p w14:paraId="33396B0C" w14:textId="2137F801" w:rsidR="00611182" w:rsidRPr="00E4709C" w:rsidRDefault="00611182" w:rsidP="00611182">
            <w:pPr>
              <w:pStyle w:val="AAENormaltext"/>
              <w:spacing w:after="0"/>
              <w:jc w:val="center"/>
              <w:rPr>
                <w:lang w:val="en-GB"/>
              </w:rPr>
            </w:pPr>
            <w:r w:rsidRPr="00E4709C">
              <w:rPr>
                <w:lang w:val="en-GB"/>
              </w:rPr>
              <w:t>150</w:t>
            </w:r>
            <w:r w:rsidR="00B242C2" w:rsidRPr="00E4709C">
              <w:rPr>
                <w:lang w:val="en-GB"/>
              </w:rPr>
              <w:t>.</w:t>
            </w:r>
            <w:r w:rsidRPr="00E4709C">
              <w:rPr>
                <w:lang w:val="en-GB"/>
              </w:rPr>
              <w:t>30</w:t>
            </w:r>
          </w:p>
        </w:tc>
      </w:tr>
    </w:tbl>
    <w:p w14:paraId="0A05CB1B" w14:textId="77777777" w:rsidR="00611182" w:rsidRPr="00E4709C" w:rsidRDefault="00611182" w:rsidP="00E41729">
      <w:pPr>
        <w:pStyle w:val="AAENormaltext"/>
        <w:spacing w:after="0"/>
        <w:rPr>
          <w:lang w:val="en-GB"/>
        </w:rPr>
      </w:pPr>
    </w:p>
    <w:p w14:paraId="5BADD4CC" w14:textId="32833AD3" w:rsidR="00611182" w:rsidRPr="00E4709C" w:rsidRDefault="00611182" w:rsidP="00611182">
      <w:pPr>
        <w:pStyle w:val="AAENormaltext"/>
        <w:spacing w:after="0"/>
        <w:ind w:firstLine="284"/>
        <w:rPr>
          <w:lang w:val="en-GB"/>
        </w:rPr>
      </w:pPr>
      <w:r w:rsidRPr="00E4709C">
        <w:rPr>
          <w:lang w:val="en-GB"/>
        </w:rPr>
        <w:t>The proposed flat-rate accommodation allowance would increase Slovak travel allowances by 150.30 € on the model route. As the proposed allowance is treated as a travel allowance rather than a wage component, the net wage remains unchanged at 522.83 €. The increase is therefore reflected directly in the driver</w:t>
      </w:r>
      <w:r w:rsidR="00C942C7">
        <w:rPr>
          <w:lang w:val="en-GB"/>
        </w:rPr>
        <w:t>'</w:t>
      </w:r>
      <w:r w:rsidRPr="00E4709C">
        <w:rPr>
          <w:lang w:val="en-GB"/>
        </w:rPr>
        <w:t>s total net income.</w:t>
      </w:r>
    </w:p>
    <w:p w14:paraId="47B55614" w14:textId="4E2180EB" w:rsidR="00611182" w:rsidRPr="00E4709C" w:rsidRDefault="00611182" w:rsidP="00611182">
      <w:pPr>
        <w:pStyle w:val="AAENormaltext"/>
        <w:spacing w:after="0"/>
        <w:ind w:firstLine="284"/>
        <w:rPr>
          <w:lang w:val="en-GB"/>
        </w:rPr>
      </w:pPr>
      <w:r w:rsidRPr="00E4709C">
        <w:rPr>
          <w:lang w:val="en-GB"/>
        </w:rPr>
        <w:t>Under the current Slovak system, travel allowances amounted to 373.75 €. After applying the proposed accommodation allowance, travel allowances would increase to:</w:t>
      </w:r>
    </w:p>
    <w:p w14:paraId="3E5B79EA" w14:textId="35D84AC9" w:rsidR="00611182" w:rsidRPr="00E4709C" w:rsidRDefault="00611182" w:rsidP="00E41729">
      <w:pPr>
        <w:pStyle w:val="AAENormaltext"/>
        <w:spacing w:before="120"/>
        <w:rPr>
          <w:lang w:val="en-GB"/>
        </w:rPr>
      </w:pPr>
      <m:oMathPara>
        <m:oMath>
          <m:r>
            <w:rPr>
              <w:rFonts w:ascii="Cambria Math" w:hAnsi="Cambria Math"/>
              <w:lang w:val="en-GB"/>
            </w:rPr>
            <m:t>373.75+150.30=524.05 €</m:t>
          </m:r>
        </m:oMath>
      </m:oMathPara>
    </w:p>
    <w:p w14:paraId="3E770646" w14:textId="6605C907" w:rsidR="00611182" w:rsidRPr="00E4709C" w:rsidRDefault="00611182" w:rsidP="00611182">
      <w:pPr>
        <w:pStyle w:val="AAENormaltext"/>
        <w:spacing w:after="0"/>
        <w:ind w:firstLine="284"/>
        <w:rPr>
          <w:lang w:val="en-GB"/>
        </w:rPr>
      </w:pPr>
      <w:r w:rsidRPr="00E4709C">
        <w:rPr>
          <w:lang w:val="en-GB"/>
        </w:rPr>
        <w:t>Thus, the new total travel allowances would amount to 524.05 €. When combined with the unchanged net wage, the driver</w:t>
      </w:r>
      <w:r w:rsidR="00C942C7">
        <w:rPr>
          <w:lang w:val="en-GB"/>
        </w:rPr>
        <w:t>'</w:t>
      </w:r>
      <w:r w:rsidRPr="00E4709C">
        <w:rPr>
          <w:lang w:val="en-GB"/>
        </w:rPr>
        <w:t>s total net income would increase as follows:</w:t>
      </w:r>
    </w:p>
    <w:p w14:paraId="0D299CC6" w14:textId="0298225D" w:rsidR="00611182" w:rsidRPr="00E4709C" w:rsidRDefault="00611182" w:rsidP="00E41729">
      <w:pPr>
        <w:pStyle w:val="AAENormaltext"/>
        <w:spacing w:before="120"/>
        <w:rPr>
          <w:lang w:val="en-GB"/>
        </w:rPr>
      </w:pPr>
      <m:oMathPara>
        <m:oMath>
          <m:r>
            <w:rPr>
              <w:rFonts w:ascii="Cambria Math" w:hAnsi="Cambria Math"/>
              <w:lang w:val="en-GB"/>
            </w:rPr>
            <m:t>522.83+524.05=1 046.88 €</m:t>
          </m:r>
        </m:oMath>
      </m:oMathPara>
    </w:p>
    <w:p w14:paraId="6E47141D" w14:textId="765B92B5" w:rsidR="00611182" w:rsidRPr="00E4709C" w:rsidRDefault="00611182" w:rsidP="00611182">
      <w:pPr>
        <w:pStyle w:val="AAENormaltext"/>
        <w:spacing w:after="0"/>
        <w:ind w:firstLine="284"/>
        <w:rPr>
          <w:lang w:val="en-GB"/>
        </w:rPr>
      </w:pPr>
      <w:r w:rsidRPr="00E4709C">
        <w:rPr>
          <w:lang w:val="en-GB"/>
        </w:rPr>
        <w:lastRenderedPageBreak/>
        <w:t>The proposed Slovak model would therefore increase the driver</w:t>
      </w:r>
      <w:r w:rsidR="00C942C7">
        <w:rPr>
          <w:lang w:val="en-GB"/>
        </w:rPr>
        <w:t>'</w:t>
      </w:r>
      <w:r w:rsidRPr="00E4709C">
        <w:rPr>
          <w:lang w:val="en-GB"/>
        </w:rPr>
        <w:t xml:space="preserve">s total net income from 896.58 € to </w:t>
      </w:r>
      <w:r w:rsidRPr="00E4709C">
        <w:rPr>
          <w:lang w:val="en-GB"/>
        </w:rPr>
        <w:br/>
        <w:t>1 046.88 €. The difference between the current and proposed models is 150.30 €, which exactly matches the newly introduced accommodation allowance. The percentage change in total net income was calculated according to Equation (5). The percentage increase in total net income was calculated as follows:</w:t>
      </w:r>
    </w:p>
    <w:p w14:paraId="23226953" w14:textId="77777777" w:rsidR="00E41729" w:rsidRPr="00E4709C" w:rsidRDefault="00000000" w:rsidP="00E41729">
      <w:pPr>
        <w:pStyle w:val="AAENormaltext"/>
        <w:spacing w:before="120"/>
        <w:ind w:firstLine="284"/>
        <w:rPr>
          <w:lang w:val="en-GB"/>
        </w:rPr>
      </w:pPr>
      <m:oMathPara>
        <m:oMath>
          <m:f>
            <m:fPr>
              <m:ctrlPr>
                <w:rPr>
                  <w:rFonts w:ascii="Cambria Math" w:hAnsi="Cambria Math"/>
                  <w:lang w:val="en-GB"/>
                </w:rPr>
              </m:ctrlPr>
            </m:fPr>
            <m:num>
              <m:r>
                <w:rPr>
                  <w:rFonts w:ascii="Cambria Math" w:hAnsi="Cambria Math"/>
                  <w:lang w:val="en-GB"/>
                </w:rPr>
                <m:t>1 046.88-896.58</m:t>
              </m:r>
            </m:num>
            <m:den>
              <m:r>
                <w:rPr>
                  <w:rFonts w:ascii="Cambria Math" w:hAnsi="Cambria Math"/>
                  <w:lang w:val="en-GB"/>
                </w:rPr>
                <m:t>896.58</m:t>
              </m:r>
            </m:den>
          </m:f>
          <m:r>
            <w:rPr>
              <w:rFonts w:ascii="Cambria Math" w:hAnsi="Cambria Math"/>
              <w:lang w:val="en-GB"/>
            </w:rPr>
            <m:t>×100=16.76</m:t>
          </m:r>
          <m:r>
            <m:rPr>
              <m:sty m:val="p"/>
            </m:rPr>
            <w:rPr>
              <w:rFonts w:ascii="Cambria Math" w:hAnsi="Cambria Math"/>
              <w:lang w:val="en-GB"/>
            </w:rPr>
            <m:t>%</m:t>
          </m:r>
        </m:oMath>
      </m:oMathPara>
    </w:p>
    <w:p w14:paraId="50DE5260" w14:textId="0C4A8D7B" w:rsidR="003B34BA" w:rsidRPr="00E4709C" w:rsidRDefault="00611182" w:rsidP="003B34BA">
      <w:pPr>
        <w:pStyle w:val="AAENormaltext"/>
        <w:spacing w:after="0"/>
        <w:ind w:firstLine="284"/>
        <w:rPr>
          <w:lang w:val="en-GB"/>
        </w:rPr>
      </w:pPr>
      <w:r w:rsidRPr="00E4709C">
        <w:rPr>
          <w:lang w:val="en-GB"/>
        </w:rPr>
        <w:t>The findings are summarized in Table 5.</w:t>
      </w:r>
    </w:p>
    <w:p w14:paraId="4E394481" w14:textId="77777777" w:rsidR="003B34BA" w:rsidRPr="00E4709C" w:rsidRDefault="003B34BA" w:rsidP="003B34BA">
      <w:pPr>
        <w:pStyle w:val="AAENormaltext"/>
        <w:spacing w:after="0"/>
        <w:ind w:firstLine="284"/>
        <w:rPr>
          <w:lang w:val="en-GB"/>
        </w:rPr>
      </w:pPr>
    </w:p>
    <w:p w14:paraId="34324B7C" w14:textId="2CA42207" w:rsidR="00611182" w:rsidRPr="00E4709C" w:rsidRDefault="00611182" w:rsidP="00E41729">
      <w:pPr>
        <w:pStyle w:val="Rtab"/>
        <w:rPr>
          <w:lang w:val="en-GB"/>
        </w:rPr>
      </w:pPr>
      <w:r w:rsidRPr="00E4709C">
        <w:rPr>
          <w:b/>
          <w:lang w:val="en-GB"/>
        </w:rPr>
        <w:t>Table 5.</w:t>
      </w:r>
      <w:r w:rsidRPr="00E4709C">
        <w:rPr>
          <w:lang w:val="en-GB"/>
        </w:rPr>
        <w:t xml:space="preserve"> Impact of the suggested accommodation allowance based on the Slovak model</w:t>
      </w:r>
      <w:r w:rsidR="00B242C2" w:rsidRPr="00E4709C">
        <w:rPr>
          <w:lang w:val="en-GB"/>
        </w:rPr>
        <w:t>.</w:t>
      </w:r>
      <w:r w:rsidRPr="00E4709C">
        <w:rPr>
          <w:lang w:val="en-GB"/>
        </w:rPr>
        <w:t xml:space="preserve"> Source: authors</w:t>
      </w:r>
    </w:p>
    <w:tbl>
      <w:tblPr>
        <w:tblStyle w:val="MDPI41threelinetable"/>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3402"/>
        <w:gridCol w:w="2270"/>
        <w:gridCol w:w="2532"/>
        <w:gridCol w:w="1434"/>
      </w:tblGrid>
      <w:tr w:rsidR="00611182" w:rsidRPr="00E4709C" w14:paraId="69381904" w14:textId="77777777" w:rsidTr="008C4284">
        <w:trPr>
          <w:cnfStyle w:val="100000000000" w:firstRow="1" w:lastRow="0" w:firstColumn="0" w:lastColumn="0" w:oddVBand="0" w:evenVBand="0" w:oddHBand="0" w:evenHBand="0" w:firstRowFirstColumn="0" w:firstRowLastColumn="0" w:lastRowFirstColumn="0" w:lastRowLastColumn="0"/>
          <w:trHeight w:val="646"/>
        </w:trPr>
        <w:tc>
          <w:tcPr>
            <w:tcW w:w="3402" w:type="dxa"/>
            <w:tcBorders>
              <w:bottom w:val="none" w:sz="0" w:space="0" w:color="auto"/>
            </w:tcBorders>
          </w:tcPr>
          <w:p w14:paraId="710D8CE6" w14:textId="77777777" w:rsidR="00611182" w:rsidRPr="00E4709C" w:rsidRDefault="00611182" w:rsidP="00611182">
            <w:pPr>
              <w:pStyle w:val="AAENormaltext"/>
              <w:spacing w:after="0"/>
              <w:jc w:val="left"/>
              <w:rPr>
                <w:b w:val="0"/>
                <w:bCs w:val="0"/>
                <w:lang w:val="en-GB"/>
              </w:rPr>
            </w:pPr>
            <w:r w:rsidRPr="00E4709C">
              <w:rPr>
                <w:b w:val="0"/>
                <w:bCs w:val="0"/>
                <w:lang w:val="en-GB"/>
              </w:rPr>
              <w:t>Indicator</w:t>
            </w:r>
          </w:p>
        </w:tc>
        <w:tc>
          <w:tcPr>
            <w:tcW w:w="2270" w:type="dxa"/>
            <w:tcBorders>
              <w:bottom w:val="none" w:sz="0" w:space="0" w:color="auto"/>
            </w:tcBorders>
          </w:tcPr>
          <w:p w14:paraId="2FE33C61" w14:textId="77777777" w:rsidR="00611182" w:rsidRPr="00E4709C" w:rsidRDefault="00611182" w:rsidP="00611182">
            <w:pPr>
              <w:pStyle w:val="AAENormaltext"/>
              <w:spacing w:after="0"/>
              <w:jc w:val="center"/>
              <w:rPr>
                <w:b w:val="0"/>
                <w:bCs w:val="0"/>
                <w:lang w:val="en-GB"/>
              </w:rPr>
            </w:pPr>
            <w:r w:rsidRPr="00E4709C">
              <w:rPr>
                <w:b w:val="0"/>
                <w:bCs w:val="0"/>
                <w:lang w:val="en-GB"/>
              </w:rPr>
              <w:t>Current Slovak system [€]</w:t>
            </w:r>
          </w:p>
        </w:tc>
        <w:tc>
          <w:tcPr>
            <w:tcW w:w="0" w:type="auto"/>
            <w:tcBorders>
              <w:bottom w:val="none" w:sz="0" w:space="0" w:color="auto"/>
            </w:tcBorders>
          </w:tcPr>
          <w:p w14:paraId="3B903393" w14:textId="77777777" w:rsidR="00611182" w:rsidRPr="00E4709C" w:rsidRDefault="00611182" w:rsidP="00611182">
            <w:pPr>
              <w:pStyle w:val="AAENormaltext"/>
              <w:spacing w:after="0"/>
              <w:jc w:val="center"/>
              <w:rPr>
                <w:b w:val="0"/>
                <w:bCs w:val="0"/>
                <w:lang w:val="en-GB"/>
              </w:rPr>
            </w:pPr>
            <w:r w:rsidRPr="00E4709C">
              <w:rPr>
                <w:b w:val="0"/>
                <w:bCs w:val="0"/>
                <w:lang w:val="en-GB"/>
              </w:rPr>
              <w:t>Proposed Slovak model [€]</w:t>
            </w:r>
          </w:p>
        </w:tc>
        <w:tc>
          <w:tcPr>
            <w:tcW w:w="0" w:type="auto"/>
            <w:tcBorders>
              <w:bottom w:val="none" w:sz="0" w:space="0" w:color="auto"/>
            </w:tcBorders>
          </w:tcPr>
          <w:p w14:paraId="26175C2E" w14:textId="77777777" w:rsidR="00611182" w:rsidRPr="00E4709C" w:rsidRDefault="00611182" w:rsidP="00611182">
            <w:pPr>
              <w:pStyle w:val="AAENormaltext"/>
              <w:spacing w:after="0"/>
              <w:jc w:val="center"/>
              <w:rPr>
                <w:b w:val="0"/>
                <w:bCs w:val="0"/>
                <w:lang w:val="en-GB"/>
              </w:rPr>
            </w:pPr>
            <w:r w:rsidRPr="00E4709C">
              <w:rPr>
                <w:b w:val="0"/>
                <w:bCs w:val="0"/>
                <w:lang w:val="en-GB"/>
              </w:rPr>
              <w:t>Difference [€]</w:t>
            </w:r>
          </w:p>
        </w:tc>
      </w:tr>
      <w:tr w:rsidR="00611182" w:rsidRPr="00E4709C" w14:paraId="10F7BD83" w14:textId="77777777" w:rsidTr="00E41729">
        <w:tc>
          <w:tcPr>
            <w:tcW w:w="3402" w:type="dxa"/>
          </w:tcPr>
          <w:p w14:paraId="28249329" w14:textId="77777777" w:rsidR="00611182" w:rsidRPr="00E4709C" w:rsidRDefault="00611182" w:rsidP="00611182">
            <w:pPr>
              <w:pStyle w:val="AAENormaltext"/>
              <w:spacing w:after="0"/>
              <w:jc w:val="left"/>
              <w:rPr>
                <w:lang w:val="en-GB"/>
              </w:rPr>
            </w:pPr>
            <w:r w:rsidRPr="00E4709C">
              <w:rPr>
                <w:lang w:val="en-GB"/>
              </w:rPr>
              <w:t>Net wage</w:t>
            </w:r>
          </w:p>
        </w:tc>
        <w:tc>
          <w:tcPr>
            <w:tcW w:w="2270" w:type="dxa"/>
          </w:tcPr>
          <w:p w14:paraId="1E2E442B" w14:textId="22F2A1B3" w:rsidR="00611182" w:rsidRPr="00E4709C" w:rsidRDefault="00611182" w:rsidP="00611182">
            <w:pPr>
              <w:pStyle w:val="AAENormaltext"/>
              <w:spacing w:after="0"/>
              <w:jc w:val="center"/>
              <w:rPr>
                <w:lang w:val="en-GB"/>
              </w:rPr>
            </w:pPr>
            <w:r w:rsidRPr="00E4709C">
              <w:rPr>
                <w:lang w:val="en-GB"/>
              </w:rPr>
              <w:t>522</w:t>
            </w:r>
            <w:r w:rsidR="00B242C2" w:rsidRPr="00E4709C">
              <w:rPr>
                <w:lang w:val="en-GB"/>
              </w:rPr>
              <w:t>.</w:t>
            </w:r>
            <w:r w:rsidRPr="00E4709C">
              <w:rPr>
                <w:lang w:val="en-GB"/>
              </w:rPr>
              <w:t>83</w:t>
            </w:r>
          </w:p>
        </w:tc>
        <w:tc>
          <w:tcPr>
            <w:tcW w:w="0" w:type="auto"/>
          </w:tcPr>
          <w:p w14:paraId="6FF9E8E7" w14:textId="6049E415" w:rsidR="00611182" w:rsidRPr="00E4709C" w:rsidRDefault="00611182" w:rsidP="00611182">
            <w:pPr>
              <w:pStyle w:val="AAENormaltext"/>
              <w:spacing w:after="0"/>
              <w:jc w:val="center"/>
              <w:rPr>
                <w:lang w:val="en-GB"/>
              </w:rPr>
            </w:pPr>
            <w:r w:rsidRPr="00E4709C">
              <w:rPr>
                <w:lang w:val="en-GB"/>
              </w:rPr>
              <w:t>522</w:t>
            </w:r>
            <w:r w:rsidR="00B242C2" w:rsidRPr="00E4709C">
              <w:rPr>
                <w:lang w:val="en-GB"/>
              </w:rPr>
              <w:t>.</w:t>
            </w:r>
            <w:r w:rsidRPr="00E4709C">
              <w:rPr>
                <w:lang w:val="en-GB"/>
              </w:rPr>
              <w:t>83</w:t>
            </w:r>
          </w:p>
        </w:tc>
        <w:tc>
          <w:tcPr>
            <w:tcW w:w="0" w:type="auto"/>
          </w:tcPr>
          <w:p w14:paraId="6168EA77" w14:textId="12E416FC" w:rsidR="00611182" w:rsidRPr="00E4709C" w:rsidRDefault="00611182" w:rsidP="00611182">
            <w:pPr>
              <w:pStyle w:val="AAENormaltext"/>
              <w:spacing w:after="0"/>
              <w:jc w:val="center"/>
              <w:rPr>
                <w:lang w:val="en-GB"/>
              </w:rPr>
            </w:pPr>
            <w:r w:rsidRPr="00E4709C">
              <w:rPr>
                <w:lang w:val="en-GB"/>
              </w:rPr>
              <w:t>0</w:t>
            </w:r>
            <w:r w:rsidR="00B242C2" w:rsidRPr="00E4709C">
              <w:rPr>
                <w:lang w:val="en-GB"/>
              </w:rPr>
              <w:t>.</w:t>
            </w:r>
            <w:r w:rsidRPr="00E4709C">
              <w:rPr>
                <w:lang w:val="en-GB"/>
              </w:rPr>
              <w:t>00</w:t>
            </w:r>
          </w:p>
        </w:tc>
      </w:tr>
      <w:tr w:rsidR="00611182" w:rsidRPr="00E4709C" w14:paraId="57453CE1" w14:textId="77777777" w:rsidTr="00E41729">
        <w:tc>
          <w:tcPr>
            <w:tcW w:w="3402" w:type="dxa"/>
          </w:tcPr>
          <w:p w14:paraId="0B2DFBBF" w14:textId="77777777" w:rsidR="00611182" w:rsidRPr="00E4709C" w:rsidRDefault="00611182" w:rsidP="00611182">
            <w:pPr>
              <w:pStyle w:val="AAENormaltext"/>
              <w:spacing w:after="0"/>
              <w:jc w:val="left"/>
              <w:rPr>
                <w:lang w:val="en-GB"/>
              </w:rPr>
            </w:pPr>
            <w:r w:rsidRPr="00E4709C">
              <w:rPr>
                <w:lang w:val="en-GB"/>
              </w:rPr>
              <w:t>Meal allowances</w:t>
            </w:r>
          </w:p>
        </w:tc>
        <w:tc>
          <w:tcPr>
            <w:tcW w:w="2270" w:type="dxa"/>
          </w:tcPr>
          <w:p w14:paraId="7E1F87DA" w14:textId="0AD66E56" w:rsidR="00611182" w:rsidRPr="00E4709C" w:rsidRDefault="00611182" w:rsidP="00611182">
            <w:pPr>
              <w:pStyle w:val="AAENormaltext"/>
              <w:spacing w:after="0"/>
              <w:jc w:val="center"/>
              <w:rPr>
                <w:lang w:val="en-GB"/>
              </w:rPr>
            </w:pPr>
            <w:r w:rsidRPr="00E4709C">
              <w:rPr>
                <w:lang w:val="en-GB"/>
              </w:rPr>
              <w:t>373</w:t>
            </w:r>
            <w:r w:rsidR="00B242C2" w:rsidRPr="00E4709C">
              <w:rPr>
                <w:lang w:val="en-GB"/>
              </w:rPr>
              <w:t>.</w:t>
            </w:r>
            <w:r w:rsidRPr="00E4709C">
              <w:rPr>
                <w:lang w:val="en-GB"/>
              </w:rPr>
              <w:t>75</w:t>
            </w:r>
          </w:p>
        </w:tc>
        <w:tc>
          <w:tcPr>
            <w:tcW w:w="0" w:type="auto"/>
          </w:tcPr>
          <w:p w14:paraId="1AABC29D" w14:textId="70591FF0" w:rsidR="00611182" w:rsidRPr="00E4709C" w:rsidRDefault="00611182" w:rsidP="00611182">
            <w:pPr>
              <w:pStyle w:val="AAENormaltext"/>
              <w:spacing w:after="0"/>
              <w:jc w:val="center"/>
              <w:rPr>
                <w:lang w:val="en-GB"/>
              </w:rPr>
            </w:pPr>
            <w:r w:rsidRPr="00E4709C">
              <w:rPr>
                <w:lang w:val="en-GB"/>
              </w:rPr>
              <w:t>373</w:t>
            </w:r>
            <w:r w:rsidR="00B242C2" w:rsidRPr="00E4709C">
              <w:rPr>
                <w:lang w:val="en-GB"/>
              </w:rPr>
              <w:t>.</w:t>
            </w:r>
            <w:r w:rsidRPr="00E4709C">
              <w:rPr>
                <w:lang w:val="en-GB"/>
              </w:rPr>
              <w:t>75</w:t>
            </w:r>
          </w:p>
        </w:tc>
        <w:tc>
          <w:tcPr>
            <w:tcW w:w="0" w:type="auto"/>
          </w:tcPr>
          <w:p w14:paraId="4A55C3CC" w14:textId="1EC788B0" w:rsidR="00611182" w:rsidRPr="00E4709C" w:rsidRDefault="00611182" w:rsidP="00611182">
            <w:pPr>
              <w:pStyle w:val="AAENormaltext"/>
              <w:spacing w:after="0"/>
              <w:jc w:val="center"/>
              <w:rPr>
                <w:lang w:val="en-GB"/>
              </w:rPr>
            </w:pPr>
            <w:r w:rsidRPr="00E4709C">
              <w:rPr>
                <w:lang w:val="en-GB"/>
              </w:rPr>
              <w:t>0</w:t>
            </w:r>
            <w:r w:rsidR="00B242C2" w:rsidRPr="00E4709C">
              <w:rPr>
                <w:lang w:val="en-GB"/>
              </w:rPr>
              <w:t>.</w:t>
            </w:r>
            <w:r w:rsidRPr="00E4709C">
              <w:rPr>
                <w:lang w:val="en-GB"/>
              </w:rPr>
              <w:t>00</w:t>
            </w:r>
          </w:p>
        </w:tc>
      </w:tr>
      <w:tr w:rsidR="00611182" w:rsidRPr="00E4709C" w14:paraId="5174388C" w14:textId="77777777" w:rsidTr="00E41729">
        <w:tc>
          <w:tcPr>
            <w:tcW w:w="3402" w:type="dxa"/>
          </w:tcPr>
          <w:p w14:paraId="163D606D" w14:textId="77777777" w:rsidR="00611182" w:rsidRPr="00E4709C" w:rsidRDefault="00611182" w:rsidP="00611182">
            <w:pPr>
              <w:pStyle w:val="AAENormaltext"/>
              <w:spacing w:after="0"/>
              <w:jc w:val="left"/>
              <w:rPr>
                <w:lang w:val="en-GB"/>
              </w:rPr>
            </w:pPr>
            <w:r w:rsidRPr="00E4709C">
              <w:rPr>
                <w:lang w:val="en-GB"/>
              </w:rPr>
              <w:t xml:space="preserve">Flat-rate accommodation allowance </w:t>
            </w:r>
          </w:p>
        </w:tc>
        <w:tc>
          <w:tcPr>
            <w:tcW w:w="2270" w:type="dxa"/>
          </w:tcPr>
          <w:p w14:paraId="4BA90386" w14:textId="22056F22" w:rsidR="00611182" w:rsidRPr="00E4709C" w:rsidRDefault="00611182" w:rsidP="00611182">
            <w:pPr>
              <w:pStyle w:val="AAENormaltext"/>
              <w:spacing w:after="0"/>
              <w:jc w:val="center"/>
              <w:rPr>
                <w:lang w:val="en-GB"/>
              </w:rPr>
            </w:pPr>
            <w:r w:rsidRPr="00E4709C">
              <w:rPr>
                <w:lang w:val="en-GB"/>
              </w:rPr>
              <w:t>0</w:t>
            </w:r>
            <w:r w:rsidR="00B242C2" w:rsidRPr="00E4709C">
              <w:rPr>
                <w:lang w:val="en-GB"/>
              </w:rPr>
              <w:t>.</w:t>
            </w:r>
            <w:r w:rsidRPr="00E4709C">
              <w:rPr>
                <w:lang w:val="en-GB"/>
              </w:rPr>
              <w:t>00</w:t>
            </w:r>
          </w:p>
        </w:tc>
        <w:tc>
          <w:tcPr>
            <w:tcW w:w="0" w:type="auto"/>
          </w:tcPr>
          <w:p w14:paraId="2DF901EC" w14:textId="16BEA9C4" w:rsidR="00611182" w:rsidRPr="00E4709C" w:rsidRDefault="00611182" w:rsidP="00611182">
            <w:pPr>
              <w:pStyle w:val="AAENormaltext"/>
              <w:spacing w:after="0"/>
              <w:jc w:val="center"/>
              <w:rPr>
                <w:lang w:val="en-GB"/>
              </w:rPr>
            </w:pPr>
            <w:r w:rsidRPr="00E4709C">
              <w:rPr>
                <w:lang w:val="en-GB"/>
              </w:rPr>
              <w:t>150</w:t>
            </w:r>
            <w:r w:rsidR="00B242C2" w:rsidRPr="00E4709C">
              <w:rPr>
                <w:lang w:val="en-GB"/>
              </w:rPr>
              <w:t>.</w:t>
            </w:r>
            <w:r w:rsidRPr="00E4709C">
              <w:rPr>
                <w:lang w:val="en-GB"/>
              </w:rPr>
              <w:t>30</w:t>
            </w:r>
          </w:p>
        </w:tc>
        <w:tc>
          <w:tcPr>
            <w:tcW w:w="0" w:type="auto"/>
          </w:tcPr>
          <w:p w14:paraId="44CB9732" w14:textId="3A6B5E10" w:rsidR="00611182" w:rsidRPr="00E4709C" w:rsidRDefault="00611182" w:rsidP="00611182">
            <w:pPr>
              <w:pStyle w:val="AAENormaltext"/>
              <w:spacing w:after="0"/>
              <w:jc w:val="center"/>
              <w:rPr>
                <w:lang w:val="en-GB"/>
              </w:rPr>
            </w:pPr>
            <w:r w:rsidRPr="00E4709C">
              <w:rPr>
                <w:lang w:val="en-GB"/>
              </w:rPr>
              <w:t>150</w:t>
            </w:r>
            <w:r w:rsidR="00B242C2" w:rsidRPr="00E4709C">
              <w:rPr>
                <w:lang w:val="en-GB"/>
              </w:rPr>
              <w:t>.</w:t>
            </w:r>
            <w:r w:rsidRPr="00E4709C">
              <w:rPr>
                <w:lang w:val="en-GB"/>
              </w:rPr>
              <w:t>30</w:t>
            </w:r>
          </w:p>
        </w:tc>
      </w:tr>
      <w:tr w:rsidR="00611182" w:rsidRPr="00E4709C" w14:paraId="62E7A9E5" w14:textId="77777777" w:rsidTr="00E41729">
        <w:tc>
          <w:tcPr>
            <w:tcW w:w="3402" w:type="dxa"/>
          </w:tcPr>
          <w:p w14:paraId="72AA3576" w14:textId="77777777" w:rsidR="00611182" w:rsidRPr="00E4709C" w:rsidRDefault="00611182" w:rsidP="00611182">
            <w:pPr>
              <w:pStyle w:val="AAENormaltext"/>
              <w:spacing w:after="0"/>
              <w:jc w:val="left"/>
              <w:rPr>
                <w:lang w:val="en-GB"/>
              </w:rPr>
            </w:pPr>
            <w:r w:rsidRPr="00E4709C">
              <w:rPr>
                <w:lang w:val="en-GB"/>
              </w:rPr>
              <w:t>Total travel allowances</w:t>
            </w:r>
          </w:p>
        </w:tc>
        <w:tc>
          <w:tcPr>
            <w:tcW w:w="2270" w:type="dxa"/>
          </w:tcPr>
          <w:p w14:paraId="06D1F192" w14:textId="1FB75449" w:rsidR="00611182" w:rsidRPr="00E4709C" w:rsidRDefault="00611182" w:rsidP="00611182">
            <w:pPr>
              <w:pStyle w:val="AAENormaltext"/>
              <w:spacing w:after="0"/>
              <w:jc w:val="center"/>
              <w:rPr>
                <w:lang w:val="en-GB"/>
              </w:rPr>
            </w:pPr>
            <w:r w:rsidRPr="00E4709C">
              <w:rPr>
                <w:lang w:val="en-GB"/>
              </w:rPr>
              <w:t>373</w:t>
            </w:r>
            <w:r w:rsidR="00B242C2" w:rsidRPr="00E4709C">
              <w:rPr>
                <w:lang w:val="en-GB"/>
              </w:rPr>
              <w:t>.</w:t>
            </w:r>
            <w:r w:rsidRPr="00E4709C">
              <w:rPr>
                <w:lang w:val="en-GB"/>
              </w:rPr>
              <w:t>75</w:t>
            </w:r>
          </w:p>
        </w:tc>
        <w:tc>
          <w:tcPr>
            <w:tcW w:w="0" w:type="auto"/>
          </w:tcPr>
          <w:p w14:paraId="3F2D31B3" w14:textId="6B572D17" w:rsidR="00611182" w:rsidRPr="00E4709C" w:rsidRDefault="00611182" w:rsidP="00611182">
            <w:pPr>
              <w:pStyle w:val="AAENormaltext"/>
              <w:spacing w:after="0"/>
              <w:jc w:val="center"/>
              <w:rPr>
                <w:lang w:val="en-GB"/>
              </w:rPr>
            </w:pPr>
            <w:r w:rsidRPr="00E4709C">
              <w:rPr>
                <w:lang w:val="en-GB"/>
              </w:rPr>
              <w:t>524</w:t>
            </w:r>
            <w:r w:rsidR="00B242C2" w:rsidRPr="00E4709C">
              <w:rPr>
                <w:lang w:val="en-GB"/>
              </w:rPr>
              <w:t>.</w:t>
            </w:r>
            <w:r w:rsidRPr="00E4709C">
              <w:rPr>
                <w:lang w:val="en-GB"/>
              </w:rPr>
              <w:t>05</w:t>
            </w:r>
          </w:p>
        </w:tc>
        <w:tc>
          <w:tcPr>
            <w:tcW w:w="0" w:type="auto"/>
          </w:tcPr>
          <w:p w14:paraId="43D87AB1" w14:textId="78A55EDC" w:rsidR="00611182" w:rsidRPr="00E4709C" w:rsidRDefault="00611182" w:rsidP="00611182">
            <w:pPr>
              <w:pStyle w:val="AAENormaltext"/>
              <w:spacing w:after="0"/>
              <w:jc w:val="center"/>
              <w:rPr>
                <w:lang w:val="en-GB"/>
              </w:rPr>
            </w:pPr>
            <w:r w:rsidRPr="00E4709C">
              <w:rPr>
                <w:lang w:val="en-GB"/>
              </w:rPr>
              <w:t>150</w:t>
            </w:r>
            <w:r w:rsidR="00B242C2" w:rsidRPr="00E4709C">
              <w:rPr>
                <w:lang w:val="en-GB"/>
              </w:rPr>
              <w:t>.</w:t>
            </w:r>
            <w:r w:rsidRPr="00E4709C">
              <w:rPr>
                <w:lang w:val="en-GB"/>
              </w:rPr>
              <w:t>30</w:t>
            </w:r>
          </w:p>
        </w:tc>
      </w:tr>
      <w:tr w:rsidR="00611182" w:rsidRPr="00E4709C" w14:paraId="1F7BFA84" w14:textId="77777777" w:rsidTr="00E41729">
        <w:tc>
          <w:tcPr>
            <w:tcW w:w="3402" w:type="dxa"/>
          </w:tcPr>
          <w:p w14:paraId="6C6DAEF9" w14:textId="77777777" w:rsidR="00611182" w:rsidRPr="00E4709C" w:rsidRDefault="00611182" w:rsidP="00611182">
            <w:pPr>
              <w:pStyle w:val="AAENormaltext"/>
              <w:spacing w:after="0"/>
              <w:jc w:val="left"/>
              <w:rPr>
                <w:lang w:val="en-GB"/>
              </w:rPr>
            </w:pPr>
            <w:r w:rsidRPr="00E4709C">
              <w:rPr>
                <w:lang w:val="en-GB"/>
              </w:rPr>
              <w:t>Total net income</w:t>
            </w:r>
          </w:p>
        </w:tc>
        <w:tc>
          <w:tcPr>
            <w:tcW w:w="2270" w:type="dxa"/>
          </w:tcPr>
          <w:p w14:paraId="46DE7F2B" w14:textId="60F8D2EB" w:rsidR="00611182" w:rsidRPr="00E4709C" w:rsidRDefault="00611182" w:rsidP="00611182">
            <w:pPr>
              <w:pStyle w:val="AAENormaltext"/>
              <w:spacing w:after="0"/>
              <w:jc w:val="center"/>
              <w:rPr>
                <w:lang w:val="en-GB"/>
              </w:rPr>
            </w:pPr>
            <w:r w:rsidRPr="00E4709C">
              <w:rPr>
                <w:lang w:val="en-GB"/>
              </w:rPr>
              <w:t>896</w:t>
            </w:r>
            <w:r w:rsidR="00B242C2" w:rsidRPr="00E4709C">
              <w:rPr>
                <w:lang w:val="en-GB"/>
              </w:rPr>
              <w:t>.</w:t>
            </w:r>
            <w:r w:rsidRPr="00E4709C">
              <w:rPr>
                <w:lang w:val="en-GB"/>
              </w:rPr>
              <w:t>58</w:t>
            </w:r>
          </w:p>
        </w:tc>
        <w:tc>
          <w:tcPr>
            <w:tcW w:w="0" w:type="auto"/>
          </w:tcPr>
          <w:p w14:paraId="60C16012" w14:textId="0F5A08CD" w:rsidR="00611182" w:rsidRPr="00E4709C" w:rsidRDefault="00611182" w:rsidP="00611182">
            <w:pPr>
              <w:pStyle w:val="AAENormaltext"/>
              <w:spacing w:after="0"/>
              <w:jc w:val="center"/>
              <w:rPr>
                <w:lang w:val="en-GB"/>
              </w:rPr>
            </w:pPr>
            <w:r w:rsidRPr="00E4709C">
              <w:rPr>
                <w:lang w:val="en-GB"/>
              </w:rPr>
              <w:t>1</w:t>
            </w:r>
            <w:r w:rsidR="00B242C2" w:rsidRPr="00E4709C">
              <w:rPr>
                <w:lang w:val="en-GB"/>
              </w:rPr>
              <w:t> </w:t>
            </w:r>
            <w:r w:rsidRPr="00E4709C">
              <w:rPr>
                <w:lang w:val="en-GB"/>
              </w:rPr>
              <w:t>046</w:t>
            </w:r>
            <w:r w:rsidR="00B242C2" w:rsidRPr="00E4709C">
              <w:rPr>
                <w:lang w:val="en-GB"/>
              </w:rPr>
              <w:t>.</w:t>
            </w:r>
            <w:r w:rsidRPr="00E4709C">
              <w:rPr>
                <w:lang w:val="en-GB"/>
              </w:rPr>
              <w:t>88</w:t>
            </w:r>
          </w:p>
        </w:tc>
        <w:tc>
          <w:tcPr>
            <w:tcW w:w="0" w:type="auto"/>
          </w:tcPr>
          <w:p w14:paraId="758F8F5E" w14:textId="41781070" w:rsidR="00611182" w:rsidRPr="00E4709C" w:rsidRDefault="00611182" w:rsidP="00611182">
            <w:pPr>
              <w:pStyle w:val="AAENormaltext"/>
              <w:spacing w:after="0"/>
              <w:jc w:val="center"/>
              <w:rPr>
                <w:lang w:val="en-GB"/>
              </w:rPr>
            </w:pPr>
            <w:r w:rsidRPr="00E4709C">
              <w:rPr>
                <w:lang w:val="en-GB"/>
              </w:rPr>
              <w:t>150</w:t>
            </w:r>
            <w:r w:rsidR="00B242C2" w:rsidRPr="00E4709C">
              <w:rPr>
                <w:lang w:val="en-GB"/>
              </w:rPr>
              <w:t>.</w:t>
            </w:r>
            <w:r w:rsidRPr="00E4709C">
              <w:rPr>
                <w:lang w:val="en-GB"/>
              </w:rPr>
              <w:t>30</w:t>
            </w:r>
          </w:p>
        </w:tc>
      </w:tr>
    </w:tbl>
    <w:p w14:paraId="5B8FBC29" w14:textId="77777777" w:rsidR="00611182" w:rsidRPr="00E4709C" w:rsidRDefault="00611182" w:rsidP="00611182">
      <w:pPr>
        <w:pStyle w:val="AAENormaltext"/>
        <w:spacing w:after="0"/>
        <w:rPr>
          <w:lang w:val="en-GB"/>
        </w:rPr>
      </w:pPr>
    </w:p>
    <w:p w14:paraId="56AB15BC" w14:textId="61DCCEAA" w:rsidR="00611182" w:rsidRPr="00E4709C" w:rsidRDefault="00611182" w:rsidP="00611182">
      <w:pPr>
        <w:pStyle w:val="AAENormaltext"/>
        <w:spacing w:after="0"/>
        <w:ind w:firstLine="284"/>
        <w:rPr>
          <w:lang w:val="en-GB"/>
        </w:rPr>
      </w:pPr>
      <w:r w:rsidRPr="00E4709C">
        <w:rPr>
          <w:lang w:val="en-GB"/>
        </w:rPr>
        <w:t xml:space="preserve">The results show that the proposed model would have a substantial effect on the Slovak driver's total net income in the </w:t>
      </w:r>
      <w:proofErr w:type="spellStart"/>
      <w:r w:rsidRPr="00E4709C">
        <w:rPr>
          <w:lang w:val="en-GB"/>
        </w:rPr>
        <w:t>modeled</w:t>
      </w:r>
      <w:proofErr w:type="spellEnd"/>
      <w:r w:rsidRPr="00E4709C">
        <w:rPr>
          <w:lang w:val="en-GB"/>
        </w:rPr>
        <w:t xml:space="preserve"> transport operation. Although the net wage remains unchanged, the introduction of a</w:t>
      </w:r>
      <w:r w:rsidR="006A5CCB">
        <w:rPr>
          <w:lang w:val="en-GB"/>
        </w:rPr>
        <w:t> </w:t>
      </w:r>
      <w:r w:rsidRPr="00E4709C">
        <w:rPr>
          <w:lang w:val="en-GB"/>
        </w:rPr>
        <w:t>flat-rate accommodation allowance increases total net income by 16.76%. This confirms that travel allowances, especially accommodation-related compensation, can significantly influence the final income of international road freight drivers.</w:t>
      </w:r>
    </w:p>
    <w:p w14:paraId="7C6DC27B" w14:textId="546EBDFF" w:rsidR="00611182" w:rsidRPr="00E4709C" w:rsidRDefault="00611182" w:rsidP="00611182">
      <w:pPr>
        <w:pStyle w:val="AAENormaltext"/>
        <w:spacing w:after="0"/>
        <w:ind w:firstLine="284"/>
        <w:rPr>
          <w:lang w:val="en-GB"/>
        </w:rPr>
      </w:pPr>
      <w:r w:rsidRPr="00E4709C">
        <w:rPr>
          <w:lang w:val="en-GB"/>
        </w:rPr>
        <w:t xml:space="preserve">The proposed model also changes Slovakia's position in the international comparison. Under the current system, Slovakia reached a total net income of 896.58 €, which was lower than that of Poland, France, Spain, and Italy. After applying the proposed model, the Slovak total net income would increase to 1 046.88 €. This </w:t>
      </w:r>
      <w:r w:rsidRPr="006A5CCB">
        <w:rPr>
          <w:spacing w:val="-2"/>
          <w:lang w:val="en-GB"/>
        </w:rPr>
        <w:t>would bring Slovakia closer to the highest values observed in the comparison, particularly Italy with 1 056.50 € and Poland with 1 091.99 €.</w:t>
      </w:r>
    </w:p>
    <w:p w14:paraId="69895244" w14:textId="6E8A6B13" w:rsidR="00611182" w:rsidRPr="00E4709C" w:rsidRDefault="00611182" w:rsidP="00611182">
      <w:pPr>
        <w:pStyle w:val="AAENormaltext"/>
        <w:spacing w:after="0"/>
        <w:ind w:firstLine="284"/>
        <w:rPr>
          <w:lang w:val="en-GB"/>
        </w:rPr>
      </w:pPr>
      <w:r w:rsidRPr="00E4709C">
        <w:rPr>
          <w:lang w:val="en-GB"/>
        </w:rPr>
        <w:t>However, the proposed model would not make Slovakia the highest-income country in the comparison. This is important from a policy perspective. The aim of the proposal is not to create an excessive compensation mechanism, but to reduce the gap resulting from the absence of an accommodation allowance for those without proof of accommodation. The proposed rate of 45%, therefore, appears to be a balanced solution: it substantially increases the driver</w:t>
      </w:r>
      <w:r w:rsidR="00C942C7">
        <w:rPr>
          <w:lang w:val="en-GB"/>
        </w:rPr>
        <w:t>'</w:t>
      </w:r>
      <w:r w:rsidRPr="00E4709C">
        <w:rPr>
          <w:lang w:val="en-GB"/>
        </w:rPr>
        <w:t>s net income while remaining linked to the comparative average and the existing Slovak system of foreign meal allowance rates.</w:t>
      </w:r>
    </w:p>
    <w:p w14:paraId="23A3F364" w14:textId="242F3396" w:rsidR="005669FE" w:rsidRPr="00E4709C" w:rsidRDefault="005669FE" w:rsidP="00611182">
      <w:pPr>
        <w:pStyle w:val="AAENormaltext"/>
        <w:spacing w:after="0"/>
        <w:ind w:firstLine="284"/>
        <w:rPr>
          <w:lang w:val="en-GB"/>
        </w:rPr>
      </w:pPr>
      <w:r w:rsidRPr="00E4709C">
        <w:rPr>
          <w:lang w:val="en-GB"/>
        </w:rPr>
        <w:t>These results provide the economic basis for the subsequent discussion of the proposed model within the broader framework of sustainable development, particularly in relation to the economic and social dimensions of driver remuneration and its indirect environmental relevance.</w:t>
      </w:r>
    </w:p>
    <w:p w14:paraId="1A3519D6" w14:textId="7912C842" w:rsidR="00144A31" w:rsidRPr="00E4709C" w:rsidRDefault="00010C75" w:rsidP="00E41729">
      <w:pPr>
        <w:pStyle w:val="Rn1"/>
        <w:rPr>
          <w:lang w:val="en-GB"/>
        </w:rPr>
      </w:pPr>
      <w:bookmarkStart w:id="6" w:name="_Hlk197362564"/>
      <w:r w:rsidRPr="00E4709C">
        <w:rPr>
          <w:lang w:val="en-GB"/>
        </w:rPr>
        <w:t xml:space="preserve">4. </w:t>
      </w:r>
      <w:r w:rsidR="00913911" w:rsidRPr="00E4709C">
        <w:rPr>
          <w:lang w:val="en-GB"/>
        </w:rPr>
        <w:t>Discussion</w:t>
      </w:r>
    </w:p>
    <w:p w14:paraId="23F6F54F" w14:textId="44AEC859" w:rsidR="00233983" w:rsidRPr="00E4709C" w:rsidRDefault="00233983" w:rsidP="00233983">
      <w:pPr>
        <w:pStyle w:val="AAENormaltext"/>
        <w:spacing w:after="0"/>
        <w:ind w:firstLine="284"/>
        <w:rPr>
          <w:lang w:val="en-GB"/>
        </w:rPr>
      </w:pPr>
      <w:r w:rsidRPr="00E4709C">
        <w:rPr>
          <w:lang w:val="en-GB"/>
        </w:rPr>
        <w:t xml:space="preserve">The results of the model calculation confirm that travel allowances represent a substantial component of total driver remuneration in international road freight transport. The comparison of selected national systems showed that a driver's final income position cannot be assessed solely </w:t>
      </w:r>
      <w:r w:rsidR="00C942C7">
        <w:rPr>
          <w:lang w:val="en-GB"/>
        </w:rPr>
        <w:t>based on net wages</w:t>
      </w:r>
      <w:r w:rsidRPr="00E4709C">
        <w:rPr>
          <w:lang w:val="en-GB"/>
        </w:rPr>
        <w:t xml:space="preserve">. Although </w:t>
      </w:r>
      <w:r w:rsidR="00C942C7">
        <w:rPr>
          <w:lang w:val="en-GB"/>
        </w:rPr>
        <w:t>the net wage is an important indicator, the inclusion of travel allowances alters the income rankings</w:t>
      </w:r>
      <w:r w:rsidRPr="00E4709C">
        <w:rPr>
          <w:lang w:val="en-GB"/>
        </w:rPr>
        <w:t xml:space="preserve"> between countries. This was especially evident in cases where countries with lower net wages achieved higher total net income due to more </w:t>
      </w:r>
      <w:proofErr w:type="spellStart"/>
      <w:r w:rsidRPr="00E4709C">
        <w:rPr>
          <w:lang w:val="en-GB"/>
        </w:rPr>
        <w:t>favorable</w:t>
      </w:r>
      <w:proofErr w:type="spellEnd"/>
      <w:r w:rsidRPr="00E4709C">
        <w:rPr>
          <w:lang w:val="en-GB"/>
        </w:rPr>
        <w:t xml:space="preserve"> travel allowance mechanisms. </w:t>
      </w:r>
      <w:r w:rsidR="00B35065" w:rsidRPr="00E4709C">
        <w:rPr>
          <w:lang w:val="en-GB"/>
        </w:rPr>
        <w:t>The updated model findings, therefore, show that travel allowances, and particularly accommodation-related compensation, may substantially affect the practical attractiveness and sustainability-related interpretation of driver remuneration systems</w:t>
      </w:r>
      <w:r w:rsidRPr="00E4709C">
        <w:rPr>
          <w:lang w:val="en-GB"/>
        </w:rPr>
        <w:t>.</w:t>
      </w:r>
    </w:p>
    <w:p w14:paraId="542D8CF9" w14:textId="77777777" w:rsidR="00233983" w:rsidRPr="00E4709C" w:rsidRDefault="00233983" w:rsidP="00233983">
      <w:pPr>
        <w:pStyle w:val="AAENormaltext"/>
        <w:spacing w:after="0"/>
        <w:ind w:firstLine="284"/>
        <w:rPr>
          <w:lang w:val="en-GB"/>
        </w:rPr>
      </w:pPr>
      <w:r w:rsidRPr="00E4709C">
        <w:rPr>
          <w:lang w:val="en-GB"/>
        </w:rPr>
        <w:t>Overall, the results acknowledge that introducing a flat-rate accommodation allowance could improve the transparency and predictability of the Slovak travel allowance system. It would provide a clear rule for situations in which the driver spends a rest period abroad without submitting an accommodation document. At the same time, the model would strengthen the competitiveness of Slovak road freight employment conditions without changing the wage component itself.</w:t>
      </w:r>
    </w:p>
    <w:p w14:paraId="72860BEA" w14:textId="03581BA8" w:rsidR="00233983" w:rsidRPr="00E4709C" w:rsidRDefault="00233983" w:rsidP="00233983">
      <w:pPr>
        <w:pStyle w:val="AAENormaltext"/>
        <w:spacing w:after="0"/>
        <w:ind w:firstLine="284"/>
        <w:rPr>
          <w:lang w:val="en-GB"/>
        </w:rPr>
      </w:pPr>
      <w:r w:rsidRPr="00E4709C">
        <w:rPr>
          <w:lang w:val="en-GB"/>
        </w:rPr>
        <w:t xml:space="preserve">The derivation of the 45% rate is one of the most important findings of the research conducted. The rate was not selected arbitrarily. It was derived from the accommodation-related compensation calculated under the selected foreign systems. The average accommodation allowance per night was calculated </w:t>
      </w:r>
      <w:r w:rsidR="00C942C7">
        <w:rPr>
          <w:lang w:val="en-GB"/>
        </w:rPr>
        <w:t>at 25.61 € and</w:t>
      </w:r>
      <w:r w:rsidRPr="00E4709C">
        <w:rPr>
          <w:lang w:val="en-GB"/>
        </w:rPr>
        <w:t xml:space="preserve"> </w:t>
      </w:r>
      <w:r w:rsidRPr="00E4709C">
        <w:rPr>
          <w:lang w:val="en-GB"/>
        </w:rPr>
        <w:lastRenderedPageBreak/>
        <w:t xml:space="preserve">compared with the full Slovak foreign meal allowance rates for the countries </w:t>
      </w:r>
      <w:proofErr w:type="spellStart"/>
      <w:r w:rsidRPr="00E4709C">
        <w:rPr>
          <w:lang w:val="en-GB"/>
        </w:rPr>
        <w:t>analyzed</w:t>
      </w:r>
      <w:proofErr w:type="spellEnd"/>
      <w:r w:rsidRPr="00E4709C">
        <w:rPr>
          <w:lang w:val="en-GB"/>
        </w:rPr>
        <w:t>. The resulting average ratio was 42.78%, rounded up to 45% for practical application. This upward rounding is justified by the need for a simple, administratively applicable percentage, especially if the mechanism were to be considered in payroll practice or in future legislative discussions.</w:t>
      </w:r>
    </w:p>
    <w:p w14:paraId="1B83F996" w14:textId="65D4EA13" w:rsidR="00233983" w:rsidRPr="00E4709C" w:rsidRDefault="00233983" w:rsidP="00233983">
      <w:pPr>
        <w:pStyle w:val="AAENormaltext"/>
        <w:spacing w:after="0"/>
        <w:ind w:firstLine="284"/>
        <w:rPr>
          <w:lang w:val="en-GB"/>
        </w:rPr>
      </w:pPr>
      <w:r w:rsidRPr="00E4709C">
        <w:rPr>
          <w:lang w:val="en-GB"/>
        </w:rPr>
        <w:t xml:space="preserve">The application of the proposed model under Slovak conditions showed that a targeted accommodation allowance can </w:t>
      </w:r>
      <w:r w:rsidR="00C942C7">
        <w:rPr>
          <w:lang w:val="en-GB"/>
        </w:rPr>
        <w:t>yield a meaningful increase in total net income without altering the wage component</w:t>
      </w:r>
      <w:r w:rsidRPr="00E4709C">
        <w:rPr>
          <w:lang w:val="en-GB"/>
        </w:rPr>
        <w:t>. In the model case, the increase reached 16.76%, which confirms that accommodation-related compensation can have a substantial effect even when the basic payroll structure remains unchanged. Importantly, the proposal does not directly increase the wage base but strengthens the compensatory component of the driver</w:t>
      </w:r>
      <w:r w:rsidR="00C942C7">
        <w:rPr>
          <w:lang w:val="en-GB"/>
        </w:rPr>
        <w:t>'</w:t>
      </w:r>
      <w:r w:rsidRPr="00E4709C">
        <w:rPr>
          <w:lang w:val="en-GB"/>
        </w:rPr>
        <w:t xml:space="preserve">s income. From a broader perspective, driver pay may also affect carrier performance, as higher relative driver earnings have been associated with better motor carrier safety outcomes </w:t>
      </w:r>
      <w:r w:rsidRPr="00E4709C">
        <w:rPr>
          <w:lang w:val="en-GB"/>
        </w:rPr>
        <w:fldChar w:fldCharType="begin"/>
      </w:r>
      <w:r w:rsidR="00E93C7C" w:rsidRPr="00E4709C">
        <w:rPr>
          <w:lang w:val="en-GB"/>
        </w:rPr>
        <w:instrText xml:space="preserve"> ADDIN ZOTERO_ITEM CSL_CITATION {"citationID":"dS7AIWsT","properties":{"unsorted":false,"formattedCitation":"(Ryley &amp; Belzer, 2024)","plainCitation":"(Ryley &amp; Belzer, 2024)","noteIndex":0},"citationItems":[{"id":97,"uris":["http://zotero.org/users/local/DCHUYpvV/items/2ALVE5NP"],"itemData":{"id":97,"type":"article-journal","abstract":"The United Nations International Labour Organization (ILO) has recently incorporated driver pay into its guidelines on the promotion of safe and decent work in road transport. ILO guideline 73 states that ‘the remuneration of … CMV [commercial motor vehicle] drivers should be sustainable and take into consideration the attractiveness and sustainability of the industry’. In the spirit of this, we explore the relationship between truck drivers’ relative income and intrastate motor carrier safety performance. We utilise the United States (US) Bureau of Labor Statistics Occupational Employment and Wage data for heavy and tractor-trailer truck driver median annual incomes and the US Census Bureau’s American Community Survey estimates of median household incomes to construct county level relative income ratios for truck drivers. This information is merged with public safety data to analyse the relationship between truck drivers’ relative pay and motor carrier safety performance. We find that, all else constant, carriers located in counties where driver earnings are relatively high tend to experience fewer crashes. This provides evidence that safety performance is better when driver pay is more attractive in the truck driver labour market and, consequently, validates the ILO’s assertion under guideline 73.","container-title":"The Economic and Labour Relations Review","DOI":"10.1017/elr.2024.36","ISSN":"1838-2673","issue":"3","language":"en","page":"614-634","source":"Cambridge University Press","title":"Truck driver relative pay and motor carrier safety performance","volume":"35","author":[{"family":"Ryley","given":"Walter T."},{"family":"Belzer","given":"Michael H."}],"issued":{"date-parts":[["2024",9]]}}}],"schema":"https://github.com/citation-style-language/schema/raw/master/csl-citation.json"} </w:instrText>
      </w:r>
      <w:r w:rsidRPr="00E4709C">
        <w:rPr>
          <w:lang w:val="en-GB"/>
        </w:rPr>
        <w:fldChar w:fldCharType="separate"/>
      </w:r>
      <w:r w:rsidR="0035064C" w:rsidRPr="00E4709C">
        <w:rPr>
          <w:lang w:val="en-GB"/>
        </w:rPr>
        <w:t>(Ryley &amp; Belzer</w:t>
      </w:r>
      <w:r w:rsidR="00E4709C" w:rsidRPr="00E4709C">
        <w:rPr>
          <w:lang w:val="en-GB"/>
        </w:rPr>
        <w:t>,</w:t>
      </w:r>
      <w:r w:rsidR="0035064C" w:rsidRPr="00E4709C">
        <w:rPr>
          <w:lang w:val="en-GB"/>
        </w:rPr>
        <w:t xml:space="preserve"> 2024)</w:t>
      </w:r>
      <w:r w:rsidRPr="00E4709C">
        <w:rPr>
          <w:lang w:val="en-GB"/>
        </w:rPr>
        <w:fldChar w:fldCharType="end"/>
      </w:r>
      <w:r w:rsidRPr="00E4709C">
        <w:rPr>
          <w:lang w:val="en-GB"/>
        </w:rPr>
        <w:t xml:space="preserve">. Recent research also shows that incentive structures may influence truck drivers' </w:t>
      </w:r>
      <w:proofErr w:type="spellStart"/>
      <w:r w:rsidRPr="00E4709C">
        <w:rPr>
          <w:lang w:val="en-GB"/>
        </w:rPr>
        <w:t>behavior</w:t>
      </w:r>
      <w:proofErr w:type="spellEnd"/>
      <w:r w:rsidRPr="00E4709C">
        <w:rPr>
          <w:lang w:val="en-GB"/>
        </w:rPr>
        <w:t xml:space="preserve"> and safety performance, supporting the need to consider remuneration mechanisms in a broader operational context </w:t>
      </w:r>
      <w:r w:rsidRPr="00E4709C">
        <w:rPr>
          <w:lang w:val="en-GB"/>
        </w:rPr>
        <w:fldChar w:fldCharType="begin"/>
      </w:r>
      <w:r w:rsidR="007B563A" w:rsidRPr="00E4709C">
        <w:rPr>
          <w:lang w:val="en-GB"/>
        </w:rPr>
        <w:instrText xml:space="preserve"> ADDIN ZOTERO_ITEM CSL_CITATION {"citationID":"tyHbEUa0","properties":{"unsorted":false,"formattedCitation":"(Kalmus, Vochozka, &amp; Guly\\uc0\\u225{}s, 2025; Meyer, Goedhals-Gerber, &amp; Bod, 2025)","plainCitation":"(Kalmus, Vochozka, &amp; Gulyás, 2025; Meyer, Goedhals-Gerber, &amp; Bod, 2025)","noteIndex":0},"citationItems":[{"id":103,"uris":["http://zotero.org/users/local/DCHUYpvV/items/9P66FL34"],"itemData":{"id":103,"type":"article-journal","abstract":"&lt;p&gt;In a time of digital disruption, changing consumer behavior, and shifting strategic priorities, competitive advantage is harder than ever to sustain. This research explores the drivers of value-creating sources of competitive advantage and proposes an actionable model for strengthening them to boost profitability. It also highlights the growing role of transportation systems as strategic enablers of competitive advantage, particularly in industries reliant on logistics, mobility, and infrastructure. Using a qualitative research design grounded in domain theory, the study conducts a thematic analysis of 161 highly cited Web of Science articles (2014–2024). Twelve strategic themes, including innovation, digital transformation, marketing, and sustainability, are identified as key drivers. These themes reflect current academic interest and offer long-term relevance for business strategy. The study introduces a three-step decision-making model incorporating these themes and financial metrics like ROIC and EBITDA. The model helps align competitive advantage sources with strategy and supports firms in navigating hypercompetitive and transportation-intensive environments while balancing stakeholder and shareholder value.&lt;/p&gt;","container-title":"LOGI – Scientific Journal on Transport and Logistics","DOI":"10.2478/logi-2025-0009","ISSN":"2336-3037","issue":"1","journalAbbreviation":"LOGI","language":"English","page":"92-103","publisher":"Institute of Technology and Business in České Budějovice","source":"reference-global.com","title":"Unpacking the Drivers of Competitive Advantage: Enhancing Value Creation and Firm Profitability through Transportation and Strategic Innovation","title-short":"Unpacking the Drivers of Competitive Advantage","volume":"16","author":[{"family":"Kalmus","given":"Horymír"},{"family":"Vochozka","given":"Marek"},{"family":"Gulyás","given":"Josef"}],"issued":{"date-parts":[["2025",7,8]]}}},{"id":88,"uris":["http://zotero.org/users/local/DCHUYpvV/items/WVKCWYU5"],"itemData":{"id":88,"type":"article-journal","abstract":"Introduction: This systematic review investigates the effects of monetary and non-monetary incentive schemes on the safety performance of truck drivers, a critical concern within the road freight industry. Method: The review analyzes 18 studies and dissects the impact of compensation levels, compensation methods, and non-monetary benefits on drivers’ safety behaviors. Results: The findings show that, in general, higher levels of compensation, both through selection and incentive effects, enhance safety performance by attracting more skilled drivers and incentivizing adherence to safety protocols. However, the structure of these compensations, particularly piece-rate wages, and payment for non-driving hours, reveals a double-edged sword; while incentivizing productivity, they inadvertently promote unsafe driving behaviors such as excessive speeding and insufficient rest due to economic pressures. Conversely, non-monetary incentives, though under-researched, show potential for improving safety outcomes by enhancing job satisfaction and work environment quality. Practical applications: This review highlights the need for future research on safety incentives to evaluate the full extent of the intersection between incentives, safety culture, and working conditions. It advocates for holistic compensation strategies that foster a safety culture in the trucking industry, marking a new direction for improving driver behavior.","container-title":"Journal of Safety Research","DOI":"10.1016/j.jsr.2024.11.023","ISSN":"0022-4375","journalAbbreviation":"Journal of Safety Research","page":"166-180","source":"ScienceDirect","title":"A systematic review of incentive schemes and their implications for truck driver safety performance","volume":"92","author":[{"family":"Meyer","given":"Laura"},{"family":"Goedhals-Gerber","given":"Leila Louise"},{"family":"Bod","given":"Anneke De"}],"issued":{"date-parts":[["2025",2,1]]}}}],"schema":"https://github.com/citation-style-language/schema/raw/master/csl-citation.json"} </w:instrText>
      </w:r>
      <w:r w:rsidRPr="00E4709C">
        <w:rPr>
          <w:lang w:val="en-GB"/>
        </w:rPr>
        <w:fldChar w:fldCharType="separate"/>
      </w:r>
      <w:r w:rsidR="0035064C" w:rsidRPr="00E4709C">
        <w:rPr>
          <w:lang w:val="en-GB"/>
        </w:rPr>
        <w:t xml:space="preserve">(Kalmus </w:t>
      </w:r>
      <w:r w:rsidR="00506906" w:rsidRPr="00E4709C">
        <w:rPr>
          <w:lang w:val="en-GB"/>
        </w:rPr>
        <w:t>et al.</w:t>
      </w:r>
      <w:r w:rsidR="00E4709C" w:rsidRPr="00E4709C">
        <w:rPr>
          <w:lang w:val="en-GB"/>
        </w:rPr>
        <w:t>,</w:t>
      </w:r>
      <w:r w:rsidR="0035064C" w:rsidRPr="00E4709C">
        <w:rPr>
          <w:lang w:val="en-GB"/>
        </w:rPr>
        <w:t xml:space="preserve"> 2025; Meyer</w:t>
      </w:r>
      <w:r w:rsidR="00506906" w:rsidRPr="00E4709C">
        <w:rPr>
          <w:lang w:val="en-GB"/>
        </w:rPr>
        <w:t xml:space="preserve"> et al.</w:t>
      </w:r>
      <w:r w:rsidR="00E4709C" w:rsidRPr="00E4709C">
        <w:rPr>
          <w:lang w:val="en-GB"/>
        </w:rPr>
        <w:t>,</w:t>
      </w:r>
      <w:r w:rsidR="0035064C" w:rsidRPr="00E4709C">
        <w:rPr>
          <w:lang w:val="en-GB"/>
        </w:rPr>
        <w:t xml:space="preserve"> 2025)</w:t>
      </w:r>
      <w:r w:rsidRPr="00E4709C">
        <w:rPr>
          <w:lang w:val="en-GB"/>
        </w:rPr>
        <w:fldChar w:fldCharType="end"/>
      </w:r>
      <w:r w:rsidRPr="00E4709C">
        <w:rPr>
          <w:lang w:val="en-GB"/>
        </w:rPr>
        <w:t>.</w:t>
      </w:r>
    </w:p>
    <w:p w14:paraId="6192D577" w14:textId="77777777" w:rsidR="00D6303F" w:rsidRPr="00E4709C" w:rsidRDefault="00D6303F" w:rsidP="00D6303F">
      <w:pPr>
        <w:pStyle w:val="AAENormaltext"/>
        <w:spacing w:after="0"/>
        <w:ind w:firstLine="284"/>
        <w:rPr>
          <w:lang w:val="en-GB"/>
        </w:rPr>
      </w:pPr>
      <w:r w:rsidRPr="00E4709C">
        <w:rPr>
          <w:lang w:val="en-GB"/>
        </w:rPr>
        <w:t>The ecological relevance of the proposed allowance model should be interpreted as an indirect and enabling effect rather than as a direct emission-reduction measure. The model does not change vehicle technology, fuel type, route distance, load factor, or driving regime. Therefore, it cannot be claimed that the proposed allowance directly reduces greenhouse gas emissions. However, remuneration and travel allowance systems form part of the organizational conditions under which international road freight transport is performed. From this perspective, the proposed model can be linked to the broader concept of sustainable development, which combines economic efficiency, social well-being, and environmental responsibility (UNCTAD, 2026).</w:t>
      </w:r>
    </w:p>
    <w:p w14:paraId="591432E9" w14:textId="014D56A5" w:rsidR="00D6303F" w:rsidRPr="00E4709C" w:rsidRDefault="00D6303F" w:rsidP="00D6303F">
      <w:pPr>
        <w:pStyle w:val="AAENormaltext"/>
        <w:spacing w:after="0"/>
        <w:ind w:firstLine="284"/>
        <w:rPr>
          <w:lang w:val="en-GB"/>
        </w:rPr>
      </w:pPr>
      <w:r w:rsidRPr="00E4709C">
        <w:rPr>
          <w:lang w:val="en-GB"/>
        </w:rPr>
        <w:t>The proposed flat-rate accommodation allowance contributes primarily to the economic and social dimensions of sustainability. Economically, it creates a transparent and administratively simple compensation mechanism. Socially, it improves the predictability of income for drivers who spend rest periods abroad without submitting accommodation documents. Its environmental relevance is indirect. By reducing uncertainty related to accommodation reimbursement, the model can support planned rest periods without creating additional administrative pressure connected with documented accommodation. This may help keep rest planning compatible with efficient routing, fuel consumption management, eco-driving measures, and other environmental management practices in road freight transport (EEA</w:t>
      </w:r>
      <w:r w:rsidR="00E4709C" w:rsidRPr="00E4709C">
        <w:rPr>
          <w:lang w:val="en-GB"/>
        </w:rPr>
        <w:t>,</w:t>
      </w:r>
      <w:r w:rsidRPr="00E4709C">
        <w:rPr>
          <w:lang w:val="en-GB"/>
        </w:rPr>
        <w:t xml:space="preserve"> 202</w:t>
      </w:r>
      <w:r w:rsidR="00621A34" w:rsidRPr="00E4709C">
        <w:rPr>
          <w:lang w:val="en-GB"/>
        </w:rPr>
        <w:t>5</w:t>
      </w:r>
      <w:r w:rsidRPr="00E4709C">
        <w:rPr>
          <w:lang w:val="en-GB"/>
        </w:rPr>
        <w:t>; EEA</w:t>
      </w:r>
      <w:r w:rsidR="00E4709C" w:rsidRPr="00E4709C">
        <w:rPr>
          <w:lang w:val="en-GB"/>
        </w:rPr>
        <w:t>,</w:t>
      </w:r>
      <w:r w:rsidRPr="00E4709C">
        <w:rPr>
          <w:lang w:val="en-GB"/>
        </w:rPr>
        <w:t xml:space="preserve"> 2026; </w:t>
      </w:r>
      <w:proofErr w:type="spellStart"/>
      <w:r w:rsidRPr="00E4709C">
        <w:rPr>
          <w:lang w:val="en-GB"/>
        </w:rPr>
        <w:t>Jazairy</w:t>
      </w:r>
      <w:proofErr w:type="spellEnd"/>
      <w:r w:rsidRPr="00E4709C">
        <w:rPr>
          <w:lang w:val="en-GB"/>
        </w:rPr>
        <w:t xml:space="preserve"> et al.</w:t>
      </w:r>
      <w:r w:rsidR="00E4709C" w:rsidRPr="00E4709C">
        <w:rPr>
          <w:lang w:val="en-GB"/>
        </w:rPr>
        <w:t>,</w:t>
      </w:r>
      <w:r w:rsidRPr="00E4709C">
        <w:rPr>
          <w:lang w:val="en-GB"/>
        </w:rPr>
        <w:t xml:space="preserve"> 2023). The proposed model should therefore be understood as a complementary</w:t>
      </w:r>
      <w:r w:rsidR="00C942C7">
        <w:rPr>
          <w:lang w:val="en-GB"/>
        </w:rPr>
        <w:t>, sustainability-oriented payroll mechanism, rather than</w:t>
      </w:r>
      <w:r w:rsidRPr="00E4709C">
        <w:rPr>
          <w:lang w:val="en-GB"/>
        </w:rPr>
        <w:t xml:space="preserve"> a standalone environmental policy instrument.</w:t>
      </w:r>
    </w:p>
    <w:p w14:paraId="0B1A7B0D" w14:textId="4B3CA9B0" w:rsidR="00D6303F" w:rsidRPr="00E4709C" w:rsidRDefault="00D6303F" w:rsidP="00D6303F">
      <w:pPr>
        <w:pStyle w:val="AAENormaltext"/>
        <w:spacing w:after="0"/>
        <w:ind w:firstLine="284"/>
        <w:rPr>
          <w:lang w:val="en-GB"/>
        </w:rPr>
      </w:pPr>
      <w:r w:rsidRPr="00E4709C">
        <w:rPr>
          <w:lang w:val="en-GB"/>
        </w:rPr>
        <w:t xml:space="preserve">At the same time, the proposed model does not replace technological or operational decarbonization measures in road freight transport. Its role is narrower: it supports the organizational and social conditions </w:t>
      </w:r>
      <w:r w:rsidR="00C942C7">
        <w:rPr>
          <w:lang w:val="en-GB"/>
        </w:rPr>
        <w:t>for planning and performing sustainable transport operations</w:t>
      </w:r>
      <w:r w:rsidRPr="00E4709C">
        <w:rPr>
          <w:lang w:val="en-GB"/>
        </w:rPr>
        <w:t xml:space="preserve">. Future research should therefore quantify whether similar compensation mechanisms </w:t>
      </w:r>
      <w:r w:rsidR="000937B0" w:rsidRPr="00E4709C">
        <w:rPr>
          <w:lang w:val="en-GB"/>
        </w:rPr>
        <w:t>affect</w:t>
      </w:r>
      <w:r w:rsidRPr="00E4709C">
        <w:rPr>
          <w:lang w:val="en-GB"/>
        </w:rPr>
        <w:t xml:space="preserve"> route deviations, rest</w:t>
      </w:r>
      <w:r w:rsidR="00C942C7">
        <w:rPr>
          <w:lang w:val="en-GB"/>
        </w:rPr>
        <w:t xml:space="preserve"> location choices, idling time, fuel consumption, and</w:t>
      </w:r>
      <w:r w:rsidRPr="00E4709C">
        <w:rPr>
          <w:lang w:val="en-GB"/>
        </w:rPr>
        <w:t xml:space="preserve"> other operational indicators relevant to environmental performance.</w:t>
      </w:r>
    </w:p>
    <w:p w14:paraId="248AD6C7" w14:textId="3531A01E" w:rsidR="009217FD" w:rsidRPr="00E4709C" w:rsidRDefault="00233983" w:rsidP="00233983">
      <w:pPr>
        <w:pStyle w:val="AAENormaltext"/>
        <w:spacing w:after="0"/>
        <w:ind w:firstLine="284"/>
        <w:rPr>
          <w:lang w:val="en-GB"/>
        </w:rPr>
      </w:pPr>
      <w:r w:rsidRPr="00E4709C">
        <w:rPr>
          <w:lang w:val="en-GB"/>
        </w:rPr>
        <w:t xml:space="preserve">This result has practical implications for both employees and employers. For drivers, the proposed model would increase the predictability of remuneration during international business trips. Driver turnover has been linked to compensation levels, suggesting that remuneration remains an important factor in driver retention </w:t>
      </w:r>
      <w:r w:rsidRPr="00E4709C">
        <w:rPr>
          <w:lang w:val="en-GB"/>
        </w:rPr>
        <w:fldChar w:fldCharType="begin"/>
      </w:r>
      <w:r w:rsidR="00E93C7C" w:rsidRPr="00E4709C">
        <w:rPr>
          <w:lang w:val="en-GB"/>
        </w:rPr>
        <w:instrText xml:space="preserve"> ADDIN ZOTERO_ITEM CSL_CITATION {"citationID":"UU9PbVJy","properties":{"unsorted":false,"formattedCitation":"(Trick, Peoples, &amp; Ross, 2021)","plainCitation":"(Trick, Peoples, &amp; Ross, 2021)","noteIndex":0},"citationItems":[{"id":94,"uris":["http://zotero.org/users/local/DCHUYpvV/items/S3JFQ64D"],"itemData":{"id":94,"type":"article-journal","abstract":"This paper empirically examines the personal characteristics of truck drivers that are associated with a greater probability of driver turnover. Exploration of this phenomenon is significant in part because knowing who is likely to leave a trucking company helps decision makers in trucking firms identify effective measures needed to reduce driver turnover. Estimation results of a discrete driver quit choice model along with findings from estimating a driver wage equation, are used to predict the driver compensation needed to mitigate high driver turnover. These findings show that at the mean, drivers who stay on the job receive $54.25 (2018 dollars) more per week than drivers who leave, which translates to $2836.20 annually and is 6.02% percent above the mean wage of drivers who leave their job. The value of this annual wage differential is less than the mean value of the conservatively low estimate of $3654.72 (2018 dollars) computed in past research as the per driver cost of truck driver turnover. We interpret these results to suggest that it is cost effective for trucking companies to increase driver compensation. Indeed, truck driver wage trends do show a recent pattern of wage gains.","collection-title":"Journal of the Transportation Research Forum, Volume 58","container-title":"Research in Transportation Economics","DOI":"10.1016/j.retrec.2021.101129","ISSN":"0739-8859","journalAbbreviation":"Research in Transportation Economics","page":"101129","source":"ScienceDirect","title":"Driver turnover in the trucking industry: What's the cost of reducing driver quit rates?","title-short":"Driver turnover in the trucking industry","volume":"89","author":[{"family":"Trick","given":"Steven"},{"family":"Peoples","given":"James"},{"family":"Ross","given":"Anthony"}],"issued":{"date-parts":[["2021",11,1]]}}}],"schema":"https://github.com/citation-style-language/schema/raw/master/csl-citation.json"} </w:instrText>
      </w:r>
      <w:r w:rsidRPr="00E4709C">
        <w:rPr>
          <w:lang w:val="en-GB"/>
        </w:rPr>
        <w:fldChar w:fldCharType="separate"/>
      </w:r>
      <w:r w:rsidR="0035064C" w:rsidRPr="00E4709C">
        <w:rPr>
          <w:lang w:val="en-GB"/>
        </w:rPr>
        <w:t>(Trick</w:t>
      </w:r>
      <w:r w:rsidR="00506906" w:rsidRPr="00E4709C">
        <w:rPr>
          <w:lang w:val="en-GB"/>
        </w:rPr>
        <w:t xml:space="preserve"> et al.</w:t>
      </w:r>
      <w:r w:rsidR="00E4709C" w:rsidRPr="00E4709C">
        <w:rPr>
          <w:lang w:val="en-GB"/>
        </w:rPr>
        <w:t>,</w:t>
      </w:r>
      <w:r w:rsidR="0035064C" w:rsidRPr="00E4709C">
        <w:rPr>
          <w:lang w:val="en-GB"/>
        </w:rPr>
        <w:t xml:space="preserve"> 2021)</w:t>
      </w:r>
      <w:r w:rsidRPr="00E4709C">
        <w:rPr>
          <w:lang w:val="en-GB"/>
        </w:rPr>
        <w:fldChar w:fldCharType="end"/>
      </w:r>
      <w:r w:rsidRPr="00E4709C">
        <w:rPr>
          <w:lang w:val="en-GB"/>
        </w:rPr>
        <w:t xml:space="preserve">. It would also provide compensation for a situation specific to road freight transport that is not fully reflected in the current Slovak reimbursement framework. For employers, a flat-rate model could reduce </w:t>
      </w:r>
      <w:r w:rsidR="00C942C7">
        <w:rPr>
          <w:lang w:val="en-GB"/>
        </w:rPr>
        <w:t>payroll calculation uncertainty</w:t>
      </w:r>
      <w:r w:rsidRPr="00E4709C">
        <w:rPr>
          <w:lang w:val="en-GB"/>
        </w:rPr>
        <w:t xml:space="preserve"> and simplify the treatment of accommodation-related compensation. A</w:t>
      </w:r>
      <w:r w:rsidR="006A5CCB">
        <w:rPr>
          <w:lang w:val="en-GB"/>
        </w:rPr>
        <w:t> </w:t>
      </w:r>
      <w:r w:rsidRPr="00E4709C">
        <w:rPr>
          <w:lang w:val="en-GB"/>
        </w:rPr>
        <w:t>transparent percentage-based system would be easier to apply than individual assessment of undocumented accommodation situations.</w:t>
      </w:r>
    </w:p>
    <w:p w14:paraId="5E07DA9C" w14:textId="2E61D4CC" w:rsidR="009F0F19" w:rsidRPr="00E4709C" w:rsidRDefault="00010C75" w:rsidP="00E41729">
      <w:pPr>
        <w:pStyle w:val="Rn1"/>
        <w:rPr>
          <w:lang w:val="en-GB"/>
        </w:rPr>
      </w:pPr>
      <w:r w:rsidRPr="00E4709C">
        <w:rPr>
          <w:lang w:val="en-GB"/>
        </w:rPr>
        <w:t xml:space="preserve">5. </w:t>
      </w:r>
      <w:r w:rsidR="009F0F19" w:rsidRPr="00E4709C">
        <w:rPr>
          <w:lang w:val="en-GB"/>
        </w:rPr>
        <w:t>Conclusion</w:t>
      </w:r>
    </w:p>
    <w:p w14:paraId="6DF74EC4" w14:textId="3C1DCFF7" w:rsidR="00233983" w:rsidRPr="00E4709C" w:rsidRDefault="00233983" w:rsidP="0035064C">
      <w:pPr>
        <w:pStyle w:val="AAENormaltext"/>
        <w:spacing w:after="0"/>
        <w:ind w:firstLine="284"/>
        <w:rPr>
          <w:lang w:val="en-GB"/>
        </w:rPr>
      </w:pPr>
      <w:r w:rsidRPr="00E4709C">
        <w:rPr>
          <w:lang w:val="en-GB"/>
        </w:rPr>
        <w:t>This paper aimed to propose and evaluate a flat-rate accommodation allowance model for Slovak international road freight drivers when no proof of accommodation is submitted. The research was based on a comparative analysis of selected European countries and a model calculation applied to an international road freight route. The results confirmed that travel allowances constitute an important component of total driver remuneration and that differences across national systems can significantly affect drivers' final income.</w:t>
      </w:r>
      <w:r w:rsidR="00D6303F" w:rsidRPr="00E4709C">
        <w:rPr>
          <w:lang w:val="en-GB"/>
        </w:rPr>
        <w:t xml:space="preserve"> At the same time, the findings show that remuneration policies can be discussed within the broader framework of sustainable development, particularly through their economic, social, and indirect environmental relevance.</w:t>
      </w:r>
    </w:p>
    <w:p w14:paraId="4395993C" w14:textId="77777777" w:rsidR="00233983" w:rsidRPr="00E4709C" w:rsidRDefault="00233983" w:rsidP="0035064C">
      <w:pPr>
        <w:pStyle w:val="AAENormaltext"/>
        <w:spacing w:after="0"/>
        <w:ind w:firstLine="284"/>
        <w:rPr>
          <w:lang w:val="en-GB"/>
        </w:rPr>
      </w:pPr>
      <w:r w:rsidRPr="00E4709C">
        <w:rPr>
          <w:lang w:val="en-GB"/>
        </w:rPr>
        <w:t xml:space="preserve">Based on the accommodation-related compensation identified in the selected countries, the proposed Slovak model establishes a flat-rate accommodation allowance equal to 45% of the full foreign meal allowance rate applicable in the country where the driver spends the required rest period. This rate was derived from the average accommodation allowance ratio of 42.78%, rounded up to 45% for practical application. The proposed </w:t>
      </w:r>
      <w:r w:rsidRPr="00E4709C">
        <w:rPr>
          <w:lang w:val="en-GB"/>
        </w:rPr>
        <w:lastRenderedPageBreak/>
        <w:t>mechanism, therefore, builds on the existing Slovak system of foreign meal allowance rates and avoids the need to create a separate accommodation allowance table.</w:t>
      </w:r>
    </w:p>
    <w:p w14:paraId="5D245927" w14:textId="560DB1BE" w:rsidR="00233983" w:rsidRPr="00E4709C" w:rsidRDefault="00233983" w:rsidP="0035064C">
      <w:pPr>
        <w:pStyle w:val="AAENormaltext"/>
        <w:spacing w:after="0"/>
        <w:ind w:firstLine="284"/>
        <w:rPr>
          <w:lang w:val="en-GB"/>
        </w:rPr>
      </w:pPr>
      <w:r w:rsidRPr="00E4709C">
        <w:rPr>
          <w:lang w:val="en-GB"/>
        </w:rPr>
        <w:t xml:space="preserve">The designed model should not be interpreted as a replacement for documented accommodation reimbursement. Rather, it is intended as a complementary mechanism for specific cases in which accommodation proof is not submitted. Its main advantage lies in its simplicity, transparency, and alignment with existing foreign meal allowance rates. </w:t>
      </w:r>
      <w:r w:rsidR="00B35065" w:rsidRPr="00E4709C">
        <w:rPr>
          <w:lang w:val="en-GB"/>
        </w:rPr>
        <w:t xml:space="preserve">For employers, it could reduce </w:t>
      </w:r>
      <w:r w:rsidR="00C942C7">
        <w:rPr>
          <w:lang w:val="en-GB"/>
        </w:rPr>
        <w:t>payroll calculation uncertainty</w:t>
      </w:r>
      <w:r w:rsidR="00B35065" w:rsidRPr="00E4709C">
        <w:rPr>
          <w:lang w:val="en-GB"/>
        </w:rPr>
        <w:t>, while for drivers, it could provide more predictable compensation during international business trips</w:t>
      </w:r>
      <w:r w:rsidRPr="00E4709C">
        <w:rPr>
          <w:lang w:val="en-GB"/>
        </w:rPr>
        <w:t>.</w:t>
      </w:r>
      <w:r w:rsidR="00D6303F" w:rsidRPr="00E4709C">
        <w:rPr>
          <w:lang w:val="en-GB"/>
        </w:rPr>
        <w:t xml:space="preserve"> </w:t>
      </w:r>
      <w:r w:rsidR="00C942C7">
        <w:rPr>
          <w:lang w:val="en-GB"/>
        </w:rPr>
        <w:t>Regarding sustainable development, the proposed model primarily contributes to the economic and social dimensions</w:t>
      </w:r>
      <w:r w:rsidR="00D6303F" w:rsidRPr="00E4709C">
        <w:rPr>
          <w:lang w:val="en-GB"/>
        </w:rPr>
        <w:t>, while its environmental relevance remains indirect. It can support more predictable rest-period planning and remain compatible with efficient routing, fuel consumption management, and environmentally responsible transport operations.</w:t>
      </w:r>
    </w:p>
    <w:p w14:paraId="0ED05D1C" w14:textId="5975EB2E" w:rsidR="00AE66C0" w:rsidRPr="00E4709C" w:rsidRDefault="00233983" w:rsidP="0035064C">
      <w:pPr>
        <w:pStyle w:val="AAENormaltext"/>
        <w:spacing w:after="0"/>
        <w:ind w:firstLine="284"/>
        <w:rPr>
          <w:lang w:val="en-GB"/>
        </w:rPr>
      </w:pPr>
      <w:r w:rsidRPr="00E4709C">
        <w:rPr>
          <w:lang w:val="en-GB"/>
        </w:rPr>
        <w:t xml:space="preserve">The study has several limitations. The calculation was based on a single model route and selected European countries, and the results are valid only under the legal and economic parameters applicable during the </w:t>
      </w:r>
      <w:proofErr w:type="spellStart"/>
      <w:r w:rsidRPr="00E4709C">
        <w:rPr>
          <w:lang w:val="en-GB"/>
        </w:rPr>
        <w:t>analyzed</w:t>
      </w:r>
      <w:proofErr w:type="spellEnd"/>
      <w:r w:rsidRPr="00E4709C">
        <w:rPr>
          <w:lang w:val="en-GB"/>
        </w:rPr>
        <w:t xml:space="preserve"> period. Future research could extend the model to other routes, include additional countries, or evaluate the fiscal and administrative impact of the proposed system on employers and public authorities. </w:t>
      </w:r>
      <w:r w:rsidR="00D6303F" w:rsidRPr="00E4709C">
        <w:rPr>
          <w:lang w:val="en-GB"/>
        </w:rPr>
        <w:t>Further research should also examine whether similar compensation mechanisms influence route deviations, rest</w:t>
      </w:r>
      <w:r w:rsidR="00C942C7">
        <w:rPr>
          <w:lang w:val="en-GB"/>
        </w:rPr>
        <w:t xml:space="preserve"> location choices, idling time, fuel consumption, and</w:t>
      </w:r>
      <w:r w:rsidR="00D6303F" w:rsidRPr="00E4709C">
        <w:rPr>
          <w:lang w:val="en-GB"/>
        </w:rPr>
        <w:t xml:space="preserve"> other operational indicators relevant to environmental performance. </w:t>
      </w:r>
      <w:r w:rsidR="00B35065" w:rsidRPr="00E4709C">
        <w:rPr>
          <w:lang w:val="en-GB"/>
        </w:rPr>
        <w:t>Before practical implementation, the proposal would also require detailed legal, tax, and environmental assessment.</w:t>
      </w:r>
    </w:p>
    <w:p w14:paraId="60149AF0" w14:textId="77777777" w:rsidR="00C91480" w:rsidRPr="00E4709C" w:rsidRDefault="00C91480" w:rsidP="00E41729">
      <w:pPr>
        <w:pStyle w:val="Rn2"/>
        <w:rPr>
          <w:lang w:val="en-GB"/>
        </w:rPr>
      </w:pPr>
      <w:r w:rsidRPr="00E4709C">
        <w:rPr>
          <w:lang w:val="en-GB"/>
        </w:rPr>
        <w:t>Acknowledgments</w:t>
      </w:r>
    </w:p>
    <w:p w14:paraId="51724821" w14:textId="628FFF4E" w:rsidR="00327350" w:rsidRPr="00E4709C" w:rsidRDefault="00FC211D" w:rsidP="00E41729">
      <w:pPr>
        <w:spacing w:line="240" w:lineRule="auto"/>
        <w:rPr>
          <w:rFonts w:eastAsiaTheme="minorHAnsi" w:cstheme="minorBidi"/>
          <w:spacing w:val="-4"/>
          <w:kern w:val="2"/>
          <w:sz w:val="22"/>
          <w:szCs w:val="22"/>
          <w:lang w:val="en-GB"/>
          <w14:ligatures w14:val="standardContextual"/>
        </w:rPr>
      </w:pPr>
      <w:r w:rsidRPr="00FC211D">
        <w:rPr>
          <w:rFonts w:eastAsiaTheme="minorHAnsi" w:cstheme="minorBidi"/>
          <w:spacing w:val="-4"/>
          <w:kern w:val="2"/>
          <w:sz w:val="22"/>
          <w:szCs w:val="22"/>
          <w:lang w:val="en-GB"/>
          <w14:ligatures w14:val="standardContextual"/>
        </w:rPr>
        <w:t xml:space="preserve">The manuscript is supported by the research project with a registration number: "VEGA 1/0130/2026" entitled </w:t>
      </w:r>
      <w:r>
        <w:rPr>
          <w:rFonts w:eastAsiaTheme="minorHAnsi" w:cstheme="minorBidi"/>
          <w:spacing w:val="-4"/>
          <w:kern w:val="2"/>
          <w:sz w:val="22"/>
          <w:szCs w:val="22"/>
          <w:lang w:val="en-GB"/>
          <w14:ligatures w14:val="standardContextual"/>
        </w:rPr>
        <w:br/>
      </w:r>
      <w:r w:rsidRPr="00FC211D">
        <w:rPr>
          <w:rFonts w:eastAsiaTheme="minorHAnsi" w:cstheme="minorBidi"/>
          <w:spacing w:val="-4"/>
          <w:kern w:val="2"/>
          <w:sz w:val="22"/>
          <w:szCs w:val="22"/>
          <w:lang w:val="en-GB"/>
          <w14:ligatures w14:val="standardContextual"/>
        </w:rPr>
        <w:t>"Research into the competitiveness of Slovakia in the European Union common market in the supply of road freight transport services”.</w:t>
      </w:r>
    </w:p>
    <w:bookmarkEnd w:id="6"/>
    <w:p w14:paraId="7F1235A1" w14:textId="79878A89" w:rsidR="00DD2323" w:rsidRPr="00FC211D" w:rsidRDefault="00DD2323" w:rsidP="00E41729">
      <w:pPr>
        <w:pStyle w:val="Rn2"/>
        <w:rPr>
          <w:lang w:eastAsia="de-DE"/>
        </w:rPr>
      </w:pPr>
      <w:proofErr w:type="spellStart"/>
      <w:r w:rsidRPr="00FC211D">
        <w:rPr>
          <w:lang w:eastAsia="de-DE"/>
        </w:rPr>
        <w:t>Reference</w:t>
      </w:r>
      <w:r w:rsidR="00A211D2" w:rsidRPr="00FC211D">
        <w:rPr>
          <w:lang w:eastAsia="de-DE"/>
        </w:rPr>
        <w:t>s</w:t>
      </w:r>
      <w:proofErr w:type="spellEnd"/>
    </w:p>
    <w:p w14:paraId="34094053" w14:textId="77777777" w:rsidR="0035064C" w:rsidRPr="00FC211D" w:rsidRDefault="00E93C7C" w:rsidP="00E41729">
      <w:pPr>
        <w:pStyle w:val="Rlit"/>
        <w:jc w:val="left"/>
        <w:rPr>
          <w:lang w:val="de-DE"/>
        </w:rPr>
      </w:pPr>
      <w:r w:rsidRPr="00E4709C">
        <w:rPr>
          <w:lang w:val="en-GB" w:eastAsia="de-DE"/>
        </w:rPr>
        <w:fldChar w:fldCharType="begin"/>
      </w:r>
      <w:r w:rsidR="0035064C" w:rsidRPr="00FC211D">
        <w:rPr>
          <w:lang w:val="pl-PL" w:eastAsia="de-DE"/>
        </w:rPr>
        <w:instrText xml:space="preserve"> ADDIN ZOTERO_BIBL {"uncited":[],"omitted":[],"custom":[]} CSL_BIBLIOGRAPHY </w:instrText>
      </w:r>
      <w:r w:rsidRPr="00E4709C">
        <w:rPr>
          <w:lang w:val="en-GB" w:eastAsia="de-DE"/>
        </w:rPr>
        <w:fldChar w:fldCharType="separate"/>
      </w:r>
      <w:r w:rsidR="0035064C" w:rsidRPr="00FC211D">
        <w:rPr>
          <w:lang w:val="pl-PL"/>
        </w:rPr>
        <w:t xml:space="preserve">Chamier-Gliszczynski, N., Wyszomirski, A., Balewski, C., &amp; Kłodawski, M. (2024). </w:t>
      </w:r>
      <w:r w:rsidR="0035064C" w:rsidRPr="00E4709C">
        <w:rPr>
          <w:lang w:val="en-GB"/>
        </w:rPr>
        <w:t xml:space="preserve">Green Public Transport in Poland—Planning the Process of the Electrification of the Bus Fleet of Vehicles. </w:t>
      </w:r>
      <w:r w:rsidR="0035064C" w:rsidRPr="00FC211D">
        <w:rPr>
          <w:i/>
          <w:iCs/>
          <w:lang w:val="de-DE"/>
        </w:rPr>
        <w:t>Energies</w:t>
      </w:r>
      <w:r w:rsidR="0035064C" w:rsidRPr="00FC211D">
        <w:rPr>
          <w:lang w:val="de-DE"/>
        </w:rPr>
        <w:t xml:space="preserve">, </w:t>
      </w:r>
      <w:r w:rsidR="0035064C" w:rsidRPr="00FC211D">
        <w:rPr>
          <w:i/>
          <w:iCs/>
          <w:lang w:val="de-DE"/>
        </w:rPr>
        <w:t>17</w:t>
      </w:r>
      <w:r w:rsidR="0035064C" w:rsidRPr="00FC211D">
        <w:rPr>
          <w:lang w:val="de-DE"/>
        </w:rPr>
        <w:t>(24), 6362. https://doi.org/10.3390/en17246362</w:t>
      </w:r>
    </w:p>
    <w:p w14:paraId="3113BDEA" w14:textId="77777777" w:rsidR="0035064C" w:rsidRPr="00E4709C" w:rsidRDefault="0035064C" w:rsidP="00E41729">
      <w:pPr>
        <w:pStyle w:val="Rlit"/>
        <w:rPr>
          <w:lang w:val="en-GB"/>
        </w:rPr>
      </w:pPr>
      <w:r w:rsidRPr="00FC211D">
        <w:rPr>
          <w:lang w:val="de-DE"/>
        </w:rPr>
        <w:t xml:space="preserve">Faruk Görçün, Ömer., Chatterjee, Prasenjit., Stević, Željko., &amp; Küçükönder, Hande. </w:t>
      </w:r>
      <w:r w:rsidRPr="00E4709C">
        <w:rPr>
          <w:lang w:val="en-GB"/>
        </w:rPr>
        <w:t xml:space="preserve">(2024). An integrated model for road freight transport firm selection in third-party logistics using T-spherical Fuzzy sets. </w:t>
      </w:r>
      <w:r w:rsidRPr="00E4709C">
        <w:rPr>
          <w:i/>
          <w:iCs/>
          <w:lang w:val="en-GB"/>
        </w:rPr>
        <w:t>Transportation Research Part E: Logistics and Transportation Review</w:t>
      </w:r>
      <w:r w:rsidRPr="00E4709C">
        <w:rPr>
          <w:lang w:val="en-GB"/>
        </w:rPr>
        <w:t xml:space="preserve">, </w:t>
      </w:r>
      <w:r w:rsidRPr="00E4709C">
        <w:rPr>
          <w:i/>
          <w:iCs/>
          <w:lang w:val="en-GB"/>
        </w:rPr>
        <w:t>186</w:t>
      </w:r>
      <w:r w:rsidRPr="00E4709C">
        <w:rPr>
          <w:lang w:val="en-GB"/>
        </w:rPr>
        <w:t>, 103542. https://doi.org/10.1016/j.tre.2024.103542</w:t>
      </w:r>
    </w:p>
    <w:p w14:paraId="42B41975" w14:textId="22FD3594" w:rsidR="00B35065" w:rsidRPr="00E4709C" w:rsidRDefault="00B35065" w:rsidP="00E41729">
      <w:pPr>
        <w:pStyle w:val="Rlit"/>
        <w:rPr>
          <w:lang w:val="en-GB"/>
        </w:rPr>
      </w:pPr>
      <w:r w:rsidRPr="00E4709C">
        <w:rPr>
          <w:lang w:val="en-GB"/>
        </w:rPr>
        <w:t>Jazairy, A., Pohjosenperä, T., Sassali, J., Juga, J., &amp; von Haartman, R. (2023). Driving the talk: Examining professional truck drivers</w:t>
      </w:r>
      <w:r w:rsidR="00C942C7">
        <w:rPr>
          <w:lang w:val="en-GB"/>
        </w:rPr>
        <w:t>'</w:t>
      </w:r>
      <w:r w:rsidRPr="00E4709C">
        <w:rPr>
          <w:lang w:val="en-GB"/>
        </w:rPr>
        <w:t xml:space="preserve"> motivations to engage in eco-driving. </w:t>
      </w:r>
      <w:r w:rsidRPr="00E4709C">
        <w:rPr>
          <w:i/>
          <w:iCs/>
          <w:lang w:val="en-GB"/>
        </w:rPr>
        <w:t>International Journal of Physical Distribution &amp; Logistics Management, 53</w:t>
      </w:r>
      <w:r w:rsidRPr="00E4709C">
        <w:rPr>
          <w:lang w:val="en-GB"/>
        </w:rPr>
        <w:t>(11), 98–124. https://doi.org/10.1108/IJPDLM-07-2022-0236</w:t>
      </w:r>
    </w:p>
    <w:p w14:paraId="59D57DC0" w14:textId="77777777" w:rsidR="0035064C" w:rsidRPr="00E4709C" w:rsidRDefault="0035064C" w:rsidP="00E41729">
      <w:pPr>
        <w:pStyle w:val="Rlit"/>
        <w:rPr>
          <w:lang w:val="en-GB"/>
        </w:rPr>
      </w:pPr>
      <w:r w:rsidRPr="00FC211D">
        <w:rPr>
          <w:lang w:val="de-DE"/>
        </w:rPr>
        <w:t xml:space="preserve">Ji-Hyland, C., &amp; Allen, D. (2022). </w:t>
      </w:r>
      <w:r w:rsidRPr="00E4709C">
        <w:rPr>
          <w:lang w:val="en-GB"/>
        </w:rPr>
        <w:t xml:space="preserve">What do professional drivers think about their profession? An examination of factors contributing to the driver shortage. </w:t>
      </w:r>
      <w:r w:rsidRPr="00E4709C">
        <w:rPr>
          <w:i/>
          <w:iCs/>
          <w:lang w:val="en-GB"/>
        </w:rPr>
        <w:t>International Journal of Logistics Research and Applications</w:t>
      </w:r>
      <w:r w:rsidRPr="00E4709C">
        <w:rPr>
          <w:lang w:val="en-GB"/>
        </w:rPr>
        <w:t xml:space="preserve">, </w:t>
      </w:r>
      <w:r w:rsidRPr="00E4709C">
        <w:rPr>
          <w:i/>
          <w:iCs/>
          <w:lang w:val="en-GB"/>
        </w:rPr>
        <w:t>25</w:t>
      </w:r>
      <w:r w:rsidRPr="00E4709C">
        <w:rPr>
          <w:lang w:val="en-GB"/>
        </w:rPr>
        <w:t>(3), 231–246. https://doi.org/10.1080/13675567.2020.1821623</w:t>
      </w:r>
    </w:p>
    <w:p w14:paraId="6E46244F" w14:textId="77777777" w:rsidR="0035064C" w:rsidRPr="00E4709C" w:rsidRDefault="0035064C" w:rsidP="00E41729">
      <w:pPr>
        <w:pStyle w:val="Rlit"/>
        <w:rPr>
          <w:lang w:val="en-GB"/>
        </w:rPr>
      </w:pPr>
      <w:r w:rsidRPr="00E4709C">
        <w:rPr>
          <w:lang w:val="en-GB"/>
        </w:rPr>
        <w:t xml:space="preserve">Kalmus, H., Vochozka, M., &amp; Gulyás, J. (2025). Unpacking the Drivers of Competitive Advantage: Enhancing Value Creation and Firm Profitability through Transportation and Strategic Innovation. </w:t>
      </w:r>
      <w:r w:rsidRPr="00E4709C">
        <w:rPr>
          <w:i/>
          <w:iCs/>
          <w:lang w:val="en-GB"/>
        </w:rPr>
        <w:t>LOGI – Scientific Journal on Transport and Logistics</w:t>
      </w:r>
      <w:r w:rsidRPr="00E4709C">
        <w:rPr>
          <w:lang w:val="en-GB"/>
        </w:rPr>
        <w:t xml:space="preserve">, </w:t>
      </w:r>
      <w:r w:rsidRPr="00E4709C">
        <w:rPr>
          <w:i/>
          <w:iCs/>
          <w:lang w:val="en-GB"/>
        </w:rPr>
        <w:t>16</w:t>
      </w:r>
      <w:r w:rsidRPr="00E4709C">
        <w:rPr>
          <w:lang w:val="en-GB"/>
        </w:rPr>
        <w:t>(1), 92–103. https://doi.org/10.2478/logi-2025-0009</w:t>
      </w:r>
    </w:p>
    <w:p w14:paraId="13EBEAAE" w14:textId="19FD4058" w:rsidR="0035064C" w:rsidRPr="00E4709C" w:rsidRDefault="0035064C" w:rsidP="00E41729">
      <w:pPr>
        <w:pStyle w:val="Rlit"/>
        <w:rPr>
          <w:lang w:val="en-GB"/>
        </w:rPr>
      </w:pPr>
      <w:r w:rsidRPr="00E4709C">
        <w:rPr>
          <w:lang w:val="en-GB"/>
        </w:rPr>
        <w:t>Khakdaman, M., Rezaei, J., &amp; Tavasszy, L. (2022). Shippers</w:t>
      </w:r>
      <w:r w:rsidR="00C942C7">
        <w:rPr>
          <w:lang w:val="en-GB"/>
        </w:rPr>
        <w:t>'</w:t>
      </w:r>
      <w:r w:rsidRPr="00E4709C">
        <w:rPr>
          <w:lang w:val="en-GB"/>
        </w:rPr>
        <w:t xml:space="preserve"> willingness to use flexible transportation services. </w:t>
      </w:r>
      <w:r w:rsidRPr="00E4709C">
        <w:rPr>
          <w:i/>
          <w:iCs/>
          <w:lang w:val="en-GB"/>
        </w:rPr>
        <w:t>Transportation Research Part A: Policy and Practice</w:t>
      </w:r>
      <w:r w:rsidRPr="00E4709C">
        <w:rPr>
          <w:lang w:val="en-GB"/>
        </w:rPr>
        <w:t xml:space="preserve">, </w:t>
      </w:r>
      <w:r w:rsidRPr="00E4709C">
        <w:rPr>
          <w:i/>
          <w:iCs/>
          <w:lang w:val="en-GB"/>
        </w:rPr>
        <w:t>160</w:t>
      </w:r>
      <w:r w:rsidRPr="00E4709C">
        <w:rPr>
          <w:lang w:val="en-GB"/>
        </w:rPr>
        <w:t>, 1–20. https://doi.org/10.1016/j.tra.2022.03.031</w:t>
      </w:r>
    </w:p>
    <w:p w14:paraId="5C96D1FA" w14:textId="77777777" w:rsidR="0035064C" w:rsidRPr="00E4709C" w:rsidRDefault="0035064C" w:rsidP="00E41729">
      <w:pPr>
        <w:pStyle w:val="Rlit"/>
        <w:rPr>
          <w:lang w:val="en-GB"/>
        </w:rPr>
      </w:pPr>
      <w:r w:rsidRPr="00E4709C">
        <w:rPr>
          <w:lang w:val="en-GB"/>
        </w:rPr>
        <w:t xml:space="preserve">Krehl, A., &amp; Weck, S. (2020). Doing comparative case study research in urban and regional studies: What can be learnt from practice? </w:t>
      </w:r>
      <w:r w:rsidRPr="00E4709C">
        <w:rPr>
          <w:i/>
          <w:iCs/>
          <w:lang w:val="en-GB"/>
        </w:rPr>
        <w:t>European Planning Studies</w:t>
      </w:r>
      <w:r w:rsidRPr="00E4709C">
        <w:rPr>
          <w:lang w:val="en-GB"/>
        </w:rPr>
        <w:t xml:space="preserve">, </w:t>
      </w:r>
      <w:r w:rsidRPr="00E4709C">
        <w:rPr>
          <w:i/>
          <w:iCs/>
          <w:lang w:val="en-GB"/>
        </w:rPr>
        <w:t>28</w:t>
      </w:r>
      <w:r w:rsidRPr="00E4709C">
        <w:rPr>
          <w:lang w:val="en-GB"/>
        </w:rPr>
        <w:t>(9), 1858–1876. https://doi.org/10.1080/09654313.2019.1699909</w:t>
      </w:r>
    </w:p>
    <w:p w14:paraId="21024993" w14:textId="6A5A4914" w:rsidR="0035064C" w:rsidRPr="00E4709C" w:rsidRDefault="0035064C" w:rsidP="00E41729">
      <w:pPr>
        <w:pStyle w:val="Rlit"/>
        <w:rPr>
          <w:lang w:val="en-GB"/>
        </w:rPr>
      </w:pPr>
      <w:r w:rsidRPr="00E4709C">
        <w:rPr>
          <w:lang w:val="en-GB"/>
        </w:rPr>
        <w:t>Lise, F., Shattell, M., Garcia, R.P., Rodrigues, K.C., de Ávila, W.T., Garcia, F.L., &amp; Schwartz, E. (2024). Long-Haul Truck Drivers</w:t>
      </w:r>
      <w:r w:rsidR="00C942C7">
        <w:rPr>
          <w:lang w:val="en-GB"/>
        </w:rPr>
        <w:t>'</w:t>
      </w:r>
      <w:r w:rsidRPr="00E4709C">
        <w:rPr>
          <w:lang w:val="en-GB"/>
        </w:rPr>
        <w:t xml:space="preserve"> Perceptions of Truck Stops and Rest Areas: Focusing on Health and Wellness. </w:t>
      </w:r>
      <w:r w:rsidRPr="00E4709C">
        <w:rPr>
          <w:i/>
          <w:iCs/>
          <w:lang w:val="en-GB"/>
        </w:rPr>
        <w:t>International Journal of Environmental Research and Public Health</w:t>
      </w:r>
      <w:r w:rsidRPr="00E4709C">
        <w:rPr>
          <w:lang w:val="en-GB"/>
        </w:rPr>
        <w:t xml:space="preserve">, </w:t>
      </w:r>
      <w:r w:rsidRPr="00E4709C">
        <w:rPr>
          <w:i/>
          <w:iCs/>
          <w:lang w:val="en-GB"/>
        </w:rPr>
        <w:t>21</w:t>
      </w:r>
      <w:r w:rsidRPr="00E4709C">
        <w:rPr>
          <w:lang w:val="en-GB"/>
        </w:rPr>
        <w:t>(9), 1251. https://doi.org/10.3390/ijerph21091251</w:t>
      </w:r>
    </w:p>
    <w:p w14:paraId="6FCD5980" w14:textId="24BD9BAB" w:rsidR="0035064C" w:rsidRPr="00E4709C" w:rsidRDefault="0035064C" w:rsidP="00E41729">
      <w:pPr>
        <w:pStyle w:val="Rlit"/>
        <w:jc w:val="left"/>
        <w:rPr>
          <w:lang w:val="en-GB"/>
        </w:rPr>
      </w:pPr>
      <w:r w:rsidRPr="00FC211D">
        <w:rPr>
          <w:lang w:val="de-DE"/>
        </w:rPr>
        <w:t xml:space="preserve">Meyer, L., Goedhals-Gerber, L.L., &amp; Bod, A.D. (2025). </w:t>
      </w:r>
      <w:r w:rsidRPr="00E4709C">
        <w:rPr>
          <w:lang w:val="en-GB"/>
        </w:rPr>
        <w:t xml:space="preserve">A systematic review of incentive schemes and their implications for truck driver safety performance. </w:t>
      </w:r>
      <w:r w:rsidRPr="00E4709C">
        <w:rPr>
          <w:i/>
          <w:iCs/>
          <w:lang w:val="en-GB"/>
        </w:rPr>
        <w:t>Journal of Safety Research</w:t>
      </w:r>
      <w:r w:rsidRPr="00E4709C">
        <w:rPr>
          <w:lang w:val="en-GB"/>
        </w:rPr>
        <w:t xml:space="preserve">, </w:t>
      </w:r>
      <w:r w:rsidRPr="00E4709C">
        <w:rPr>
          <w:i/>
          <w:iCs/>
          <w:lang w:val="en-GB"/>
        </w:rPr>
        <w:t>92</w:t>
      </w:r>
      <w:r w:rsidRPr="00E4709C">
        <w:rPr>
          <w:lang w:val="en-GB"/>
        </w:rPr>
        <w:t>, 166–180. https://doi.org/10.1016/j.jsr.2024.11.023</w:t>
      </w:r>
    </w:p>
    <w:p w14:paraId="797D6856" w14:textId="265E4354" w:rsidR="0035064C" w:rsidRPr="00E4709C" w:rsidRDefault="0035064C" w:rsidP="00E41729">
      <w:pPr>
        <w:pStyle w:val="Rlit"/>
        <w:rPr>
          <w:lang w:val="en-GB"/>
        </w:rPr>
      </w:pPr>
      <w:r w:rsidRPr="00E4709C">
        <w:rPr>
          <w:lang w:val="en-GB"/>
        </w:rPr>
        <w:t xml:space="preserve">Ryley, W.T., &amp; Belzer, M.H. (2023). Compensation and crash incidence: Evidence from the National Survey of Driver Wages. </w:t>
      </w:r>
      <w:r w:rsidRPr="00E4709C">
        <w:rPr>
          <w:i/>
          <w:iCs/>
          <w:lang w:val="en-GB"/>
        </w:rPr>
        <w:t>The Economic and Labour Relations Review</w:t>
      </w:r>
      <w:r w:rsidRPr="00E4709C">
        <w:rPr>
          <w:lang w:val="en-GB"/>
        </w:rPr>
        <w:t xml:space="preserve">, </w:t>
      </w:r>
      <w:r w:rsidRPr="00E4709C">
        <w:rPr>
          <w:i/>
          <w:iCs/>
          <w:lang w:val="en-GB"/>
        </w:rPr>
        <w:t>34</w:t>
      </w:r>
      <w:r w:rsidRPr="00E4709C">
        <w:rPr>
          <w:lang w:val="en-GB"/>
        </w:rPr>
        <w:t>(1), 118–139. https://doi.org/10.1017/elr.2022.13</w:t>
      </w:r>
    </w:p>
    <w:p w14:paraId="5B18B496" w14:textId="69CE9524" w:rsidR="0035064C" w:rsidRPr="00E4709C" w:rsidRDefault="0035064C" w:rsidP="00E41729">
      <w:pPr>
        <w:pStyle w:val="Rlit"/>
        <w:rPr>
          <w:lang w:val="en-GB"/>
        </w:rPr>
      </w:pPr>
      <w:r w:rsidRPr="00E4709C">
        <w:rPr>
          <w:lang w:val="en-GB"/>
        </w:rPr>
        <w:t xml:space="preserve">Ryley, W.T., &amp; Belzer, M.H. (2024). Truck driver relative pay and motor carrier safety performance. </w:t>
      </w:r>
      <w:r w:rsidRPr="00E4709C">
        <w:rPr>
          <w:i/>
          <w:iCs/>
          <w:lang w:val="en-GB"/>
        </w:rPr>
        <w:t>The Economic and Labour Relations Review</w:t>
      </w:r>
      <w:r w:rsidRPr="00E4709C">
        <w:rPr>
          <w:lang w:val="en-GB"/>
        </w:rPr>
        <w:t xml:space="preserve">, </w:t>
      </w:r>
      <w:r w:rsidRPr="00E4709C">
        <w:rPr>
          <w:i/>
          <w:iCs/>
          <w:lang w:val="en-GB"/>
        </w:rPr>
        <w:t>35</w:t>
      </w:r>
      <w:r w:rsidRPr="00E4709C">
        <w:rPr>
          <w:lang w:val="en-GB"/>
        </w:rPr>
        <w:t>(3), 614–634. https://doi.org/10.1017/elr.2024.36</w:t>
      </w:r>
    </w:p>
    <w:p w14:paraId="5DD4B662" w14:textId="77777777" w:rsidR="0035064C" w:rsidRPr="00E4709C" w:rsidRDefault="0035064C" w:rsidP="00E41729">
      <w:pPr>
        <w:pStyle w:val="Rlit"/>
        <w:rPr>
          <w:lang w:val="en-GB"/>
        </w:rPr>
      </w:pPr>
      <w:r w:rsidRPr="00E4709C">
        <w:rPr>
          <w:lang w:val="en-GB"/>
        </w:rPr>
        <w:t xml:space="preserve">Škerlič, S., &amp; Erčulj, V. (2021). The Impact of Financial and Non-Financial Work Incentives on the Safety Behavior of Heavy Truck Drivers. </w:t>
      </w:r>
      <w:r w:rsidRPr="00E4709C">
        <w:rPr>
          <w:i/>
          <w:iCs/>
          <w:lang w:val="en-GB"/>
        </w:rPr>
        <w:t>International Journal of Environmental Research and Public Health</w:t>
      </w:r>
      <w:r w:rsidRPr="00E4709C">
        <w:rPr>
          <w:lang w:val="en-GB"/>
        </w:rPr>
        <w:t xml:space="preserve">, </w:t>
      </w:r>
      <w:r w:rsidRPr="00E4709C">
        <w:rPr>
          <w:i/>
          <w:iCs/>
          <w:lang w:val="en-GB"/>
        </w:rPr>
        <w:t>18</w:t>
      </w:r>
      <w:r w:rsidRPr="00E4709C">
        <w:rPr>
          <w:lang w:val="en-GB"/>
        </w:rPr>
        <w:t>(5), 2759. https://doi.org/10.3390/ijerph18052759</w:t>
      </w:r>
    </w:p>
    <w:p w14:paraId="4465A9EA" w14:textId="6A40D4A2" w:rsidR="0035064C" w:rsidRPr="00FC211D" w:rsidRDefault="0035064C" w:rsidP="00E41729">
      <w:pPr>
        <w:pStyle w:val="Rlit"/>
        <w:rPr>
          <w:lang w:val="pl-PL"/>
        </w:rPr>
      </w:pPr>
      <w:r w:rsidRPr="00E4709C">
        <w:rPr>
          <w:lang w:val="en-GB"/>
        </w:rPr>
        <w:t xml:space="preserve">Soro, W.L., Haworth, N., &amp; Debnath, A.K. (2025). The relationships between financial performance and driver compensation and safety outcomes in the trucking industry: A systematic review. </w:t>
      </w:r>
      <w:r w:rsidRPr="00FC211D">
        <w:rPr>
          <w:i/>
          <w:iCs/>
          <w:lang w:val="pl-PL"/>
        </w:rPr>
        <w:t>Transport Reviews</w:t>
      </w:r>
      <w:r w:rsidRPr="00FC211D">
        <w:rPr>
          <w:lang w:val="pl-PL"/>
        </w:rPr>
        <w:t xml:space="preserve">, </w:t>
      </w:r>
      <w:r w:rsidRPr="00FC211D">
        <w:rPr>
          <w:i/>
          <w:iCs/>
          <w:lang w:val="pl-PL"/>
        </w:rPr>
        <w:t>45</w:t>
      </w:r>
      <w:r w:rsidRPr="00FC211D">
        <w:rPr>
          <w:lang w:val="pl-PL"/>
        </w:rPr>
        <w:t>(2), 239–258. https://doi.org/10.1080/01441647.2025.2451422</w:t>
      </w:r>
    </w:p>
    <w:p w14:paraId="34E7423F" w14:textId="5D1F9D22" w:rsidR="00FD1F16" w:rsidRPr="00E4709C" w:rsidRDefault="00FD1F16" w:rsidP="00E41729">
      <w:pPr>
        <w:pStyle w:val="Rlit"/>
        <w:rPr>
          <w:lang w:val="en-GB"/>
        </w:rPr>
      </w:pPr>
      <w:r w:rsidRPr="00FC211D">
        <w:rPr>
          <w:lang w:val="pl-PL"/>
        </w:rPr>
        <w:lastRenderedPageBreak/>
        <w:t xml:space="preserve">Staniuk, W., Staniuk, M., Chamier-Gliszczynski, N. &amp; Królikowski, T. </w:t>
      </w:r>
      <w:r w:rsidR="002B4E16" w:rsidRPr="00FC211D">
        <w:rPr>
          <w:lang w:val="pl-PL"/>
        </w:rPr>
        <w:t xml:space="preserve">(2024). </w:t>
      </w:r>
      <w:r w:rsidRPr="00E4709C">
        <w:rPr>
          <w:lang w:val="en-GB"/>
        </w:rPr>
        <w:t xml:space="preserve">Logistics planning process - as an element of Logistics 4.0. </w:t>
      </w:r>
      <w:r w:rsidRPr="00E4709C">
        <w:rPr>
          <w:i/>
          <w:lang w:val="en-GB"/>
        </w:rPr>
        <w:t>Procedia Computer Science</w:t>
      </w:r>
      <w:r w:rsidRPr="00E4709C">
        <w:rPr>
          <w:lang w:val="en-GB"/>
        </w:rPr>
        <w:t>, 246</w:t>
      </w:r>
      <w:r w:rsidR="002B4E16" w:rsidRPr="00E4709C">
        <w:rPr>
          <w:lang w:val="en-GB"/>
        </w:rPr>
        <w:t>, C</w:t>
      </w:r>
      <w:r w:rsidRPr="00E4709C">
        <w:rPr>
          <w:lang w:val="en-GB"/>
        </w:rPr>
        <w:t xml:space="preserve">, 2284-2291, https://doi.org/10.1016/j.procs.2024.09.561 </w:t>
      </w:r>
    </w:p>
    <w:p w14:paraId="0B344775" w14:textId="41E3D606" w:rsidR="0035064C" w:rsidRPr="00E4709C" w:rsidRDefault="0035064C" w:rsidP="00E41729">
      <w:pPr>
        <w:pStyle w:val="Rlit"/>
        <w:rPr>
          <w:lang w:val="en-GB"/>
        </w:rPr>
      </w:pPr>
      <w:r w:rsidRPr="00E4709C">
        <w:rPr>
          <w:lang w:val="en-GB"/>
        </w:rPr>
        <w:t xml:space="preserve">Sternad, M. (2019). </w:t>
      </w:r>
      <w:r w:rsidR="00E41729" w:rsidRPr="00E4709C">
        <w:rPr>
          <w:lang w:val="en-GB"/>
        </w:rPr>
        <w:t>Cost Calculation in Road Freight Transport</w:t>
      </w:r>
      <w:r w:rsidRPr="00E4709C">
        <w:rPr>
          <w:lang w:val="en-GB"/>
        </w:rPr>
        <w:t xml:space="preserve">. </w:t>
      </w:r>
      <w:r w:rsidRPr="00E4709C">
        <w:rPr>
          <w:i/>
          <w:iCs/>
          <w:lang w:val="en-GB"/>
        </w:rPr>
        <w:t>Business Logistics in Modern Management</w:t>
      </w:r>
      <w:r w:rsidRPr="00E4709C">
        <w:rPr>
          <w:lang w:val="en-GB"/>
        </w:rPr>
        <w:t>. Retrieved from</w:t>
      </w:r>
      <w:r w:rsidR="00E41729" w:rsidRPr="00E4709C">
        <w:rPr>
          <w:lang w:val="en-GB"/>
        </w:rPr>
        <w:t>:</w:t>
      </w:r>
      <w:r w:rsidRPr="00E4709C">
        <w:rPr>
          <w:lang w:val="en-GB"/>
        </w:rPr>
        <w:t xml:space="preserve"> https://ojs.srce.hr/plusm/article/view/10358</w:t>
      </w:r>
    </w:p>
    <w:p w14:paraId="6FA617FC" w14:textId="6A805B97" w:rsidR="0035064C" w:rsidRPr="00E4709C" w:rsidRDefault="0035064C" w:rsidP="00E41729">
      <w:pPr>
        <w:pStyle w:val="Rlit"/>
        <w:rPr>
          <w:lang w:val="en-GB"/>
        </w:rPr>
      </w:pPr>
      <w:r w:rsidRPr="00E4709C">
        <w:rPr>
          <w:lang w:val="en-GB"/>
        </w:rPr>
        <w:t>Trick, S., Peoples, J., &amp; Ross, A. (2021). Driver turnover in the trucking industry: What</w:t>
      </w:r>
      <w:r w:rsidR="00C942C7">
        <w:rPr>
          <w:lang w:val="en-GB"/>
        </w:rPr>
        <w:t>'</w:t>
      </w:r>
      <w:r w:rsidRPr="00E4709C">
        <w:rPr>
          <w:lang w:val="en-GB"/>
        </w:rPr>
        <w:t xml:space="preserve">s the cost of reducing driver quit rates? </w:t>
      </w:r>
      <w:r w:rsidRPr="00E4709C">
        <w:rPr>
          <w:i/>
          <w:iCs/>
          <w:lang w:val="en-GB"/>
        </w:rPr>
        <w:t>Research in Transportation Economics</w:t>
      </w:r>
      <w:r w:rsidRPr="00E4709C">
        <w:rPr>
          <w:lang w:val="en-GB"/>
        </w:rPr>
        <w:t xml:space="preserve">, </w:t>
      </w:r>
      <w:r w:rsidRPr="00E4709C">
        <w:rPr>
          <w:i/>
          <w:iCs/>
          <w:lang w:val="en-GB"/>
        </w:rPr>
        <w:t>89</w:t>
      </w:r>
      <w:r w:rsidRPr="00E4709C">
        <w:rPr>
          <w:lang w:val="en-GB"/>
        </w:rPr>
        <w:t>, 101129. https://doi.org/10.1016/j.retrec.2021.101129</w:t>
      </w:r>
    </w:p>
    <w:p w14:paraId="73CF11C7" w14:textId="20AE26AF" w:rsidR="00E4709C" w:rsidRPr="00E4709C" w:rsidRDefault="00E93C7C" w:rsidP="00F22035">
      <w:pPr>
        <w:pStyle w:val="Rlit"/>
        <w:spacing w:before="120"/>
        <w:rPr>
          <w:lang w:val="en-GB"/>
        </w:rPr>
      </w:pPr>
      <w:r w:rsidRPr="00E4709C">
        <w:rPr>
          <w:lang w:val="en-GB" w:eastAsia="de-DE"/>
        </w:rPr>
        <w:fldChar w:fldCharType="end"/>
      </w:r>
      <w:r w:rsidR="00E4709C" w:rsidRPr="00E4709C">
        <w:rPr>
          <w:lang w:val="en-GB"/>
        </w:rPr>
        <w:t>EEA. (2025). The European Environment Agency. Freight transport activity. Retrieved June 17, 2026, from https://www.eea.europa.eu/en/analysis/publications/sustainability-of-europes-mobility-systems-2025/freight-transport-activity</w:t>
      </w:r>
    </w:p>
    <w:p w14:paraId="69E9E5F1" w14:textId="77777777" w:rsidR="00E4709C" w:rsidRPr="00E4709C" w:rsidRDefault="00E4709C" w:rsidP="00E4709C">
      <w:pPr>
        <w:pStyle w:val="Rlit"/>
        <w:rPr>
          <w:lang w:val="en-GB"/>
        </w:rPr>
      </w:pPr>
      <w:r w:rsidRPr="00E4709C">
        <w:rPr>
          <w:lang w:val="en-GB"/>
        </w:rPr>
        <w:t>EEA. (2026). The European Environment Agency. Climate. Retrieved June 17, 2026, from https://www.eea.europa.eu/en/analysis/publications/sustainability-of-europes-mobility-systems-2025/climate</w:t>
      </w:r>
    </w:p>
    <w:p w14:paraId="4D27490F" w14:textId="77777777" w:rsidR="00E4709C" w:rsidRPr="00E4709C" w:rsidRDefault="00E4709C" w:rsidP="00E4709C">
      <w:pPr>
        <w:pStyle w:val="Rlit"/>
        <w:rPr>
          <w:lang w:val="en-GB"/>
        </w:rPr>
      </w:pPr>
      <w:r w:rsidRPr="00E4709C">
        <w:rPr>
          <w:lang w:val="en-GB"/>
        </w:rPr>
        <w:t xml:space="preserve">EURES, &amp; European Labour Authority. (2024). </w:t>
      </w:r>
      <w:r w:rsidRPr="00E4709C">
        <w:rPr>
          <w:i/>
          <w:iCs/>
          <w:lang w:val="en-GB"/>
        </w:rPr>
        <w:t>Sector analysis on and transport Road and railway</w:t>
      </w:r>
      <w:r w:rsidRPr="00E4709C">
        <w:rPr>
          <w:lang w:val="en-GB"/>
        </w:rPr>
        <w:t>.</w:t>
      </w:r>
    </w:p>
    <w:p w14:paraId="772A9D9C" w14:textId="77777777" w:rsidR="00E4709C" w:rsidRPr="00E4709C" w:rsidRDefault="00E4709C" w:rsidP="00E4709C">
      <w:pPr>
        <w:pStyle w:val="Rlit"/>
        <w:rPr>
          <w:lang w:val="en-GB"/>
        </w:rPr>
      </w:pPr>
      <w:r w:rsidRPr="00E4709C">
        <w:rPr>
          <w:lang w:val="en-GB"/>
        </w:rPr>
        <w:t xml:space="preserve">European Court of Auditors. (2023). </w:t>
      </w:r>
      <w:r w:rsidRPr="00E4709C">
        <w:rPr>
          <w:i/>
          <w:iCs/>
          <w:lang w:val="en-GB"/>
        </w:rPr>
        <w:t>Special report 08/2023: Intermodal freight transport</w:t>
      </w:r>
      <w:r w:rsidRPr="00E4709C">
        <w:rPr>
          <w:lang w:val="en-GB"/>
        </w:rPr>
        <w:t>.</w:t>
      </w:r>
    </w:p>
    <w:p w14:paraId="38ED6FB8" w14:textId="77777777" w:rsidR="00E4709C" w:rsidRPr="00E4709C" w:rsidRDefault="00E4709C" w:rsidP="00E4709C">
      <w:pPr>
        <w:pStyle w:val="Rlit"/>
        <w:rPr>
          <w:lang w:val="en-GB"/>
        </w:rPr>
      </w:pPr>
      <w:r w:rsidRPr="00E4709C">
        <w:rPr>
          <w:lang w:val="en-GB"/>
        </w:rPr>
        <w:t>Eurostat. (2025, June). Road freight transport statistics. Retrieved May 28, 2026, from https://ec.europa.eu/eurostat/statistics-explained/index.php?title=Road_freight_transport_statistics</w:t>
      </w:r>
    </w:p>
    <w:p w14:paraId="6B212E13" w14:textId="77777777" w:rsidR="00E4709C" w:rsidRPr="00E4709C" w:rsidRDefault="00E4709C" w:rsidP="00E4709C">
      <w:pPr>
        <w:pStyle w:val="Rlit"/>
        <w:rPr>
          <w:spacing w:val="-4"/>
          <w:lang w:val="en-GB"/>
        </w:rPr>
      </w:pPr>
      <w:r w:rsidRPr="00E4709C">
        <w:rPr>
          <w:spacing w:val="-4"/>
          <w:lang w:val="en-GB"/>
        </w:rPr>
        <w:t>IRU. (2026a, May 5). European road freight rates Q4 2025: Contract rates up, spot rates steady. Retrieved May 28, 2026, from https://www.iru.org/news-resources/newsroom/european-road-freight-rates-q4-2025-contract-rates-spot-rates-steady</w:t>
      </w:r>
    </w:p>
    <w:p w14:paraId="72F16CEF" w14:textId="049E4680" w:rsidR="00E4709C" w:rsidRPr="00E4709C" w:rsidRDefault="00E4709C" w:rsidP="00E4709C">
      <w:pPr>
        <w:pStyle w:val="Rlit"/>
        <w:rPr>
          <w:spacing w:val="-2"/>
          <w:lang w:val="en-GB"/>
        </w:rPr>
      </w:pPr>
      <w:r w:rsidRPr="00E4709C">
        <w:rPr>
          <w:spacing w:val="-2"/>
          <w:lang w:val="en-GB"/>
        </w:rPr>
        <w:t>IRU. (2026b, May 22). Half of European truck operators can</w:t>
      </w:r>
      <w:r w:rsidR="00C942C7">
        <w:rPr>
          <w:spacing w:val="-2"/>
          <w:lang w:val="en-GB"/>
        </w:rPr>
        <w:t>'</w:t>
      </w:r>
      <w:r w:rsidRPr="00E4709C">
        <w:rPr>
          <w:spacing w:val="-2"/>
          <w:lang w:val="en-GB"/>
        </w:rPr>
        <w:t>t expand due to driver shortages. Retrieved May 28, 2026, from https://www.iru.org/news-resources/newsroom/half-european-truck-operators-cant-expand-due-driver-shortages</w:t>
      </w:r>
    </w:p>
    <w:p w14:paraId="124D8C6E" w14:textId="77777777" w:rsidR="00E4709C" w:rsidRPr="00E4709C" w:rsidRDefault="00E4709C" w:rsidP="00E4709C">
      <w:pPr>
        <w:pStyle w:val="Rlit"/>
        <w:rPr>
          <w:lang w:val="en-GB"/>
        </w:rPr>
      </w:pPr>
      <w:r w:rsidRPr="00E4709C">
        <w:rPr>
          <w:lang w:val="en-GB"/>
        </w:rPr>
        <w:t xml:space="preserve">Ministry of Labour, Social Affairs and Family of the Slovak Republic. (2025). Act No. 283/2002 Coll. On Travel Allowances, as amended. Retrieved May 28, 2026, from </w:t>
      </w:r>
      <w:proofErr w:type="spellStart"/>
      <w:r w:rsidRPr="00E4709C">
        <w:rPr>
          <w:lang w:val="en-GB"/>
        </w:rPr>
        <w:t>Slov</w:t>
      </w:r>
      <w:proofErr w:type="spellEnd"/>
      <w:r w:rsidRPr="00E4709C">
        <w:rPr>
          <w:lang w:val="en-GB"/>
        </w:rPr>
        <w:t>-Lex website: https://www.slov-lex.sk/ezbierky/pravne-predpisy/SK/ZZ/2002/283/20251101</w:t>
      </w:r>
    </w:p>
    <w:p w14:paraId="44111A93" w14:textId="77777777" w:rsidR="00E4709C" w:rsidRPr="00E4709C" w:rsidRDefault="00E4709C" w:rsidP="00E4709C">
      <w:pPr>
        <w:pStyle w:val="Rlit"/>
        <w:rPr>
          <w:lang w:val="en-GB"/>
        </w:rPr>
      </w:pPr>
      <w:r w:rsidRPr="00E4709C">
        <w:rPr>
          <w:lang w:val="en-GB"/>
        </w:rPr>
        <w:t>Ministry of Labour, Social Affairs and Family of the SR. (2026). Travel allowances. Retrieved May 28, 2026, from https://www.employment.gov.sk/en/labour-employment/labour-code/travel-allowances/</w:t>
      </w:r>
    </w:p>
    <w:p w14:paraId="135FB9D1" w14:textId="77777777" w:rsidR="00F22035" w:rsidRPr="00E4709C" w:rsidRDefault="00F22035" w:rsidP="00F22035">
      <w:pPr>
        <w:pStyle w:val="Rlit"/>
        <w:rPr>
          <w:lang w:val="en-GB"/>
        </w:rPr>
      </w:pPr>
      <w:r w:rsidRPr="00E4709C">
        <w:rPr>
          <w:lang w:val="en-GB"/>
        </w:rPr>
        <w:t>UNCTAD. (2026). UN Trade and Development. What is sustainable freight transport? | United Nations. Retrieved June 17, 2026, from https://sft-framework.unctad.org/what-is-sustainable-freight-transport</w:t>
      </w:r>
    </w:p>
    <w:p w14:paraId="257333F8" w14:textId="07E3BE0A" w:rsidR="00D6303F" w:rsidRPr="00E4709C" w:rsidRDefault="00D6303F" w:rsidP="00E41729">
      <w:pPr>
        <w:pStyle w:val="Rlit"/>
        <w:rPr>
          <w:lang w:val="en-GB" w:eastAsia="de-DE"/>
        </w:rPr>
      </w:pPr>
    </w:p>
    <w:sectPr w:rsidR="00D6303F" w:rsidRPr="00E4709C" w:rsidSect="00677850">
      <w:headerReference w:type="even" r:id="rId10"/>
      <w:headerReference w:type="default" r:id="rId11"/>
      <w:footerReference w:type="first" r:id="rId12"/>
      <w:pgSz w:w="11906" w:h="16838" w:code="9"/>
      <w:pgMar w:top="1134" w:right="1134" w:bottom="1134" w:left="1134" w:header="567" w:footer="567" w:gutter="0"/>
      <w:pgNumType w:start="50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F694A" w14:textId="77777777" w:rsidR="00C56408" w:rsidRDefault="00C56408" w:rsidP="002A2F5D">
      <w:pPr>
        <w:spacing w:line="240" w:lineRule="auto"/>
      </w:pPr>
      <w:r>
        <w:separator/>
      </w:r>
    </w:p>
  </w:endnote>
  <w:endnote w:type="continuationSeparator" w:id="0">
    <w:p w14:paraId="4E4AE33B" w14:textId="77777777" w:rsidR="00C56408" w:rsidRDefault="00C56408" w:rsidP="002A2F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1384"/>
      <w:gridCol w:w="5387"/>
    </w:tblGrid>
    <w:tr w:rsidR="00BE492F" w:rsidRPr="00F73C33" w14:paraId="0901B60A" w14:textId="77777777" w:rsidTr="00784A64">
      <w:trPr>
        <w:trHeight w:val="198"/>
      </w:trPr>
      <w:tc>
        <w:tcPr>
          <w:tcW w:w="1384" w:type="dxa"/>
          <w:vAlign w:val="center"/>
        </w:tcPr>
        <w:p w14:paraId="01F506D6" w14:textId="77777777" w:rsidR="00BE492F" w:rsidRPr="00F73C33" w:rsidRDefault="00BE492F" w:rsidP="00BE492F">
          <w:pPr>
            <w:spacing w:line="240" w:lineRule="auto"/>
            <w:ind w:left="-108"/>
          </w:pPr>
          <w:bookmarkStart w:id="7" w:name="_Hlk104286226"/>
          <w:bookmarkStart w:id="8" w:name="_Hlk104286227"/>
          <w:bookmarkStart w:id="9" w:name="_Hlk154270864"/>
          <w:bookmarkStart w:id="10" w:name="_Hlk154270865"/>
          <w:r w:rsidRPr="00F73C33">
            <w:rPr>
              <w:noProof/>
            </w:rPr>
            <w:drawing>
              <wp:inline distT="0" distB="0" distL="0" distR="0" wp14:anchorId="29481EF1" wp14:editId="4ED7D1C6">
                <wp:extent cx="688975" cy="237490"/>
                <wp:effectExtent l="0" t="0" r="0" b="0"/>
                <wp:docPr id="98485305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8975" cy="237490"/>
                        </a:xfrm>
                        <a:prstGeom prst="rect">
                          <a:avLst/>
                        </a:prstGeom>
                        <a:noFill/>
                        <a:ln>
                          <a:noFill/>
                        </a:ln>
                      </pic:spPr>
                    </pic:pic>
                  </a:graphicData>
                </a:graphic>
              </wp:inline>
            </w:drawing>
          </w:r>
        </w:p>
      </w:tc>
      <w:tc>
        <w:tcPr>
          <w:tcW w:w="5387" w:type="dxa"/>
          <w:vAlign w:val="center"/>
        </w:tcPr>
        <w:p w14:paraId="3013F744" w14:textId="77777777" w:rsidR="00BE492F" w:rsidRPr="00F73C33" w:rsidRDefault="00BE492F" w:rsidP="00BE492F">
          <w:pPr>
            <w:suppressAutoHyphens/>
            <w:spacing w:line="240" w:lineRule="auto"/>
            <w:ind w:left="-79"/>
            <w:rPr>
              <w:sz w:val="18"/>
              <w:szCs w:val="18"/>
            </w:rPr>
          </w:pPr>
          <w:r w:rsidRPr="00F73C33">
            <w:rPr>
              <w:sz w:val="18"/>
              <w:szCs w:val="18"/>
            </w:rPr>
            <w:t>© 2026. Author(s). This work is licensed under a Creative Commons Attribution 4.0 International License (CC BY-SA)</w:t>
          </w:r>
        </w:p>
      </w:tc>
    </w:tr>
    <w:bookmarkEnd w:id="7"/>
    <w:bookmarkEnd w:id="8"/>
    <w:bookmarkEnd w:id="9"/>
    <w:bookmarkEnd w:id="10"/>
  </w:tbl>
  <w:p w14:paraId="21B148F2" w14:textId="77777777" w:rsidR="00BE492F" w:rsidRPr="003206D3" w:rsidRDefault="00BE492F" w:rsidP="00BE492F">
    <w:pPr>
      <w:pStyle w:val="Stopka"/>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3CADE" w14:textId="77777777" w:rsidR="00C56408" w:rsidRDefault="00C56408" w:rsidP="002A2F5D">
      <w:pPr>
        <w:spacing w:line="240" w:lineRule="auto"/>
      </w:pPr>
      <w:r>
        <w:separator/>
      </w:r>
    </w:p>
  </w:footnote>
  <w:footnote w:type="continuationSeparator" w:id="0">
    <w:p w14:paraId="5E9E0B03" w14:textId="77777777" w:rsidR="00C56408" w:rsidRDefault="00C56408" w:rsidP="002A2F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Borders>
        <w:bottom w:val="single" w:sz="8" w:space="0" w:color="auto"/>
      </w:tblBorders>
      <w:tblCellMar>
        <w:left w:w="0" w:type="dxa"/>
        <w:right w:w="0" w:type="dxa"/>
      </w:tblCellMar>
      <w:tblLook w:val="04A0" w:firstRow="1" w:lastRow="0" w:firstColumn="1" w:lastColumn="0" w:noHBand="0" w:noVBand="1"/>
    </w:tblPr>
    <w:tblGrid>
      <w:gridCol w:w="397"/>
      <w:gridCol w:w="9242"/>
    </w:tblGrid>
    <w:tr w:rsidR="00BE492F" w:rsidRPr="00076630" w14:paraId="2AC563D8" w14:textId="77777777" w:rsidTr="00784A64">
      <w:trPr>
        <w:trHeight w:hRule="exact" w:val="284"/>
      </w:trPr>
      <w:tc>
        <w:tcPr>
          <w:tcW w:w="397" w:type="dxa"/>
          <w:vAlign w:val="center"/>
        </w:tcPr>
        <w:p w14:paraId="166BDFE8" w14:textId="77777777" w:rsidR="00BE492F" w:rsidRPr="00076630" w:rsidRDefault="00BE492F" w:rsidP="00BE492F">
          <w:pPr>
            <w:pStyle w:val="Nagwek"/>
            <w:rPr>
              <w:rFonts w:ascii="Arial" w:hAnsi="Arial" w:cs="Arial"/>
              <w:i/>
              <w:sz w:val="20"/>
              <w:szCs w:val="20"/>
            </w:rPr>
          </w:pPr>
          <w:r w:rsidRPr="00076630">
            <w:rPr>
              <w:rFonts w:ascii="Arial" w:hAnsi="Arial" w:cs="Arial"/>
              <w:sz w:val="20"/>
              <w:szCs w:val="20"/>
            </w:rPr>
            <w:fldChar w:fldCharType="begin"/>
          </w:r>
          <w:r w:rsidRPr="00076630">
            <w:rPr>
              <w:rFonts w:ascii="Arial" w:hAnsi="Arial" w:cs="Arial"/>
              <w:sz w:val="20"/>
              <w:szCs w:val="20"/>
            </w:rPr>
            <w:instrText xml:space="preserve"> PAGE   \* MERGEFORMAT </w:instrText>
          </w:r>
          <w:r w:rsidRPr="00076630">
            <w:rPr>
              <w:rFonts w:ascii="Arial" w:hAnsi="Arial" w:cs="Arial"/>
              <w:sz w:val="20"/>
              <w:szCs w:val="20"/>
            </w:rPr>
            <w:fldChar w:fldCharType="separate"/>
          </w:r>
          <w:r>
            <w:rPr>
              <w:rFonts w:ascii="Arial" w:hAnsi="Arial" w:cs="Arial"/>
              <w:sz w:val="20"/>
              <w:szCs w:val="20"/>
            </w:rPr>
            <w:t>2</w:t>
          </w:r>
          <w:r w:rsidRPr="00076630">
            <w:rPr>
              <w:rFonts w:ascii="Arial" w:hAnsi="Arial" w:cs="Arial"/>
              <w:sz w:val="20"/>
              <w:szCs w:val="20"/>
            </w:rPr>
            <w:fldChar w:fldCharType="end"/>
          </w:r>
        </w:p>
      </w:tc>
      <w:tc>
        <w:tcPr>
          <w:tcW w:w="9242" w:type="dxa"/>
          <w:vAlign w:val="center"/>
        </w:tcPr>
        <w:p w14:paraId="437997E7" w14:textId="55BF3E08" w:rsidR="00BE492F" w:rsidRPr="00076630" w:rsidRDefault="00BE492F" w:rsidP="00BE492F">
          <w:pPr>
            <w:pStyle w:val="Nagwek"/>
            <w:jc w:val="center"/>
            <w:rPr>
              <w:rFonts w:ascii="Arial" w:hAnsi="Arial" w:cs="Arial"/>
              <w:i/>
              <w:sz w:val="20"/>
              <w:szCs w:val="20"/>
            </w:rPr>
          </w:pPr>
          <w:r w:rsidRPr="00BE492F">
            <w:rPr>
              <w:rFonts w:ascii="Arial" w:hAnsi="Arial" w:cs="Arial"/>
              <w:i/>
              <w:sz w:val="20"/>
              <w:szCs w:val="20"/>
            </w:rPr>
            <w:t>Miloš Poliak</w:t>
          </w:r>
          <w:r w:rsidRPr="00076630">
            <w:rPr>
              <w:rFonts w:ascii="Arial" w:hAnsi="Arial" w:cs="Arial"/>
              <w:i/>
              <w:sz w:val="20"/>
              <w:szCs w:val="20"/>
            </w:rPr>
            <w:t xml:space="preserve"> et al.</w:t>
          </w:r>
        </w:p>
      </w:tc>
    </w:tr>
  </w:tbl>
  <w:p w14:paraId="719410A9" w14:textId="77777777" w:rsidR="00BE492F" w:rsidRPr="005265A7" w:rsidRDefault="00BE492F" w:rsidP="00BE492F">
    <w:pPr>
      <w:pStyle w:val="Nagwek"/>
      <w:rPr>
        <w:sz w:val="6"/>
        <w:szCs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0" w:type="dxa"/>
      <w:jc w:val="right"/>
      <w:tblBorders>
        <w:bottom w:val="single" w:sz="8" w:space="0" w:color="auto"/>
      </w:tblBorders>
      <w:tblCellMar>
        <w:left w:w="0" w:type="dxa"/>
        <w:right w:w="0" w:type="dxa"/>
      </w:tblCellMar>
      <w:tblLook w:val="04A0" w:firstRow="1" w:lastRow="0" w:firstColumn="1" w:lastColumn="0" w:noHBand="0" w:noVBand="1"/>
    </w:tblPr>
    <w:tblGrid>
      <w:gridCol w:w="9243"/>
      <w:gridCol w:w="397"/>
    </w:tblGrid>
    <w:tr w:rsidR="00BE492F" w:rsidRPr="00C54BFB" w14:paraId="135F26EF" w14:textId="77777777" w:rsidTr="00784A64">
      <w:trPr>
        <w:trHeight w:hRule="exact" w:val="284"/>
        <w:jc w:val="right"/>
      </w:trPr>
      <w:tc>
        <w:tcPr>
          <w:tcW w:w="9243" w:type="dxa"/>
          <w:vAlign w:val="center"/>
        </w:tcPr>
        <w:p w14:paraId="54C7E320" w14:textId="049C167F" w:rsidR="00BE492F" w:rsidRPr="00C54BFB" w:rsidRDefault="00677850" w:rsidP="00BE492F">
          <w:pPr>
            <w:pStyle w:val="Nagwek"/>
            <w:jc w:val="center"/>
            <w:rPr>
              <w:rFonts w:ascii="Arial" w:hAnsi="Arial" w:cs="Arial"/>
              <w:i/>
              <w:sz w:val="20"/>
              <w:szCs w:val="12"/>
            </w:rPr>
          </w:pPr>
          <w:r w:rsidRPr="00677850">
            <w:rPr>
              <w:rFonts w:ascii="Arial" w:hAnsi="Arial" w:cs="Arial"/>
              <w:i/>
              <w:sz w:val="20"/>
              <w:szCs w:val="12"/>
            </w:rPr>
            <w:t>Model-based Approach Design in Terms of Travel Allowances</w:t>
          </w:r>
          <w:r>
            <w:rPr>
              <w:rFonts w:ascii="Arial" w:hAnsi="Arial" w:cs="Arial"/>
              <w:i/>
              <w:sz w:val="20"/>
              <w:szCs w:val="12"/>
            </w:rPr>
            <w:t>…</w:t>
          </w:r>
        </w:p>
      </w:tc>
      <w:tc>
        <w:tcPr>
          <w:tcW w:w="397" w:type="dxa"/>
          <w:vAlign w:val="center"/>
        </w:tcPr>
        <w:p w14:paraId="136135F1" w14:textId="77777777" w:rsidR="00BE492F" w:rsidRPr="00C54BFB" w:rsidRDefault="00BE492F" w:rsidP="00BE492F">
          <w:pPr>
            <w:pStyle w:val="Nagwek"/>
            <w:jc w:val="right"/>
            <w:rPr>
              <w:rFonts w:ascii="Arial" w:hAnsi="Arial" w:cs="Arial"/>
              <w:i/>
              <w:sz w:val="20"/>
              <w:szCs w:val="12"/>
            </w:rPr>
          </w:pPr>
          <w:r w:rsidRPr="00C54BFB">
            <w:rPr>
              <w:rFonts w:ascii="Arial" w:hAnsi="Arial" w:cs="Arial"/>
              <w:sz w:val="20"/>
              <w:szCs w:val="12"/>
            </w:rPr>
            <w:fldChar w:fldCharType="begin"/>
          </w:r>
          <w:r w:rsidRPr="00C54BFB">
            <w:rPr>
              <w:rFonts w:ascii="Arial" w:hAnsi="Arial" w:cs="Arial"/>
              <w:sz w:val="20"/>
              <w:szCs w:val="12"/>
            </w:rPr>
            <w:instrText xml:space="preserve"> PAGE   \* MERGEFORMAT </w:instrText>
          </w:r>
          <w:r w:rsidRPr="00C54BFB">
            <w:rPr>
              <w:rFonts w:ascii="Arial" w:hAnsi="Arial" w:cs="Arial"/>
              <w:sz w:val="20"/>
              <w:szCs w:val="12"/>
            </w:rPr>
            <w:fldChar w:fldCharType="separate"/>
          </w:r>
          <w:r>
            <w:rPr>
              <w:rFonts w:ascii="Arial" w:hAnsi="Arial" w:cs="Arial"/>
              <w:sz w:val="20"/>
              <w:szCs w:val="12"/>
            </w:rPr>
            <w:t>3</w:t>
          </w:r>
          <w:r w:rsidRPr="00C54BFB">
            <w:rPr>
              <w:rFonts w:ascii="Arial" w:hAnsi="Arial" w:cs="Arial"/>
              <w:sz w:val="20"/>
              <w:szCs w:val="12"/>
            </w:rPr>
            <w:fldChar w:fldCharType="end"/>
          </w:r>
        </w:p>
      </w:tc>
    </w:tr>
  </w:tbl>
  <w:p w14:paraId="44656422" w14:textId="77777777" w:rsidR="00BE492F" w:rsidRPr="00584564" w:rsidRDefault="00BE492F" w:rsidP="00BE492F">
    <w:pPr>
      <w:pStyle w:val="Nagwek"/>
      <w:rPr>
        <w:rFonts w:ascii="Arial" w:hAnsi="Arial" w:cs="Arial"/>
        <w:sz w:val="6"/>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B7C5F"/>
    <w:multiLevelType w:val="multilevel"/>
    <w:tmpl w:val="4ADE9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234F9"/>
    <w:multiLevelType w:val="hybridMultilevel"/>
    <w:tmpl w:val="FF78438E"/>
    <w:lvl w:ilvl="0" w:tplc="04050001">
      <w:start w:val="1"/>
      <w:numFmt w:val="bullet"/>
      <w:lvlText w:val=""/>
      <w:lvlJc w:val="left"/>
      <w:pPr>
        <w:ind w:left="3328" w:hanging="360"/>
      </w:pPr>
      <w:rPr>
        <w:rFonts w:ascii="Symbol" w:hAnsi="Symbol" w:hint="default"/>
      </w:rPr>
    </w:lvl>
    <w:lvl w:ilvl="1" w:tplc="04050003" w:tentative="1">
      <w:start w:val="1"/>
      <w:numFmt w:val="bullet"/>
      <w:lvlText w:val="o"/>
      <w:lvlJc w:val="left"/>
      <w:pPr>
        <w:ind w:left="4048" w:hanging="360"/>
      </w:pPr>
      <w:rPr>
        <w:rFonts w:ascii="Courier New" w:hAnsi="Courier New" w:cs="Courier New" w:hint="default"/>
      </w:rPr>
    </w:lvl>
    <w:lvl w:ilvl="2" w:tplc="04050005" w:tentative="1">
      <w:start w:val="1"/>
      <w:numFmt w:val="bullet"/>
      <w:lvlText w:val=""/>
      <w:lvlJc w:val="left"/>
      <w:pPr>
        <w:ind w:left="4768" w:hanging="360"/>
      </w:pPr>
      <w:rPr>
        <w:rFonts w:ascii="Wingdings" w:hAnsi="Wingdings" w:hint="default"/>
      </w:rPr>
    </w:lvl>
    <w:lvl w:ilvl="3" w:tplc="04050001" w:tentative="1">
      <w:start w:val="1"/>
      <w:numFmt w:val="bullet"/>
      <w:lvlText w:val=""/>
      <w:lvlJc w:val="left"/>
      <w:pPr>
        <w:ind w:left="5488" w:hanging="360"/>
      </w:pPr>
      <w:rPr>
        <w:rFonts w:ascii="Symbol" w:hAnsi="Symbol" w:hint="default"/>
      </w:rPr>
    </w:lvl>
    <w:lvl w:ilvl="4" w:tplc="04050003" w:tentative="1">
      <w:start w:val="1"/>
      <w:numFmt w:val="bullet"/>
      <w:lvlText w:val="o"/>
      <w:lvlJc w:val="left"/>
      <w:pPr>
        <w:ind w:left="6208" w:hanging="360"/>
      </w:pPr>
      <w:rPr>
        <w:rFonts w:ascii="Courier New" w:hAnsi="Courier New" w:cs="Courier New" w:hint="default"/>
      </w:rPr>
    </w:lvl>
    <w:lvl w:ilvl="5" w:tplc="04050005" w:tentative="1">
      <w:start w:val="1"/>
      <w:numFmt w:val="bullet"/>
      <w:lvlText w:val=""/>
      <w:lvlJc w:val="left"/>
      <w:pPr>
        <w:ind w:left="6928" w:hanging="360"/>
      </w:pPr>
      <w:rPr>
        <w:rFonts w:ascii="Wingdings" w:hAnsi="Wingdings" w:hint="default"/>
      </w:rPr>
    </w:lvl>
    <w:lvl w:ilvl="6" w:tplc="04050001" w:tentative="1">
      <w:start w:val="1"/>
      <w:numFmt w:val="bullet"/>
      <w:lvlText w:val=""/>
      <w:lvlJc w:val="left"/>
      <w:pPr>
        <w:ind w:left="7648" w:hanging="360"/>
      </w:pPr>
      <w:rPr>
        <w:rFonts w:ascii="Symbol" w:hAnsi="Symbol" w:hint="default"/>
      </w:rPr>
    </w:lvl>
    <w:lvl w:ilvl="7" w:tplc="04050003" w:tentative="1">
      <w:start w:val="1"/>
      <w:numFmt w:val="bullet"/>
      <w:lvlText w:val="o"/>
      <w:lvlJc w:val="left"/>
      <w:pPr>
        <w:ind w:left="8368" w:hanging="360"/>
      </w:pPr>
      <w:rPr>
        <w:rFonts w:ascii="Courier New" w:hAnsi="Courier New" w:cs="Courier New" w:hint="default"/>
      </w:rPr>
    </w:lvl>
    <w:lvl w:ilvl="8" w:tplc="04050005" w:tentative="1">
      <w:start w:val="1"/>
      <w:numFmt w:val="bullet"/>
      <w:lvlText w:val=""/>
      <w:lvlJc w:val="left"/>
      <w:pPr>
        <w:ind w:left="9088" w:hanging="360"/>
      </w:pPr>
      <w:rPr>
        <w:rFonts w:ascii="Wingdings" w:hAnsi="Wingdings" w:hint="default"/>
      </w:rPr>
    </w:lvl>
  </w:abstractNum>
  <w:abstractNum w:abstractNumId="2" w15:restartNumberingAfterBreak="0">
    <w:nsid w:val="0F0265B2"/>
    <w:multiLevelType w:val="hybridMultilevel"/>
    <w:tmpl w:val="430C9C30"/>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 w15:restartNumberingAfterBreak="0">
    <w:nsid w:val="1C301662"/>
    <w:multiLevelType w:val="multilevel"/>
    <w:tmpl w:val="C966D560"/>
    <w:lvl w:ilvl="0">
      <w:start w:val="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CCB60E6"/>
    <w:multiLevelType w:val="multilevel"/>
    <w:tmpl w:val="3EF474CE"/>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4F04729"/>
    <w:multiLevelType w:val="hybridMultilevel"/>
    <w:tmpl w:val="AE5A25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6F947E7"/>
    <w:multiLevelType w:val="hybridMultilevel"/>
    <w:tmpl w:val="45344712"/>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7" w15:restartNumberingAfterBreak="0">
    <w:nsid w:val="27022F01"/>
    <w:multiLevelType w:val="hybridMultilevel"/>
    <w:tmpl w:val="E70E9D3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D62DF7"/>
    <w:multiLevelType w:val="hybridMultilevel"/>
    <w:tmpl w:val="6E16DC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E814039"/>
    <w:multiLevelType w:val="hybridMultilevel"/>
    <w:tmpl w:val="F97C8CE2"/>
    <w:lvl w:ilvl="0" w:tplc="2A24F6C8">
      <w:start w:val="1"/>
      <w:numFmt w:val="bullet"/>
      <w:lvlText w:val="•"/>
      <w:lvlJc w:val="left"/>
      <w:pPr>
        <w:tabs>
          <w:tab w:val="num" w:pos="720"/>
        </w:tabs>
        <w:ind w:left="720" w:hanging="360"/>
      </w:pPr>
      <w:rPr>
        <w:rFonts w:ascii="Arial" w:hAnsi="Arial" w:hint="default"/>
      </w:rPr>
    </w:lvl>
    <w:lvl w:ilvl="1" w:tplc="F0EACF2E" w:tentative="1">
      <w:start w:val="1"/>
      <w:numFmt w:val="bullet"/>
      <w:lvlText w:val="•"/>
      <w:lvlJc w:val="left"/>
      <w:pPr>
        <w:tabs>
          <w:tab w:val="num" w:pos="1440"/>
        </w:tabs>
        <w:ind w:left="1440" w:hanging="360"/>
      </w:pPr>
      <w:rPr>
        <w:rFonts w:ascii="Arial" w:hAnsi="Arial" w:hint="default"/>
      </w:rPr>
    </w:lvl>
    <w:lvl w:ilvl="2" w:tplc="B70E44F6" w:tentative="1">
      <w:start w:val="1"/>
      <w:numFmt w:val="bullet"/>
      <w:lvlText w:val="•"/>
      <w:lvlJc w:val="left"/>
      <w:pPr>
        <w:tabs>
          <w:tab w:val="num" w:pos="2160"/>
        </w:tabs>
        <w:ind w:left="2160" w:hanging="360"/>
      </w:pPr>
      <w:rPr>
        <w:rFonts w:ascii="Arial" w:hAnsi="Arial" w:hint="default"/>
      </w:rPr>
    </w:lvl>
    <w:lvl w:ilvl="3" w:tplc="11BCB9A6" w:tentative="1">
      <w:start w:val="1"/>
      <w:numFmt w:val="bullet"/>
      <w:lvlText w:val="•"/>
      <w:lvlJc w:val="left"/>
      <w:pPr>
        <w:tabs>
          <w:tab w:val="num" w:pos="2880"/>
        </w:tabs>
        <w:ind w:left="2880" w:hanging="360"/>
      </w:pPr>
      <w:rPr>
        <w:rFonts w:ascii="Arial" w:hAnsi="Arial" w:hint="default"/>
      </w:rPr>
    </w:lvl>
    <w:lvl w:ilvl="4" w:tplc="9FDC367A" w:tentative="1">
      <w:start w:val="1"/>
      <w:numFmt w:val="bullet"/>
      <w:lvlText w:val="•"/>
      <w:lvlJc w:val="left"/>
      <w:pPr>
        <w:tabs>
          <w:tab w:val="num" w:pos="3600"/>
        </w:tabs>
        <w:ind w:left="3600" w:hanging="360"/>
      </w:pPr>
      <w:rPr>
        <w:rFonts w:ascii="Arial" w:hAnsi="Arial" w:hint="default"/>
      </w:rPr>
    </w:lvl>
    <w:lvl w:ilvl="5" w:tplc="45EE27B4" w:tentative="1">
      <w:start w:val="1"/>
      <w:numFmt w:val="bullet"/>
      <w:lvlText w:val="•"/>
      <w:lvlJc w:val="left"/>
      <w:pPr>
        <w:tabs>
          <w:tab w:val="num" w:pos="4320"/>
        </w:tabs>
        <w:ind w:left="4320" w:hanging="360"/>
      </w:pPr>
      <w:rPr>
        <w:rFonts w:ascii="Arial" w:hAnsi="Arial" w:hint="default"/>
      </w:rPr>
    </w:lvl>
    <w:lvl w:ilvl="6" w:tplc="7B9EC026" w:tentative="1">
      <w:start w:val="1"/>
      <w:numFmt w:val="bullet"/>
      <w:lvlText w:val="•"/>
      <w:lvlJc w:val="left"/>
      <w:pPr>
        <w:tabs>
          <w:tab w:val="num" w:pos="5040"/>
        </w:tabs>
        <w:ind w:left="5040" w:hanging="360"/>
      </w:pPr>
      <w:rPr>
        <w:rFonts w:ascii="Arial" w:hAnsi="Arial" w:hint="default"/>
      </w:rPr>
    </w:lvl>
    <w:lvl w:ilvl="7" w:tplc="10AE5D9C" w:tentative="1">
      <w:start w:val="1"/>
      <w:numFmt w:val="bullet"/>
      <w:lvlText w:val="•"/>
      <w:lvlJc w:val="left"/>
      <w:pPr>
        <w:tabs>
          <w:tab w:val="num" w:pos="5760"/>
        </w:tabs>
        <w:ind w:left="5760" w:hanging="360"/>
      </w:pPr>
      <w:rPr>
        <w:rFonts w:ascii="Arial" w:hAnsi="Arial" w:hint="default"/>
      </w:rPr>
    </w:lvl>
    <w:lvl w:ilvl="8" w:tplc="8660B79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52D496D"/>
    <w:multiLevelType w:val="hybridMultilevel"/>
    <w:tmpl w:val="26D4F0B2"/>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1" w15:restartNumberingAfterBreak="0">
    <w:nsid w:val="3558205A"/>
    <w:multiLevelType w:val="hybridMultilevel"/>
    <w:tmpl w:val="E962D376"/>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0A21DC1"/>
    <w:multiLevelType w:val="hybridMultilevel"/>
    <w:tmpl w:val="23AE45E2"/>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17A70D5"/>
    <w:multiLevelType w:val="hybridMultilevel"/>
    <w:tmpl w:val="BE962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45B755D"/>
    <w:multiLevelType w:val="hybridMultilevel"/>
    <w:tmpl w:val="7114810C"/>
    <w:lvl w:ilvl="0" w:tplc="08BC7296">
      <w:start w:val="1"/>
      <w:numFmt w:val="bullet"/>
      <w:lvlText w:val="•"/>
      <w:lvlJc w:val="left"/>
      <w:pPr>
        <w:tabs>
          <w:tab w:val="num" w:pos="720"/>
        </w:tabs>
        <w:ind w:left="720" w:hanging="360"/>
      </w:pPr>
      <w:rPr>
        <w:rFonts w:ascii="Arial" w:hAnsi="Arial" w:hint="default"/>
      </w:rPr>
    </w:lvl>
    <w:lvl w:ilvl="1" w:tplc="86085E0C">
      <w:start w:val="1"/>
      <w:numFmt w:val="bullet"/>
      <w:lvlText w:val="•"/>
      <w:lvlJc w:val="left"/>
      <w:pPr>
        <w:tabs>
          <w:tab w:val="num" w:pos="1440"/>
        </w:tabs>
        <w:ind w:left="1440" w:hanging="360"/>
      </w:pPr>
      <w:rPr>
        <w:rFonts w:ascii="Arial" w:hAnsi="Arial" w:hint="default"/>
      </w:rPr>
    </w:lvl>
    <w:lvl w:ilvl="2" w:tplc="7556065C" w:tentative="1">
      <w:start w:val="1"/>
      <w:numFmt w:val="bullet"/>
      <w:lvlText w:val="•"/>
      <w:lvlJc w:val="left"/>
      <w:pPr>
        <w:tabs>
          <w:tab w:val="num" w:pos="2160"/>
        </w:tabs>
        <w:ind w:left="2160" w:hanging="360"/>
      </w:pPr>
      <w:rPr>
        <w:rFonts w:ascii="Arial" w:hAnsi="Arial" w:hint="default"/>
      </w:rPr>
    </w:lvl>
    <w:lvl w:ilvl="3" w:tplc="7B502F02" w:tentative="1">
      <w:start w:val="1"/>
      <w:numFmt w:val="bullet"/>
      <w:lvlText w:val="•"/>
      <w:lvlJc w:val="left"/>
      <w:pPr>
        <w:tabs>
          <w:tab w:val="num" w:pos="2880"/>
        </w:tabs>
        <w:ind w:left="2880" w:hanging="360"/>
      </w:pPr>
      <w:rPr>
        <w:rFonts w:ascii="Arial" w:hAnsi="Arial" w:hint="default"/>
      </w:rPr>
    </w:lvl>
    <w:lvl w:ilvl="4" w:tplc="BE02F4E8" w:tentative="1">
      <w:start w:val="1"/>
      <w:numFmt w:val="bullet"/>
      <w:lvlText w:val="•"/>
      <w:lvlJc w:val="left"/>
      <w:pPr>
        <w:tabs>
          <w:tab w:val="num" w:pos="3600"/>
        </w:tabs>
        <w:ind w:left="3600" w:hanging="360"/>
      </w:pPr>
      <w:rPr>
        <w:rFonts w:ascii="Arial" w:hAnsi="Arial" w:hint="default"/>
      </w:rPr>
    </w:lvl>
    <w:lvl w:ilvl="5" w:tplc="F5A69292" w:tentative="1">
      <w:start w:val="1"/>
      <w:numFmt w:val="bullet"/>
      <w:lvlText w:val="•"/>
      <w:lvlJc w:val="left"/>
      <w:pPr>
        <w:tabs>
          <w:tab w:val="num" w:pos="4320"/>
        </w:tabs>
        <w:ind w:left="4320" w:hanging="360"/>
      </w:pPr>
      <w:rPr>
        <w:rFonts w:ascii="Arial" w:hAnsi="Arial" w:hint="default"/>
      </w:rPr>
    </w:lvl>
    <w:lvl w:ilvl="6" w:tplc="6BECA1FE" w:tentative="1">
      <w:start w:val="1"/>
      <w:numFmt w:val="bullet"/>
      <w:lvlText w:val="•"/>
      <w:lvlJc w:val="left"/>
      <w:pPr>
        <w:tabs>
          <w:tab w:val="num" w:pos="5040"/>
        </w:tabs>
        <w:ind w:left="5040" w:hanging="360"/>
      </w:pPr>
      <w:rPr>
        <w:rFonts w:ascii="Arial" w:hAnsi="Arial" w:hint="default"/>
      </w:rPr>
    </w:lvl>
    <w:lvl w:ilvl="7" w:tplc="02A82CFA" w:tentative="1">
      <w:start w:val="1"/>
      <w:numFmt w:val="bullet"/>
      <w:lvlText w:val="•"/>
      <w:lvlJc w:val="left"/>
      <w:pPr>
        <w:tabs>
          <w:tab w:val="num" w:pos="5760"/>
        </w:tabs>
        <w:ind w:left="5760" w:hanging="360"/>
      </w:pPr>
      <w:rPr>
        <w:rFonts w:ascii="Arial" w:hAnsi="Arial" w:hint="default"/>
      </w:rPr>
    </w:lvl>
    <w:lvl w:ilvl="8" w:tplc="F15C02A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65121F9A"/>
    <w:multiLevelType w:val="multilevel"/>
    <w:tmpl w:val="F2180770"/>
    <w:lvl w:ilvl="0">
      <w:start w:val="1"/>
      <w:numFmt w:val="decimal"/>
      <w:pStyle w:val="Nagwek1"/>
      <w:lvlText w:val="%1."/>
      <w:lvlJc w:val="left"/>
      <w:pPr>
        <w:ind w:left="720" w:hanging="360"/>
      </w:pPr>
      <w:rPr>
        <w:rFonts w:hint="default"/>
      </w:rPr>
    </w:lvl>
    <w:lvl w:ilvl="1">
      <w:start w:val="1"/>
      <w:numFmt w:val="decimal"/>
      <w:pStyle w:val="Nagwek2"/>
      <w:isLgl/>
      <w:lvlText w:val="%1.%2"/>
      <w:lvlJc w:val="left"/>
      <w:pPr>
        <w:ind w:left="720" w:hanging="360"/>
      </w:pPr>
      <w:rPr>
        <w:rFonts w:hint="default"/>
      </w:rPr>
    </w:lvl>
    <w:lvl w:ilvl="2">
      <w:start w:val="1"/>
      <w:numFmt w:val="decimal"/>
      <w:pStyle w:val="Nagwek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CF1322C"/>
    <w:multiLevelType w:val="hybridMultilevel"/>
    <w:tmpl w:val="CFA454F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5230D4C"/>
    <w:multiLevelType w:val="hybridMultilevel"/>
    <w:tmpl w:val="7E089C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AA5638E"/>
    <w:multiLevelType w:val="hybridMultilevel"/>
    <w:tmpl w:val="1D827EC0"/>
    <w:lvl w:ilvl="0" w:tplc="0DC0C910">
      <w:start w:val="1"/>
      <w:numFmt w:val="bullet"/>
      <w:lvlText w:val="•"/>
      <w:lvlJc w:val="left"/>
      <w:pPr>
        <w:tabs>
          <w:tab w:val="num" w:pos="720"/>
        </w:tabs>
        <w:ind w:left="720" w:hanging="360"/>
      </w:pPr>
      <w:rPr>
        <w:rFonts w:ascii="Arial" w:hAnsi="Arial" w:hint="default"/>
      </w:rPr>
    </w:lvl>
    <w:lvl w:ilvl="1" w:tplc="E32A5FBC">
      <w:start w:val="1"/>
      <w:numFmt w:val="bullet"/>
      <w:lvlText w:val="•"/>
      <w:lvlJc w:val="left"/>
      <w:pPr>
        <w:tabs>
          <w:tab w:val="num" w:pos="1440"/>
        </w:tabs>
        <w:ind w:left="1440" w:hanging="360"/>
      </w:pPr>
      <w:rPr>
        <w:rFonts w:ascii="Arial" w:hAnsi="Arial" w:hint="default"/>
      </w:rPr>
    </w:lvl>
    <w:lvl w:ilvl="2" w:tplc="4CBC4E78" w:tentative="1">
      <w:start w:val="1"/>
      <w:numFmt w:val="bullet"/>
      <w:lvlText w:val="•"/>
      <w:lvlJc w:val="left"/>
      <w:pPr>
        <w:tabs>
          <w:tab w:val="num" w:pos="2160"/>
        </w:tabs>
        <w:ind w:left="2160" w:hanging="360"/>
      </w:pPr>
      <w:rPr>
        <w:rFonts w:ascii="Arial" w:hAnsi="Arial" w:hint="default"/>
      </w:rPr>
    </w:lvl>
    <w:lvl w:ilvl="3" w:tplc="D9E4B57C" w:tentative="1">
      <w:start w:val="1"/>
      <w:numFmt w:val="bullet"/>
      <w:lvlText w:val="•"/>
      <w:lvlJc w:val="left"/>
      <w:pPr>
        <w:tabs>
          <w:tab w:val="num" w:pos="2880"/>
        </w:tabs>
        <w:ind w:left="2880" w:hanging="360"/>
      </w:pPr>
      <w:rPr>
        <w:rFonts w:ascii="Arial" w:hAnsi="Arial" w:hint="default"/>
      </w:rPr>
    </w:lvl>
    <w:lvl w:ilvl="4" w:tplc="EF9E23CC" w:tentative="1">
      <w:start w:val="1"/>
      <w:numFmt w:val="bullet"/>
      <w:lvlText w:val="•"/>
      <w:lvlJc w:val="left"/>
      <w:pPr>
        <w:tabs>
          <w:tab w:val="num" w:pos="3600"/>
        </w:tabs>
        <w:ind w:left="3600" w:hanging="360"/>
      </w:pPr>
      <w:rPr>
        <w:rFonts w:ascii="Arial" w:hAnsi="Arial" w:hint="default"/>
      </w:rPr>
    </w:lvl>
    <w:lvl w:ilvl="5" w:tplc="94D2EB6C" w:tentative="1">
      <w:start w:val="1"/>
      <w:numFmt w:val="bullet"/>
      <w:lvlText w:val="•"/>
      <w:lvlJc w:val="left"/>
      <w:pPr>
        <w:tabs>
          <w:tab w:val="num" w:pos="4320"/>
        </w:tabs>
        <w:ind w:left="4320" w:hanging="360"/>
      </w:pPr>
      <w:rPr>
        <w:rFonts w:ascii="Arial" w:hAnsi="Arial" w:hint="default"/>
      </w:rPr>
    </w:lvl>
    <w:lvl w:ilvl="6" w:tplc="4D6EFA68" w:tentative="1">
      <w:start w:val="1"/>
      <w:numFmt w:val="bullet"/>
      <w:lvlText w:val="•"/>
      <w:lvlJc w:val="left"/>
      <w:pPr>
        <w:tabs>
          <w:tab w:val="num" w:pos="5040"/>
        </w:tabs>
        <w:ind w:left="5040" w:hanging="360"/>
      </w:pPr>
      <w:rPr>
        <w:rFonts w:ascii="Arial" w:hAnsi="Arial" w:hint="default"/>
      </w:rPr>
    </w:lvl>
    <w:lvl w:ilvl="7" w:tplc="28EC443C" w:tentative="1">
      <w:start w:val="1"/>
      <w:numFmt w:val="bullet"/>
      <w:lvlText w:val="•"/>
      <w:lvlJc w:val="left"/>
      <w:pPr>
        <w:tabs>
          <w:tab w:val="num" w:pos="5760"/>
        </w:tabs>
        <w:ind w:left="5760" w:hanging="360"/>
      </w:pPr>
      <w:rPr>
        <w:rFonts w:ascii="Arial" w:hAnsi="Arial" w:hint="default"/>
      </w:rPr>
    </w:lvl>
    <w:lvl w:ilvl="8" w:tplc="37B6AC9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AC52536"/>
    <w:multiLevelType w:val="multilevel"/>
    <w:tmpl w:val="3A74CBC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CF47E0C"/>
    <w:multiLevelType w:val="hybridMultilevel"/>
    <w:tmpl w:val="A72A6570"/>
    <w:lvl w:ilvl="0" w:tplc="04050001">
      <w:start w:val="1"/>
      <w:numFmt w:val="bullet"/>
      <w:lvlText w:val=""/>
      <w:lvlJc w:val="left"/>
      <w:pPr>
        <w:ind w:left="3328" w:hanging="360"/>
      </w:pPr>
      <w:rPr>
        <w:rFonts w:ascii="Symbol" w:hAnsi="Symbol" w:hint="default"/>
      </w:rPr>
    </w:lvl>
    <w:lvl w:ilvl="1" w:tplc="04050003" w:tentative="1">
      <w:start w:val="1"/>
      <w:numFmt w:val="bullet"/>
      <w:lvlText w:val="o"/>
      <w:lvlJc w:val="left"/>
      <w:pPr>
        <w:ind w:left="4048" w:hanging="360"/>
      </w:pPr>
      <w:rPr>
        <w:rFonts w:ascii="Courier New" w:hAnsi="Courier New" w:cs="Courier New" w:hint="default"/>
      </w:rPr>
    </w:lvl>
    <w:lvl w:ilvl="2" w:tplc="04050005" w:tentative="1">
      <w:start w:val="1"/>
      <w:numFmt w:val="bullet"/>
      <w:lvlText w:val=""/>
      <w:lvlJc w:val="left"/>
      <w:pPr>
        <w:ind w:left="4768" w:hanging="360"/>
      </w:pPr>
      <w:rPr>
        <w:rFonts w:ascii="Wingdings" w:hAnsi="Wingdings" w:hint="default"/>
      </w:rPr>
    </w:lvl>
    <w:lvl w:ilvl="3" w:tplc="04050001" w:tentative="1">
      <w:start w:val="1"/>
      <w:numFmt w:val="bullet"/>
      <w:lvlText w:val=""/>
      <w:lvlJc w:val="left"/>
      <w:pPr>
        <w:ind w:left="5488" w:hanging="360"/>
      </w:pPr>
      <w:rPr>
        <w:rFonts w:ascii="Symbol" w:hAnsi="Symbol" w:hint="default"/>
      </w:rPr>
    </w:lvl>
    <w:lvl w:ilvl="4" w:tplc="04050003" w:tentative="1">
      <w:start w:val="1"/>
      <w:numFmt w:val="bullet"/>
      <w:lvlText w:val="o"/>
      <w:lvlJc w:val="left"/>
      <w:pPr>
        <w:ind w:left="6208" w:hanging="360"/>
      </w:pPr>
      <w:rPr>
        <w:rFonts w:ascii="Courier New" w:hAnsi="Courier New" w:cs="Courier New" w:hint="default"/>
      </w:rPr>
    </w:lvl>
    <w:lvl w:ilvl="5" w:tplc="04050005" w:tentative="1">
      <w:start w:val="1"/>
      <w:numFmt w:val="bullet"/>
      <w:lvlText w:val=""/>
      <w:lvlJc w:val="left"/>
      <w:pPr>
        <w:ind w:left="6928" w:hanging="360"/>
      </w:pPr>
      <w:rPr>
        <w:rFonts w:ascii="Wingdings" w:hAnsi="Wingdings" w:hint="default"/>
      </w:rPr>
    </w:lvl>
    <w:lvl w:ilvl="6" w:tplc="04050001" w:tentative="1">
      <w:start w:val="1"/>
      <w:numFmt w:val="bullet"/>
      <w:lvlText w:val=""/>
      <w:lvlJc w:val="left"/>
      <w:pPr>
        <w:ind w:left="7648" w:hanging="360"/>
      </w:pPr>
      <w:rPr>
        <w:rFonts w:ascii="Symbol" w:hAnsi="Symbol" w:hint="default"/>
      </w:rPr>
    </w:lvl>
    <w:lvl w:ilvl="7" w:tplc="04050003" w:tentative="1">
      <w:start w:val="1"/>
      <w:numFmt w:val="bullet"/>
      <w:lvlText w:val="o"/>
      <w:lvlJc w:val="left"/>
      <w:pPr>
        <w:ind w:left="8368" w:hanging="360"/>
      </w:pPr>
      <w:rPr>
        <w:rFonts w:ascii="Courier New" w:hAnsi="Courier New" w:cs="Courier New" w:hint="default"/>
      </w:rPr>
    </w:lvl>
    <w:lvl w:ilvl="8" w:tplc="04050005" w:tentative="1">
      <w:start w:val="1"/>
      <w:numFmt w:val="bullet"/>
      <w:lvlText w:val=""/>
      <w:lvlJc w:val="left"/>
      <w:pPr>
        <w:ind w:left="9088" w:hanging="360"/>
      </w:pPr>
      <w:rPr>
        <w:rFonts w:ascii="Wingdings" w:hAnsi="Wingdings" w:hint="default"/>
      </w:rPr>
    </w:lvl>
  </w:abstractNum>
  <w:num w:numId="1" w16cid:durableId="800004765">
    <w:abstractNumId w:val="18"/>
  </w:num>
  <w:num w:numId="2" w16cid:durableId="573709707">
    <w:abstractNumId w:val="14"/>
  </w:num>
  <w:num w:numId="3" w16cid:durableId="1640956879">
    <w:abstractNumId w:val="15"/>
  </w:num>
  <w:num w:numId="4" w16cid:durableId="1680234002">
    <w:abstractNumId w:val="9"/>
  </w:num>
  <w:num w:numId="5" w16cid:durableId="1488548312">
    <w:abstractNumId w:val="15"/>
  </w:num>
  <w:num w:numId="6" w16cid:durableId="1511799201">
    <w:abstractNumId w:val="19"/>
  </w:num>
  <w:num w:numId="7" w16cid:durableId="1121996464">
    <w:abstractNumId w:val="3"/>
  </w:num>
  <w:num w:numId="8" w16cid:durableId="415250135">
    <w:abstractNumId w:val="4"/>
  </w:num>
  <w:num w:numId="9" w16cid:durableId="963459097">
    <w:abstractNumId w:val="12"/>
  </w:num>
  <w:num w:numId="10" w16cid:durableId="2121100349">
    <w:abstractNumId w:val="11"/>
  </w:num>
  <w:num w:numId="11" w16cid:durableId="772439770">
    <w:abstractNumId w:val="13"/>
  </w:num>
  <w:num w:numId="12" w16cid:durableId="1720201801">
    <w:abstractNumId w:val="17"/>
  </w:num>
  <w:num w:numId="13" w16cid:durableId="152260206">
    <w:abstractNumId w:val="2"/>
  </w:num>
  <w:num w:numId="14" w16cid:durableId="293485432">
    <w:abstractNumId w:val="16"/>
  </w:num>
  <w:num w:numId="15" w16cid:durableId="39323322">
    <w:abstractNumId w:val="7"/>
  </w:num>
  <w:num w:numId="16" w16cid:durableId="1510100441">
    <w:abstractNumId w:val="0"/>
  </w:num>
  <w:num w:numId="17" w16cid:durableId="1856335837">
    <w:abstractNumId w:val="6"/>
  </w:num>
  <w:num w:numId="18" w16cid:durableId="50034786">
    <w:abstractNumId w:val="10"/>
  </w:num>
  <w:num w:numId="19" w16cid:durableId="613295027">
    <w:abstractNumId w:val="20"/>
  </w:num>
  <w:num w:numId="20" w16cid:durableId="1098519907">
    <w:abstractNumId w:val="5"/>
  </w:num>
  <w:num w:numId="21" w16cid:durableId="286863516">
    <w:abstractNumId w:val="1"/>
  </w:num>
  <w:num w:numId="22" w16cid:durableId="8547341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mirrorMargins/>
  <w:hideSpellingErrors/>
  <w:hideGrammaticalErrors/>
  <w:proofState w:spelling="clean"/>
  <w:defaultTabStop w:val="709"/>
  <w:autoHyphenation/>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eyMLAwtzQ1tzC0NDRQ0lEKTi0uzszPAykwrAUA/ehipiwAAAA="/>
  </w:docVars>
  <w:rsids>
    <w:rsidRoot w:val="00A0019A"/>
    <w:rsid w:val="00010C75"/>
    <w:rsid w:val="000128C9"/>
    <w:rsid w:val="0002436D"/>
    <w:rsid w:val="00036510"/>
    <w:rsid w:val="0004343D"/>
    <w:rsid w:val="00054792"/>
    <w:rsid w:val="00061A41"/>
    <w:rsid w:val="0006512B"/>
    <w:rsid w:val="000719AB"/>
    <w:rsid w:val="00082705"/>
    <w:rsid w:val="00085BCA"/>
    <w:rsid w:val="00090DC5"/>
    <w:rsid w:val="0009228B"/>
    <w:rsid w:val="000937B0"/>
    <w:rsid w:val="000B0928"/>
    <w:rsid w:val="000B431A"/>
    <w:rsid w:val="000B468F"/>
    <w:rsid w:val="000C3928"/>
    <w:rsid w:val="000C79D2"/>
    <w:rsid w:val="000D225C"/>
    <w:rsid w:val="000D66D1"/>
    <w:rsid w:val="000D69E2"/>
    <w:rsid w:val="000D6F9B"/>
    <w:rsid w:val="000E3138"/>
    <w:rsid w:val="000F1934"/>
    <w:rsid w:val="00106EB3"/>
    <w:rsid w:val="00113E04"/>
    <w:rsid w:val="00115C89"/>
    <w:rsid w:val="0011645E"/>
    <w:rsid w:val="00133633"/>
    <w:rsid w:val="001345CC"/>
    <w:rsid w:val="00144A31"/>
    <w:rsid w:val="00157C3E"/>
    <w:rsid w:val="0016599A"/>
    <w:rsid w:val="00171356"/>
    <w:rsid w:val="00176765"/>
    <w:rsid w:val="001810C9"/>
    <w:rsid w:val="001843E6"/>
    <w:rsid w:val="00187012"/>
    <w:rsid w:val="001925EB"/>
    <w:rsid w:val="00196EDC"/>
    <w:rsid w:val="001A118B"/>
    <w:rsid w:val="001A3949"/>
    <w:rsid w:val="001A519D"/>
    <w:rsid w:val="001B5999"/>
    <w:rsid w:val="001B7B5F"/>
    <w:rsid w:val="001C013A"/>
    <w:rsid w:val="001C0CEC"/>
    <w:rsid w:val="001C6C00"/>
    <w:rsid w:val="001D29FB"/>
    <w:rsid w:val="001D7CB9"/>
    <w:rsid w:val="001D7FE9"/>
    <w:rsid w:val="001E174E"/>
    <w:rsid w:val="001E21B7"/>
    <w:rsid w:val="001E43CA"/>
    <w:rsid w:val="001F14FA"/>
    <w:rsid w:val="001F1701"/>
    <w:rsid w:val="001F6F6D"/>
    <w:rsid w:val="00201A01"/>
    <w:rsid w:val="00206110"/>
    <w:rsid w:val="00226C31"/>
    <w:rsid w:val="00227D15"/>
    <w:rsid w:val="00233725"/>
    <w:rsid w:val="00233983"/>
    <w:rsid w:val="00236600"/>
    <w:rsid w:val="002522C7"/>
    <w:rsid w:val="00252F1C"/>
    <w:rsid w:val="0026527F"/>
    <w:rsid w:val="002823FD"/>
    <w:rsid w:val="00284CDE"/>
    <w:rsid w:val="00286074"/>
    <w:rsid w:val="00293B74"/>
    <w:rsid w:val="002947A0"/>
    <w:rsid w:val="00297BE6"/>
    <w:rsid w:val="002A2F5D"/>
    <w:rsid w:val="002A392F"/>
    <w:rsid w:val="002A6FC2"/>
    <w:rsid w:val="002B2BB0"/>
    <w:rsid w:val="002B4E16"/>
    <w:rsid w:val="002C64E7"/>
    <w:rsid w:val="002C69FF"/>
    <w:rsid w:val="002D002F"/>
    <w:rsid w:val="002E2BD2"/>
    <w:rsid w:val="002E3B87"/>
    <w:rsid w:val="002F082B"/>
    <w:rsid w:val="002F361D"/>
    <w:rsid w:val="002F607C"/>
    <w:rsid w:val="003038CD"/>
    <w:rsid w:val="00305727"/>
    <w:rsid w:val="00305792"/>
    <w:rsid w:val="0030636E"/>
    <w:rsid w:val="00312E6A"/>
    <w:rsid w:val="00324140"/>
    <w:rsid w:val="003272F7"/>
    <w:rsid w:val="00327350"/>
    <w:rsid w:val="003351BA"/>
    <w:rsid w:val="0035064C"/>
    <w:rsid w:val="003518EE"/>
    <w:rsid w:val="00353C43"/>
    <w:rsid w:val="00363431"/>
    <w:rsid w:val="00374446"/>
    <w:rsid w:val="00390FBA"/>
    <w:rsid w:val="003A1CB2"/>
    <w:rsid w:val="003B34BA"/>
    <w:rsid w:val="003C3454"/>
    <w:rsid w:val="003C49FF"/>
    <w:rsid w:val="003C7C84"/>
    <w:rsid w:val="003D0E2B"/>
    <w:rsid w:val="003D4324"/>
    <w:rsid w:val="003D5F00"/>
    <w:rsid w:val="003E1F5A"/>
    <w:rsid w:val="003E40E3"/>
    <w:rsid w:val="003F1E77"/>
    <w:rsid w:val="003F626B"/>
    <w:rsid w:val="004075B5"/>
    <w:rsid w:val="00415589"/>
    <w:rsid w:val="004166A8"/>
    <w:rsid w:val="004173AB"/>
    <w:rsid w:val="00417CCF"/>
    <w:rsid w:val="00431E8D"/>
    <w:rsid w:val="00432AE2"/>
    <w:rsid w:val="004423DB"/>
    <w:rsid w:val="00445BAD"/>
    <w:rsid w:val="00454922"/>
    <w:rsid w:val="00460A26"/>
    <w:rsid w:val="0046418C"/>
    <w:rsid w:val="004665D4"/>
    <w:rsid w:val="004812E9"/>
    <w:rsid w:val="00485211"/>
    <w:rsid w:val="0049514D"/>
    <w:rsid w:val="004A5AE7"/>
    <w:rsid w:val="004B4955"/>
    <w:rsid w:val="004C114A"/>
    <w:rsid w:val="004C570C"/>
    <w:rsid w:val="004D05D2"/>
    <w:rsid w:val="004D1E44"/>
    <w:rsid w:val="004D2739"/>
    <w:rsid w:val="004F6153"/>
    <w:rsid w:val="00506906"/>
    <w:rsid w:val="00521609"/>
    <w:rsid w:val="005225C5"/>
    <w:rsid w:val="005312A4"/>
    <w:rsid w:val="005364BD"/>
    <w:rsid w:val="0054114E"/>
    <w:rsid w:val="0054618C"/>
    <w:rsid w:val="00551E78"/>
    <w:rsid w:val="00561A4E"/>
    <w:rsid w:val="005662D6"/>
    <w:rsid w:val="005669FE"/>
    <w:rsid w:val="00580A6F"/>
    <w:rsid w:val="005842B2"/>
    <w:rsid w:val="005B2459"/>
    <w:rsid w:val="005B4A56"/>
    <w:rsid w:val="005B6CEB"/>
    <w:rsid w:val="005C188D"/>
    <w:rsid w:val="005C2AF8"/>
    <w:rsid w:val="005C6008"/>
    <w:rsid w:val="005E4F7B"/>
    <w:rsid w:val="005E70A7"/>
    <w:rsid w:val="005E76D4"/>
    <w:rsid w:val="005F4F6E"/>
    <w:rsid w:val="006012C8"/>
    <w:rsid w:val="0060337D"/>
    <w:rsid w:val="00611182"/>
    <w:rsid w:val="00621A34"/>
    <w:rsid w:val="00631B9D"/>
    <w:rsid w:val="006352BC"/>
    <w:rsid w:val="006353DA"/>
    <w:rsid w:val="006359FE"/>
    <w:rsid w:val="006367BF"/>
    <w:rsid w:val="00641A84"/>
    <w:rsid w:val="006434AD"/>
    <w:rsid w:val="00650582"/>
    <w:rsid w:val="0065378C"/>
    <w:rsid w:val="00654C2C"/>
    <w:rsid w:val="00677850"/>
    <w:rsid w:val="00680274"/>
    <w:rsid w:val="006820C4"/>
    <w:rsid w:val="00684AA3"/>
    <w:rsid w:val="0068703A"/>
    <w:rsid w:val="00694615"/>
    <w:rsid w:val="00695F1E"/>
    <w:rsid w:val="006A5B36"/>
    <w:rsid w:val="006A5CCB"/>
    <w:rsid w:val="006B1F33"/>
    <w:rsid w:val="006C2A1E"/>
    <w:rsid w:val="006C7880"/>
    <w:rsid w:val="006D1A1D"/>
    <w:rsid w:val="006D5918"/>
    <w:rsid w:val="006E589C"/>
    <w:rsid w:val="0070018D"/>
    <w:rsid w:val="00700305"/>
    <w:rsid w:val="00704B93"/>
    <w:rsid w:val="00707490"/>
    <w:rsid w:val="00722228"/>
    <w:rsid w:val="00723B97"/>
    <w:rsid w:val="007260B1"/>
    <w:rsid w:val="007338F2"/>
    <w:rsid w:val="007361A8"/>
    <w:rsid w:val="0075025B"/>
    <w:rsid w:val="00751381"/>
    <w:rsid w:val="007615E4"/>
    <w:rsid w:val="00761EFE"/>
    <w:rsid w:val="00762611"/>
    <w:rsid w:val="007666F3"/>
    <w:rsid w:val="007701F0"/>
    <w:rsid w:val="0077443B"/>
    <w:rsid w:val="00780F16"/>
    <w:rsid w:val="00782064"/>
    <w:rsid w:val="0078762F"/>
    <w:rsid w:val="007908A1"/>
    <w:rsid w:val="00792C58"/>
    <w:rsid w:val="007A5E4E"/>
    <w:rsid w:val="007B563A"/>
    <w:rsid w:val="007C04DE"/>
    <w:rsid w:val="007C2443"/>
    <w:rsid w:val="007C3CB9"/>
    <w:rsid w:val="007C3EB1"/>
    <w:rsid w:val="007C4940"/>
    <w:rsid w:val="007D0FF1"/>
    <w:rsid w:val="007D4B00"/>
    <w:rsid w:val="007F1BFD"/>
    <w:rsid w:val="0080238F"/>
    <w:rsid w:val="008041D5"/>
    <w:rsid w:val="00806E4F"/>
    <w:rsid w:val="0081289A"/>
    <w:rsid w:val="00821BC1"/>
    <w:rsid w:val="00822489"/>
    <w:rsid w:val="008344A0"/>
    <w:rsid w:val="008379BD"/>
    <w:rsid w:val="00844DFA"/>
    <w:rsid w:val="008611A6"/>
    <w:rsid w:val="00873967"/>
    <w:rsid w:val="0088215B"/>
    <w:rsid w:val="00885392"/>
    <w:rsid w:val="008972B7"/>
    <w:rsid w:val="008A1B9D"/>
    <w:rsid w:val="008A743F"/>
    <w:rsid w:val="008B12B7"/>
    <w:rsid w:val="008B16AA"/>
    <w:rsid w:val="008B2BC5"/>
    <w:rsid w:val="008B5F81"/>
    <w:rsid w:val="008C0C0A"/>
    <w:rsid w:val="008C1E86"/>
    <w:rsid w:val="008C4284"/>
    <w:rsid w:val="008C6A3D"/>
    <w:rsid w:val="008D276B"/>
    <w:rsid w:val="008D4FDC"/>
    <w:rsid w:val="008D5C51"/>
    <w:rsid w:val="008E4A61"/>
    <w:rsid w:val="008F2B67"/>
    <w:rsid w:val="008F780A"/>
    <w:rsid w:val="00907D63"/>
    <w:rsid w:val="009122F8"/>
    <w:rsid w:val="00913911"/>
    <w:rsid w:val="009217FD"/>
    <w:rsid w:val="00921A08"/>
    <w:rsid w:val="00927317"/>
    <w:rsid w:val="009302F2"/>
    <w:rsid w:val="00935482"/>
    <w:rsid w:val="009429E1"/>
    <w:rsid w:val="00944593"/>
    <w:rsid w:val="00946F59"/>
    <w:rsid w:val="00946F73"/>
    <w:rsid w:val="009521F6"/>
    <w:rsid w:val="0095715E"/>
    <w:rsid w:val="00965599"/>
    <w:rsid w:val="009662D3"/>
    <w:rsid w:val="00970029"/>
    <w:rsid w:val="00971497"/>
    <w:rsid w:val="00972DF9"/>
    <w:rsid w:val="009750C2"/>
    <w:rsid w:val="009806B8"/>
    <w:rsid w:val="009849E7"/>
    <w:rsid w:val="00992953"/>
    <w:rsid w:val="00992C49"/>
    <w:rsid w:val="009952EA"/>
    <w:rsid w:val="009A33C8"/>
    <w:rsid w:val="009A79D3"/>
    <w:rsid w:val="009B5707"/>
    <w:rsid w:val="009C19B5"/>
    <w:rsid w:val="009C588E"/>
    <w:rsid w:val="009D24EB"/>
    <w:rsid w:val="009D2D1C"/>
    <w:rsid w:val="009E3056"/>
    <w:rsid w:val="009E359A"/>
    <w:rsid w:val="009F0F19"/>
    <w:rsid w:val="009F1F1C"/>
    <w:rsid w:val="009F40DE"/>
    <w:rsid w:val="009F7316"/>
    <w:rsid w:val="009F7BFF"/>
    <w:rsid w:val="00A0019A"/>
    <w:rsid w:val="00A0059D"/>
    <w:rsid w:val="00A043C5"/>
    <w:rsid w:val="00A12797"/>
    <w:rsid w:val="00A15C8B"/>
    <w:rsid w:val="00A21029"/>
    <w:rsid w:val="00A211D2"/>
    <w:rsid w:val="00A347B3"/>
    <w:rsid w:val="00A441F3"/>
    <w:rsid w:val="00A603B8"/>
    <w:rsid w:val="00A63C1C"/>
    <w:rsid w:val="00A749BC"/>
    <w:rsid w:val="00A82DCD"/>
    <w:rsid w:val="00A87C19"/>
    <w:rsid w:val="00A90E5F"/>
    <w:rsid w:val="00A93F71"/>
    <w:rsid w:val="00A95157"/>
    <w:rsid w:val="00A96A52"/>
    <w:rsid w:val="00A973BA"/>
    <w:rsid w:val="00AA70EF"/>
    <w:rsid w:val="00AB4188"/>
    <w:rsid w:val="00AC03EC"/>
    <w:rsid w:val="00AC071D"/>
    <w:rsid w:val="00AC150F"/>
    <w:rsid w:val="00AE431C"/>
    <w:rsid w:val="00AE66C0"/>
    <w:rsid w:val="00B0359C"/>
    <w:rsid w:val="00B1027B"/>
    <w:rsid w:val="00B209CB"/>
    <w:rsid w:val="00B22857"/>
    <w:rsid w:val="00B23130"/>
    <w:rsid w:val="00B242C2"/>
    <w:rsid w:val="00B30EEF"/>
    <w:rsid w:val="00B34BF1"/>
    <w:rsid w:val="00B35065"/>
    <w:rsid w:val="00B35444"/>
    <w:rsid w:val="00B40CAF"/>
    <w:rsid w:val="00B45605"/>
    <w:rsid w:val="00B473A6"/>
    <w:rsid w:val="00B54914"/>
    <w:rsid w:val="00B54E9B"/>
    <w:rsid w:val="00B57F14"/>
    <w:rsid w:val="00B6205F"/>
    <w:rsid w:val="00B64D22"/>
    <w:rsid w:val="00B70FE4"/>
    <w:rsid w:val="00B72B8A"/>
    <w:rsid w:val="00B77C6F"/>
    <w:rsid w:val="00B82469"/>
    <w:rsid w:val="00B8299B"/>
    <w:rsid w:val="00B9691F"/>
    <w:rsid w:val="00BB542C"/>
    <w:rsid w:val="00BB67A9"/>
    <w:rsid w:val="00BB6B82"/>
    <w:rsid w:val="00BC6E9D"/>
    <w:rsid w:val="00BE492F"/>
    <w:rsid w:val="00BF4CC0"/>
    <w:rsid w:val="00C0123F"/>
    <w:rsid w:val="00C26989"/>
    <w:rsid w:val="00C3068A"/>
    <w:rsid w:val="00C52CDE"/>
    <w:rsid w:val="00C53824"/>
    <w:rsid w:val="00C54D23"/>
    <w:rsid w:val="00C5606F"/>
    <w:rsid w:val="00C56408"/>
    <w:rsid w:val="00C578FF"/>
    <w:rsid w:val="00C60848"/>
    <w:rsid w:val="00C633A1"/>
    <w:rsid w:val="00C650D9"/>
    <w:rsid w:val="00C6789C"/>
    <w:rsid w:val="00C71B30"/>
    <w:rsid w:val="00C760B9"/>
    <w:rsid w:val="00C82547"/>
    <w:rsid w:val="00C83F1A"/>
    <w:rsid w:val="00C91480"/>
    <w:rsid w:val="00C942C7"/>
    <w:rsid w:val="00CA102A"/>
    <w:rsid w:val="00CA2E3C"/>
    <w:rsid w:val="00CA4CB3"/>
    <w:rsid w:val="00CB0ACB"/>
    <w:rsid w:val="00CB575B"/>
    <w:rsid w:val="00CB7EBF"/>
    <w:rsid w:val="00CC038D"/>
    <w:rsid w:val="00CC0FBA"/>
    <w:rsid w:val="00CC117B"/>
    <w:rsid w:val="00CC39CA"/>
    <w:rsid w:val="00CD67B1"/>
    <w:rsid w:val="00D062EB"/>
    <w:rsid w:val="00D1643D"/>
    <w:rsid w:val="00D304A2"/>
    <w:rsid w:val="00D378DE"/>
    <w:rsid w:val="00D50D70"/>
    <w:rsid w:val="00D519E9"/>
    <w:rsid w:val="00D52DA6"/>
    <w:rsid w:val="00D54B40"/>
    <w:rsid w:val="00D6303F"/>
    <w:rsid w:val="00D721F6"/>
    <w:rsid w:val="00D73F7E"/>
    <w:rsid w:val="00D74F63"/>
    <w:rsid w:val="00D86AC8"/>
    <w:rsid w:val="00D954F0"/>
    <w:rsid w:val="00D977FD"/>
    <w:rsid w:val="00DA0F62"/>
    <w:rsid w:val="00DA143F"/>
    <w:rsid w:val="00DA4795"/>
    <w:rsid w:val="00DA4995"/>
    <w:rsid w:val="00DA6A8C"/>
    <w:rsid w:val="00DA7600"/>
    <w:rsid w:val="00DA76CE"/>
    <w:rsid w:val="00DB283E"/>
    <w:rsid w:val="00DC0D7C"/>
    <w:rsid w:val="00DC25E5"/>
    <w:rsid w:val="00DD2323"/>
    <w:rsid w:val="00E002BC"/>
    <w:rsid w:val="00E02EBA"/>
    <w:rsid w:val="00E053E6"/>
    <w:rsid w:val="00E062C7"/>
    <w:rsid w:val="00E1078E"/>
    <w:rsid w:val="00E162A3"/>
    <w:rsid w:val="00E2047F"/>
    <w:rsid w:val="00E230A4"/>
    <w:rsid w:val="00E36EC6"/>
    <w:rsid w:val="00E37E06"/>
    <w:rsid w:val="00E41729"/>
    <w:rsid w:val="00E42EB1"/>
    <w:rsid w:val="00E43B01"/>
    <w:rsid w:val="00E45CA6"/>
    <w:rsid w:val="00E4709C"/>
    <w:rsid w:val="00E479C2"/>
    <w:rsid w:val="00E52859"/>
    <w:rsid w:val="00E615C3"/>
    <w:rsid w:val="00E67445"/>
    <w:rsid w:val="00E70788"/>
    <w:rsid w:val="00E7162B"/>
    <w:rsid w:val="00E76F42"/>
    <w:rsid w:val="00E8260D"/>
    <w:rsid w:val="00E828C5"/>
    <w:rsid w:val="00E84239"/>
    <w:rsid w:val="00E93C7C"/>
    <w:rsid w:val="00E964DF"/>
    <w:rsid w:val="00EA0631"/>
    <w:rsid w:val="00EA2615"/>
    <w:rsid w:val="00EA4A49"/>
    <w:rsid w:val="00EB64FD"/>
    <w:rsid w:val="00EC0FED"/>
    <w:rsid w:val="00EC1F89"/>
    <w:rsid w:val="00EC6045"/>
    <w:rsid w:val="00EF1295"/>
    <w:rsid w:val="00EF507A"/>
    <w:rsid w:val="00EF6FE9"/>
    <w:rsid w:val="00F069D2"/>
    <w:rsid w:val="00F06C3E"/>
    <w:rsid w:val="00F11C81"/>
    <w:rsid w:val="00F11C94"/>
    <w:rsid w:val="00F22035"/>
    <w:rsid w:val="00F27096"/>
    <w:rsid w:val="00F307FD"/>
    <w:rsid w:val="00F33D50"/>
    <w:rsid w:val="00F372AA"/>
    <w:rsid w:val="00F44608"/>
    <w:rsid w:val="00F52487"/>
    <w:rsid w:val="00F644CB"/>
    <w:rsid w:val="00F71AF3"/>
    <w:rsid w:val="00F740C5"/>
    <w:rsid w:val="00F7791F"/>
    <w:rsid w:val="00F8279B"/>
    <w:rsid w:val="00F83804"/>
    <w:rsid w:val="00F872B0"/>
    <w:rsid w:val="00F91692"/>
    <w:rsid w:val="00FA2C9C"/>
    <w:rsid w:val="00FA4503"/>
    <w:rsid w:val="00FB27F9"/>
    <w:rsid w:val="00FC208B"/>
    <w:rsid w:val="00FC211D"/>
    <w:rsid w:val="00FD1416"/>
    <w:rsid w:val="00FD1F16"/>
    <w:rsid w:val="00FD400A"/>
    <w:rsid w:val="00FD6A55"/>
    <w:rsid w:val="00FE0027"/>
    <w:rsid w:val="00FF39B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2A807"/>
  <w15:chartTrackingRefBased/>
  <w15:docId w15:val="{7A264976-CD1D-4D69-8764-685091DC5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C64E7"/>
    <w:pPr>
      <w:autoSpaceDE w:val="0"/>
      <w:autoSpaceDN w:val="0"/>
      <w:spacing w:after="0" w:line="360" w:lineRule="auto"/>
      <w:jc w:val="both"/>
    </w:pPr>
    <w:rPr>
      <w:rFonts w:ascii="Times New Roman" w:eastAsia="Times New Roman" w:hAnsi="Times New Roman" w:cs="Times New Roman"/>
      <w:kern w:val="0"/>
      <w:sz w:val="24"/>
      <w:szCs w:val="24"/>
      <w:lang w:val="en-US"/>
      <w14:ligatures w14:val="none"/>
    </w:rPr>
  </w:style>
  <w:style w:type="paragraph" w:styleId="Nagwek1">
    <w:name w:val="heading 1"/>
    <w:basedOn w:val="Akapitzlist"/>
    <w:next w:val="Normalny"/>
    <w:link w:val="Nagwek1Znak"/>
    <w:uiPriority w:val="9"/>
    <w:qFormat/>
    <w:rsid w:val="002C64E7"/>
    <w:pPr>
      <w:numPr>
        <w:numId w:val="3"/>
      </w:numPr>
      <w:spacing w:before="360"/>
      <w:outlineLvl w:val="0"/>
    </w:pPr>
    <w:rPr>
      <w:b/>
    </w:rPr>
  </w:style>
  <w:style w:type="paragraph" w:styleId="Nagwek2">
    <w:name w:val="heading 2"/>
    <w:basedOn w:val="TTPParagraph1st"/>
    <w:next w:val="Normalny"/>
    <w:link w:val="Nagwek2Znak"/>
    <w:uiPriority w:val="9"/>
    <w:unhideWhenUsed/>
    <w:qFormat/>
    <w:rsid w:val="00E964DF"/>
    <w:pPr>
      <w:numPr>
        <w:ilvl w:val="1"/>
        <w:numId w:val="3"/>
      </w:numPr>
      <w:spacing w:before="360" w:line="360" w:lineRule="auto"/>
      <w:ind w:left="357" w:hanging="357"/>
      <w:outlineLvl w:val="1"/>
    </w:pPr>
    <w:rPr>
      <w:b/>
      <w:bCs/>
    </w:rPr>
  </w:style>
  <w:style w:type="paragraph" w:styleId="Nagwek3">
    <w:name w:val="heading 3"/>
    <w:basedOn w:val="TTPParagraph1st"/>
    <w:next w:val="Normalny"/>
    <w:link w:val="Nagwek3Znak"/>
    <w:uiPriority w:val="9"/>
    <w:unhideWhenUsed/>
    <w:qFormat/>
    <w:rsid w:val="0080238F"/>
    <w:pPr>
      <w:numPr>
        <w:ilvl w:val="2"/>
        <w:numId w:val="3"/>
      </w:numPr>
      <w:spacing w:before="360" w:line="360" w:lineRule="auto"/>
      <w:ind w:left="720"/>
      <w:jc w:val="left"/>
      <w:outlineLvl w:val="2"/>
    </w:pPr>
    <w:rPr>
      <w:b/>
      <w:bCs/>
    </w:rPr>
  </w:style>
  <w:style w:type="paragraph" w:styleId="Nagwek4">
    <w:name w:val="heading 4"/>
    <w:basedOn w:val="Normalny"/>
    <w:next w:val="Normalny"/>
    <w:link w:val="Nagwek4Znak"/>
    <w:uiPriority w:val="9"/>
    <w:semiHidden/>
    <w:unhideWhenUsed/>
    <w:qFormat/>
    <w:rsid w:val="00A0019A"/>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A0019A"/>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A0019A"/>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0019A"/>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0019A"/>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0019A"/>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C64E7"/>
    <w:rPr>
      <w:rFonts w:ascii="Times New Roman" w:eastAsia="Times New Roman" w:hAnsi="Times New Roman" w:cs="Times New Roman"/>
      <w:b/>
      <w:kern w:val="0"/>
      <w:sz w:val="24"/>
      <w:szCs w:val="24"/>
      <w:lang w:val="en-US"/>
      <w14:ligatures w14:val="none"/>
    </w:rPr>
  </w:style>
  <w:style w:type="character" w:customStyle="1" w:styleId="Nagwek2Znak">
    <w:name w:val="Nagłówek 2 Znak"/>
    <w:basedOn w:val="Domylnaczcionkaakapitu"/>
    <w:link w:val="Nagwek2"/>
    <w:uiPriority w:val="9"/>
    <w:rsid w:val="00E964DF"/>
    <w:rPr>
      <w:rFonts w:ascii="Times New Roman" w:eastAsia="Times New Roman" w:hAnsi="Times New Roman" w:cs="Times New Roman"/>
      <w:b/>
      <w:bCs/>
      <w:kern w:val="0"/>
      <w:sz w:val="24"/>
      <w:szCs w:val="24"/>
      <w:lang w:val="en-US"/>
      <w14:ligatures w14:val="none"/>
    </w:rPr>
  </w:style>
  <w:style w:type="character" w:customStyle="1" w:styleId="Nagwek3Znak">
    <w:name w:val="Nagłówek 3 Znak"/>
    <w:basedOn w:val="Domylnaczcionkaakapitu"/>
    <w:link w:val="Nagwek3"/>
    <w:uiPriority w:val="9"/>
    <w:rsid w:val="0080238F"/>
    <w:rPr>
      <w:rFonts w:ascii="Times New Roman" w:eastAsia="Times New Roman" w:hAnsi="Times New Roman" w:cs="Times New Roman"/>
      <w:b/>
      <w:bCs/>
      <w:kern w:val="0"/>
      <w:sz w:val="24"/>
      <w:szCs w:val="24"/>
      <w:lang w:val="en-US"/>
      <w14:ligatures w14:val="none"/>
    </w:rPr>
  </w:style>
  <w:style w:type="character" w:customStyle="1" w:styleId="Nagwek4Znak">
    <w:name w:val="Nagłówek 4 Znak"/>
    <w:basedOn w:val="Domylnaczcionkaakapitu"/>
    <w:link w:val="Nagwek4"/>
    <w:uiPriority w:val="9"/>
    <w:semiHidden/>
    <w:rsid w:val="00A0019A"/>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A0019A"/>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A0019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0019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0019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0019A"/>
    <w:rPr>
      <w:rFonts w:eastAsiaTheme="majorEastAsia" w:cstheme="majorBidi"/>
      <w:color w:val="272727" w:themeColor="text1" w:themeTint="D8"/>
    </w:rPr>
  </w:style>
  <w:style w:type="paragraph" w:styleId="Tytu">
    <w:name w:val="Title"/>
    <w:basedOn w:val="Normalny"/>
    <w:next w:val="Normalny"/>
    <w:link w:val="TytuZnak"/>
    <w:uiPriority w:val="10"/>
    <w:qFormat/>
    <w:rsid w:val="002D002F"/>
    <w:pPr>
      <w:spacing w:before="240" w:line="240" w:lineRule="auto"/>
      <w:jc w:val="center"/>
    </w:pPr>
    <w:rPr>
      <w:b/>
      <w:bCs/>
      <w:sz w:val="28"/>
      <w:szCs w:val="28"/>
    </w:rPr>
  </w:style>
  <w:style w:type="character" w:customStyle="1" w:styleId="TytuZnak">
    <w:name w:val="Tytuł Znak"/>
    <w:basedOn w:val="Domylnaczcionkaakapitu"/>
    <w:link w:val="Tytu"/>
    <w:uiPriority w:val="10"/>
    <w:rsid w:val="002D002F"/>
    <w:rPr>
      <w:rFonts w:ascii="Times New Roman" w:eastAsia="Times New Roman" w:hAnsi="Times New Roman" w:cs="Times New Roman"/>
      <w:b/>
      <w:bCs/>
      <w:kern w:val="0"/>
      <w:sz w:val="28"/>
      <w:szCs w:val="28"/>
      <w:lang w:val="en-US"/>
      <w14:ligatures w14:val="none"/>
    </w:rPr>
  </w:style>
  <w:style w:type="paragraph" w:styleId="Podtytu">
    <w:name w:val="Subtitle"/>
    <w:basedOn w:val="Normalny"/>
    <w:next w:val="Normalny"/>
    <w:link w:val="PodtytuZnak"/>
    <w:uiPriority w:val="11"/>
    <w:qFormat/>
    <w:rsid w:val="00A0019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0019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0019A"/>
    <w:pPr>
      <w:spacing w:before="160"/>
      <w:jc w:val="center"/>
    </w:pPr>
    <w:rPr>
      <w:i/>
      <w:iCs/>
      <w:color w:val="404040" w:themeColor="text1" w:themeTint="BF"/>
    </w:rPr>
  </w:style>
  <w:style w:type="character" w:customStyle="1" w:styleId="CytatZnak">
    <w:name w:val="Cytat Znak"/>
    <w:basedOn w:val="Domylnaczcionkaakapitu"/>
    <w:link w:val="Cytat"/>
    <w:uiPriority w:val="29"/>
    <w:rsid w:val="00A0019A"/>
    <w:rPr>
      <w:i/>
      <w:iCs/>
      <w:color w:val="404040" w:themeColor="text1" w:themeTint="BF"/>
    </w:rPr>
  </w:style>
  <w:style w:type="paragraph" w:styleId="Akapitzlist">
    <w:name w:val="List Paragraph"/>
    <w:basedOn w:val="Normalny"/>
    <w:uiPriority w:val="34"/>
    <w:qFormat/>
    <w:rsid w:val="00A0019A"/>
    <w:pPr>
      <w:ind w:left="720"/>
      <w:contextualSpacing/>
    </w:pPr>
  </w:style>
  <w:style w:type="character" w:styleId="Wyrnienieintensywne">
    <w:name w:val="Intense Emphasis"/>
    <w:basedOn w:val="Domylnaczcionkaakapitu"/>
    <w:uiPriority w:val="21"/>
    <w:qFormat/>
    <w:rsid w:val="00A0019A"/>
    <w:rPr>
      <w:i/>
      <w:iCs/>
      <w:color w:val="0F4761" w:themeColor="accent1" w:themeShade="BF"/>
    </w:rPr>
  </w:style>
  <w:style w:type="paragraph" w:styleId="Cytatintensywny">
    <w:name w:val="Intense Quote"/>
    <w:basedOn w:val="Normalny"/>
    <w:next w:val="Normalny"/>
    <w:link w:val="CytatintensywnyZnak"/>
    <w:uiPriority w:val="30"/>
    <w:qFormat/>
    <w:rsid w:val="00A001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A0019A"/>
    <w:rPr>
      <w:i/>
      <w:iCs/>
      <w:color w:val="0F4761" w:themeColor="accent1" w:themeShade="BF"/>
    </w:rPr>
  </w:style>
  <w:style w:type="character" w:styleId="Odwoanieintensywne">
    <w:name w:val="Intense Reference"/>
    <w:basedOn w:val="Domylnaczcionkaakapitu"/>
    <w:uiPriority w:val="32"/>
    <w:qFormat/>
    <w:rsid w:val="00A0019A"/>
    <w:rPr>
      <w:b/>
      <w:bCs/>
      <w:smallCaps/>
      <w:color w:val="0F4761" w:themeColor="accent1" w:themeShade="BF"/>
      <w:spacing w:val="5"/>
    </w:rPr>
  </w:style>
  <w:style w:type="paragraph" w:customStyle="1" w:styleId="TTPAbstract">
    <w:name w:val="TTP Abstract"/>
    <w:basedOn w:val="Normalny"/>
    <w:next w:val="Normalny"/>
    <w:uiPriority w:val="99"/>
    <w:rsid w:val="002D002F"/>
    <w:pPr>
      <w:spacing w:before="360" w:line="240" w:lineRule="auto"/>
    </w:pPr>
  </w:style>
  <w:style w:type="paragraph" w:customStyle="1" w:styleId="TTPSectionHeading">
    <w:name w:val="TTP Section Heading"/>
    <w:basedOn w:val="Normalny"/>
    <w:next w:val="Normalny"/>
    <w:uiPriority w:val="99"/>
    <w:rsid w:val="002C64E7"/>
    <w:pPr>
      <w:spacing w:before="360" w:after="120" w:line="240" w:lineRule="auto"/>
    </w:pPr>
    <w:rPr>
      <w:b/>
      <w:bCs/>
    </w:rPr>
  </w:style>
  <w:style w:type="character" w:styleId="Hipercze">
    <w:name w:val="Hyperlink"/>
    <w:basedOn w:val="Domylnaczcionkaakapitu"/>
    <w:uiPriority w:val="99"/>
    <w:unhideWhenUsed/>
    <w:rsid w:val="00B57F14"/>
    <w:rPr>
      <w:color w:val="467886" w:themeColor="hyperlink"/>
      <w:u w:val="single"/>
    </w:rPr>
  </w:style>
  <w:style w:type="character" w:customStyle="1" w:styleId="Nevyeenzmnka1">
    <w:name w:val="Nevyřešená zmínka1"/>
    <w:basedOn w:val="Domylnaczcionkaakapitu"/>
    <w:uiPriority w:val="99"/>
    <w:semiHidden/>
    <w:unhideWhenUsed/>
    <w:rsid w:val="00B57F14"/>
    <w:rPr>
      <w:color w:val="605E5C"/>
      <w:shd w:val="clear" w:color="auto" w:fill="E1DFDD"/>
    </w:rPr>
  </w:style>
  <w:style w:type="paragraph" w:customStyle="1" w:styleId="TTPParagraph1st">
    <w:name w:val="TTP Paragraph (1st)"/>
    <w:basedOn w:val="Normalny"/>
    <w:next w:val="Normalny"/>
    <w:uiPriority w:val="99"/>
    <w:rsid w:val="00780F16"/>
    <w:pPr>
      <w:spacing w:line="240" w:lineRule="auto"/>
    </w:pPr>
  </w:style>
  <w:style w:type="table" w:styleId="Zwykatabela5">
    <w:name w:val="Plain Table 5"/>
    <w:basedOn w:val="Standardowy"/>
    <w:uiPriority w:val="45"/>
    <w:rsid w:val="007D0FF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PPAuthors">
    <w:name w:val="PP Authors"/>
    <w:basedOn w:val="Normalny"/>
    <w:rsid w:val="00D977FD"/>
    <w:pPr>
      <w:autoSpaceDE/>
      <w:autoSpaceDN/>
      <w:spacing w:after="120" w:line="280" w:lineRule="exact"/>
      <w:jc w:val="left"/>
    </w:pPr>
    <w:rPr>
      <w:rFonts w:ascii="Open Sans" w:eastAsiaTheme="minorHAnsi" w:hAnsi="Open Sans" w:cstheme="minorHAnsi"/>
      <w:sz w:val="22"/>
      <w:szCs w:val="22"/>
    </w:rPr>
  </w:style>
  <w:style w:type="paragraph" w:customStyle="1" w:styleId="PPAffiliation">
    <w:name w:val="PP Affiliation"/>
    <w:basedOn w:val="Normalny"/>
    <w:rsid w:val="00D977FD"/>
    <w:pPr>
      <w:autoSpaceDE/>
      <w:autoSpaceDN/>
      <w:spacing w:line="220" w:lineRule="exact"/>
      <w:ind w:left="113" w:hanging="113"/>
      <w:jc w:val="left"/>
    </w:pPr>
    <w:rPr>
      <w:rFonts w:ascii="Open Sans" w:eastAsiaTheme="minorHAnsi" w:hAnsi="Open Sans" w:cstheme="minorHAnsi"/>
      <w:sz w:val="16"/>
      <w:szCs w:val="22"/>
    </w:rPr>
  </w:style>
  <w:style w:type="character" w:styleId="Odwoaniedokomentarza">
    <w:name w:val="annotation reference"/>
    <w:basedOn w:val="Domylnaczcionkaakapitu"/>
    <w:uiPriority w:val="99"/>
    <w:semiHidden/>
    <w:unhideWhenUsed/>
    <w:rsid w:val="00DA4995"/>
    <w:rPr>
      <w:sz w:val="16"/>
      <w:szCs w:val="16"/>
    </w:rPr>
  </w:style>
  <w:style w:type="paragraph" w:styleId="Tekstkomentarza">
    <w:name w:val="annotation text"/>
    <w:basedOn w:val="Normalny"/>
    <w:link w:val="TekstkomentarzaZnak"/>
    <w:uiPriority w:val="99"/>
    <w:semiHidden/>
    <w:unhideWhenUsed/>
    <w:rsid w:val="00DA499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A4995"/>
    <w:rPr>
      <w:rFonts w:ascii="Times New Roman" w:eastAsia="Times New Roman" w:hAnsi="Times New Roman" w:cs="Times New Roman"/>
      <w:kern w:val="0"/>
      <w:sz w:val="20"/>
      <w:szCs w:val="20"/>
      <w:lang w:val="en-US"/>
      <w14:ligatures w14:val="none"/>
    </w:rPr>
  </w:style>
  <w:style w:type="paragraph" w:styleId="Tematkomentarza">
    <w:name w:val="annotation subject"/>
    <w:basedOn w:val="Tekstkomentarza"/>
    <w:next w:val="Tekstkomentarza"/>
    <w:link w:val="TematkomentarzaZnak"/>
    <w:uiPriority w:val="99"/>
    <w:semiHidden/>
    <w:unhideWhenUsed/>
    <w:rsid w:val="00DA4995"/>
    <w:rPr>
      <w:b/>
      <w:bCs/>
    </w:rPr>
  </w:style>
  <w:style w:type="character" w:customStyle="1" w:styleId="TematkomentarzaZnak">
    <w:name w:val="Temat komentarza Znak"/>
    <w:basedOn w:val="TekstkomentarzaZnak"/>
    <w:link w:val="Tematkomentarza"/>
    <w:uiPriority w:val="99"/>
    <w:semiHidden/>
    <w:rsid w:val="00DA4995"/>
    <w:rPr>
      <w:rFonts w:ascii="Times New Roman" w:eastAsia="Times New Roman" w:hAnsi="Times New Roman" w:cs="Times New Roman"/>
      <w:b/>
      <w:bCs/>
      <w:kern w:val="0"/>
      <w:sz w:val="20"/>
      <w:szCs w:val="20"/>
      <w:lang w:val="en-US"/>
      <w14:ligatures w14:val="none"/>
    </w:rPr>
  </w:style>
  <w:style w:type="paragraph" w:styleId="Nagwek">
    <w:name w:val="header"/>
    <w:basedOn w:val="Normalny"/>
    <w:link w:val="NagwekZnak"/>
    <w:uiPriority w:val="99"/>
    <w:unhideWhenUsed/>
    <w:rsid w:val="002A2F5D"/>
    <w:pPr>
      <w:tabs>
        <w:tab w:val="center" w:pos="4536"/>
        <w:tab w:val="right" w:pos="9072"/>
      </w:tabs>
      <w:spacing w:line="240" w:lineRule="auto"/>
    </w:pPr>
  </w:style>
  <w:style w:type="character" w:customStyle="1" w:styleId="NagwekZnak">
    <w:name w:val="Nagłówek Znak"/>
    <w:basedOn w:val="Domylnaczcionkaakapitu"/>
    <w:link w:val="Nagwek"/>
    <w:uiPriority w:val="99"/>
    <w:rsid w:val="002A2F5D"/>
    <w:rPr>
      <w:rFonts w:ascii="Times New Roman" w:eastAsia="Times New Roman" w:hAnsi="Times New Roman" w:cs="Times New Roman"/>
      <w:kern w:val="0"/>
      <w:sz w:val="24"/>
      <w:szCs w:val="24"/>
      <w:lang w:val="en-US"/>
      <w14:ligatures w14:val="none"/>
    </w:rPr>
  </w:style>
  <w:style w:type="paragraph" w:styleId="Stopka">
    <w:name w:val="footer"/>
    <w:basedOn w:val="Normalny"/>
    <w:link w:val="StopkaZnak"/>
    <w:uiPriority w:val="99"/>
    <w:unhideWhenUsed/>
    <w:rsid w:val="002A2F5D"/>
    <w:pPr>
      <w:tabs>
        <w:tab w:val="center" w:pos="4536"/>
        <w:tab w:val="right" w:pos="9072"/>
      </w:tabs>
      <w:spacing w:line="240" w:lineRule="auto"/>
    </w:pPr>
  </w:style>
  <w:style w:type="character" w:customStyle="1" w:styleId="StopkaZnak">
    <w:name w:val="Stopka Znak"/>
    <w:basedOn w:val="Domylnaczcionkaakapitu"/>
    <w:link w:val="Stopka"/>
    <w:uiPriority w:val="99"/>
    <w:rsid w:val="002A2F5D"/>
    <w:rPr>
      <w:rFonts w:ascii="Times New Roman" w:eastAsia="Times New Roman" w:hAnsi="Times New Roman" w:cs="Times New Roman"/>
      <w:kern w:val="0"/>
      <w:sz w:val="24"/>
      <w:szCs w:val="24"/>
      <w:lang w:val="en-US"/>
      <w14:ligatures w14:val="none"/>
    </w:rPr>
  </w:style>
  <w:style w:type="paragraph" w:customStyle="1" w:styleId="SpisLiteratury">
    <w:name w:val="Spis Literatury"/>
    <w:basedOn w:val="Normalny"/>
    <w:qFormat/>
    <w:rsid w:val="00BB67A9"/>
    <w:pPr>
      <w:autoSpaceDE/>
      <w:autoSpaceDN/>
      <w:spacing w:line="240" w:lineRule="auto"/>
      <w:ind w:left="425" w:hanging="425"/>
    </w:pPr>
    <w:rPr>
      <w:rFonts w:eastAsiaTheme="minorHAnsi" w:cstheme="minorBidi"/>
      <w:kern w:val="2"/>
      <w:sz w:val="20"/>
      <w:szCs w:val="22"/>
      <w:lang w:val="pl-PL"/>
      <w14:ligatures w14:val="standardContextual"/>
    </w:rPr>
  </w:style>
  <w:style w:type="paragraph" w:styleId="Poprawka">
    <w:name w:val="Revision"/>
    <w:hidden/>
    <w:uiPriority w:val="99"/>
    <w:semiHidden/>
    <w:rsid w:val="00D062EB"/>
    <w:pPr>
      <w:spacing w:after="0" w:line="240" w:lineRule="auto"/>
    </w:pPr>
    <w:rPr>
      <w:rFonts w:ascii="Times New Roman" w:eastAsia="Times New Roman" w:hAnsi="Times New Roman" w:cs="Times New Roman"/>
      <w:kern w:val="0"/>
      <w:sz w:val="24"/>
      <w:szCs w:val="24"/>
      <w:lang w:val="en-US"/>
      <w14:ligatures w14:val="none"/>
    </w:rPr>
  </w:style>
  <w:style w:type="paragraph" w:styleId="NormalnyWeb">
    <w:name w:val="Normal (Web)"/>
    <w:basedOn w:val="Normalny"/>
    <w:uiPriority w:val="99"/>
    <w:semiHidden/>
    <w:unhideWhenUsed/>
    <w:rsid w:val="00D062EB"/>
  </w:style>
  <w:style w:type="paragraph" w:styleId="Tekstdymka">
    <w:name w:val="Balloon Text"/>
    <w:basedOn w:val="Normalny"/>
    <w:link w:val="TekstdymkaZnak"/>
    <w:uiPriority w:val="99"/>
    <w:semiHidden/>
    <w:unhideWhenUsed/>
    <w:rsid w:val="0006512B"/>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6512B"/>
    <w:rPr>
      <w:rFonts w:ascii="Segoe UI" w:eastAsia="Times New Roman" w:hAnsi="Segoe UI" w:cs="Segoe UI"/>
      <w:kern w:val="0"/>
      <w:sz w:val="18"/>
      <w:szCs w:val="18"/>
      <w:lang w:val="en-US"/>
      <w14:ligatures w14:val="none"/>
    </w:rPr>
  </w:style>
  <w:style w:type="character" w:customStyle="1" w:styleId="Nierozpoznanawzmianka1">
    <w:name w:val="Nierozpoznana wzmianka1"/>
    <w:basedOn w:val="Domylnaczcionkaakapitu"/>
    <w:uiPriority w:val="99"/>
    <w:semiHidden/>
    <w:unhideWhenUsed/>
    <w:rsid w:val="00D304A2"/>
    <w:rPr>
      <w:color w:val="605E5C"/>
      <w:shd w:val="clear" w:color="auto" w:fill="E1DFDD"/>
    </w:rPr>
  </w:style>
  <w:style w:type="paragraph" w:styleId="Legenda">
    <w:name w:val="caption"/>
    <w:aliases w:val="Popis_orázok"/>
    <w:basedOn w:val="Normalny"/>
    <w:next w:val="Normalny"/>
    <w:link w:val="LegendaZnak"/>
    <w:unhideWhenUsed/>
    <w:rsid w:val="007338F2"/>
    <w:pPr>
      <w:autoSpaceDE/>
      <w:autoSpaceDN/>
      <w:spacing w:after="200" w:line="240" w:lineRule="auto"/>
      <w:contextualSpacing/>
    </w:pPr>
    <w:rPr>
      <w:b/>
      <w:bCs/>
      <w:color w:val="4F81BD"/>
      <w:sz w:val="18"/>
      <w:szCs w:val="18"/>
      <w:lang w:val="sk-SK" w:eastAsia="sk-SK"/>
    </w:rPr>
  </w:style>
  <w:style w:type="character" w:customStyle="1" w:styleId="LegendaZnak">
    <w:name w:val="Legenda Znak"/>
    <w:aliases w:val="Popis_orázok Znak"/>
    <w:link w:val="Legenda"/>
    <w:uiPriority w:val="35"/>
    <w:rsid w:val="007338F2"/>
    <w:rPr>
      <w:rFonts w:ascii="Times New Roman" w:eastAsia="Times New Roman" w:hAnsi="Times New Roman" w:cs="Times New Roman"/>
      <w:b/>
      <w:bCs/>
      <w:color w:val="4F81BD"/>
      <w:kern w:val="0"/>
      <w:sz w:val="18"/>
      <w:szCs w:val="18"/>
      <w:lang w:val="sk-SK" w:eastAsia="sk-SK"/>
      <w14:ligatures w14:val="none"/>
    </w:rPr>
  </w:style>
  <w:style w:type="paragraph" w:customStyle="1" w:styleId="AAENormaltext">
    <w:name w:val="AAE_Normal text"/>
    <w:basedOn w:val="Normalny"/>
    <w:link w:val="AAENormaltextZnak"/>
    <w:rsid w:val="0095715E"/>
    <w:pPr>
      <w:autoSpaceDE/>
      <w:autoSpaceDN/>
      <w:spacing w:after="120" w:line="240" w:lineRule="auto"/>
    </w:pPr>
    <w:rPr>
      <w:bCs/>
      <w:sz w:val="22"/>
      <w:szCs w:val="22"/>
      <w:lang w:val="pl-PL" w:eastAsia="pl-PL"/>
    </w:rPr>
  </w:style>
  <w:style w:type="character" w:customStyle="1" w:styleId="AAENormaltextZnak">
    <w:name w:val="AAE_Normal text Znak"/>
    <w:link w:val="AAENormaltext"/>
    <w:rsid w:val="0095715E"/>
    <w:rPr>
      <w:rFonts w:ascii="Times New Roman" w:eastAsia="Times New Roman" w:hAnsi="Times New Roman" w:cs="Times New Roman"/>
      <w:bCs/>
      <w:kern w:val="0"/>
      <w:lang w:val="pl-PL" w:eastAsia="pl-PL"/>
      <w14:ligatures w14:val="none"/>
    </w:rPr>
  </w:style>
  <w:style w:type="paragraph" w:customStyle="1" w:styleId="bodytext">
    <w:name w:val="bodytext"/>
    <w:basedOn w:val="Normalny"/>
    <w:link w:val="bodytextZnak"/>
    <w:rsid w:val="0095715E"/>
    <w:pPr>
      <w:autoSpaceDE/>
      <w:autoSpaceDN/>
      <w:spacing w:before="100" w:beforeAutospacing="1" w:after="100" w:afterAutospacing="1" w:line="240" w:lineRule="auto"/>
      <w:jc w:val="left"/>
    </w:pPr>
    <w:rPr>
      <w:lang w:val="sk-SK" w:eastAsia="sk-SK"/>
    </w:rPr>
  </w:style>
  <w:style w:type="paragraph" w:customStyle="1" w:styleId="AAEEQ">
    <w:name w:val="AAE_EQ"/>
    <w:basedOn w:val="bodytext"/>
    <w:link w:val="AAEEQZnak"/>
    <w:rsid w:val="0095715E"/>
    <w:pPr>
      <w:tabs>
        <w:tab w:val="left" w:pos="0"/>
        <w:tab w:val="right" w:pos="9072"/>
      </w:tabs>
      <w:spacing w:before="120" w:beforeAutospacing="0" w:after="240" w:afterAutospacing="0"/>
      <w:jc w:val="both"/>
    </w:pPr>
    <w:rPr>
      <w:snapToGrid w:val="0"/>
      <w:szCs w:val="20"/>
      <w:lang w:val="en-GB" w:eastAsia="pl-PL"/>
    </w:rPr>
  </w:style>
  <w:style w:type="character" w:customStyle="1" w:styleId="bodytextZnak">
    <w:name w:val="bodytext Znak"/>
    <w:basedOn w:val="Domylnaczcionkaakapitu"/>
    <w:link w:val="bodytext"/>
    <w:rsid w:val="0095715E"/>
    <w:rPr>
      <w:rFonts w:ascii="Times New Roman" w:eastAsia="Times New Roman" w:hAnsi="Times New Roman" w:cs="Times New Roman"/>
      <w:kern w:val="0"/>
      <w:sz w:val="24"/>
      <w:szCs w:val="24"/>
      <w:lang w:val="sk-SK" w:eastAsia="sk-SK"/>
      <w14:ligatures w14:val="none"/>
    </w:rPr>
  </w:style>
  <w:style w:type="character" w:customStyle="1" w:styleId="AAEEQZnak">
    <w:name w:val="AAE_EQ Znak"/>
    <w:basedOn w:val="bodytextZnak"/>
    <w:link w:val="AAEEQ"/>
    <w:rsid w:val="0095715E"/>
    <w:rPr>
      <w:rFonts w:ascii="Times New Roman" w:eastAsia="Times New Roman" w:hAnsi="Times New Roman" w:cs="Times New Roman"/>
      <w:snapToGrid w:val="0"/>
      <w:kern w:val="0"/>
      <w:sz w:val="24"/>
      <w:szCs w:val="20"/>
      <w:lang w:val="en-GB" w:eastAsia="pl-PL"/>
      <w14:ligatures w14:val="none"/>
    </w:rPr>
  </w:style>
  <w:style w:type="paragraph" w:customStyle="1" w:styleId="MDPI31text">
    <w:name w:val="MDPI_3.1_text"/>
    <w:rsid w:val="009806B8"/>
    <w:pPr>
      <w:adjustRightInd w:val="0"/>
      <w:snapToGrid w:val="0"/>
      <w:spacing w:after="0" w:line="280" w:lineRule="atLeast"/>
      <w:ind w:left="2608" w:firstLine="425"/>
      <w:jc w:val="both"/>
    </w:pPr>
    <w:rPr>
      <w:rFonts w:ascii="Palatino Linotype" w:eastAsia="Times New Roman" w:hAnsi="Palatino Linotype" w:cs="Times New Roman"/>
      <w:snapToGrid w:val="0"/>
      <w:color w:val="000000"/>
      <w:kern w:val="0"/>
      <w:sz w:val="20"/>
      <w:lang w:val="en-US" w:eastAsia="de-DE" w:bidi="en-US"/>
      <w14:ligatures w14:val="none"/>
    </w:rPr>
  </w:style>
  <w:style w:type="paragraph" w:customStyle="1" w:styleId="MDPI411onetablecaption">
    <w:name w:val="MDPI_4.1.1_one_table_caption"/>
    <w:rsid w:val="009662D3"/>
    <w:pPr>
      <w:adjustRightInd w:val="0"/>
      <w:snapToGrid w:val="0"/>
      <w:spacing w:before="240" w:after="120" w:line="280" w:lineRule="atLeast"/>
      <w:jc w:val="center"/>
    </w:pPr>
    <w:rPr>
      <w:rFonts w:ascii="Palatino Linotype" w:eastAsia="SimSun" w:hAnsi="Palatino Linotype" w:cs="Cordia New"/>
      <w:noProof/>
      <w:color w:val="000000"/>
      <w:kern w:val="0"/>
      <w:sz w:val="18"/>
      <w:lang w:val="en-US" w:eastAsia="zh-CN" w:bidi="en-US"/>
      <w14:ligatures w14:val="none"/>
    </w:rPr>
  </w:style>
  <w:style w:type="paragraph" w:customStyle="1" w:styleId="MDPI51figurecaption">
    <w:name w:val="MDPI_5.1_figure_caption"/>
    <w:rsid w:val="009662D3"/>
    <w:pPr>
      <w:adjustRightInd w:val="0"/>
      <w:snapToGrid w:val="0"/>
      <w:spacing w:before="120" w:after="240" w:line="280" w:lineRule="atLeast"/>
      <w:ind w:left="2608"/>
      <w:jc w:val="both"/>
    </w:pPr>
    <w:rPr>
      <w:rFonts w:ascii="Palatino Linotype" w:eastAsia="Times New Roman" w:hAnsi="Palatino Linotype" w:cs="Times New Roman"/>
      <w:color w:val="000000"/>
      <w:kern w:val="0"/>
      <w:sz w:val="18"/>
      <w:szCs w:val="20"/>
      <w:lang w:val="en-US" w:eastAsia="de-DE" w:bidi="en-US"/>
      <w14:ligatures w14:val="none"/>
    </w:rPr>
  </w:style>
  <w:style w:type="paragraph" w:customStyle="1" w:styleId="MDPI39equation">
    <w:name w:val="MDPI_3.9_equation"/>
    <w:rsid w:val="009662D3"/>
    <w:pPr>
      <w:adjustRightInd w:val="0"/>
      <w:snapToGrid w:val="0"/>
      <w:spacing w:before="120" w:after="120" w:line="280" w:lineRule="atLeast"/>
      <w:ind w:left="709"/>
      <w:jc w:val="center"/>
    </w:pPr>
    <w:rPr>
      <w:rFonts w:ascii="Palatino Linotype" w:eastAsia="Times New Roman" w:hAnsi="Palatino Linotype" w:cs="Times New Roman"/>
      <w:snapToGrid w:val="0"/>
      <w:color w:val="000000"/>
      <w:kern w:val="0"/>
      <w:sz w:val="20"/>
      <w:lang w:val="en-US" w:eastAsia="de-DE" w:bidi="en-US"/>
      <w14:ligatures w14:val="none"/>
    </w:rPr>
  </w:style>
  <w:style w:type="paragraph" w:customStyle="1" w:styleId="MDPI3aequationnumber">
    <w:name w:val="MDPI_3.a_equation_number"/>
    <w:rsid w:val="009662D3"/>
    <w:pPr>
      <w:spacing w:before="120" w:after="120" w:line="280" w:lineRule="atLeast"/>
      <w:jc w:val="right"/>
    </w:pPr>
    <w:rPr>
      <w:rFonts w:ascii="Palatino Linotype" w:eastAsia="Times New Roman" w:hAnsi="Palatino Linotype" w:cs="Times New Roman"/>
      <w:snapToGrid w:val="0"/>
      <w:color w:val="000000"/>
      <w:kern w:val="0"/>
      <w:sz w:val="20"/>
      <w:lang w:val="en-US" w:eastAsia="de-DE" w:bidi="en-US"/>
      <w14:ligatures w14:val="none"/>
    </w:rPr>
  </w:style>
  <w:style w:type="character" w:styleId="Tekstzastpczy">
    <w:name w:val="Placeholder Text"/>
    <w:basedOn w:val="Domylnaczcionkaakapitu"/>
    <w:uiPriority w:val="99"/>
    <w:semiHidden/>
    <w:rsid w:val="00B1027B"/>
    <w:rPr>
      <w:color w:val="666666"/>
    </w:rPr>
  </w:style>
  <w:style w:type="paragraph" w:customStyle="1" w:styleId="MDPI42tablebody">
    <w:name w:val="MDPI_4.2_table_body"/>
    <w:rsid w:val="00521609"/>
    <w:pPr>
      <w:adjustRightInd w:val="0"/>
      <w:snapToGrid w:val="0"/>
      <w:spacing w:after="0" w:line="260" w:lineRule="atLeast"/>
      <w:jc w:val="center"/>
    </w:pPr>
    <w:rPr>
      <w:rFonts w:ascii="Palatino Linotype" w:eastAsia="Times New Roman" w:hAnsi="Palatino Linotype" w:cs="Times New Roman"/>
      <w:snapToGrid w:val="0"/>
      <w:color w:val="000000"/>
      <w:kern w:val="0"/>
      <w:sz w:val="20"/>
      <w:szCs w:val="20"/>
      <w:lang w:val="en-US" w:eastAsia="de-DE" w:bidi="en-US"/>
      <w14:ligatures w14:val="none"/>
    </w:rPr>
  </w:style>
  <w:style w:type="table" w:customStyle="1" w:styleId="MDPI41threelinetable">
    <w:name w:val="MDPI_4.1_three_line_table"/>
    <w:basedOn w:val="Standardowy"/>
    <w:uiPriority w:val="99"/>
    <w:rsid w:val="00521609"/>
    <w:pPr>
      <w:adjustRightInd w:val="0"/>
      <w:snapToGrid w:val="0"/>
      <w:spacing w:after="0" w:line="280" w:lineRule="atLeast"/>
      <w:jc w:val="center"/>
    </w:pPr>
    <w:rPr>
      <w:rFonts w:ascii="Palatino Linotype" w:eastAsia="SimSun" w:hAnsi="Palatino Linotype" w:cs="Times New Roman"/>
      <w:color w:val="000000"/>
      <w:kern w:val="0"/>
      <w:sz w:val="20"/>
      <w:szCs w:val="20"/>
      <w:lang w:val="en-US" w:eastAsia="zh-CN"/>
      <w14:ligatures w14:val="none"/>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paragraph" w:customStyle="1" w:styleId="ZPTEXTTABULKA">
    <w:name w:val="ZP_TEXT_TABULKA"/>
    <w:basedOn w:val="Normalny"/>
    <w:link w:val="ZPTEXTTABULKAChar"/>
    <w:uiPriority w:val="12"/>
    <w:qFormat/>
    <w:rsid w:val="00521609"/>
    <w:pPr>
      <w:keepNext/>
      <w:autoSpaceDE/>
      <w:autoSpaceDN/>
      <w:spacing w:line="240" w:lineRule="auto"/>
      <w:jc w:val="center"/>
    </w:pPr>
    <w:rPr>
      <w:sz w:val="20"/>
      <w:szCs w:val="20"/>
      <w:lang w:val="sk-SK" w:eastAsia="sk-SK"/>
    </w:rPr>
  </w:style>
  <w:style w:type="character" w:customStyle="1" w:styleId="ZPTEXTTABULKAChar">
    <w:name w:val="ZP_TEXT_TABULKA Char"/>
    <w:basedOn w:val="Domylnaczcionkaakapitu"/>
    <w:link w:val="ZPTEXTTABULKA"/>
    <w:uiPriority w:val="12"/>
    <w:rsid w:val="00521609"/>
    <w:rPr>
      <w:rFonts w:ascii="Times New Roman" w:eastAsia="Times New Roman" w:hAnsi="Times New Roman" w:cs="Times New Roman"/>
      <w:kern w:val="0"/>
      <w:sz w:val="20"/>
      <w:szCs w:val="20"/>
      <w:lang w:val="sk-SK" w:eastAsia="sk-SK"/>
      <w14:ligatures w14:val="none"/>
    </w:rPr>
  </w:style>
  <w:style w:type="paragraph" w:customStyle="1" w:styleId="MDPI41tablecaption">
    <w:name w:val="MDPI_4.1_table_caption"/>
    <w:rsid w:val="00521609"/>
    <w:pPr>
      <w:adjustRightInd w:val="0"/>
      <w:snapToGrid w:val="0"/>
      <w:spacing w:before="240" w:after="120" w:line="280" w:lineRule="atLeast"/>
      <w:ind w:left="2608"/>
      <w:jc w:val="both"/>
    </w:pPr>
    <w:rPr>
      <w:rFonts w:ascii="Palatino Linotype" w:eastAsia="Times New Roman" w:hAnsi="Palatino Linotype" w:cs="Cordia New"/>
      <w:color w:val="000000"/>
      <w:kern w:val="0"/>
      <w:sz w:val="18"/>
      <w:lang w:val="en-US" w:eastAsia="de-DE" w:bidi="en-US"/>
      <w14:ligatures w14:val="none"/>
    </w:rPr>
  </w:style>
  <w:style w:type="paragraph" w:styleId="Bibliografia">
    <w:name w:val="Bibliography"/>
    <w:basedOn w:val="Normalny"/>
    <w:next w:val="Normalny"/>
    <w:uiPriority w:val="37"/>
    <w:unhideWhenUsed/>
    <w:rsid w:val="00E93C7C"/>
    <w:pPr>
      <w:spacing w:line="480" w:lineRule="auto"/>
      <w:ind w:left="720" w:hanging="720"/>
    </w:pPr>
  </w:style>
  <w:style w:type="paragraph" w:customStyle="1" w:styleId="Rab1">
    <w:name w:val="R_ab1"/>
    <w:next w:val="Normalny"/>
    <w:autoRedefine/>
    <w:qFormat/>
    <w:rsid w:val="007C04DE"/>
    <w:pPr>
      <w:suppressAutoHyphens/>
      <w:spacing w:before="120" w:after="0" w:line="240" w:lineRule="auto"/>
      <w:ind w:left="567" w:right="567"/>
      <w:jc w:val="both"/>
    </w:pPr>
    <w:rPr>
      <w:rFonts w:ascii="Times New Roman" w:eastAsia="SimSun" w:hAnsi="Times New Roman" w:cs="Times New Roman"/>
      <w:sz w:val="18"/>
      <w:szCs w:val="20"/>
      <w:lang w:val="en-GB" w:eastAsia="pl-PL"/>
    </w:rPr>
  </w:style>
  <w:style w:type="paragraph" w:customStyle="1" w:styleId="Rab2">
    <w:name w:val="R_ab2"/>
    <w:basedOn w:val="Rab1"/>
    <w:next w:val="Normalny"/>
    <w:autoRedefine/>
    <w:qFormat/>
    <w:rsid w:val="007C04DE"/>
    <w:pPr>
      <w:spacing w:before="60"/>
    </w:pPr>
  </w:style>
  <w:style w:type="paragraph" w:customStyle="1" w:styleId="Rafiliacja">
    <w:name w:val="R_afiliacja"/>
    <w:basedOn w:val="Normalny"/>
    <w:link w:val="RafiliacjaZnak"/>
    <w:qFormat/>
    <w:rsid w:val="007C04DE"/>
    <w:pPr>
      <w:suppressAutoHyphens/>
      <w:autoSpaceDE/>
      <w:autoSpaceDN/>
      <w:spacing w:line="240" w:lineRule="auto"/>
      <w:jc w:val="center"/>
    </w:pPr>
    <w:rPr>
      <w:rFonts w:eastAsiaTheme="minorHAnsi"/>
      <w:i/>
      <w:kern w:val="2"/>
      <w:sz w:val="20"/>
      <w:szCs w:val="28"/>
      <w:lang w:val="pl-PL"/>
      <w14:ligatures w14:val="standardContextual"/>
    </w:rPr>
  </w:style>
  <w:style w:type="character" w:customStyle="1" w:styleId="RafiliacjaZnak">
    <w:name w:val="R_afiliacja Znak"/>
    <w:basedOn w:val="Domylnaczcionkaakapitu"/>
    <w:link w:val="Rafiliacja"/>
    <w:rsid w:val="007C04DE"/>
    <w:rPr>
      <w:rFonts w:ascii="Times New Roman" w:hAnsi="Times New Roman" w:cs="Times New Roman"/>
      <w:i/>
      <w:sz w:val="20"/>
      <w:szCs w:val="28"/>
      <w:lang w:val="pl-PL"/>
    </w:rPr>
  </w:style>
  <w:style w:type="paragraph" w:customStyle="1" w:styleId="Rauco">
    <w:name w:val="R_au_co"/>
    <w:basedOn w:val="Rafiliacja"/>
    <w:autoRedefine/>
    <w:qFormat/>
    <w:rsid w:val="007C04DE"/>
    <w:pPr>
      <w:spacing w:before="120"/>
    </w:pPr>
    <w:rPr>
      <w:lang w:val="en-GB"/>
    </w:rPr>
  </w:style>
  <w:style w:type="paragraph" w:customStyle="1" w:styleId="Rn1">
    <w:name w:val="R_n1"/>
    <w:basedOn w:val="Normalny"/>
    <w:link w:val="Rn1Znak"/>
    <w:qFormat/>
    <w:rsid w:val="007C04DE"/>
    <w:pPr>
      <w:suppressAutoHyphens/>
      <w:autoSpaceDE/>
      <w:autoSpaceDN/>
      <w:spacing w:before="240" w:after="120" w:line="240" w:lineRule="auto"/>
    </w:pPr>
    <w:rPr>
      <w:rFonts w:eastAsiaTheme="minorHAnsi" w:cstheme="minorBidi"/>
      <w:b/>
      <w:kern w:val="2"/>
      <w:szCs w:val="22"/>
      <w:lang w:val="pl-PL"/>
      <w14:ligatures w14:val="standardContextual"/>
    </w:rPr>
  </w:style>
  <w:style w:type="character" w:customStyle="1" w:styleId="Rn1Znak">
    <w:name w:val="R_n1 Znak"/>
    <w:basedOn w:val="Domylnaczcionkaakapitu"/>
    <w:link w:val="Rn1"/>
    <w:rsid w:val="007C04DE"/>
    <w:rPr>
      <w:rFonts w:ascii="Times New Roman" w:hAnsi="Times New Roman"/>
      <w:b/>
      <w:sz w:val="24"/>
      <w:lang w:val="pl-PL"/>
    </w:rPr>
  </w:style>
  <w:style w:type="paragraph" w:customStyle="1" w:styleId="Rn2">
    <w:name w:val="R_n2"/>
    <w:basedOn w:val="Rn1"/>
    <w:link w:val="Rn2Znak"/>
    <w:qFormat/>
    <w:rsid w:val="007C04DE"/>
    <w:pPr>
      <w:spacing w:before="120"/>
      <w:jc w:val="left"/>
    </w:pPr>
    <w:rPr>
      <w:sz w:val="22"/>
    </w:rPr>
  </w:style>
  <w:style w:type="character" w:customStyle="1" w:styleId="Rn2Znak">
    <w:name w:val="R_n2 Znak"/>
    <w:link w:val="Rn2"/>
    <w:rsid w:val="007C04DE"/>
    <w:rPr>
      <w:rFonts w:ascii="Times New Roman" w:hAnsi="Times New Roman"/>
      <w:b/>
      <w:lang w:val="pl-PL"/>
    </w:rPr>
  </w:style>
  <w:style w:type="paragraph" w:customStyle="1" w:styleId="Rtytu">
    <w:name w:val="R_tytuł"/>
    <w:basedOn w:val="Rn2"/>
    <w:link w:val="RtytuZnak"/>
    <w:autoRedefine/>
    <w:qFormat/>
    <w:rsid w:val="007C04DE"/>
    <w:pPr>
      <w:spacing w:before="240" w:after="0"/>
      <w:jc w:val="center"/>
    </w:pPr>
    <w:rPr>
      <w:sz w:val="24"/>
      <w:szCs w:val="28"/>
    </w:rPr>
  </w:style>
  <w:style w:type="character" w:customStyle="1" w:styleId="RtytuZnak">
    <w:name w:val="R_tytuł Znak"/>
    <w:basedOn w:val="Rn2Znak"/>
    <w:link w:val="Rtytu"/>
    <w:rsid w:val="007C04DE"/>
    <w:rPr>
      <w:rFonts w:ascii="Times New Roman" w:hAnsi="Times New Roman"/>
      <w:b/>
      <w:sz w:val="24"/>
      <w:szCs w:val="28"/>
      <w:lang w:val="pl-PL"/>
    </w:rPr>
  </w:style>
  <w:style w:type="paragraph" w:customStyle="1" w:styleId="Rautor">
    <w:name w:val="R_autor"/>
    <w:basedOn w:val="Rtytu"/>
    <w:link w:val="RautorZnak"/>
    <w:autoRedefine/>
    <w:qFormat/>
    <w:rsid w:val="007C04DE"/>
    <w:pPr>
      <w:spacing w:before="120"/>
    </w:pPr>
    <w:rPr>
      <w:rFonts w:eastAsia="Calibri" w:cs="Times New Roman"/>
      <w:b w:val="0"/>
      <w:i/>
    </w:rPr>
  </w:style>
  <w:style w:type="character" w:customStyle="1" w:styleId="RautorZnak">
    <w:name w:val="R_autor Znak"/>
    <w:link w:val="Rautor"/>
    <w:rsid w:val="007C04DE"/>
    <w:rPr>
      <w:rFonts w:ascii="Times New Roman" w:eastAsia="Calibri" w:hAnsi="Times New Roman" w:cs="Times New Roman"/>
      <w:i/>
      <w:sz w:val="24"/>
      <w:szCs w:val="28"/>
      <w:lang w:val="pl-PL"/>
    </w:rPr>
  </w:style>
  <w:style w:type="paragraph" w:customStyle="1" w:styleId="Rlit">
    <w:name w:val="R_lit"/>
    <w:basedOn w:val="Normalny"/>
    <w:link w:val="RlitZnak"/>
    <w:qFormat/>
    <w:rsid w:val="007C04DE"/>
    <w:pPr>
      <w:autoSpaceDE/>
      <w:autoSpaceDN/>
      <w:spacing w:line="240" w:lineRule="auto"/>
      <w:ind w:left="425" w:hanging="425"/>
    </w:pPr>
    <w:rPr>
      <w:kern w:val="2"/>
      <w:sz w:val="20"/>
      <w:szCs w:val="20"/>
      <w:lang w:eastAsia="pl-PL"/>
      <w14:ligatures w14:val="standardContextual"/>
    </w:rPr>
  </w:style>
  <w:style w:type="character" w:customStyle="1" w:styleId="RlitZnak">
    <w:name w:val="R_lit Znak"/>
    <w:basedOn w:val="Domylnaczcionkaakapitu"/>
    <w:link w:val="Rlit"/>
    <w:rsid w:val="007C04DE"/>
    <w:rPr>
      <w:rFonts w:ascii="Times New Roman" w:eastAsia="Times New Roman" w:hAnsi="Times New Roman" w:cs="Times New Roman"/>
      <w:sz w:val="20"/>
      <w:szCs w:val="20"/>
      <w:lang w:val="en-US" w:eastAsia="pl-PL"/>
    </w:rPr>
  </w:style>
  <w:style w:type="paragraph" w:customStyle="1" w:styleId="Rtab">
    <w:name w:val="R_tab"/>
    <w:basedOn w:val="Normalny"/>
    <w:link w:val="RtabZnak"/>
    <w:qFormat/>
    <w:rsid w:val="007C04DE"/>
    <w:pPr>
      <w:suppressAutoHyphens/>
      <w:autoSpaceDE/>
      <w:autoSpaceDN/>
      <w:spacing w:after="120" w:line="240" w:lineRule="auto"/>
      <w:jc w:val="left"/>
    </w:pPr>
    <w:rPr>
      <w:rFonts w:eastAsiaTheme="minorHAnsi" w:cstheme="minorBidi"/>
      <w:kern w:val="2"/>
      <w:sz w:val="20"/>
      <w:szCs w:val="22"/>
      <w:lang w:val="pl-PL"/>
      <w14:ligatures w14:val="standardContextual"/>
    </w:rPr>
  </w:style>
  <w:style w:type="character" w:customStyle="1" w:styleId="RtabZnak">
    <w:name w:val="R_tab Znak"/>
    <w:basedOn w:val="Domylnaczcionkaakapitu"/>
    <w:link w:val="Rtab"/>
    <w:rsid w:val="007C04DE"/>
    <w:rPr>
      <w:rFonts w:ascii="Times New Roman" w:hAnsi="Times New Roman"/>
      <w:sz w:val="20"/>
      <w:lang w:val="pl-PL"/>
    </w:rPr>
  </w:style>
  <w:style w:type="paragraph" w:customStyle="1" w:styleId="Rn3">
    <w:name w:val="R_n3"/>
    <w:basedOn w:val="Rtab"/>
    <w:link w:val="Rn3Znak"/>
    <w:autoRedefine/>
    <w:qFormat/>
    <w:rsid w:val="007C04DE"/>
    <w:pPr>
      <w:spacing w:before="120"/>
      <w:jc w:val="both"/>
    </w:pPr>
    <w:rPr>
      <w:i/>
    </w:rPr>
  </w:style>
  <w:style w:type="character" w:customStyle="1" w:styleId="Rn3Znak">
    <w:name w:val="R_n3 Znak"/>
    <w:basedOn w:val="RtabZnak"/>
    <w:link w:val="Rn3"/>
    <w:rsid w:val="007C04DE"/>
    <w:rPr>
      <w:rFonts w:ascii="Times New Roman" w:hAnsi="Times New Roman"/>
      <w:i/>
      <w:sz w:val="20"/>
      <w:lang w:val="pl-PL"/>
    </w:rPr>
  </w:style>
  <w:style w:type="paragraph" w:customStyle="1" w:styleId="Rrys">
    <w:name w:val="R_rys"/>
    <w:basedOn w:val="Rafiliacja"/>
    <w:link w:val="RrysZnak"/>
    <w:qFormat/>
    <w:rsid w:val="007C04DE"/>
    <w:pPr>
      <w:spacing w:before="120"/>
      <w:jc w:val="left"/>
    </w:pPr>
    <w:rPr>
      <w:i w:val="0"/>
    </w:rPr>
  </w:style>
  <w:style w:type="character" w:customStyle="1" w:styleId="RrysZnak">
    <w:name w:val="R_rys Znak"/>
    <w:basedOn w:val="RafiliacjaZnak"/>
    <w:link w:val="Rrys"/>
    <w:rsid w:val="007C04DE"/>
    <w:rPr>
      <w:rFonts w:ascii="Times New Roman" w:hAnsi="Times New Roman" w:cs="Times New Roman"/>
      <w:i w:val="0"/>
      <w:sz w:val="20"/>
      <w:szCs w:val="28"/>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54183">
      <w:bodyDiv w:val="1"/>
      <w:marLeft w:val="0"/>
      <w:marRight w:val="0"/>
      <w:marTop w:val="0"/>
      <w:marBottom w:val="0"/>
      <w:divBdr>
        <w:top w:val="none" w:sz="0" w:space="0" w:color="auto"/>
        <w:left w:val="none" w:sz="0" w:space="0" w:color="auto"/>
        <w:bottom w:val="none" w:sz="0" w:space="0" w:color="auto"/>
        <w:right w:val="none" w:sz="0" w:space="0" w:color="auto"/>
      </w:divBdr>
      <w:divsChild>
        <w:div w:id="809324900">
          <w:marLeft w:val="1080"/>
          <w:marRight w:val="0"/>
          <w:marTop w:val="100"/>
          <w:marBottom w:val="0"/>
          <w:divBdr>
            <w:top w:val="none" w:sz="0" w:space="0" w:color="auto"/>
            <w:left w:val="none" w:sz="0" w:space="0" w:color="auto"/>
            <w:bottom w:val="none" w:sz="0" w:space="0" w:color="auto"/>
            <w:right w:val="none" w:sz="0" w:space="0" w:color="auto"/>
          </w:divBdr>
        </w:div>
        <w:div w:id="2080857422">
          <w:marLeft w:val="1080"/>
          <w:marRight w:val="0"/>
          <w:marTop w:val="100"/>
          <w:marBottom w:val="0"/>
          <w:divBdr>
            <w:top w:val="none" w:sz="0" w:space="0" w:color="auto"/>
            <w:left w:val="none" w:sz="0" w:space="0" w:color="auto"/>
            <w:bottom w:val="none" w:sz="0" w:space="0" w:color="auto"/>
            <w:right w:val="none" w:sz="0" w:space="0" w:color="auto"/>
          </w:divBdr>
        </w:div>
        <w:div w:id="126702332">
          <w:marLeft w:val="1080"/>
          <w:marRight w:val="0"/>
          <w:marTop w:val="100"/>
          <w:marBottom w:val="0"/>
          <w:divBdr>
            <w:top w:val="none" w:sz="0" w:space="0" w:color="auto"/>
            <w:left w:val="none" w:sz="0" w:space="0" w:color="auto"/>
            <w:bottom w:val="none" w:sz="0" w:space="0" w:color="auto"/>
            <w:right w:val="none" w:sz="0" w:space="0" w:color="auto"/>
          </w:divBdr>
        </w:div>
        <w:div w:id="116877739">
          <w:marLeft w:val="1080"/>
          <w:marRight w:val="0"/>
          <w:marTop w:val="100"/>
          <w:marBottom w:val="0"/>
          <w:divBdr>
            <w:top w:val="none" w:sz="0" w:space="0" w:color="auto"/>
            <w:left w:val="none" w:sz="0" w:space="0" w:color="auto"/>
            <w:bottom w:val="none" w:sz="0" w:space="0" w:color="auto"/>
            <w:right w:val="none" w:sz="0" w:space="0" w:color="auto"/>
          </w:divBdr>
        </w:div>
        <w:div w:id="1269116644">
          <w:marLeft w:val="1080"/>
          <w:marRight w:val="0"/>
          <w:marTop w:val="100"/>
          <w:marBottom w:val="0"/>
          <w:divBdr>
            <w:top w:val="none" w:sz="0" w:space="0" w:color="auto"/>
            <w:left w:val="none" w:sz="0" w:space="0" w:color="auto"/>
            <w:bottom w:val="none" w:sz="0" w:space="0" w:color="auto"/>
            <w:right w:val="none" w:sz="0" w:space="0" w:color="auto"/>
          </w:divBdr>
        </w:div>
      </w:divsChild>
    </w:div>
    <w:div w:id="98725416">
      <w:bodyDiv w:val="1"/>
      <w:marLeft w:val="0"/>
      <w:marRight w:val="0"/>
      <w:marTop w:val="0"/>
      <w:marBottom w:val="0"/>
      <w:divBdr>
        <w:top w:val="none" w:sz="0" w:space="0" w:color="auto"/>
        <w:left w:val="none" w:sz="0" w:space="0" w:color="auto"/>
        <w:bottom w:val="none" w:sz="0" w:space="0" w:color="auto"/>
        <w:right w:val="none" w:sz="0" w:space="0" w:color="auto"/>
      </w:divBdr>
    </w:div>
    <w:div w:id="211039720">
      <w:bodyDiv w:val="1"/>
      <w:marLeft w:val="0"/>
      <w:marRight w:val="0"/>
      <w:marTop w:val="0"/>
      <w:marBottom w:val="0"/>
      <w:divBdr>
        <w:top w:val="none" w:sz="0" w:space="0" w:color="auto"/>
        <w:left w:val="none" w:sz="0" w:space="0" w:color="auto"/>
        <w:bottom w:val="none" w:sz="0" w:space="0" w:color="auto"/>
        <w:right w:val="none" w:sz="0" w:space="0" w:color="auto"/>
      </w:divBdr>
    </w:div>
    <w:div w:id="229852660">
      <w:bodyDiv w:val="1"/>
      <w:marLeft w:val="0"/>
      <w:marRight w:val="0"/>
      <w:marTop w:val="0"/>
      <w:marBottom w:val="0"/>
      <w:divBdr>
        <w:top w:val="none" w:sz="0" w:space="0" w:color="auto"/>
        <w:left w:val="none" w:sz="0" w:space="0" w:color="auto"/>
        <w:bottom w:val="none" w:sz="0" w:space="0" w:color="auto"/>
        <w:right w:val="none" w:sz="0" w:space="0" w:color="auto"/>
      </w:divBdr>
    </w:div>
    <w:div w:id="256598908">
      <w:bodyDiv w:val="1"/>
      <w:marLeft w:val="0"/>
      <w:marRight w:val="0"/>
      <w:marTop w:val="0"/>
      <w:marBottom w:val="0"/>
      <w:divBdr>
        <w:top w:val="none" w:sz="0" w:space="0" w:color="auto"/>
        <w:left w:val="none" w:sz="0" w:space="0" w:color="auto"/>
        <w:bottom w:val="none" w:sz="0" w:space="0" w:color="auto"/>
        <w:right w:val="none" w:sz="0" w:space="0" w:color="auto"/>
      </w:divBdr>
    </w:div>
    <w:div w:id="364448556">
      <w:bodyDiv w:val="1"/>
      <w:marLeft w:val="0"/>
      <w:marRight w:val="0"/>
      <w:marTop w:val="0"/>
      <w:marBottom w:val="0"/>
      <w:divBdr>
        <w:top w:val="none" w:sz="0" w:space="0" w:color="auto"/>
        <w:left w:val="none" w:sz="0" w:space="0" w:color="auto"/>
        <w:bottom w:val="none" w:sz="0" w:space="0" w:color="auto"/>
        <w:right w:val="none" w:sz="0" w:space="0" w:color="auto"/>
      </w:divBdr>
    </w:div>
    <w:div w:id="388917817">
      <w:bodyDiv w:val="1"/>
      <w:marLeft w:val="0"/>
      <w:marRight w:val="0"/>
      <w:marTop w:val="0"/>
      <w:marBottom w:val="0"/>
      <w:divBdr>
        <w:top w:val="none" w:sz="0" w:space="0" w:color="auto"/>
        <w:left w:val="none" w:sz="0" w:space="0" w:color="auto"/>
        <w:bottom w:val="none" w:sz="0" w:space="0" w:color="auto"/>
        <w:right w:val="none" w:sz="0" w:space="0" w:color="auto"/>
      </w:divBdr>
    </w:div>
    <w:div w:id="422456631">
      <w:bodyDiv w:val="1"/>
      <w:marLeft w:val="0"/>
      <w:marRight w:val="0"/>
      <w:marTop w:val="0"/>
      <w:marBottom w:val="0"/>
      <w:divBdr>
        <w:top w:val="none" w:sz="0" w:space="0" w:color="auto"/>
        <w:left w:val="none" w:sz="0" w:space="0" w:color="auto"/>
        <w:bottom w:val="none" w:sz="0" w:space="0" w:color="auto"/>
        <w:right w:val="none" w:sz="0" w:space="0" w:color="auto"/>
      </w:divBdr>
    </w:div>
    <w:div w:id="458183054">
      <w:bodyDiv w:val="1"/>
      <w:marLeft w:val="0"/>
      <w:marRight w:val="0"/>
      <w:marTop w:val="0"/>
      <w:marBottom w:val="0"/>
      <w:divBdr>
        <w:top w:val="none" w:sz="0" w:space="0" w:color="auto"/>
        <w:left w:val="none" w:sz="0" w:space="0" w:color="auto"/>
        <w:bottom w:val="none" w:sz="0" w:space="0" w:color="auto"/>
        <w:right w:val="none" w:sz="0" w:space="0" w:color="auto"/>
      </w:divBdr>
    </w:div>
    <w:div w:id="484202552">
      <w:bodyDiv w:val="1"/>
      <w:marLeft w:val="0"/>
      <w:marRight w:val="0"/>
      <w:marTop w:val="0"/>
      <w:marBottom w:val="0"/>
      <w:divBdr>
        <w:top w:val="none" w:sz="0" w:space="0" w:color="auto"/>
        <w:left w:val="none" w:sz="0" w:space="0" w:color="auto"/>
        <w:bottom w:val="none" w:sz="0" w:space="0" w:color="auto"/>
        <w:right w:val="none" w:sz="0" w:space="0" w:color="auto"/>
      </w:divBdr>
    </w:div>
    <w:div w:id="495345227">
      <w:bodyDiv w:val="1"/>
      <w:marLeft w:val="0"/>
      <w:marRight w:val="0"/>
      <w:marTop w:val="0"/>
      <w:marBottom w:val="0"/>
      <w:divBdr>
        <w:top w:val="none" w:sz="0" w:space="0" w:color="auto"/>
        <w:left w:val="none" w:sz="0" w:space="0" w:color="auto"/>
        <w:bottom w:val="none" w:sz="0" w:space="0" w:color="auto"/>
        <w:right w:val="none" w:sz="0" w:space="0" w:color="auto"/>
      </w:divBdr>
    </w:div>
    <w:div w:id="628128178">
      <w:bodyDiv w:val="1"/>
      <w:marLeft w:val="0"/>
      <w:marRight w:val="0"/>
      <w:marTop w:val="0"/>
      <w:marBottom w:val="0"/>
      <w:divBdr>
        <w:top w:val="none" w:sz="0" w:space="0" w:color="auto"/>
        <w:left w:val="none" w:sz="0" w:space="0" w:color="auto"/>
        <w:bottom w:val="none" w:sz="0" w:space="0" w:color="auto"/>
        <w:right w:val="none" w:sz="0" w:space="0" w:color="auto"/>
      </w:divBdr>
      <w:divsChild>
        <w:div w:id="1882475030">
          <w:marLeft w:val="360"/>
          <w:marRight w:val="0"/>
          <w:marTop w:val="200"/>
          <w:marBottom w:val="0"/>
          <w:divBdr>
            <w:top w:val="none" w:sz="0" w:space="0" w:color="auto"/>
            <w:left w:val="none" w:sz="0" w:space="0" w:color="auto"/>
            <w:bottom w:val="none" w:sz="0" w:space="0" w:color="auto"/>
            <w:right w:val="none" w:sz="0" w:space="0" w:color="auto"/>
          </w:divBdr>
        </w:div>
        <w:div w:id="1321228867">
          <w:marLeft w:val="360"/>
          <w:marRight w:val="0"/>
          <w:marTop w:val="200"/>
          <w:marBottom w:val="0"/>
          <w:divBdr>
            <w:top w:val="none" w:sz="0" w:space="0" w:color="auto"/>
            <w:left w:val="none" w:sz="0" w:space="0" w:color="auto"/>
            <w:bottom w:val="none" w:sz="0" w:space="0" w:color="auto"/>
            <w:right w:val="none" w:sz="0" w:space="0" w:color="auto"/>
          </w:divBdr>
        </w:div>
        <w:div w:id="899436809">
          <w:marLeft w:val="360"/>
          <w:marRight w:val="0"/>
          <w:marTop w:val="200"/>
          <w:marBottom w:val="0"/>
          <w:divBdr>
            <w:top w:val="none" w:sz="0" w:space="0" w:color="auto"/>
            <w:left w:val="none" w:sz="0" w:space="0" w:color="auto"/>
            <w:bottom w:val="none" w:sz="0" w:space="0" w:color="auto"/>
            <w:right w:val="none" w:sz="0" w:space="0" w:color="auto"/>
          </w:divBdr>
        </w:div>
        <w:div w:id="1357468525">
          <w:marLeft w:val="360"/>
          <w:marRight w:val="0"/>
          <w:marTop w:val="200"/>
          <w:marBottom w:val="0"/>
          <w:divBdr>
            <w:top w:val="none" w:sz="0" w:space="0" w:color="auto"/>
            <w:left w:val="none" w:sz="0" w:space="0" w:color="auto"/>
            <w:bottom w:val="none" w:sz="0" w:space="0" w:color="auto"/>
            <w:right w:val="none" w:sz="0" w:space="0" w:color="auto"/>
          </w:divBdr>
        </w:div>
      </w:divsChild>
    </w:div>
    <w:div w:id="771052503">
      <w:bodyDiv w:val="1"/>
      <w:marLeft w:val="0"/>
      <w:marRight w:val="0"/>
      <w:marTop w:val="0"/>
      <w:marBottom w:val="0"/>
      <w:divBdr>
        <w:top w:val="none" w:sz="0" w:space="0" w:color="auto"/>
        <w:left w:val="none" w:sz="0" w:space="0" w:color="auto"/>
        <w:bottom w:val="none" w:sz="0" w:space="0" w:color="auto"/>
        <w:right w:val="none" w:sz="0" w:space="0" w:color="auto"/>
      </w:divBdr>
    </w:div>
    <w:div w:id="772436524">
      <w:bodyDiv w:val="1"/>
      <w:marLeft w:val="0"/>
      <w:marRight w:val="0"/>
      <w:marTop w:val="0"/>
      <w:marBottom w:val="0"/>
      <w:divBdr>
        <w:top w:val="none" w:sz="0" w:space="0" w:color="auto"/>
        <w:left w:val="none" w:sz="0" w:space="0" w:color="auto"/>
        <w:bottom w:val="none" w:sz="0" w:space="0" w:color="auto"/>
        <w:right w:val="none" w:sz="0" w:space="0" w:color="auto"/>
      </w:divBdr>
    </w:div>
    <w:div w:id="836531314">
      <w:bodyDiv w:val="1"/>
      <w:marLeft w:val="0"/>
      <w:marRight w:val="0"/>
      <w:marTop w:val="0"/>
      <w:marBottom w:val="0"/>
      <w:divBdr>
        <w:top w:val="none" w:sz="0" w:space="0" w:color="auto"/>
        <w:left w:val="none" w:sz="0" w:space="0" w:color="auto"/>
        <w:bottom w:val="none" w:sz="0" w:space="0" w:color="auto"/>
        <w:right w:val="none" w:sz="0" w:space="0" w:color="auto"/>
      </w:divBdr>
    </w:div>
    <w:div w:id="876045529">
      <w:bodyDiv w:val="1"/>
      <w:marLeft w:val="0"/>
      <w:marRight w:val="0"/>
      <w:marTop w:val="0"/>
      <w:marBottom w:val="0"/>
      <w:divBdr>
        <w:top w:val="none" w:sz="0" w:space="0" w:color="auto"/>
        <w:left w:val="none" w:sz="0" w:space="0" w:color="auto"/>
        <w:bottom w:val="none" w:sz="0" w:space="0" w:color="auto"/>
        <w:right w:val="none" w:sz="0" w:space="0" w:color="auto"/>
      </w:divBdr>
    </w:div>
    <w:div w:id="1052273337">
      <w:bodyDiv w:val="1"/>
      <w:marLeft w:val="0"/>
      <w:marRight w:val="0"/>
      <w:marTop w:val="0"/>
      <w:marBottom w:val="0"/>
      <w:divBdr>
        <w:top w:val="none" w:sz="0" w:space="0" w:color="auto"/>
        <w:left w:val="none" w:sz="0" w:space="0" w:color="auto"/>
        <w:bottom w:val="none" w:sz="0" w:space="0" w:color="auto"/>
        <w:right w:val="none" w:sz="0" w:space="0" w:color="auto"/>
      </w:divBdr>
    </w:div>
    <w:div w:id="1058866774">
      <w:bodyDiv w:val="1"/>
      <w:marLeft w:val="0"/>
      <w:marRight w:val="0"/>
      <w:marTop w:val="0"/>
      <w:marBottom w:val="0"/>
      <w:divBdr>
        <w:top w:val="none" w:sz="0" w:space="0" w:color="auto"/>
        <w:left w:val="none" w:sz="0" w:space="0" w:color="auto"/>
        <w:bottom w:val="none" w:sz="0" w:space="0" w:color="auto"/>
        <w:right w:val="none" w:sz="0" w:space="0" w:color="auto"/>
      </w:divBdr>
    </w:div>
    <w:div w:id="1123957946">
      <w:bodyDiv w:val="1"/>
      <w:marLeft w:val="0"/>
      <w:marRight w:val="0"/>
      <w:marTop w:val="0"/>
      <w:marBottom w:val="0"/>
      <w:divBdr>
        <w:top w:val="none" w:sz="0" w:space="0" w:color="auto"/>
        <w:left w:val="none" w:sz="0" w:space="0" w:color="auto"/>
        <w:bottom w:val="none" w:sz="0" w:space="0" w:color="auto"/>
        <w:right w:val="none" w:sz="0" w:space="0" w:color="auto"/>
      </w:divBdr>
    </w:div>
    <w:div w:id="1219783289">
      <w:bodyDiv w:val="1"/>
      <w:marLeft w:val="0"/>
      <w:marRight w:val="0"/>
      <w:marTop w:val="0"/>
      <w:marBottom w:val="0"/>
      <w:divBdr>
        <w:top w:val="none" w:sz="0" w:space="0" w:color="auto"/>
        <w:left w:val="none" w:sz="0" w:space="0" w:color="auto"/>
        <w:bottom w:val="none" w:sz="0" w:space="0" w:color="auto"/>
        <w:right w:val="none" w:sz="0" w:space="0" w:color="auto"/>
      </w:divBdr>
    </w:div>
    <w:div w:id="1352535266">
      <w:bodyDiv w:val="1"/>
      <w:marLeft w:val="0"/>
      <w:marRight w:val="0"/>
      <w:marTop w:val="0"/>
      <w:marBottom w:val="0"/>
      <w:divBdr>
        <w:top w:val="none" w:sz="0" w:space="0" w:color="auto"/>
        <w:left w:val="none" w:sz="0" w:space="0" w:color="auto"/>
        <w:bottom w:val="none" w:sz="0" w:space="0" w:color="auto"/>
        <w:right w:val="none" w:sz="0" w:space="0" w:color="auto"/>
      </w:divBdr>
      <w:divsChild>
        <w:div w:id="1835799215">
          <w:marLeft w:val="1080"/>
          <w:marRight w:val="0"/>
          <w:marTop w:val="100"/>
          <w:marBottom w:val="0"/>
          <w:divBdr>
            <w:top w:val="none" w:sz="0" w:space="0" w:color="auto"/>
            <w:left w:val="none" w:sz="0" w:space="0" w:color="auto"/>
            <w:bottom w:val="none" w:sz="0" w:space="0" w:color="auto"/>
            <w:right w:val="none" w:sz="0" w:space="0" w:color="auto"/>
          </w:divBdr>
        </w:div>
        <w:div w:id="1806506001">
          <w:marLeft w:val="1080"/>
          <w:marRight w:val="0"/>
          <w:marTop w:val="100"/>
          <w:marBottom w:val="0"/>
          <w:divBdr>
            <w:top w:val="none" w:sz="0" w:space="0" w:color="auto"/>
            <w:left w:val="none" w:sz="0" w:space="0" w:color="auto"/>
            <w:bottom w:val="none" w:sz="0" w:space="0" w:color="auto"/>
            <w:right w:val="none" w:sz="0" w:space="0" w:color="auto"/>
          </w:divBdr>
        </w:div>
        <w:div w:id="403648733">
          <w:marLeft w:val="1080"/>
          <w:marRight w:val="0"/>
          <w:marTop w:val="100"/>
          <w:marBottom w:val="0"/>
          <w:divBdr>
            <w:top w:val="none" w:sz="0" w:space="0" w:color="auto"/>
            <w:left w:val="none" w:sz="0" w:space="0" w:color="auto"/>
            <w:bottom w:val="none" w:sz="0" w:space="0" w:color="auto"/>
            <w:right w:val="none" w:sz="0" w:space="0" w:color="auto"/>
          </w:divBdr>
        </w:div>
        <w:div w:id="259533782">
          <w:marLeft w:val="1080"/>
          <w:marRight w:val="0"/>
          <w:marTop w:val="100"/>
          <w:marBottom w:val="0"/>
          <w:divBdr>
            <w:top w:val="none" w:sz="0" w:space="0" w:color="auto"/>
            <w:left w:val="none" w:sz="0" w:space="0" w:color="auto"/>
            <w:bottom w:val="none" w:sz="0" w:space="0" w:color="auto"/>
            <w:right w:val="none" w:sz="0" w:space="0" w:color="auto"/>
          </w:divBdr>
        </w:div>
        <w:div w:id="273709687">
          <w:marLeft w:val="1080"/>
          <w:marRight w:val="0"/>
          <w:marTop w:val="100"/>
          <w:marBottom w:val="0"/>
          <w:divBdr>
            <w:top w:val="none" w:sz="0" w:space="0" w:color="auto"/>
            <w:left w:val="none" w:sz="0" w:space="0" w:color="auto"/>
            <w:bottom w:val="none" w:sz="0" w:space="0" w:color="auto"/>
            <w:right w:val="none" w:sz="0" w:space="0" w:color="auto"/>
          </w:divBdr>
        </w:div>
      </w:divsChild>
    </w:div>
    <w:div w:id="1493986436">
      <w:bodyDiv w:val="1"/>
      <w:marLeft w:val="0"/>
      <w:marRight w:val="0"/>
      <w:marTop w:val="0"/>
      <w:marBottom w:val="0"/>
      <w:divBdr>
        <w:top w:val="none" w:sz="0" w:space="0" w:color="auto"/>
        <w:left w:val="none" w:sz="0" w:space="0" w:color="auto"/>
        <w:bottom w:val="none" w:sz="0" w:space="0" w:color="auto"/>
        <w:right w:val="none" w:sz="0" w:space="0" w:color="auto"/>
      </w:divBdr>
      <w:divsChild>
        <w:div w:id="1463307715">
          <w:marLeft w:val="1080"/>
          <w:marRight w:val="0"/>
          <w:marTop w:val="100"/>
          <w:marBottom w:val="0"/>
          <w:divBdr>
            <w:top w:val="none" w:sz="0" w:space="0" w:color="auto"/>
            <w:left w:val="none" w:sz="0" w:space="0" w:color="auto"/>
            <w:bottom w:val="none" w:sz="0" w:space="0" w:color="auto"/>
            <w:right w:val="none" w:sz="0" w:space="0" w:color="auto"/>
          </w:divBdr>
        </w:div>
        <w:div w:id="1479542002">
          <w:marLeft w:val="1080"/>
          <w:marRight w:val="0"/>
          <w:marTop w:val="100"/>
          <w:marBottom w:val="0"/>
          <w:divBdr>
            <w:top w:val="none" w:sz="0" w:space="0" w:color="auto"/>
            <w:left w:val="none" w:sz="0" w:space="0" w:color="auto"/>
            <w:bottom w:val="none" w:sz="0" w:space="0" w:color="auto"/>
            <w:right w:val="none" w:sz="0" w:space="0" w:color="auto"/>
          </w:divBdr>
        </w:div>
        <w:div w:id="152768574">
          <w:marLeft w:val="1080"/>
          <w:marRight w:val="0"/>
          <w:marTop w:val="100"/>
          <w:marBottom w:val="0"/>
          <w:divBdr>
            <w:top w:val="none" w:sz="0" w:space="0" w:color="auto"/>
            <w:left w:val="none" w:sz="0" w:space="0" w:color="auto"/>
            <w:bottom w:val="none" w:sz="0" w:space="0" w:color="auto"/>
            <w:right w:val="none" w:sz="0" w:space="0" w:color="auto"/>
          </w:divBdr>
        </w:div>
        <w:div w:id="2146046021">
          <w:marLeft w:val="1080"/>
          <w:marRight w:val="0"/>
          <w:marTop w:val="100"/>
          <w:marBottom w:val="0"/>
          <w:divBdr>
            <w:top w:val="none" w:sz="0" w:space="0" w:color="auto"/>
            <w:left w:val="none" w:sz="0" w:space="0" w:color="auto"/>
            <w:bottom w:val="none" w:sz="0" w:space="0" w:color="auto"/>
            <w:right w:val="none" w:sz="0" w:space="0" w:color="auto"/>
          </w:divBdr>
        </w:div>
        <w:div w:id="874583691">
          <w:marLeft w:val="1080"/>
          <w:marRight w:val="0"/>
          <w:marTop w:val="100"/>
          <w:marBottom w:val="0"/>
          <w:divBdr>
            <w:top w:val="none" w:sz="0" w:space="0" w:color="auto"/>
            <w:left w:val="none" w:sz="0" w:space="0" w:color="auto"/>
            <w:bottom w:val="none" w:sz="0" w:space="0" w:color="auto"/>
            <w:right w:val="none" w:sz="0" w:space="0" w:color="auto"/>
          </w:divBdr>
        </w:div>
      </w:divsChild>
    </w:div>
    <w:div w:id="1512842531">
      <w:bodyDiv w:val="1"/>
      <w:marLeft w:val="0"/>
      <w:marRight w:val="0"/>
      <w:marTop w:val="0"/>
      <w:marBottom w:val="0"/>
      <w:divBdr>
        <w:top w:val="none" w:sz="0" w:space="0" w:color="auto"/>
        <w:left w:val="none" w:sz="0" w:space="0" w:color="auto"/>
        <w:bottom w:val="none" w:sz="0" w:space="0" w:color="auto"/>
        <w:right w:val="none" w:sz="0" w:space="0" w:color="auto"/>
      </w:divBdr>
    </w:div>
    <w:div w:id="1547983836">
      <w:bodyDiv w:val="1"/>
      <w:marLeft w:val="0"/>
      <w:marRight w:val="0"/>
      <w:marTop w:val="0"/>
      <w:marBottom w:val="0"/>
      <w:divBdr>
        <w:top w:val="none" w:sz="0" w:space="0" w:color="auto"/>
        <w:left w:val="none" w:sz="0" w:space="0" w:color="auto"/>
        <w:bottom w:val="none" w:sz="0" w:space="0" w:color="auto"/>
        <w:right w:val="none" w:sz="0" w:space="0" w:color="auto"/>
      </w:divBdr>
    </w:div>
    <w:div w:id="1560625320">
      <w:bodyDiv w:val="1"/>
      <w:marLeft w:val="0"/>
      <w:marRight w:val="0"/>
      <w:marTop w:val="0"/>
      <w:marBottom w:val="0"/>
      <w:divBdr>
        <w:top w:val="none" w:sz="0" w:space="0" w:color="auto"/>
        <w:left w:val="none" w:sz="0" w:space="0" w:color="auto"/>
        <w:bottom w:val="none" w:sz="0" w:space="0" w:color="auto"/>
        <w:right w:val="none" w:sz="0" w:space="0" w:color="auto"/>
      </w:divBdr>
    </w:div>
    <w:div w:id="1593077318">
      <w:bodyDiv w:val="1"/>
      <w:marLeft w:val="0"/>
      <w:marRight w:val="0"/>
      <w:marTop w:val="0"/>
      <w:marBottom w:val="0"/>
      <w:divBdr>
        <w:top w:val="none" w:sz="0" w:space="0" w:color="auto"/>
        <w:left w:val="none" w:sz="0" w:space="0" w:color="auto"/>
        <w:bottom w:val="none" w:sz="0" w:space="0" w:color="auto"/>
        <w:right w:val="none" w:sz="0" w:space="0" w:color="auto"/>
      </w:divBdr>
    </w:div>
    <w:div w:id="1596741057">
      <w:bodyDiv w:val="1"/>
      <w:marLeft w:val="0"/>
      <w:marRight w:val="0"/>
      <w:marTop w:val="0"/>
      <w:marBottom w:val="0"/>
      <w:divBdr>
        <w:top w:val="none" w:sz="0" w:space="0" w:color="auto"/>
        <w:left w:val="none" w:sz="0" w:space="0" w:color="auto"/>
        <w:bottom w:val="none" w:sz="0" w:space="0" w:color="auto"/>
        <w:right w:val="none" w:sz="0" w:space="0" w:color="auto"/>
      </w:divBdr>
    </w:div>
    <w:div w:id="1602226758">
      <w:bodyDiv w:val="1"/>
      <w:marLeft w:val="0"/>
      <w:marRight w:val="0"/>
      <w:marTop w:val="0"/>
      <w:marBottom w:val="0"/>
      <w:divBdr>
        <w:top w:val="none" w:sz="0" w:space="0" w:color="auto"/>
        <w:left w:val="none" w:sz="0" w:space="0" w:color="auto"/>
        <w:bottom w:val="none" w:sz="0" w:space="0" w:color="auto"/>
        <w:right w:val="none" w:sz="0" w:space="0" w:color="auto"/>
      </w:divBdr>
    </w:div>
    <w:div w:id="1673023104">
      <w:bodyDiv w:val="1"/>
      <w:marLeft w:val="0"/>
      <w:marRight w:val="0"/>
      <w:marTop w:val="0"/>
      <w:marBottom w:val="0"/>
      <w:divBdr>
        <w:top w:val="none" w:sz="0" w:space="0" w:color="auto"/>
        <w:left w:val="none" w:sz="0" w:space="0" w:color="auto"/>
        <w:bottom w:val="none" w:sz="0" w:space="0" w:color="auto"/>
        <w:right w:val="none" w:sz="0" w:space="0" w:color="auto"/>
      </w:divBdr>
      <w:divsChild>
        <w:div w:id="1061439068">
          <w:marLeft w:val="1080"/>
          <w:marRight w:val="0"/>
          <w:marTop w:val="100"/>
          <w:marBottom w:val="0"/>
          <w:divBdr>
            <w:top w:val="none" w:sz="0" w:space="0" w:color="auto"/>
            <w:left w:val="none" w:sz="0" w:space="0" w:color="auto"/>
            <w:bottom w:val="none" w:sz="0" w:space="0" w:color="auto"/>
            <w:right w:val="none" w:sz="0" w:space="0" w:color="auto"/>
          </w:divBdr>
        </w:div>
        <w:div w:id="1186749682">
          <w:marLeft w:val="1080"/>
          <w:marRight w:val="0"/>
          <w:marTop w:val="100"/>
          <w:marBottom w:val="0"/>
          <w:divBdr>
            <w:top w:val="none" w:sz="0" w:space="0" w:color="auto"/>
            <w:left w:val="none" w:sz="0" w:space="0" w:color="auto"/>
            <w:bottom w:val="none" w:sz="0" w:space="0" w:color="auto"/>
            <w:right w:val="none" w:sz="0" w:space="0" w:color="auto"/>
          </w:divBdr>
        </w:div>
      </w:divsChild>
    </w:div>
    <w:div w:id="1699773973">
      <w:bodyDiv w:val="1"/>
      <w:marLeft w:val="0"/>
      <w:marRight w:val="0"/>
      <w:marTop w:val="0"/>
      <w:marBottom w:val="0"/>
      <w:divBdr>
        <w:top w:val="none" w:sz="0" w:space="0" w:color="auto"/>
        <w:left w:val="none" w:sz="0" w:space="0" w:color="auto"/>
        <w:bottom w:val="none" w:sz="0" w:space="0" w:color="auto"/>
        <w:right w:val="none" w:sz="0" w:space="0" w:color="auto"/>
      </w:divBdr>
    </w:div>
    <w:div w:id="1745184574">
      <w:bodyDiv w:val="1"/>
      <w:marLeft w:val="0"/>
      <w:marRight w:val="0"/>
      <w:marTop w:val="0"/>
      <w:marBottom w:val="0"/>
      <w:divBdr>
        <w:top w:val="none" w:sz="0" w:space="0" w:color="auto"/>
        <w:left w:val="none" w:sz="0" w:space="0" w:color="auto"/>
        <w:bottom w:val="none" w:sz="0" w:space="0" w:color="auto"/>
        <w:right w:val="none" w:sz="0" w:space="0" w:color="auto"/>
      </w:divBdr>
    </w:div>
    <w:div w:id="1832718103">
      <w:bodyDiv w:val="1"/>
      <w:marLeft w:val="0"/>
      <w:marRight w:val="0"/>
      <w:marTop w:val="0"/>
      <w:marBottom w:val="0"/>
      <w:divBdr>
        <w:top w:val="none" w:sz="0" w:space="0" w:color="auto"/>
        <w:left w:val="none" w:sz="0" w:space="0" w:color="auto"/>
        <w:bottom w:val="none" w:sz="0" w:space="0" w:color="auto"/>
        <w:right w:val="none" w:sz="0" w:space="0" w:color="auto"/>
      </w:divBdr>
    </w:div>
    <w:div w:id="1840926407">
      <w:bodyDiv w:val="1"/>
      <w:marLeft w:val="0"/>
      <w:marRight w:val="0"/>
      <w:marTop w:val="0"/>
      <w:marBottom w:val="0"/>
      <w:divBdr>
        <w:top w:val="none" w:sz="0" w:space="0" w:color="auto"/>
        <w:left w:val="none" w:sz="0" w:space="0" w:color="auto"/>
        <w:bottom w:val="none" w:sz="0" w:space="0" w:color="auto"/>
        <w:right w:val="none" w:sz="0" w:space="0" w:color="auto"/>
      </w:divBdr>
    </w:div>
    <w:div w:id="1855343431">
      <w:bodyDiv w:val="1"/>
      <w:marLeft w:val="0"/>
      <w:marRight w:val="0"/>
      <w:marTop w:val="0"/>
      <w:marBottom w:val="0"/>
      <w:divBdr>
        <w:top w:val="none" w:sz="0" w:space="0" w:color="auto"/>
        <w:left w:val="none" w:sz="0" w:space="0" w:color="auto"/>
        <w:bottom w:val="none" w:sz="0" w:space="0" w:color="auto"/>
        <w:right w:val="none" w:sz="0" w:space="0" w:color="auto"/>
      </w:divBdr>
    </w:div>
    <w:div w:id="1902322123">
      <w:bodyDiv w:val="1"/>
      <w:marLeft w:val="0"/>
      <w:marRight w:val="0"/>
      <w:marTop w:val="0"/>
      <w:marBottom w:val="0"/>
      <w:divBdr>
        <w:top w:val="none" w:sz="0" w:space="0" w:color="auto"/>
        <w:left w:val="none" w:sz="0" w:space="0" w:color="auto"/>
        <w:bottom w:val="none" w:sz="0" w:space="0" w:color="auto"/>
        <w:right w:val="none" w:sz="0" w:space="0" w:color="auto"/>
      </w:divBdr>
    </w:div>
    <w:div w:id="1909344489">
      <w:bodyDiv w:val="1"/>
      <w:marLeft w:val="0"/>
      <w:marRight w:val="0"/>
      <w:marTop w:val="0"/>
      <w:marBottom w:val="0"/>
      <w:divBdr>
        <w:top w:val="none" w:sz="0" w:space="0" w:color="auto"/>
        <w:left w:val="none" w:sz="0" w:space="0" w:color="auto"/>
        <w:bottom w:val="none" w:sz="0" w:space="0" w:color="auto"/>
        <w:right w:val="none" w:sz="0" w:space="0" w:color="auto"/>
      </w:divBdr>
    </w:div>
    <w:div w:id="1955165429">
      <w:bodyDiv w:val="1"/>
      <w:marLeft w:val="0"/>
      <w:marRight w:val="0"/>
      <w:marTop w:val="0"/>
      <w:marBottom w:val="0"/>
      <w:divBdr>
        <w:top w:val="none" w:sz="0" w:space="0" w:color="auto"/>
        <w:left w:val="none" w:sz="0" w:space="0" w:color="auto"/>
        <w:bottom w:val="none" w:sz="0" w:space="0" w:color="auto"/>
        <w:right w:val="none" w:sz="0" w:space="0" w:color="auto"/>
      </w:divBdr>
    </w:div>
    <w:div w:id="1966151445">
      <w:bodyDiv w:val="1"/>
      <w:marLeft w:val="0"/>
      <w:marRight w:val="0"/>
      <w:marTop w:val="0"/>
      <w:marBottom w:val="0"/>
      <w:divBdr>
        <w:top w:val="none" w:sz="0" w:space="0" w:color="auto"/>
        <w:left w:val="none" w:sz="0" w:space="0" w:color="auto"/>
        <w:bottom w:val="none" w:sz="0" w:space="0" w:color="auto"/>
        <w:right w:val="none" w:sz="0" w:space="0" w:color="auto"/>
      </w:divBdr>
    </w:div>
    <w:div w:id="1974676137">
      <w:bodyDiv w:val="1"/>
      <w:marLeft w:val="0"/>
      <w:marRight w:val="0"/>
      <w:marTop w:val="0"/>
      <w:marBottom w:val="0"/>
      <w:divBdr>
        <w:top w:val="none" w:sz="0" w:space="0" w:color="auto"/>
        <w:left w:val="none" w:sz="0" w:space="0" w:color="auto"/>
        <w:bottom w:val="none" w:sz="0" w:space="0" w:color="auto"/>
        <w:right w:val="none" w:sz="0" w:space="0" w:color="auto"/>
      </w:divBdr>
    </w:div>
    <w:div w:id="209126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EA6BC3-50DC-4612-8E5A-3B3AFFB26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11</Pages>
  <Words>14043</Words>
  <Characters>84262</Characters>
  <Application>Microsoft Office Word</Application>
  <DocSecurity>0</DocSecurity>
  <Lines>702</Lines>
  <Paragraphs>196</Paragraphs>
  <ScaleCrop>false</ScaleCrop>
  <HeadingPairs>
    <vt:vector size="6" baseType="variant">
      <vt:variant>
        <vt:lpstr>Tytuł</vt:lpstr>
      </vt:variant>
      <vt:variant>
        <vt:i4>1</vt:i4>
      </vt:variant>
      <vt:variant>
        <vt:lpstr>Názov</vt:lpstr>
      </vt:variant>
      <vt:variant>
        <vt:i4>1</vt:i4>
      </vt:variant>
      <vt:variant>
        <vt:lpstr>Název</vt:lpstr>
      </vt:variant>
      <vt:variant>
        <vt:i4>1</vt:i4>
      </vt:variant>
    </vt:vector>
  </HeadingPairs>
  <TitlesOfParts>
    <vt:vector size="3" baseType="lpstr">
      <vt:lpstr/>
      <vt:lpstr/>
      <vt:lpstr/>
    </vt:vector>
  </TitlesOfParts>
  <Company/>
  <LinksUpToDate>false</LinksUpToDate>
  <CharactersWithSpaces>98109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Patrik Gross</dc:creator>
  <cp:keywords/>
  <dc:description/>
  <cp:lastModifiedBy>Janusz Dabrowski NA</cp:lastModifiedBy>
  <cp:revision>16</cp:revision>
  <cp:lastPrinted>2026-06-24T08:14:00Z</cp:lastPrinted>
  <dcterms:created xsi:type="dcterms:W3CDTF">2026-06-24T06:45:00Z</dcterms:created>
  <dcterms:modified xsi:type="dcterms:W3CDTF">2026-07-16T06:17:00Z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zotero-version="9.0.4"&gt;&lt;session id="8RB8Q2q9"/&gt;&lt;style id="http://www.zotero.org/styles/apa-6th-edition" locale="en-US" hasBibliography="1" bibliographyStyleHasBeenSet="1"/&gt;&lt;prefs&gt;&lt;pref name="fieldType" value="Field"/&gt;&lt;/prefs&gt;&lt;/data&gt;</vt:lpwstr>
  </property>
</Properties>
</file>