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BC41AF" w:rsidRPr="007D7B11" w14:paraId="380FBD18" w14:textId="77777777" w:rsidTr="00856A3E">
        <w:trPr>
          <w:trHeight w:hRule="exact" w:val="142"/>
        </w:trPr>
        <w:tc>
          <w:tcPr>
            <w:tcW w:w="709" w:type="dxa"/>
            <w:vMerge w:val="restart"/>
            <w:vAlign w:val="center"/>
          </w:tcPr>
          <w:p w14:paraId="467328BB" w14:textId="77777777" w:rsidR="00BC41AF" w:rsidRPr="007D7B11" w:rsidRDefault="00BC41AF" w:rsidP="00856A3E">
            <w:pPr>
              <w:spacing w:after="0" w:line="240" w:lineRule="auto"/>
              <w:rPr>
                <w:rFonts w:ascii="Times New Roman" w:hAnsi="Times New Roman" w:cs="Times New Roman"/>
                <w:lang w:val="en-GB"/>
              </w:rPr>
            </w:pPr>
            <w:bookmarkStart w:id="0" w:name="_jlde0bfez6jg" w:colFirst="0" w:colLast="0"/>
            <w:bookmarkStart w:id="1" w:name="_Hlk184284483"/>
            <w:bookmarkStart w:id="2" w:name="_Hlk145412337"/>
            <w:bookmarkStart w:id="3" w:name="_Hlk103340665"/>
            <w:bookmarkStart w:id="4" w:name="_Hlk24804592"/>
            <w:bookmarkEnd w:id="0"/>
            <w:bookmarkEnd w:id="1"/>
            <w:bookmarkEnd w:id="2"/>
            <w:bookmarkEnd w:id="3"/>
            <w:r w:rsidRPr="007D7B11">
              <w:rPr>
                <w:rFonts w:ascii="Times New Roman" w:hAnsi="Times New Roman" w:cs="Times New Roman"/>
                <w:lang w:val="en-GB" w:eastAsia="pl-PL"/>
              </w:rPr>
              <w:drawing>
                <wp:anchor distT="0" distB="0" distL="114300" distR="114300" simplePos="0" relativeHeight="251661312" behindDoc="0" locked="0" layoutInCell="1" allowOverlap="1" wp14:anchorId="14A3F51F" wp14:editId="70FF6041">
                  <wp:simplePos x="0" y="0"/>
                  <wp:positionH relativeFrom="column">
                    <wp:posOffset>0</wp:posOffset>
                  </wp:positionH>
                  <wp:positionV relativeFrom="paragraph">
                    <wp:posOffset>335915</wp:posOffset>
                  </wp:positionV>
                  <wp:extent cx="431800" cy="425450"/>
                  <wp:effectExtent l="0" t="0" r="6350" b="0"/>
                  <wp:wrapNone/>
                  <wp:docPr id="14455592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 cy="425450"/>
                          </a:xfrm>
                          <a:prstGeom prst="rect">
                            <a:avLst/>
                          </a:prstGeom>
                          <a:noFill/>
                        </pic:spPr>
                      </pic:pic>
                    </a:graphicData>
                  </a:graphic>
                </wp:anchor>
              </w:drawing>
            </w:r>
          </w:p>
        </w:tc>
        <w:tc>
          <w:tcPr>
            <w:tcW w:w="8930" w:type="dxa"/>
            <w:gridSpan w:val="3"/>
            <w:vAlign w:val="center"/>
          </w:tcPr>
          <w:p w14:paraId="4AEE6E71" w14:textId="77777777" w:rsidR="00BC41AF" w:rsidRPr="007D7B11" w:rsidRDefault="00BC41AF" w:rsidP="00856A3E">
            <w:pPr>
              <w:spacing w:after="0" w:line="240" w:lineRule="auto"/>
              <w:jc w:val="center"/>
              <w:rPr>
                <w:rFonts w:ascii="Times New Roman" w:hAnsi="Times New Roman" w:cs="Times New Roman"/>
                <w:lang w:val="en-GB"/>
              </w:rPr>
            </w:pPr>
          </w:p>
        </w:tc>
      </w:tr>
      <w:tr w:rsidR="00BC41AF" w:rsidRPr="007D7B11" w14:paraId="7262912F" w14:textId="77777777" w:rsidTr="00856A3E">
        <w:trPr>
          <w:trHeight w:hRule="exact" w:val="283"/>
        </w:trPr>
        <w:tc>
          <w:tcPr>
            <w:tcW w:w="709" w:type="dxa"/>
            <w:vMerge/>
          </w:tcPr>
          <w:p w14:paraId="4ED6059A" w14:textId="77777777" w:rsidR="00BC41AF" w:rsidRPr="007D7B11" w:rsidRDefault="00BC41AF" w:rsidP="00856A3E">
            <w:pPr>
              <w:spacing w:after="0" w:line="240" w:lineRule="auto"/>
              <w:jc w:val="center"/>
              <w:rPr>
                <w:rFonts w:ascii="Times New Roman" w:hAnsi="Times New Roman" w:cs="Times New Roman"/>
                <w:lang w:val="en-GB"/>
              </w:rPr>
            </w:pPr>
          </w:p>
        </w:tc>
        <w:tc>
          <w:tcPr>
            <w:tcW w:w="8930" w:type="dxa"/>
            <w:gridSpan w:val="3"/>
            <w:tcBorders>
              <w:bottom w:val="single" w:sz="2" w:space="0" w:color="auto"/>
            </w:tcBorders>
            <w:vAlign w:val="center"/>
          </w:tcPr>
          <w:p w14:paraId="03A1D484" w14:textId="77777777" w:rsidR="00BC41AF" w:rsidRPr="007D7B11" w:rsidRDefault="00BC41AF" w:rsidP="00856A3E">
            <w:pPr>
              <w:spacing w:after="0" w:line="240" w:lineRule="auto"/>
              <w:jc w:val="center"/>
              <w:rPr>
                <w:rFonts w:ascii="Times New Roman" w:hAnsi="Times New Roman" w:cs="Times New Roman"/>
                <w:lang w:val="en-GB"/>
              </w:rPr>
            </w:pPr>
            <w:r w:rsidRPr="007D7B11">
              <w:rPr>
                <w:rFonts w:ascii="Times New Roman" w:hAnsi="Times New Roman" w:cs="Times New Roman"/>
                <w:b/>
                <w:sz w:val="20"/>
                <w:lang w:val="en-GB"/>
              </w:rPr>
              <w:t>Rocznik Ochrona Środowiska</w:t>
            </w:r>
          </w:p>
        </w:tc>
      </w:tr>
      <w:tr w:rsidR="00BC41AF" w:rsidRPr="007D7B11" w14:paraId="2CDCF6DF" w14:textId="77777777" w:rsidTr="00856A3E">
        <w:trPr>
          <w:trHeight w:hRule="exact" w:val="283"/>
        </w:trPr>
        <w:tc>
          <w:tcPr>
            <w:tcW w:w="709" w:type="dxa"/>
            <w:vMerge/>
          </w:tcPr>
          <w:p w14:paraId="4A68B1FB" w14:textId="77777777" w:rsidR="00BC41AF" w:rsidRPr="007D7B11" w:rsidRDefault="00BC41AF" w:rsidP="00856A3E">
            <w:pPr>
              <w:spacing w:after="0" w:line="240" w:lineRule="auto"/>
              <w:jc w:val="center"/>
              <w:rPr>
                <w:rFonts w:ascii="Times New Roman" w:hAnsi="Times New Roman" w:cs="Times New Roman"/>
                <w:lang w:val="en-GB"/>
              </w:rPr>
            </w:pPr>
          </w:p>
        </w:tc>
        <w:tc>
          <w:tcPr>
            <w:tcW w:w="992" w:type="dxa"/>
            <w:tcBorders>
              <w:top w:val="single" w:sz="2" w:space="0" w:color="auto"/>
              <w:bottom w:val="single" w:sz="2" w:space="0" w:color="auto"/>
            </w:tcBorders>
            <w:vAlign w:val="center"/>
          </w:tcPr>
          <w:p w14:paraId="2D80D868" w14:textId="77777777" w:rsidR="00BC41AF" w:rsidRPr="007D7B11" w:rsidRDefault="00BC41AF" w:rsidP="00856A3E">
            <w:pPr>
              <w:spacing w:after="0" w:line="240" w:lineRule="auto"/>
              <w:rPr>
                <w:rFonts w:ascii="Times New Roman" w:hAnsi="Times New Roman" w:cs="Times New Roman"/>
                <w:kern w:val="18"/>
                <w:sz w:val="18"/>
                <w:lang w:val="en-GB"/>
              </w:rPr>
            </w:pPr>
            <w:r w:rsidRPr="007D7B11">
              <w:rPr>
                <w:rFonts w:ascii="Times New Roman" w:hAnsi="Times New Roman" w:cs="Times New Roman"/>
                <w:kern w:val="18"/>
                <w:sz w:val="18"/>
                <w:lang w:val="en-GB"/>
              </w:rPr>
              <w:t>Volume 28</w:t>
            </w:r>
          </w:p>
        </w:tc>
        <w:tc>
          <w:tcPr>
            <w:tcW w:w="6304" w:type="dxa"/>
            <w:tcBorders>
              <w:top w:val="single" w:sz="2" w:space="0" w:color="auto"/>
              <w:bottom w:val="single" w:sz="2" w:space="0" w:color="auto"/>
            </w:tcBorders>
            <w:vAlign w:val="center"/>
          </w:tcPr>
          <w:p w14:paraId="42FAC8AD" w14:textId="77777777" w:rsidR="00BC41AF" w:rsidRPr="007D7B11" w:rsidRDefault="00BC41AF" w:rsidP="00F8497E">
            <w:pPr>
              <w:tabs>
                <w:tab w:val="left" w:pos="2922"/>
              </w:tabs>
              <w:spacing w:after="0" w:line="240" w:lineRule="auto"/>
              <w:rPr>
                <w:rFonts w:ascii="Times New Roman" w:hAnsi="Times New Roman" w:cs="Times New Roman"/>
                <w:kern w:val="18"/>
                <w:sz w:val="18"/>
                <w:lang w:val="en-GB"/>
              </w:rPr>
            </w:pPr>
            <w:r w:rsidRPr="007D7B11">
              <w:rPr>
                <w:rFonts w:ascii="Times New Roman" w:hAnsi="Times New Roman" w:cs="Times New Roman"/>
                <w:kern w:val="18"/>
                <w:sz w:val="18"/>
                <w:lang w:val="en-GB"/>
              </w:rPr>
              <w:t>Year 2026</w:t>
            </w:r>
            <w:r w:rsidRPr="007D7B11">
              <w:rPr>
                <w:rFonts w:ascii="Times New Roman" w:hAnsi="Times New Roman" w:cs="Times New Roman"/>
                <w:kern w:val="18"/>
                <w:sz w:val="18"/>
                <w:lang w:val="en-GB"/>
              </w:rPr>
              <w:tab/>
              <w:t>ISSN 2720-7501</w:t>
            </w:r>
          </w:p>
        </w:tc>
        <w:tc>
          <w:tcPr>
            <w:tcW w:w="1634" w:type="dxa"/>
            <w:tcBorders>
              <w:top w:val="single" w:sz="2" w:space="0" w:color="auto"/>
              <w:bottom w:val="single" w:sz="2" w:space="0" w:color="auto"/>
            </w:tcBorders>
            <w:vAlign w:val="center"/>
          </w:tcPr>
          <w:p w14:paraId="29F165D9" w14:textId="21CF2E77" w:rsidR="00BC41AF" w:rsidRPr="007D7B11" w:rsidRDefault="00BC41AF" w:rsidP="00856A3E">
            <w:pPr>
              <w:spacing w:after="0" w:line="240" w:lineRule="auto"/>
              <w:jc w:val="right"/>
              <w:rPr>
                <w:rFonts w:ascii="Times New Roman" w:hAnsi="Times New Roman" w:cs="Times New Roman"/>
                <w:sz w:val="18"/>
                <w:lang w:val="en-GB"/>
              </w:rPr>
            </w:pPr>
            <w:r w:rsidRPr="007D7B11">
              <w:rPr>
                <w:rFonts w:ascii="Times New Roman" w:hAnsi="Times New Roman" w:cs="Times New Roman"/>
                <w:sz w:val="18"/>
                <w:lang w:val="en-GB"/>
              </w:rPr>
              <w:t xml:space="preserve">pp. </w:t>
            </w:r>
            <w:r w:rsidR="00097BD0">
              <w:rPr>
                <w:rFonts w:ascii="Times New Roman" w:hAnsi="Times New Roman" w:cs="Times New Roman"/>
                <w:sz w:val="18"/>
                <w:lang w:val="en-GB"/>
              </w:rPr>
              <w:t>488</w:t>
            </w:r>
            <w:r w:rsidRPr="007D7B11">
              <w:rPr>
                <w:rFonts w:ascii="Times New Roman" w:hAnsi="Times New Roman" w:cs="Times New Roman"/>
                <w:sz w:val="18"/>
                <w:lang w:val="en-GB"/>
              </w:rPr>
              <w:t>-</w:t>
            </w:r>
            <w:r w:rsidR="00097BD0">
              <w:rPr>
                <w:rFonts w:ascii="Times New Roman" w:hAnsi="Times New Roman" w:cs="Times New Roman"/>
                <w:sz w:val="18"/>
                <w:lang w:val="en-GB"/>
              </w:rPr>
              <w:t>504</w:t>
            </w:r>
            <w:r w:rsidRPr="007D7B11">
              <w:rPr>
                <w:rFonts w:ascii="Times New Roman" w:hAnsi="Times New Roman" w:cs="Times New Roman"/>
                <w:sz w:val="18"/>
                <w:lang w:val="en-GB"/>
              </w:rPr>
              <w:t xml:space="preserve"> </w:t>
            </w:r>
          </w:p>
        </w:tc>
      </w:tr>
      <w:tr w:rsidR="00BC41AF" w:rsidRPr="00A54526" w14:paraId="21D536D9" w14:textId="77777777" w:rsidTr="00856A3E">
        <w:trPr>
          <w:trHeight w:hRule="exact" w:val="283"/>
        </w:trPr>
        <w:tc>
          <w:tcPr>
            <w:tcW w:w="709" w:type="dxa"/>
          </w:tcPr>
          <w:p w14:paraId="33F795F7" w14:textId="77777777" w:rsidR="00BC41AF" w:rsidRPr="007D7B11" w:rsidRDefault="00BC41AF" w:rsidP="00856A3E">
            <w:pPr>
              <w:spacing w:after="0" w:line="240" w:lineRule="auto"/>
              <w:jc w:val="center"/>
              <w:rPr>
                <w:rFonts w:ascii="Times New Roman" w:hAnsi="Times New Roman" w:cs="Times New Roman"/>
                <w:lang w:val="en-GB"/>
              </w:rPr>
            </w:pPr>
          </w:p>
        </w:tc>
        <w:tc>
          <w:tcPr>
            <w:tcW w:w="8930" w:type="dxa"/>
            <w:gridSpan w:val="3"/>
            <w:tcBorders>
              <w:top w:val="single" w:sz="2" w:space="0" w:color="auto"/>
              <w:bottom w:val="single" w:sz="2" w:space="0" w:color="auto"/>
            </w:tcBorders>
            <w:vAlign w:val="center"/>
          </w:tcPr>
          <w:p w14:paraId="3C40ED1D" w14:textId="5A6CE4A5" w:rsidR="00BC41AF" w:rsidRPr="007D7B11" w:rsidRDefault="00BC41AF" w:rsidP="00856A3E">
            <w:pPr>
              <w:tabs>
                <w:tab w:val="right" w:pos="8928"/>
              </w:tabs>
              <w:spacing w:after="0" w:line="240" w:lineRule="auto"/>
              <w:rPr>
                <w:rFonts w:ascii="Times New Roman" w:hAnsi="Times New Roman" w:cs="Times New Roman"/>
                <w:sz w:val="18"/>
                <w:lang w:val="en-GB"/>
              </w:rPr>
            </w:pPr>
            <w:r w:rsidRPr="007D7B11">
              <w:rPr>
                <w:rFonts w:ascii="Times New Roman" w:hAnsi="Times New Roman" w:cs="Times New Roman"/>
                <w:sz w:val="18"/>
                <w:lang w:val="en-GB"/>
              </w:rPr>
              <w:t>https://doi.org/10.54740/ros.2026.0</w:t>
            </w:r>
            <w:r w:rsidR="00097BD0">
              <w:rPr>
                <w:rFonts w:ascii="Times New Roman" w:hAnsi="Times New Roman" w:cs="Times New Roman"/>
                <w:sz w:val="18"/>
                <w:lang w:val="en-GB"/>
              </w:rPr>
              <w:t>33</w:t>
            </w:r>
            <w:r w:rsidRPr="007D7B11">
              <w:rPr>
                <w:rFonts w:ascii="Times New Roman" w:hAnsi="Times New Roman" w:cs="Times New Roman"/>
                <w:sz w:val="18"/>
                <w:lang w:val="en-GB"/>
              </w:rPr>
              <w:tab/>
              <w:t>open access</w:t>
            </w:r>
          </w:p>
        </w:tc>
      </w:tr>
      <w:tr w:rsidR="00BC41AF" w:rsidRPr="00A54526" w14:paraId="3AACDCEB" w14:textId="77777777" w:rsidTr="00856A3E">
        <w:trPr>
          <w:trHeight w:hRule="exact" w:val="283"/>
        </w:trPr>
        <w:tc>
          <w:tcPr>
            <w:tcW w:w="709" w:type="dxa"/>
          </w:tcPr>
          <w:p w14:paraId="0BA5D6FC" w14:textId="77777777" w:rsidR="00BC41AF" w:rsidRPr="007D7B11" w:rsidRDefault="00BC41AF" w:rsidP="00856A3E">
            <w:pPr>
              <w:spacing w:after="0" w:line="240" w:lineRule="auto"/>
              <w:jc w:val="center"/>
              <w:rPr>
                <w:rFonts w:ascii="Times New Roman" w:hAnsi="Times New Roman" w:cs="Times New Roman"/>
                <w:lang w:val="en-GB"/>
              </w:rPr>
            </w:pPr>
          </w:p>
        </w:tc>
        <w:tc>
          <w:tcPr>
            <w:tcW w:w="8930" w:type="dxa"/>
            <w:gridSpan w:val="3"/>
            <w:tcBorders>
              <w:top w:val="single" w:sz="2" w:space="0" w:color="auto"/>
            </w:tcBorders>
            <w:vAlign w:val="center"/>
          </w:tcPr>
          <w:p w14:paraId="74354534" w14:textId="225B6924" w:rsidR="00BC41AF" w:rsidRPr="007D7B11" w:rsidRDefault="00BC41AF" w:rsidP="00B21F0A">
            <w:pPr>
              <w:tabs>
                <w:tab w:val="left" w:pos="3795"/>
                <w:tab w:val="right" w:pos="8928"/>
              </w:tabs>
              <w:spacing w:after="0" w:line="240" w:lineRule="auto"/>
              <w:rPr>
                <w:rFonts w:ascii="Times New Roman" w:hAnsi="Times New Roman" w:cs="Times New Roman"/>
                <w:sz w:val="18"/>
                <w:lang w:val="en-GB"/>
              </w:rPr>
            </w:pPr>
            <w:r w:rsidRPr="007D7B11">
              <w:rPr>
                <w:rFonts w:ascii="Times New Roman" w:hAnsi="Times New Roman" w:cs="Times New Roman"/>
                <w:sz w:val="18"/>
                <w:lang w:val="en-GB"/>
              </w:rPr>
              <w:t xml:space="preserve">Received: </w:t>
            </w:r>
            <w:r w:rsidRPr="00BC41AF">
              <w:rPr>
                <w:rFonts w:ascii="Times New Roman" w:hAnsi="Times New Roman" w:cs="Times New Roman"/>
                <w:sz w:val="18"/>
                <w:lang w:val="en-GB"/>
              </w:rPr>
              <w:t>April</w:t>
            </w:r>
            <w:r w:rsidRPr="007D7B11">
              <w:rPr>
                <w:rFonts w:ascii="Times New Roman" w:hAnsi="Times New Roman" w:cs="Times New Roman"/>
                <w:sz w:val="18"/>
                <w:lang w:val="en-GB"/>
              </w:rPr>
              <w:t xml:space="preserve"> 2026</w:t>
            </w:r>
            <w:r w:rsidRPr="007D7B11">
              <w:rPr>
                <w:rFonts w:ascii="Times New Roman" w:hAnsi="Times New Roman" w:cs="Times New Roman"/>
                <w:sz w:val="18"/>
                <w:lang w:val="en-GB"/>
              </w:rPr>
              <w:tab/>
              <w:t xml:space="preserve">Accepted: </w:t>
            </w:r>
            <w:r>
              <w:rPr>
                <w:rFonts w:ascii="Times New Roman" w:hAnsi="Times New Roman" w:cs="Times New Roman"/>
                <w:sz w:val="18"/>
                <w:lang w:val="en-GB"/>
              </w:rPr>
              <w:t>June</w:t>
            </w:r>
            <w:r w:rsidRPr="007D7B11">
              <w:rPr>
                <w:rFonts w:ascii="Times New Roman" w:hAnsi="Times New Roman" w:cs="Times New Roman"/>
                <w:sz w:val="18"/>
                <w:lang w:val="en-GB"/>
              </w:rPr>
              <w:t xml:space="preserve"> 2026</w:t>
            </w:r>
            <w:r w:rsidRPr="007D7B11">
              <w:rPr>
                <w:rFonts w:ascii="Times New Roman" w:hAnsi="Times New Roman" w:cs="Times New Roman"/>
                <w:sz w:val="18"/>
                <w:lang w:val="en-GB"/>
              </w:rPr>
              <w:tab/>
              <w:t xml:space="preserve">Published: </w:t>
            </w:r>
            <w:r w:rsidR="00097BD0">
              <w:rPr>
                <w:rFonts w:ascii="Times New Roman" w:hAnsi="Times New Roman" w:cs="Times New Roman"/>
                <w:sz w:val="18"/>
                <w:lang w:val="en-GB"/>
              </w:rPr>
              <w:t>July</w:t>
            </w:r>
            <w:r w:rsidRPr="007D7B11">
              <w:rPr>
                <w:rFonts w:ascii="Times New Roman" w:hAnsi="Times New Roman" w:cs="Times New Roman"/>
                <w:sz w:val="18"/>
                <w:lang w:val="en-GB"/>
              </w:rPr>
              <w:t xml:space="preserve"> 2026</w:t>
            </w:r>
          </w:p>
        </w:tc>
      </w:tr>
    </w:tbl>
    <w:bookmarkEnd w:id="4"/>
    <w:p w14:paraId="6813D65A" w14:textId="57A187C7" w:rsidR="0067470A" w:rsidRPr="00F305A4" w:rsidRDefault="0067470A" w:rsidP="008C2A10">
      <w:pPr>
        <w:pStyle w:val="Rtytu"/>
        <w:rPr>
          <w:lang w:val="en-GB"/>
        </w:rPr>
      </w:pPr>
      <w:r w:rsidRPr="00F305A4">
        <w:rPr>
          <w:lang w:val="en-GB"/>
        </w:rPr>
        <w:t xml:space="preserve">GIS-based </w:t>
      </w:r>
      <w:proofErr w:type="spellStart"/>
      <w:r w:rsidR="00C718A7" w:rsidRPr="00F305A4">
        <w:rPr>
          <w:lang w:val="en-GB"/>
        </w:rPr>
        <w:t>M</w:t>
      </w:r>
      <w:r w:rsidRPr="00F305A4">
        <w:rPr>
          <w:lang w:val="en-GB"/>
        </w:rPr>
        <w:t>orphodynamic</w:t>
      </w:r>
      <w:proofErr w:type="spellEnd"/>
      <w:r w:rsidRPr="00F305A4">
        <w:rPr>
          <w:lang w:val="en-GB"/>
        </w:rPr>
        <w:t xml:space="preserve"> </w:t>
      </w:r>
      <w:r w:rsidR="00C718A7" w:rsidRPr="00F305A4">
        <w:rPr>
          <w:lang w:val="en-GB"/>
        </w:rPr>
        <w:t>A</w:t>
      </w:r>
      <w:r w:rsidRPr="00F305A4">
        <w:rPr>
          <w:lang w:val="en-GB"/>
        </w:rPr>
        <w:t xml:space="preserve">ssessment and </w:t>
      </w:r>
      <w:r w:rsidR="00C718A7" w:rsidRPr="00F305A4">
        <w:rPr>
          <w:lang w:val="en-GB"/>
        </w:rPr>
        <w:t>E</w:t>
      </w:r>
      <w:r w:rsidRPr="00F305A4">
        <w:rPr>
          <w:lang w:val="en-GB"/>
        </w:rPr>
        <w:t xml:space="preserve">ngineering </w:t>
      </w:r>
      <w:r w:rsidR="00C718A7" w:rsidRPr="00F305A4">
        <w:rPr>
          <w:lang w:val="en-GB"/>
        </w:rPr>
        <w:t>S</w:t>
      </w:r>
      <w:r w:rsidRPr="00F305A4">
        <w:rPr>
          <w:lang w:val="en-GB"/>
        </w:rPr>
        <w:t xml:space="preserve">tabilization </w:t>
      </w:r>
      <w:r w:rsidR="00E81992">
        <w:rPr>
          <w:lang w:val="en-GB"/>
        </w:rPr>
        <w:br/>
      </w:r>
      <w:r w:rsidRPr="00F305A4">
        <w:rPr>
          <w:lang w:val="en-GB"/>
        </w:rPr>
        <w:t xml:space="preserve">of the </w:t>
      </w:r>
      <w:proofErr w:type="spellStart"/>
      <w:r w:rsidRPr="00F305A4">
        <w:rPr>
          <w:lang w:val="en-GB"/>
        </w:rPr>
        <w:t>Bălăneasa</w:t>
      </w:r>
      <w:proofErr w:type="spellEnd"/>
      <w:r w:rsidRPr="00F305A4">
        <w:rPr>
          <w:lang w:val="en-GB"/>
        </w:rPr>
        <w:t xml:space="preserve"> River Basin (Romania)</w:t>
      </w:r>
    </w:p>
    <w:p w14:paraId="32E74BF2" w14:textId="4F7A9665" w:rsidR="000D37EA" w:rsidRPr="00F305A4" w:rsidRDefault="000D37EA" w:rsidP="008C2A10">
      <w:pPr>
        <w:pStyle w:val="Rautor"/>
        <w:rPr>
          <w:lang w:val="en-GB"/>
        </w:rPr>
      </w:pPr>
      <w:r w:rsidRPr="00F305A4">
        <w:rPr>
          <w:lang w:val="en-GB"/>
        </w:rPr>
        <w:t>Andreea-Maria Lupșan</w:t>
      </w:r>
      <w:r w:rsidRPr="00F305A4">
        <w:rPr>
          <w:vertAlign w:val="superscript"/>
          <w:lang w:val="en-GB"/>
        </w:rPr>
        <w:t>1</w:t>
      </w:r>
      <w:r w:rsidRPr="00F305A4">
        <w:rPr>
          <w:lang w:val="en-GB"/>
        </w:rPr>
        <w:t>, Costin Mivu</w:t>
      </w:r>
      <w:r w:rsidRPr="00F305A4">
        <w:rPr>
          <w:vertAlign w:val="superscript"/>
          <w:lang w:val="en-GB"/>
        </w:rPr>
        <w:t>2</w:t>
      </w:r>
      <w:r w:rsidR="00BC41AF">
        <w:rPr>
          <w:vertAlign w:val="superscript"/>
          <w:lang w:val="en-GB"/>
        </w:rPr>
        <w:t>*</w:t>
      </w:r>
      <w:r w:rsidRPr="00F305A4">
        <w:rPr>
          <w:lang w:val="en-GB"/>
        </w:rPr>
        <w:t>, Alexandru Nedelea</w:t>
      </w:r>
      <w:r w:rsidRPr="00F305A4">
        <w:rPr>
          <w:vertAlign w:val="superscript"/>
          <w:lang w:val="en-GB"/>
        </w:rPr>
        <w:t>3</w:t>
      </w:r>
      <w:r w:rsidRPr="00F305A4">
        <w:rPr>
          <w:lang w:val="en-GB"/>
        </w:rPr>
        <w:t>, Laura Comănescu</w:t>
      </w:r>
      <w:r w:rsidRPr="00F305A4">
        <w:rPr>
          <w:vertAlign w:val="superscript"/>
          <w:lang w:val="en-GB"/>
        </w:rPr>
        <w:t>4</w:t>
      </w:r>
      <w:r w:rsidRPr="00F305A4">
        <w:rPr>
          <w:lang w:val="en-GB"/>
        </w:rPr>
        <w:t xml:space="preserve">, </w:t>
      </w:r>
      <w:r w:rsidR="00C718A7" w:rsidRPr="00F305A4">
        <w:rPr>
          <w:lang w:val="en-GB"/>
        </w:rPr>
        <w:br/>
      </w:r>
      <w:r w:rsidRPr="00F305A4">
        <w:rPr>
          <w:lang w:val="en-GB"/>
        </w:rPr>
        <w:t>Robert-Răzvan Dobre</w:t>
      </w:r>
      <w:r w:rsidRPr="00F305A4">
        <w:rPr>
          <w:vertAlign w:val="superscript"/>
          <w:lang w:val="en-GB"/>
        </w:rPr>
        <w:t>5</w:t>
      </w:r>
      <w:r w:rsidRPr="00F305A4">
        <w:rPr>
          <w:lang w:val="en-GB"/>
        </w:rPr>
        <w:t>, Andrei Laurențiu Ilie</w:t>
      </w:r>
      <w:r w:rsidRPr="00F305A4">
        <w:rPr>
          <w:vertAlign w:val="superscript"/>
          <w:lang w:val="en-GB"/>
        </w:rPr>
        <w:t>6</w:t>
      </w:r>
    </w:p>
    <w:p w14:paraId="05667D10" w14:textId="785378B9" w:rsidR="000D37EA" w:rsidRPr="00F305A4" w:rsidRDefault="000D37EA" w:rsidP="008C2A10">
      <w:pPr>
        <w:pStyle w:val="Rafiliacja"/>
        <w:rPr>
          <w:lang w:val="en-GB"/>
        </w:rPr>
      </w:pPr>
      <w:r w:rsidRPr="00F305A4">
        <w:rPr>
          <w:vertAlign w:val="superscript"/>
          <w:lang w:val="en-GB"/>
        </w:rPr>
        <w:t>1</w:t>
      </w:r>
      <w:r w:rsidRPr="00F305A4">
        <w:rPr>
          <w:lang w:val="en-GB"/>
        </w:rPr>
        <w:t>Faculty of Geography, University of Bucharest</w:t>
      </w:r>
      <w:r w:rsidR="00C718A7" w:rsidRPr="00F305A4">
        <w:rPr>
          <w:lang w:val="en-GB"/>
        </w:rPr>
        <w:t>, Romania</w:t>
      </w:r>
      <w:r w:rsidR="00C718A7" w:rsidRPr="00F305A4">
        <w:rPr>
          <w:lang w:val="en-GB"/>
        </w:rPr>
        <w:br/>
      </w:r>
      <w:r w:rsidRPr="00F305A4">
        <w:rPr>
          <w:lang w:val="en-GB"/>
        </w:rPr>
        <w:t>https://orcid.org/0009-0008-1933-3581</w:t>
      </w:r>
    </w:p>
    <w:p w14:paraId="452FA527" w14:textId="4D458C03" w:rsidR="000D37EA" w:rsidRPr="00F305A4" w:rsidRDefault="000D37EA" w:rsidP="008C2A10">
      <w:pPr>
        <w:pStyle w:val="Rafiliacja"/>
        <w:rPr>
          <w:lang w:val="en-GB"/>
        </w:rPr>
      </w:pPr>
      <w:r w:rsidRPr="00F305A4">
        <w:rPr>
          <w:vertAlign w:val="superscript"/>
          <w:lang w:val="en-GB"/>
        </w:rPr>
        <w:t>2</w:t>
      </w:r>
      <w:r w:rsidRPr="00F305A4">
        <w:rPr>
          <w:lang w:val="en-GB"/>
        </w:rPr>
        <w:t xml:space="preserve">Faculty of Industrial Engineering and Robotics, </w:t>
      </w:r>
      <w:r w:rsidR="00C718A7" w:rsidRPr="00F305A4">
        <w:rPr>
          <w:lang w:val="en-GB"/>
        </w:rPr>
        <w:br/>
      </w:r>
      <w:r w:rsidRPr="00F305A4">
        <w:rPr>
          <w:lang w:val="en-GB"/>
        </w:rPr>
        <w:t xml:space="preserve">National University of Science and Technology </w:t>
      </w:r>
      <w:proofErr w:type="spellStart"/>
      <w:r w:rsidRPr="00F305A4">
        <w:rPr>
          <w:lang w:val="en-GB"/>
        </w:rPr>
        <w:t>Politehnica</w:t>
      </w:r>
      <w:proofErr w:type="spellEnd"/>
      <w:r w:rsidRPr="00F305A4">
        <w:rPr>
          <w:lang w:val="en-GB"/>
        </w:rPr>
        <w:t xml:space="preserve"> of Bucharest</w:t>
      </w:r>
      <w:r w:rsidR="00C718A7" w:rsidRPr="00F305A4">
        <w:rPr>
          <w:lang w:val="en-GB"/>
        </w:rPr>
        <w:t>, Romania</w:t>
      </w:r>
      <w:r w:rsidR="00C718A7" w:rsidRPr="00F305A4">
        <w:rPr>
          <w:lang w:val="en-GB"/>
        </w:rPr>
        <w:br/>
      </w:r>
      <w:r w:rsidR="00A624D3" w:rsidRPr="00F305A4">
        <w:rPr>
          <w:lang w:val="en-GB"/>
        </w:rPr>
        <w:t>https://orcid.org/0009-0006-0629-6246</w:t>
      </w:r>
    </w:p>
    <w:p w14:paraId="6E59430D" w14:textId="6600E674" w:rsidR="000D37EA" w:rsidRPr="00F305A4" w:rsidRDefault="000D37EA" w:rsidP="008C2A10">
      <w:pPr>
        <w:pStyle w:val="Rafiliacja"/>
        <w:rPr>
          <w:lang w:val="en-GB"/>
        </w:rPr>
      </w:pPr>
      <w:r w:rsidRPr="00F305A4">
        <w:rPr>
          <w:vertAlign w:val="superscript"/>
          <w:lang w:val="en-GB"/>
        </w:rPr>
        <w:t>3</w:t>
      </w:r>
      <w:r w:rsidRPr="00F305A4">
        <w:rPr>
          <w:lang w:val="en-GB"/>
        </w:rPr>
        <w:t>Faculty of Geography, University of Bucharest</w:t>
      </w:r>
      <w:r w:rsidR="00C718A7" w:rsidRPr="00F305A4">
        <w:rPr>
          <w:lang w:val="en-GB"/>
        </w:rPr>
        <w:t>, Romania</w:t>
      </w:r>
      <w:r w:rsidR="00C718A7" w:rsidRPr="00F305A4">
        <w:rPr>
          <w:lang w:val="en-GB"/>
        </w:rPr>
        <w:br/>
      </w:r>
      <w:r w:rsidRPr="00F305A4">
        <w:rPr>
          <w:lang w:val="en-GB"/>
        </w:rPr>
        <w:t>https://orcid.org/0000-0002-6373-818X</w:t>
      </w:r>
    </w:p>
    <w:p w14:paraId="485D8558" w14:textId="79B9E498" w:rsidR="000D37EA" w:rsidRPr="00F305A4" w:rsidRDefault="000D37EA" w:rsidP="008C2A10">
      <w:pPr>
        <w:pStyle w:val="Rafiliacja"/>
        <w:rPr>
          <w:lang w:val="en-GB"/>
        </w:rPr>
      </w:pPr>
      <w:r w:rsidRPr="00F305A4">
        <w:rPr>
          <w:vertAlign w:val="superscript"/>
          <w:lang w:val="en-GB"/>
        </w:rPr>
        <w:t>4</w:t>
      </w:r>
      <w:r w:rsidRPr="00F305A4">
        <w:rPr>
          <w:lang w:val="en-GB"/>
        </w:rPr>
        <w:t>Faculty of Geography, University of Bucharest</w:t>
      </w:r>
      <w:r w:rsidR="00C718A7" w:rsidRPr="00F305A4">
        <w:rPr>
          <w:lang w:val="en-GB"/>
        </w:rPr>
        <w:t>, Romania</w:t>
      </w:r>
      <w:r w:rsidR="00C718A7" w:rsidRPr="00F305A4">
        <w:rPr>
          <w:lang w:val="en-GB"/>
        </w:rPr>
        <w:br/>
      </w:r>
      <w:r w:rsidR="00E07526" w:rsidRPr="00F305A4">
        <w:rPr>
          <w:lang w:val="en-GB"/>
        </w:rPr>
        <w:t>https://orcid.org/0000-0001-9767-1190</w:t>
      </w:r>
    </w:p>
    <w:p w14:paraId="49036976" w14:textId="199295E6" w:rsidR="000D37EA" w:rsidRPr="00F305A4" w:rsidRDefault="000D37EA" w:rsidP="008C2A10">
      <w:pPr>
        <w:pStyle w:val="Rafiliacja"/>
        <w:rPr>
          <w:lang w:val="en-GB"/>
        </w:rPr>
      </w:pPr>
      <w:r w:rsidRPr="00F305A4">
        <w:rPr>
          <w:vertAlign w:val="superscript"/>
          <w:lang w:val="en-GB"/>
        </w:rPr>
        <w:t>5</w:t>
      </w:r>
      <w:r w:rsidRPr="00F305A4">
        <w:rPr>
          <w:lang w:val="en-GB"/>
        </w:rPr>
        <w:t xml:space="preserve">Faculty of Geography, University of Bucharest, Romanian Government – Ministry of Transport and Infrastructure </w:t>
      </w:r>
      <w:r w:rsidR="00C718A7" w:rsidRPr="00F305A4">
        <w:rPr>
          <w:lang w:val="en-GB"/>
        </w:rPr>
        <w:br/>
      </w:r>
      <w:r w:rsidRPr="00F305A4">
        <w:rPr>
          <w:lang w:val="en-GB"/>
        </w:rPr>
        <w:t>https://orcid.org/0000-0002-0590-1700</w:t>
      </w:r>
    </w:p>
    <w:p w14:paraId="22BC0FB7" w14:textId="278D5207" w:rsidR="000D37EA" w:rsidRPr="00F305A4" w:rsidRDefault="000D37EA" w:rsidP="008C2A10">
      <w:pPr>
        <w:pStyle w:val="Rafiliacja"/>
        <w:rPr>
          <w:lang w:val="en-GB"/>
        </w:rPr>
      </w:pPr>
      <w:r w:rsidRPr="00F305A4">
        <w:rPr>
          <w:vertAlign w:val="superscript"/>
          <w:lang w:val="en-GB"/>
        </w:rPr>
        <w:t>6</w:t>
      </w:r>
      <w:r w:rsidRPr="00F305A4">
        <w:rPr>
          <w:lang w:val="en-GB"/>
        </w:rPr>
        <w:t>Faculty of Geography, University of Bucharest, Romanian Government – Ministry of Transport and Infrastructure</w:t>
      </w:r>
      <w:r w:rsidR="00E07526" w:rsidRPr="00F305A4">
        <w:rPr>
          <w:lang w:val="en-GB"/>
        </w:rPr>
        <w:t xml:space="preserve"> </w:t>
      </w:r>
      <w:r w:rsidR="00C718A7" w:rsidRPr="00F305A4">
        <w:rPr>
          <w:lang w:val="en-GB"/>
        </w:rPr>
        <w:br/>
      </w:r>
      <w:r w:rsidR="00E07526" w:rsidRPr="00F305A4">
        <w:rPr>
          <w:lang w:val="en-GB"/>
        </w:rPr>
        <w:t>https://orcid.org/0000-0002-0998-0020</w:t>
      </w:r>
    </w:p>
    <w:p w14:paraId="283EB41F" w14:textId="66DB8931" w:rsidR="00A07E21" w:rsidRPr="00F305A4" w:rsidRDefault="000D37EA" w:rsidP="00F305A4">
      <w:pPr>
        <w:pStyle w:val="Rauco"/>
      </w:pPr>
      <w:r w:rsidRPr="00F305A4">
        <w:t xml:space="preserve">*corresponding author's e-mail: </w:t>
      </w:r>
      <w:hyperlink r:id="rId9" w:history="1">
        <w:r w:rsidRPr="00F305A4">
          <w:rPr>
            <w:rStyle w:val="Hipercze"/>
            <w:color w:val="auto"/>
            <w:u w:val="none"/>
          </w:rPr>
          <w:t>costinmivu@yahoo.com</w:t>
        </w:r>
      </w:hyperlink>
      <w:bookmarkStart w:id="5" w:name="_Toc221092401"/>
    </w:p>
    <w:p w14:paraId="50C40BA1" w14:textId="37F32CA7" w:rsidR="003B4868" w:rsidRPr="00F305A4" w:rsidRDefault="00C565F1" w:rsidP="008C2A10">
      <w:pPr>
        <w:pStyle w:val="Rab1"/>
        <w:rPr>
          <w:b/>
          <w:bCs/>
        </w:rPr>
      </w:pPr>
      <w:r w:rsidRPr="00F305A4">
        <w:rPr>
          <w:b/>
          <w:bCs/>
        </w:rPr>
        <w:t>Abstract</w:t>
      </w:r>
      <w:bookmarkEnd w:id="5"/>
      <w:r w:rsidR="00A621C7" w:rsidRPr="00F305A4">
        <w:rPr>
          <w:b/>
          <w:bCs/>
        </w:rPr>
        <w:t>:</w:t>
      </w:r>
      <w:bookmarkStart w:id="6" w:name="_Toc221092402"/>
      <w:r w:rsidR="0052024A" w:rsidRPr="00F305A4">
        <w:rPr>
          <w:b/>
          <w:bCs/>
        </w:rPr>
        <w:t xml:space="preserve"> </w:t>
      </w:r>
      <w:r w:rsidR="003B4868" w:rsidRPr="00F305A4">
        <w:t xml:space="preserve">The </w:t>
      </w:r>
      <w:proofErr w:type="spellStart"/>
      <w:r w:rsidR="003B4868" w:rsidRPr="00F305A4">
        <w:t>Bălăneasa</w:t>
      </w:r>
      <w:proofErr w:type="spellEnd"/>
      <w:r w:rsidR="003B4868" w:rsidRPr="00F305A4">
        <w:t xml:space="preserve"> River Basin, located in the Curvature Carpathians of Romania, is characterized by intense </w:t>
      </w:r>
      <w:proofErr w:type="spellStart"/>
      <w:r w:rsidR="003B4868" w:rsidRPr="00F305A4">
        <w:t>morphodynamic</w:t>
      </w:r>
      <w:proofErr w:type="spellEnd"/>
      <w:r w:rsidR="003B4868" w:rsidRPr="00F305A4">
        <w:t xml:space="preserve"> activity driven by lithological variability, tectonic influences, and high relief energy (</w:t>
      </w:r>
      <w:proofErr w:type="spellStart"/>
      <w:r w:rsidR="003B4868" w:rsidRPr="00F305A4">
        <w:t>Posea</w:t>
      </w:r>
      <w:proofErr w:type="spellEnd"/>
      <w:r w:rsidR="003B4868" w:rsidRPr="00F305A4">
        <w:t xml:space="preserve">, 2005; </w:t>
      </w:r>
      <w:proofErr w:type="spellStart"/>
      <w:r w:rsidR="003B4868" w:rsidRPr="00F305A4">
        <w:t>Zăvoianu</w:t>
      </w:r>
      <w:proofErr w:type="spellEnd"/>
      <w:r w:rsidR="003B4868" w:rsidRPr="00F305A4">
        <w:t xml:space="preserve">, 2006). </w:t>
      </w:r>
      <w:r w:rsidR="005C626B" w:rsidRPr="00F305A4">
        <w:t>This study proposes an integrated GIS–engineering framework based on morphometric analysis, DEM-derived modelling, historical cartographic comparison, and finite element modelling (FEM).</w:t>
      </w:r>
      <w:r w:rsidR="003B4868" w:rsidRPr="00F305A4">
        <w:t xml:space="preserve"> Morphometric parameters were extracted using QGIS and GRASS GIS. Results indicate a decrease in channel length from 3</w:t>
      </w:r>
      <w:r w:rsidR="005C1410" w:rsidRPr="00F305A4">
        <w:t>3</w:t>
      </w:r>
      <w:r w:rsidR="003B4868" w:rsidRPr="00F305A4">
        <w:t xml:space="preserve"> km to </w:t>
      </w:r>
      <w:r w:rsidR="005C1410" w:rsidRPr="00F305A4">
        <w:t>32</w:t>
      </w:r>
      <w:r w:rsidR="003B4868" w:rsidRPr="00F305A4">
        <w:t xml:space="preserve"> km and a </w:t>
      </w:r>
      <w:r w:rsidR="005C1410" w:rsidRPr="00F305A4">
        <w:t>de</w:t>
      </w:r>
      <w:r w:rsidR="003B4868" w:rsidRPr="00F305A4">
        <w:t>crease in sinuosity from 1.</w:t>
      </w:r>
      <w:r w:rsidR="005C1410" w:rsidRPr="00F305A4">
        <w:t>1</w:t>
      </w:r>
      <w:r w:rsidR="003B4868" w:rsidRPr="00F305A4">
        <w:t xml:space="preserve"> to 1.</w:t>
      </w:r>
      <w:r w:rsidR="005C1410" w:rsidRPr="00F305A4">
        <w:t>0</w:t>
      </w:r>
      <w:r w:rsidR="003B4868" w:rsidRPr="00F305A4">
        <w:t xml:space="preserve">3, reflecting channel adjustment under natural and anthropogenic constraints. </w:t>
      </w:r>
      <w:r w:rsidR="0018720A" w:rsidRPr="00F305A4">
        <w:t xml:space="preserve">Gabion-based systems proved to be the most suitable stabilization approach due to their flexibility, permeability, and adaptability to unstable substrates </w:t>
      </w:r>
      <w:r w:rsidR="003B4868" w:rsidRPr="00F305A4">
        <w:t xml:space="preserve">(Minea, 2011). Structural analysis confirms the mechanical reliability of a proposed gabion handling device under a 20 </w:t>
      </w:r>
      <w:proofErr w:type="spellStart"/>
      <w:r w:rsidR="003B4868" w:rsidRPr="00F305A4">
        <w:t>kN</w:t>
      </w:r>
      <w:proofErr w:type="spellEnd"/>
      <w:r w:rsidR="003B4868" w:rsidRPr="00F305A4">
        <w:t xml:space="preserve"> load. The approach provides a transferable framework for river management in small mountainous catchments.</w:t>
      </w:r>
    </w:p>
    <w:p w14:paraId="73FF17BC" w14:textId="5DD54AEA" w:rsidR="00012D68" w:rsidRPr="00F305A4" w:rsidRDefault="003D1CD7" w:rsidP="008C2A10">
      <w:pPr>
        <w:pStyle w:val="Rab2"/>
        <w:rPr>
          <w:b/>
          <w:bCs/>
        </w:rPr>
      </w:pPr>
      <w:r w:rsidRPr="00F305A4">
        <w:rPr>
          <w:b/>
        </w:rPr>
        <w:t>Keywords</w:t>
      </w:r>
      <w:r w:rsidRPr="00F305A4">
        <w:rPr>
          <w:b/>
          <w:bCs/>
        </w:rPr>
        <w:t>:</w:t>
      </w:r>
      <w:r w:rsidRPr="00F305A4">
        <w:t xml:space="preserve"> river </w:t>
      </w:r>
      <w:proofErr w:type="spellStart"/>
      <w:r w:rsidRPr="00F305A4">
        <w:t>morphodynamics</w:t>
      </w:r>
      <w:proofErr w:type="spellEnd"/>
      <w:r w:rsidRPr="00F305A4">
        <w:t>, GIS, channel migration, gabions, FEM, Carpathians</w:t>
      </w:r>
    </w:p>
    <w:p w14:paraId="63C118F0" w14:textId="2962B612" w:rsidR="00C565F1" w:rsidRPr="00F305A4" w:rsidRDefault="008C2A10" w:rsidP="008C2A10">
      <w:pPr>
        <w:pStyle w:val="Rn1"/>
        <w:rPr>
          <w:lang w:val="en-GB"/>
        </w:rPr>
      </w:pPr>
      <w:r w:rsidRPr="00F305A4">
        <w:rPr>
          <w:lang w:val="en-GB"/>
        </w:rPr>
        <w:t xml:space="preserve">1. </w:t>
      </w:r>
      <w:r w:rsidR="00C565F1" w:rsidRPr="00F305A4">
        <w:rPr>
          <w:lang w:val="en-GB"/>
        </w:rPr>
        <w:t>Introduction</w:t>
      </w:r>
      <w:bookmarkEnd w:id="6"/>
    </w:p>
    <w:p w14:paraId="1E74145B" w14:textId="24670B71" w:rsidR="00B5613D" w:rsidRPr="00F305A4" w:rsidRDefault="00B5613D" w:rsidP="00B46601">
      <w:pPr>
        <w:spacing w:after="0" w:line="233" w:lineRule="auto"/>
        <w:ind w:firstLine="425"/>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Mountainous river systems in the Curvature Carpathians are characterized by high morphodynamic sensitivity due to the interaction between tectonic structure, lithological variability, and active slope processes (Posea, 2005; Ielenicz, 1973), which control rapid channel adjustment and sediment redistribution (Zăvoianu, 2006). Although geomorphological studies in the Romanian Carpathians are numerous, most remain descriptive and lack integrated GIS-based and engineering-oriented approaches (Grecu, 1997). Globally, the integration of GIS-based geomorphometric analysis with spatial modeling has revolutionized the state</w:t>
      </w:r>
      <w:r w:rsidR="005C4E70">
        <w:rPr>
          <w:rFonts w:ascii="Times New Roman" w:eastAsia="Times New Roman" w:hAnsi="Times New Roman" w:cs="Times New Roman"/>
          <w:lang w:val="en-GB" w:eastAsia="en-GB"/>
        </w:rPr>
        <w:t xml:space="preserve"> of the art in assessing</w:t>
      </w:r>
      <w:r w:rsidRPr="00F305A4">
        <w:rPr>
          <w:rFonts w:ascii="Times New Roman" w:eastAsia="Times New Roman" w:hAnsi="Times New Roman" w:cs="Times New Roman"/>
          <w:lang w:val="en-GB" w:eastAsia="en-GB"/>
        </w:rPr>
        <w:t xml:space="preserve"> mountain river morphodynamics and channel evolution (Tarolli, 2014; Wohl, 2019). Within the broader Carpathian region, multi-national studies provide critical benchmarks for these processes, particularly in catchments facing similar high-energy dynamics and flysch lithologies. In the Polish Carpathians, extensive GIS and historical cartograph</w:t>
      </w:r>
      <w:r w:rsidR="005C4E70">
        <w:rPr>
          <w:rFonts w:ascii="Times New Roman" w:eastAsia="Times New Roman" w:hAnsi="Times New Roman" w:cs="Times New Roman"/>
          <w:lang w:val="en-GB" w:eastAsia="en-GB"/>
        </w:rPr>
        <w:t>ic research on gravel-bed systems has documented severe channel narrowing, incision, and a dramatic shift in river patterns due to historic torrent-</w:t>
      </w:r>
      <w:r w:rsidRPr="00F305A4">
        <w:rPr>
          <w:rFonts w:ascii="Times New Roman" w:eastAsia="Times New Roman" w:hAnsi="Times New Roman" w:cs="Times New Roman"/>
          <w:lang w:val="en-GB" w:eastAsia="en-GB"/>
        </w:rPr>
        <w:t>control structures (Gorczyca et al., 2020; Gołąb and Michno, 2024). Similarly, in the Slovak Carpathians, multi-temporal analyses of mountain streams have successfully mapped rapid post-flood bar dynamics and the morphodynamic degradation caused by artificial river training (Kidová et al., 2021).</w:t>
      </w:r>
    </w:p>
    <w:p w14:paraId="59F4EE18" w14:textId="611930DA" w:rsidR="00B5613D" w:rsidRPr="005C4E70" w:rsidRDefault="00B5613D" w:rsidP="00B46601">
      <w:pPr>
        <w:spacing w:after="0" w:line="233" w:lineRule="auto"/>
        <w:ind w:firstLine="425"/>
        <w:jc w:val="both"/>
        <w:rPr>
          <w:rFonts w:ascii="Times New Roman" w:eastAsia="Times New Roman" w:hAnsi="Times New Roman" w:cs="Times New Roman"/>
          <w:lang w:val="en-GB" w:eastAsia="en-GB"/>
        </w:rPr>
      </w:pPr>
      <w:r w:rsidRPr="005C4E70">
        <w:rPr>
          <w:rFonts w:ascii="Times New Roman" w:eastAsia="Times New Roman" w:hAnsi="Times New Roman" w:cs="Times New Roman"/>
          <w:lang w:val="en-GB" w:eastAsia="en-GB"/>
        </w:rPr>
        <w:t xml:space="preserve">While these regional Carpathian studies successfully leverage GIS environments for hazard mapping and morphodynamic classification, a significant scientific gap persists regarding the operational connection between geomorphological process-based assessments and practical engineering stabilization solutions. Most existing frameworks either remain strictly descriptive or evaluate ecological and structural responses in isolation. To address this limitation, this study introduces an innovative, transferable workflow that explicitly couples GIS-derived morphodynamic trends with finite element method (FEM) engineering design, bridging </w:t>
      </w:r>
      <w:r w:rsidRPr="005C4E70">
        <w:rPr>
          <w:rFonts w:ascii="Times New Roman" w:eastAsia="Times New Roman" w:hAnsi="Times New Roman" w:cs="Times New Roman"/>
          <w:lang w:val="en-GB" w:eastAsia="en-GB"/>
        </w:rPr>
        <w:lastRenderedPageBreak/>
        <w:t>the gap between fluvial geomorphology and active structural management in highly constrained mountainous catchments.</w:t>
      </w:r>
    </w:p>
    <w:p w14:paraId="245EE4BD" w14:textId="3C897514" w:rsidR="00B5613D" w:rsidRPr="00F305A4" w:rsidRDefault="00B5613D" w:rsidP="00B5613D">
      <w:pPr>
        <w:spacing w:after="0" w:line="240" w:lineRule="auto"/>
        <w:ind w:firstLine="425"/>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 xml:space="preserve">In this context, the Bălăneasa River Basin is a small, high-energy catchment located in the central Curvature Carpathians, at the transition between the Buzău Mountains (Ivăneț Peak) and the Subcarpathian unit. It </w:t>
      </w:r>
      <w:r w:rsidR="005C4E70">
        <w:rPr>
          <w:rFonts w:ascii="Times New Roman" w:eastAsia="Times New Roman" w:hAnsi="Times New Roman" w:cs="Times New Roman"/>
          <w:lang w:val="en-GB" w:eastAsia="en-GB"/>
        </w:rPr>
        <w:t>extends across several relief units, including the Ivăneț Peak area, the Blidișelu Hills, the Bălăneasa Depression, and the</w:t>
      </w:r>
      <w:r w:rsidRPr="00F305A4">
        <w:rPr>
          <w:rFonts w:ascii="Times New Roman" w:eastAsia="Times New Roman" w:hAnsi="Times New Roman" w:cs="Times New Roman"/>
          <w:lang w:val="en-GB" w:eastAsia="en-GB"/>
        </w:rPr>
        <w:t xml:space="preserve"> Dâlmei Hills. The basin has been mentioned in classical geomorphological works (Martonne, 1904; Posea et al., 1976) and regional syntheses of the Curvature Carpathians (Mihăilescu, 1963; Ielenicz, 1972; Ielenicz, 1973; Badea et al., 1977), but without detailed spatial or process-based analysis.</w:t>
      </w:r>
    </w:p>
    <w:p w14:paraId="6779EE37" w14:textId="42617EB5" w:rsidR="00B5613D" w:rsidRPr="00F305A4" w:rsidRDefault="00B5613D" w:rsidP="00B5613D">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Th</w:t>
      </w:r>
      <w:r w:rsidR="005C4E70">
        <w:rPr>
          <w:rFonts w:ascii="Times New Roman" w:eastAsia="Times New Roman" w:hAnsi="Times New Roman" w:cs="Times New Roman"/>
          <w:lang w:val="en-GB" w:eastAsia="en-GB"/>
        </w:rPr>
        <w:t>is study aim</w:t>
      </w:r>
      <w:r w:rsidRPr="00F305A4">
        <w:rPr>
          <w:rFonts w:ascii="Times New Roman" w:eastAsia="Times New Roman" w:hAnsi="Times New Roman" w:cs="Times New Roman"/>
          <w:lang w:val="en-GB" w:eastAsia="en-GB"/>
        </w:rPr>
        <w:t>s to integrate GIS-based geomorphological analysis with engineering approaches for channel characterization and stabilization of the Bălăneasa River Basin.</w:t>
      </w:r>
    </w:p>
    <w:p w14:paraId="2DFF338B" w14:textId="77777777" w:rsidR="00B5613D" w:rsidRPr="00F305A4" w:rsidRDefault="00B5613D" w:rsidP="00B5613D">
      <w:pPr>
        <w:spacing w:after="0" w:line="240" w:lineRule="auto"/>
        <w:ind w:firstLine="284"/>
        <w:jc w:val="both"/>
        <w:rPr>
          <w:rFonts w:ascii="Times New Roman" w:eastAsia="Times New Roman" w:hAnsi="Times New Roman" w:cs="Times New Roman"/>
          <w:lang w:val="en-GB" w:eastAsia="en-GB"/>
        </w:rPr>
      </w:pPr>
    </w:p>
    <w:p w14:paraId="67E35498" w14:textId="2CA5DAFE" w:rsidR="00F94043" w:rsidRPr="00F305A4" w:rsidRDefault="00E80A55" w:rsidP="008800A0">
      <w:pPr>
        <w:spacing w:after="0" w:line="240" w:lineRule="auto"/>
        <w:ind w:firstLine="284"/>
        <w:rPr>
          <w:bCs/>
          <w:lang w:val="en-GB"/>
        </w:rPr>
      </w:pPr>
      <w:r w:rsidRPr="00F305A4">
        <w:rPr>
          <w:rFonts w:ascii="Times New Roman" w:hAnsi="Times New Roman" w:cs="Times New Roman"/>
          <w:sz w:val="24"/>
          <w:szCs w:val="24"/>
          <w:lang w:val="en-GB"/>
        </w:rPr>
        <w:drawing>
          <wp:anchor distT="0" distB="0" distL="114300" distR="114300" simplePos="0" relativeHeight="251655168" behindDoc="0" locked="0" layoutInCell="1" allowOverlap="1" wp14:anchorId="6B242DB9" wp14:editId="7EAB54C7">
            <wp:simplePos x="0" y="0"/>
            <wp:positionH relativeFrom="column">
              <wp:posOffset>4735830</wp:posOffset>
            </wp:positionH>
            <wp:positionV relativeFrom="paragraph">
              <wp:posOffset>1261110</wp:posOffset>
            </wp:positionV>
            <wp:extent cx="1135380" cy="690567"/>
            <wp:effectExtent l="0" t="0" r="7620" b="0"/>
            <wp:wrapNone/>
            <wp:docPr id="34499898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98985" name=""/>
                    <pic:cNvPicPr/>
                  </pic:nvPicPr>
                  <pic:blipFill>
                    <a:blip r:embed="rId10"/>
                    <a:stretch>
                      <a:fillRect/>
                    </a:stretch>
                  </pic:blipFill>
                  <pic:spPr>
                    <a:xfrm>
                      <a:off x="0" y="0"/>
                      <a:ext cx="1136852" cy="691462"/>
                    </a:xfrm>
                    <a:prstGeom prst="rect">
                      <a:avLst/>
                    </a:prstGeom>
                  </pic:spPr>
                </pic:pic>
              </a:graphicData>
            </a:graphic>
            <wp14:sizeRelH relativeFrom="page">
              <wp14:pctWidth>0</wp14:pctWidth>
            </wp14:sizeRelH>
            <wp14:sizeRelV relativeFrom="page">
              <wp14:pctHeight>0</wp14:pctHeight>
            </wp14:sizeRelV>
          </wp:anchor>
        </w:drawing>
      </w:r>
      <w:r w:rsidR="00E53595" w:rsidRPr="00F305A4">
        <w:rPr>
          <w:bCs/>
          <w:lang w:val="en-GB"/>
        </w:rPr>
        <w:drawing>
          <wp:inline distT="0" distB="0" distL="0" distR="0" wp14:anchorId="1F31347D" wp14:editId="0DE04FAE">
            <wp:extent cx="4267200" cy="3014085"/>
            <wp:effectExtent l="0" t="0" r="0" b="0"/>
            <wp:docPr id="15520073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4610" cy="3019319"/>
                    </a:xfrm>
                    <a:prstGeom prst="rect">
                      <a:avLst/>
                    </a:prstGeom>
                    <a:noFill/>
                    <a:ln>
                      <a:noFill/>
                    </a:ln>
                  </pic:spPr>
                </pic:pic>
              </a:graphicData>
            </a:graphic>
          </wp:inline>
        </w:drawing>
      </w:r>
    </w:p>
    <w:p w14:paraId="7E569DDA" w14:textId="0A296F28" w:rsidR="00C565F1" w:rsidRPr="00F305A4" w:rsidRDefault="00F94043" w:rsidP="008C2A10">
      <w:pPr>
        <w:pStyle w:val="Rrys"/>
        <w:rPr>
          <w:lang w:val="en-GB"/>
        </w:rPr>
      </w:pPr>
      <w:r w:rsidRPr="00F305A4">
        <w:rPr>
          <w:b/>
          <w:bCs/>
          <w:lang w:val="en-GB"/>
        </w:rPr>
        <w:t>Fig</w:t>
      </w:r>
      <w:r w:rsidR="0049438D" w:rsidRPr="00F305A4">
        <w:rPr>
          <w:b/>
          <w:bCs/>
          <w:lang w:val="en-GB"/>
        </w:rPr>
        <w:t>.</w:t>
      </w:r>
      <w:r w:rsidR="008C2A10" w:rsidRPr="00F305A4">
        <w:rPr>
          <w:b/>
          <w:bCs/>
          <w:lang w:val="en-GB"/>
        </w:rPr>
        <w:t xml:space="preserve"> </w:t>
      </w:r>
      <w:r w:rsidRPr="00F305A4">
        <w:rPr>
          <w:b/>
          <w:bCs/>
          <w:lang w:val="en-GB"/>
        </w:rPr>
        <w:t>1.</w:t>
      </w:r>
      <w:r w:rsidRPr="00F305A4">
        <w:rPr>
          <w:lang w:val="en-GB"/>
        </w:rPr>
        <w:t xml:space="preserve"> Geographical position </w:t>
      </w:r>
      <w:r w:rsidR="003B4868" w:rsidRPr="00F305A4">
        <w:rPr>
          <w:lang w:val="en-GB"/>
        </w:rPr>
        <w:t xml:space="preserve">of the </w:t>
      </w:r>
      <w:proofErr w:type="spellStart"/>
      <w:r w:rsidRPr="00F305A4">
        <w:rPr>
          <w:lang w:val="en-GB"/>
        </w:rPr>
        <w:t>Bălăneasa</w:t>
      </w:r>
      <w:proofErr w:type="spellEnd"/>
      <w:r w:rsidRPr="00F305A4">
        <w:rPr>
          <w:lang w:val="en-GB"/>
        </w:rPr>
        <w:t xml:space="preserve"> Basin</w:t>
      </w:r>
    </w:p>
    <w:p w14:paraId="5BF2AF00" w14:textId="2B61B624" w:rsidR="00C565F1" w:rsidRPr="00F305A4" w:rsidRDefault="00C565F1" w:rsidP="008C2A10">
      <w:pPr>
        <w:pStyle w:val="Rn2"/>
        <w:rPr>
          <w:lang w:val="en-GB"/>
        </w:rPr>
      </w:pPr>
      <w:bookmarkStart w:id="7" w:name="_Toc221092404"/>
      <w:r w:rsidRPr="00F305A4">
        <w:rPr>
          <w:lang w:val="en-GB"/>
        </w:rPr>
        <w:t>1.1. Hypsometric Characteristics</w:t>
      </w:r>
      <w:bookmarkEnd w:id="7"/>
    </w:p>
    <w:p w14:paraId="746CFB67" w14:textId="0879411E" w:rsidR="00E044A0" w:rsidRDefault="00E044A0"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basin's altimetry is varied, ranging from 150 to 1191 m (Fig</w:t>
      </w:r>
      <w:r w:rsidR="00BE6253" w:rsidRPr="00F305A4">
        <w:rPr>
          <w:rFonts w:ascii="Times New Roman" w:hAnsi="Times New Roman" w:cs="Times New Roman"/>
          <w:lang w:val="en-GB"/>
        </w:rPr>
        <w:t>.</w:t>
      </w:r>
      <w:r w:rsidR="00B46601">
        <w:rPr>
          <w:rFonts w:ascii="Times New Roman" w:hAnsi="Times New Roman" w:cs="Times New Roman"/>
          <w:lang w:val="en-GB"/>
        </w:rPr>
        <w:t xml:space="preserve"> </w:t>
      </w:r>
      <w:r w:rsidRPr="00F305A4">
        <w:rPr>
          <w:rFonts w:ascii="Times New Roman" w:hAnsi="Times New Roman" w:cs="Times New Roman"/>
          <w:lang w:val="en-GB"/>
        </w:rPr>
        <w:t>2). The analysis included the creation of six hypsometric intervals. The predominant areas are those between 450</w:t>
      </w:r>
      <w:r w:rsidR="00B46601">
        <w:rPr>
          <w:rFonts w:ascii="Times New Roman" w:hAnsi="Times New Roman" w:cs="Times New Roman"/>
          <w:lang w:val="en-GB"/>
        </w:rPr>
        <w:t>–</w:t>
      </w:r>
      <w:r w:rsidRPr="00F305A4">
        <w:rPr>
          <w:rFonts w:ascii="Times New Roman" w:hAnsi="Times New Roman" w:cs="Times New Roman"/>
          <w:lang w:val="en-GB"/>
        </w:rPr>
        <w:t>620 m (26.5%) and 300</w:t>
      </w:r>
      <w:r w:rsidR="00B46601">
        <w:rPr>
          <w:rFonts w:ascii="Times New Roman" w:hAnsi="Times New Roman" w:cs="Times New Roman"/>
          <w:lang w:val="en-GB"/>
        </w:rPr>
        <w:t>–</w:t>
      </w:r>
      <w:r w:rsidRPr="00F305A4">
        <w:rPr>
          <w:rFonts w:ascii="Times New Roman" w:hAnsi="Times New Roman" w:cs="Times New Roman"/>
          <w:lang w:val="en-GB"/>
        </w:rPr>
        <w:t>450 m (23.7%), corresponding to terraces favorable to human settlements (Brăești, Bozioru, Bălănești, Cozieni). The mountainous sector (&gt;950 m) has steep slopes and pronounced linear erosion, with reception basins and ravines at the bottom, which explains the significant sedimentary input transported downstream.</w:t>
      </w:r>
    </w:p>
    <w:p w14:paraId="0B400992" w14:textId="77777777" w:rsidR="00B46601" w:rsidRPr="00F305A4" w:rsidRDefault="00B46601" w:rsidP="008800A0">
      <w:pPr>
        <w:spacing w:after="0" w:line="240" w:lineRule="auto"/>
        <w:ind w:firstLine="284"/>
        <w:jc w:val="both"/>
        <w:rPr>
          <w:rFonts w:ascii="Times New Roman" w:hAnsi="Times New Roman" w:cs="Times New Roman"/>
          <w:lang w:val="en-GB"/>
        </w:rPr>
      </w:pPr>
    </w:p>
    <w:p w14:paraId="5950C674" w14:textId="1E8D51DD" w:rsidR="00F94043" w:rsidRPr="00F305A4" w:rsidRDefault="00E044A0" w:rsidP="00F8497E">
      <w:pPr>
        <w:spacing w:after="0" w:line="240" w:lineRule="auto"/>
        <w:rPr>
          <w:rFonts w:ascii="Times New Roman" w:hAnsi="Times New Roman" w:cs="Times New Roman"/>
          <w:sz w:val="24"/>
          <w:szCs w:val="24"/>
          <w:lang w:val="en-GB"/>
        </w:rPr>
      </w:pPr>
      <w:r w:rsidRPr="00F305A4">
        <w:rPr>
          <w:rFonts w:ascii="Times New Roman" w:hAnsi="Times New Roman"/>
          <w:bCs/>
          <w:sz w:val="24"/>
          <w:szCs w:val="24"/>
          <w:lang w:val="en-GB"/>
        </w:rPr>
        <w:drawing>
          <wp:anchor distT="0" distB="0" distL="114300" distR="114300" simplePos="0" relativeHeight="251657216" behindDoc="0" locked="0" layoutInCell="1" allowOverlap="1" wp14:anchorId="2E8A45A8" wp14:editId="04DB74DA">
            <wp:simplePos x="0" y="0"/>
            <wp:positionH relativeFrom="page">
              <wp:posOffset>3775375</wp:posOffset>
            </wp:positionH>
            <wp:positionV relativeFrom="paragraph">
              <wp:posOffset>324485</wp:posOffset>
            </wp:positionV>
            <wp:extent cx="3130635" cy="1998263"/>
            <wp:effectExtent l="0" t="0" r="0" b="2540"/>
            <wp:wrapNone/>
            <wp:docPr id="11183443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0635" cy="19982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05A4">
        <w:rPr>
          <w:rFonts w:ascii="Times New Roman" w:hAnsi="Times New Roman"/>
          <w:bCs/>
          <w:sz w:val="24"/>
          <w:szCs w:val="24"/>
          <w:lang w:val="en-GB"/>
        </w:rPr>
        <w:drawing>
          <wp:inline distT="0" distB="0" distL="0" distR="0" wp14:anchorId="17CDA442" wp14:editId="726CDBD8">
            <wp:extent cx="2927267" cy="2742846"/>
            <wp:effectExtent l="0" t="0" r="0" b="3175"/>
            <wp:docPr id="1389074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074915" name=""/>
                    <pic:cNvPicPr/>
                  </pic:nvPicPr>
                  <pic:blipFill>
                    <a:blip r:embed="rId13"/>
                    <a:stretch>
                      <a:fillRect/>
                    </a:stretch>
                  </pic:blipFill>
                  <pic:spPr>
                    <a:xfrm>
                      <a:off x="0" y="0"/>
                      <a:ext cx="2927267" cy="2742846"/>
                    </a:xfrm>
                    <a:prstGeom prst="rect">
                      <a:avLst/>
                    </a:prstGeom>
                  </pic:spPr>
                </pic:pic>
              </a:graphicData>
            </a:graphic>
          </wp:inline>
        </w:drawing>
      </w:r>
    </w:p>
    <w:p w14:paraId="7BDBF62E" w14:textId="4CB678B8" w:rsidR="00F94043" w:rsidRPr="00F305A4" w:rsidRDefault="0049438D" w:rsidP="008C2A10">
      <w:pPr>
        <w:pStyle w:val="Rrys"/>
        <w:rPr>
          <w:lang w:val="en-GB" w:eastAsia="en-GB"/>
        </w:rPr>
      </w:pPr>
      <w:r w:rsidRPr="00F305A4">
        <w:rPr>
          <w:b/>
          <w:bCs/>
          <w:lang w:val="en-GB"/>
        </w:rPr>
        <w:t>Fig.</w:t>
      </w:r>
      <w:r w:rsidR="008C2A10" w:rsidRPr="00F305A4">
        <w:rPr>
          <w:b/>
          <w:bCs/>
          <w:lang w:val="en-GB"/>
        </w:rPr>
        <w:t xml:space="preserve"> </w:t>
      </w:r>
      <w:r w:rsidRPr="00F305A4">
        <w:rPr>
          <w:b/>
          <w:bCs/>
          <w:lang w:val="en-GB"/>
        </w:rPr>
        <w:t>2</w:t>
      </w:r>
      <w:r w:rsidR="008C1CB6" w:rsidRPr="00F305A4">
        <w:rPr>
          <w:b/>
          <w:bCs/>
          <w:lang w:val="en-GB"/>
        </w:rPr>
        <w:t>.</w:t>
      </w:r>
      <w:r w:rsidR="008C1CB6" w:rsidRPr="00F305A4">
        <w:rPr>
          <w:lang w:val="en-GB"/>
        </w:rPr>
        <w:t xml:space="preserve"> </w:t>
      </w:r>
      <w:r w:rsidR="00F94043" w:rsidRPr="00F305A4">
        <w:rPr>
          <w:lang w:val="en-GB"/>
        </w:rPr>
        <w:t xml:space="preserve">Hypsometric characteristics </w:t>
      </w:r>
      <w:r w:rsidR="00B46601">
        <w:rPr>
          <w:lang w:val="en-GB"/>
        </w:rPr>
        <w:t>–</w:t>
      </w:r>
      <w:r w:rsidR="00F94043" w:rsidRPr="00F305A4">
        <w:rPr>
          <w:lang w:val="en-GB"/>
        </w:rPr>
        <w:t xml:space="preserve"> </w:t>
      </w:r>
      <w:proofErr w:type="spellStart"/>
      <w:r w:rsidR="00F94043" w:rsidRPr="00F305A4">
        <w:rPr>
          <w:lang w:val="en-GB"/>
        </w:rPr>
        <w:t>Bălăneasa</w:t>
      </w:r>
      <w:proofErr w:type="spellEnd"/>
      <w:r w:rsidR="00F94043" w:rsidRPr="00F305A4">
        <w:rPr>
          <w:lang w:val="en-GB"/>
        </w:rPr>
        <w:t xml:space="preserve"> Basin, </w:t>
      </w:r>
      <w:proofErr w:type="spellStart"/>
      <w:r w:rsidR="00F94043" w:rsidRPr="00F305A4">
        <w:rPr>
          <w:lang w:val="en-GB"/>
        </w:rPr>
        <w:t>Buzău</w:t>
      </w:r>
      <w:proofErr w:type="spellEnd"/>
      <w:r w:rsidR="00F94043" w:rsidRPr="00F305A4">
        <w:rPr>
          <w:lang w:val="en-GB"/>
        </w:rPr>
        <w:t xml:space="preserve"> County</w:t>
      </w:r>
    </w:p>
    <w:p w14:paraId="674D0122" w14:textId="16D8C8A2" w:rsidR="00B46601" w:rsidRPr="00F305A4" w:rsidRDefault="00B46601" w:rsidP="00B46601">
      <w:pPr>
        <w:spacing w:after="0" w:line="240" w:lineRule="auto"/>
        <w:ind w:firstLine="284"/>
        <w:jc w:val="both"/>
        <w:rPr>
          <w:rFonts w:ascii="Times New Roman" w:hAnsi="Times New Roman" w:cs="Times New Roman"/>
          <w:lang w:val="en-GB"/>
        </w:rPr>
      </w:pPr>
      <w:bookmarkStart w:id="8" w:name="_Toc221092405"/>
      <w:r w:rsidRPr="00F305A4">
        <w:rPr>
          <w:rFonts w:ascii="Times New Roman" w:hAnsi="Times New Roman" w:cs="Times New Roman"/>
          <w:lang w:val="en-GB"/>
        </w:rPr>
        <w:lastRenderedPageBreak/>
        <w:t>In low-lying areas (&lt;300 m, 11.9% of the surface)</w:t>
      </w:r>
      <w:r w:rsidR="005C4E70">
        <w:rPr>
          <w:rFonts w:ascii="Times New Roman" w:hAnsi="Times New Roman" w:cs="Times New Roman"/>
          <w:lang w:val="en-GB"/>
        </w:rPr>
        <w:t>,</w:t>
      </w:r>
      <w:r w:rsidRPr="00F305A4">
        <w:rPr>
          <w:rFonts w:ascii="Times New Roman" w:hAnsi="Times New Roman" w:cs="Times New Roman"/>
          <w:lang w:val="en-GB"/>
        </w:rPr>
        <w:t xml:space="preserve"> accumulations and flood risk prevail, favoring meandering. The stepped relief, with four leveling steps (one mountainous and three subcarpathian: Drăgăneasa, Pietraru, Zăpodia, Podul Leordișului), influences the flow direction and the dynamics of the riverbed, determining alternations of erosion, transport</w:t>
      </w:r>
      <w:r w:rsidR="005C4E70">
        <w:rPr>
          <w:rFonts w:ascii="Times New Roman" w:hAnsi="Times New Roman" w:cs="Times New Roman"/>
          <w:lang w:val="en-GB"/>
        </w:rPr>
        <w:t>,</w:t>
      </w:r>
      <w:r w:rsidRPr="00F305A4">
        <w:rPr>
          <w:rFonts w:ascii="Times New Roman" w:hAnsi="Times New Roman" w:cs="Times New Roman"/>
          <w:lang w:val="en-GB"/>
        </w:rPr>
        <w:t xml:space="preserve"> and accumulation.</w:t>
      </w:r>
    </w:p>
    <w:p w14:paraId="1031684B" w14:textId="77777777" w:rsidR="00B46601" w:rsidRPr="00F305A4" w:rsidRDefault="00B46601" w:rsidP="00B46601">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third terrace appears punctually at 650 m, corresponding to the valley basin and the secondary interfluve. The subcarpathian slopes have amplitudes between 200–800 m, and the lands between 300–620 m are favorable for human settlements, corresponding to the second terrace, in the localities of Brăești, Bozioru, Bălănești and Cozieni.</w:t>
      </w:r>
    </w:p>
    <w:p w14:paraId="37BC4CE2" w14:textId="77777777" w:rsidR="00C565F1" w:rsidRPr="00F305A4" w:rsidRDefault="00C565F1" w:rsidP="008C2A10">
      <w:pPr>
        <w:pStyle w:val="Rn2"/>
        <w:rPr>
          <w:lang w:val="en-GB"/>
        </w:rPr>
      </w:pPr>
      <w:r w:rsidRPr="00F305A4">
        <w:rPr>
          <w:lang w:val="en-GB"/>
        </w:rPr>
        <w:t>1.2. Relief Units</w:t>
      </w:r>
      <w:bookmarkEnd w:id="8"/>
    </w:p>
    <w:p w14:paraId="0F11DC2B" w14:textId="1FA6D11C" w:rsidR="00E044A0" w:rsidRPr="00F305A4" w:rsidRDefault="00E044A0"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relief of the Bălăneasa Basin is controlled by tectonic structure and lithological heterogeneity, which govern slope morphology, channel gradients, and sediment connectivity. The vertical amplitude of the basin (~1000 m) reflects a stepped morphostructural system</w:t>
      </w:r>
      <w:r w:rsidR="005C4E70">
        <w:rPr>
          <w:rFonts w:ascii="Times New Roman" w:hAnsi="Times New Roman" w:cs="Times New Roman"/>
          <w:lang w:val="en-GB"/>
        </w:rPr>
        <w:t xml:space="preserve"> in which resistant formations alternate with friable sedimentary deposits, generating differential erosion and slope instability</w:t>
      </w:r>
      <w:r w:rsidRPr="00F305A4">
        <w:rPr>
          <w:rFonts w:ascii="Times New Roman" w:hAnsi="Times New Roman" w:cs="Times New Roman"/>
          <w:lang w:val="en-GB"/>
        </w:rPr>
        <w:t>.</w:t>
      </w:r>
      <w:r w:rsidR="00833FF6" w:rsidRPr="00F305A4">
        <w:rPr>
          <w:rFonts w:ascii="Times New Roman" w:hAnsi="Times New Roman" w:cs="Times New Roman"/>
          <w:lang w:val="en-GB"/>
        </w:rPr>
        <w:t xml:space="preserve"> This configuration governs slope morphology, channel gradients, and sediment connectivity. As documented in active alpine and alpine-Mediterranean orogenic belts, high tectonic uplift combined with friable substrates accelerates catchment-scale sediment delivery, directly conditioning downstream channel patterns (Bufe et al., 2021).</w:t>
      </w:r>
    </w:p>
    <w:p w14:paraId="3B381F55" w14:textId="77777777" w:rsidR="00E044A0" w:rsidRPr="00F305A4" w:rsidRDefault="00E044A0"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upper mountainous sector, developed within the Curvature Carpathians (Ivăneț Peak area), is characterized by structurally controlled slopes, ridges, and erosion remnants formed on resistant lithologies. Active slope processes, including landslides and debris accumulation, contribute significantly to sediment supply toward downstream sectors.</w:t>
      </w:r>
    </w:p>
    <w:p w14:paraId="7316E52E" w14:textId="67C3EB7A" w:rsidR="00E044A0" w:rsidRPr="00F305A4" w:rsidRDefault="00E044A0"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The Subcarpathian transition zone </w:t>
      </w:r>
      <w:r w:rsidR="005C4E70">
        <w:rPr>
          <w:rFonts w:ascii="Times New Roman" w:hAnsi="Times New Roman" w:cs="Times New Roman"/>
          <w:lang w:val="en-GB"/>
        </w:rPr>
        <w:t>is a structurally complex landscape characterized by alternating anticlines, synclines, and cuesta-type relief</w:t>
      </w:r>
      <w:r w:rsidRPr="00F305A4">
        <w:rPr>
          <w:rFonts w:ascii="Times New Roman" w:hAnsi="Times New Roman" w:cs="Times New Roman"/>
          <w:lang w:val="en-GB"/>
        </w:rPr>
        <w:t>. This configuration induces frequent reversals of slope asymmetry and controls the spatial distribution of fluvial energy, favoring lateral erosion and channel migration.</w:t>
      </w:r>
    </w:p>
    <w:p w14:paraId="506305BA" w14:textId="77777777" w:rsidR="00E044A0" w:rsidRPr="00F305A4" w:rsidRDefault="00E044A0"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Depression basins located at structural contacts (e.g., Brăești, Bozioru–Bălănești, Cozieni–Trestia) act as sediment accumulation zones and local base levels, influencing longitudinal profile adjustments of the river system.</w:t>
      </w:r>
    </w:p>
    <w:p w14:paraId="01DF9FB1" w14:textId="77777777" w:rsidR="00E044A0" w:rsidRPr="00F305A4" w:rsidRDefault="00E044A0"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Overall, the basin exhibits a multi-level geomorphological structure composed of mountainous, subcarpathian, and intramontane depression units, which together control fluvial incision, sediment transfer, and channel mobility.</w:t>
      </w:r>
    </w:p>
    <w:p w14:paraId="0A43FBCF" w14:textId="77777777" w:rsidR="00E044A0" w:rsidRPr="00F305A4" w:rsidRDefault="00E044A0" w:rsidP="008800A0">
      <w:pPr>
        <w:spacing w:after="0" w:line="240" w:lineRule="auto"/>
        <w:ind w:firstLine="284"/>
        <w:jc w:val="both"/>
        <w:rPr>
          <w:rFonts w:ascii="Times New Roman" w:hAnsi="Times New Roman" w:cs="Times New Roman"/>
          <w:sz w:val="24"/>
          <w:szCs w:val="24"/>
          <w:lang w:val="en-GB"/>
        </w:rPr>
      </w:pPr>
    </w:p>
    <w:p w14:paraId="67E64E5F" w14:textId="3FE64E9D" w:rsidR="005B6D9B" w:rsidRPr="00F305A4" w:rsidRDefault="0038103C" w:rsidP="008800A0">
      <w:pPr>
        <w:spacing w:after="0" w:line="240" w:lineRule="auto"/>
        <w:ind w:firstLine="284"/>
        <w:jc w:val="both"/>
        <w:rPr>
          <w:rFonts w:ascii="Times New Roman" w:hAnsi="Times New Roman" w:cs="Times New Roman"/>
          <w:sz w:val="24"/>
          <w:szCs w:val="24"/>
          <w:lang w:val="en-GB"/>
        </w:rPr>
      </w:pPr>
      <w:r w:rsidRPr="00F305A4">
        <w:rPr>
          <w:lang w:val="en-GB"/>
        </w:rPr>
        <w:drawing>
          <wp:anchor distT="0" distB="0" distL="114300" distR="114300" simplePos="0" relativeHeight="251659264" behindDoc="0" locked="0" layoutInCell="1" allowOverlap="1" wp14:anchorId="33B4CEEA" wp14:editId="71AEA1C7">
            <wp:simplePos x="0" y="0"/>
            <wp:positionH relativeFrom="column">
              <wp:posOffset>3478530</wp:posOffset>
            </wp:positionH>
            <wp:positionV relativeFrom="paragraph">
              <wp:posOffset>278130</wp:posOffset>
            </wp:positionV>
            <wp:extent cx="2804160" cy="2255520"/>
            <wp:effectExtent l="0" t="0" r="0" b="0"/>
            <wp:wrapNone/>
            <wp:docPr id="1145612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12350" name=""/>
                    <pic:cNvPicPr/>
                  </pic:nvPicPr>
                  <pic:blipFill>
                    <a:blip r:embed="rId14"/>
                    <a:stretch>
                      <a:fillRect/>
                    </a:stretch>
                  </pic:blipFill>
                  <pic:spPr>
                    <a:xfrm>
                      <a:off x="0" y="0"/>
                      <a:ext cx="2804160" cy="2255520"/>
                    </a:xfrm>
                    <a:prstGeom prst="rect">
                      <a:avLst/>
                    </a:prstGeom>
                  </pic:spPr>
                </pic:pic>
              </a:graphicData>
            </a:graphic>
            <wp14:sizeRelH relativeFrom="page">
              <wp14:pctWidth>0</wp14:pctWidth>
            </wp14:sizeRelH>
            <wp14:sizeRelV relativeFrom="page">
              <wp14:pctHeight>0</wp14:pctHeight>
            </wp14:sizeRelV>
          </wp:anchor>
        </w:drawing>
      </w:r>
      <w:r w:rsidR="00E044A0" w:rsidRPr="00F305A4">
        <w:rPr>
          <w:lang w:val="en-GB"/>
        </w:rPr>
        <w:drawing>
          <wp:inline distT="0" distB="0" distL="0" distR="0" wp14:anchorId="432E3116" wp14:editId="0EDBE137">
            <wp:extent cx="3306815" cy="2866794"/>
            <wp:effectExtent l="0" t="0" r="8255" b="0"/>
            <wp:docPr id="704852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52673" name=""/>
                    <pic:cNvPicPr/>
                  </pic:nvPicPr>
                  <pic:blipFill rotWithShape="1">
                    <a:blip r:embed="rId15"/>
                    <a:srcRect t="4995"/>
                    <a:stretch/>
                  </pic:blipFill>
                  <pic:spPr bwMode="auto">
                    <a:xfrm>
                      <a:off x="0" y="0"/>
                      <a:ext cx="3321157" cy="2879227"/>
                    </a:xfrm>
                    <a:prstGeom prst="rect">
                      <a:avLst/>
                    </a:prstGeom>
                    <a:ln>
                      <a:noFill/>
                    </a:ln>
                    <a:extLst>
                      <a:ext uri="{53640926-AAD7-44D8-BBD7-CCE9431645EC}">
                        <a14:shadowObscured xmlns:a14="http://schemas.microsoft.com/office/drawing/2010/main"/>
                      </a:ext>
                    </a:extLst>
                  </pic:spPr>
                </pic:pic>
              </a:graphicData>
            </a:graphic>
          </wp:inline>
        </w:drawing>
      </w:r>
    </w:p>
    <w:p w14:paraId="0151AAF7" w14:textId="728C8150" w:rsidR="007E5302" w:rsidRPr="00F305A4" w:rsidRDefault="0049438D" w:rsidP="008C2A10">
      <w:pPr>
        <w:pStyle w:val="Rrys"/>
        <w:rPr>
          <w:lang w:val="en-GB" w:eastAsia="en-GB"/>
        </w:rPr>
      </w:pPr>
      <w:r w:rsidRPr="00F305A4">
        <w:rPr>
          <w:b/>
          <w:bCs/>
          <w:lang w:val="en-GB"/>
        </w:rPr>
        <w:t>Fig.</w:t>
      </w:r>
      <w:r w:rsidR="008C2A10" w:rsidRPr="00F305A4">
        <w:rPr>
          <w:b/>
          <w:bCs/>
          <w:lang w:val="en-GB"/>
        </w:rPr>
        <w:t xml:space="preserve"> </w:t>
      </w:r>
      <w:r w:rsidRPr="00F305A4">
        <w:rPr>
          <w:b/>
          <w:bCs/>
          <w:lang w:val="en-GB"/>
        </w:rPr>
        <w:t>3.</w:t>
      </w:r>
      <w:r w:rsidR="005B6D9B" w:rsidRPr="00F305A4">
        <w:rPr>
          <w:lang w:val="en-GB"/>
        </w:rPr>
        <w:t xml:space="preserve"> </w:t>
      </w:r>
      <w:proofErr w:type="spellStart"/>
      <w:r w:rsidR="005B6D9B" w:rsidRPr="00F305A4">
        <w:rPr>
          <w:lang w:val="en-GB"/>
        </w:rPr>
        <w:t>Morphographic</w:t>
      </w:r>
      <w:proofErr w:type="spellEnd"/>
      <w:r w:rsidR="005B6D9B" w:rsidRPr="00F305A4">
        <w:rPr>
          <w:lang w:val="en-GB"/>
        </w:rPr>
        <w:t xml:space="preserve"> aspects of the relief </w:t>
      </w:r>
      <w:r w:rsidR="00B46601">
        <w:rPr>
          <w:lang w:val="en-GB"/>
        </w:rPr>
        <w:t>–</w:t>
      </w:r>
      <w:r w:rsidR="005B6D9B" w:rsidRPr="00F305A4">
        <w:rPr>
          <w:lang w:val="en-GB"/>
        </w:rPr>
        <w:t xml:space="preserve"> </w:t>
      </w:r>
      <w:proofErr w:type="spellStart"/>
      <w:r w:rsidR="005B6D9B" w:rsidRPr="00F305A4">
        <w:rPr>
          <w:lang w:val="en-GB"/>
        </w:rPr>
        <w:t>Bălăneasa</w:t>
      </w:r>
      <w:proofErr w:type="spellEnd"/>
      <w:r w:rsidR="005B6D9B" w:rsidRPr="00F305A4">
        <w:rPr>
          <w:lang w:val="en-GB"/>
        </w:rPr>
        <w:t xml:space="preserve"> Basin, </w:t>
      </w:r>
      <w:proofErr w:type="spellStart"/>
      <w:r w:rsidR="005B6D9B" w:rsidRPr="00F305A4">
        <w:rPr>
          <w:lang w:val="en-GB"/>
        </w:rPr>
        <w:t>Buzău</w:t>
      </w:r>
      <w:proofErr w:type="spellEnd"/>
      <w:r w:rsidR="005B6D9B" w:rsidRPr="00F305A4">
        <w:rPr>
          <w:lang w:val="en-GB"/>
        </w:rPr>
        <w:t xml:space="preserve"> County</w:t>
      </w:r>
    </w:p>
    <w:p w14:paraId="742A5E0C" w14:textId="13E7067B" w:rsidR="00C565F1" w:rsidRPr="00F305A4" w:rsidRDefault="00C565F1" w:rsidP="008C2A10">
      <w:pPr>
        <w:pStyle w:val="Rn2"/>
        <w:rPr>
          <w:lang w:val="en-GB"/>
        </w:rPr>
      </w:pPr>
      <w:bookmarkStart w:id="9" w:name="_Toc221092406"/>
      <w:r w:rsidRPr="00F305A4">
        <w:rPr>
          <w:lang w:val="en-GB"/>
        </w:rPr>
        <w:t>1.</w:t>
      </w:r>
      <w:r w:rsidR="00477352" w:rsidRPr="00F305A4">
        <w:rPr>
          <w:lang w:val="en-GB"/>
        </w:rPr>
        <w:t>3</w:t>
      </w:r>
      <w:r w:rsidRPr="00F305A4">
        <w:rPr>
          <w:lang w:val="en-GB"/>
        </w:rPr>
        <w:t>. Geology</w:t>
      </w:r>
      <w:bookmarkEnd w:id="9"/>
    </w:p>
    <w:p w14:paraId="7DFB3D34" w14:textId="30D7400F" w:rsidR="00E044A0" w:rsidRPr="00F305A4" w:rsidRDefault="00E044A0"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The Bălăneasa Basin develops within the external flysch and foredeep domains of the Curvature Carpathians, </w:t>
      </w:r>
      <w:r w:rsidR="005C4E70">
        <w:rPr>
          <w:rFonts w:ascii="Times New Roman" w:hAnsi="Times New Roman" w:cs="Times New Roman"/>
          <w:lang w:val="en-GB"/>
        </w:rPr>
        <w:t>"</w:t>
      </w:r>
      <w:r w:rsidRPr="00F305A4">
        <w:rPr>
          <w:rFonts w:ascii="Times New Roman" w:hAnsi="Times New Roman" w:cs="Times New Roman"/>
          <w:lang w:val="en-GB"/>
        </w:rPr>
        <w:t>characterized by a complex alternation of sandstone, conglomerates, clays, and marls of Mio-Pliocene age</w:t>
      </w:r>
      <w:r w:rsidR="005C4E70">
        <w:rPr>
          <w:rFonts w:ascii="Times New Roman" w:hAnsi="Times New Roman" w:cs="Times New Roman"/>
          <w:lang w:val="en-GB"/>
        </w:rPr>
        <w:t>"</w:t>
      </w:r>
      <w:r w:rsidR="0038103C" w:rsidRPr="00F305A4">
        <w:rPr>
          <w:rFonts w:ascii="Times New Roman" w:hAnsi="Times New Roman" w:cs="Times New Roman"/>
          <w:lang w:val="en-GB"/>
        </w:rPr>
        <w:t xml:space="preserve"> (Oncescu, 1959)</w:t>
      </w:r>
      <w:r w:rsidRPr="00F305A4">
        <w:rPr>
          <w:rFonts w:ascii="Times New Roman" w:hAnsi="Times New Roman" w:cs="Times New Roman"/>
          <w:lang w:val="en-GB"/>
        </w:rPr>
        <w:t>. This lithological variability strongly influences slope stability and fluvial dynamics.</w:t>
      </w:r>
    </w:p>
    <w:p w14:paraId="4FFC3E77" w14:textId="77777777" w:rsidR="00D15048" w:rsidRPr="00F305A4" w:rsidRDefault="00D15048" w:rsidP="005C141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lastRenderedPageBreak/>
        <w:t xml:space="preserve">Resistant lithologies (sandstones and conglomerates) favor relief persistence and structural ridges, while friable clay-marl sequences promote mass movements, slope failures, and enhanced sediment availability. The tectonic framework, defined by folds and faults (anticlines and synclines), further controls drainage orientation and channel confinement, altering fluvial supply-transport regimes (Hooke, 2019). </w:t>
      </w:r>
    </w:p>
    <w:p w14:paraId="671BB076" w14:textId="0ACE84E2" w:rsidR="00357398" w:rsidRPr="00F305A4" w:rsidRDefault="00357398" w:rsidP="005C4E7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Neotectonic activity</w:t>
      </w:r>
      <w:r w:rsidR="005C4E70">
        <w:rPr>
          <w:rFonts w:ascii="Times New Roman" w:hAnsi="Times New Roman" w:cs="Times New Roman"/>
          <w:lang w:val="en-GB"/>
        </w:rPr>
        <w:t>, combined with lithological contrasts, maintains high geomorphological activity, reflected in alternating erosional and depositional river sectors across</w:t>
      </w:r>
      <w:r w:rsidRPr="00F305A4">
        <w:rPr>
          <w:rFonts w:ascii="Times New Roman" w:hAnsi="Times New Roman" w:cs="Times New Roman"/>
          <w:lang w:val="en-GB"/>
        </w:rPr>
        <w:t xml:space="preserve"> the basin, directly conditioning the downstream distribution of structural hazards.</w:t>
      </w:r>
    </w:p>
    <w:p w14:paraId="5750C569" w14:textId="77777777" w:rsidR="008C2A10" w:rsidRPr="00F305A4" w:rsidRDefault="008C2A10" w:rsidP="00357398">
      <w:pPr>
        <w:spacing w:after="0" w:line="240" w:lineRule="auto"/>
        <w:ind w:firstLine="284"/>
        <w:rPr>
          <w:rFonts w:ascii="Times New Roman" w:hAnsi="Times New Roman"/>
          <w:sz w:val="24"/>
          <w:szCs w:val="24"/>
          <w:lang w:val="en-GB"/>
        </w:rPr>
      </w:pPr>
    </w:p>
    <w:p w14:paraId="761479D0" w14:textId="358269A5" w:rsidR="00D43B76" w:rsidRPr="00F305A4" w:rsidRDefault="00E044A0" w:rsidP="00357398">
      <w:pPr>
        <w:spacing w:after="0" w:line="240" w:lineRule="auto"/>
        <w:ind w:firstLine="284"/>
        <w:jc w:val="center"/>
        <w:rPr>
          <w:rFonts w:ascii="Times New Roman" w:hAnsi="Times New Roman" w:cs="Times New Roman"/>
          <w:sz w:val="24"/>
          <w:szCs w:val="24"/>
          <w:lang w:val="en-GB"/>
        </w:rPr>
      </w:pPr>
      <w:r w:rsidRPr="00F305A4">
        <w:rPr>
          <w:rFonts w:ascii="Times New Roman" w:hAnsi="Times New Roman"/>
          <w:sz w:val="24"/>
          <w:szCs w:val="24"/>
          <w:lang w:val="en-GB"/>
        </w:rPr>
        <w:drawing>
          <wp:inline distT="0" distB="0" distL="0" distR="0" wp14:anchorId="6D2EE5B9" wp14:editId="4A8A7FE7">
            <wp:extent cx="3932635" cy="2796540"/>
            <wp:effectExtent l="0" t="0" r="0" b="3810"/>
            <wp:docPr id="791844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44334" name=""/>
                    <pic:cNvPicPr/>
                  </pic:nvPicPr>
                  <pic:blipFill>
                    <a:blip r:embed="rId16"/>
                    <a:stretch>
                      <a:fillRect/>
                    </a:stretch>
                  </pic:blipFill>
                  <pic:spPr>
                    <a:xfrm>
                      <a:off x="0" y="0"/>
                      <a:ext cx="3941440" cy="2802801"/>
                    </a:xfrm>
                    <a:prstGeom prst="rect">
                      <a:avLst/>
                    </a:prstGeom>
                  </pic:spPr>
                </pic:pic>
              </a:graphicData>
            </a:graphic>
          </wp:inline>
        </w:drawing>
      </w:r>
    </w:p>
    <w:p w14:paraId="73059274" w14:textId="721E6F30" w:rsidR="00D43B76" w:rsidRPr="00F305A4" w:rsidRDefault="0049438D" w:rsidP="008C2A10">
      <w:pPr>
        <w:pStyle w:val="Rrys"/>
        <w:rPr>
          <w:lang w:val="en-GB" w:eastAsia="en-GB"/>
        </w:rPr>
      </w:pPr>
      <w:r w:rsidRPr="00F305A4">
        <w:rPr>
          <w:b/>
          <w:bCs/>
          <w:lang w:val="en-GB"/>
        </w:rPr>
        <w:t>Fig.</w:t>
      </w:r>
      <w:r w:rsidR="008C2A10" w:rsidRPr="00F305A4">
        <w:rPr>
          <w:b/>
          <w:bCs/>
          <w:lang w:val="en-GB"/>
        </w:rPr>
        <w:t xml:space="preserve"> </w:t>
      </w:r>
      <w:r w:rsidRPr="00F305A4">
        <w:rPr>
          <w:b/>
          <w:bCs/>
          <w:lang w:val="en-GB"/>
        </w:rPr>
        <w:t>4.</w:t>
      </w:r>
      <w:r w:rsidR="00D43B76" w:rsidRPr="00F305A4">
        <w:rPr>
          <w:lang w:val="en-GB"/>
        </w:rPr>
        <w:t xml:space="preserve"> Lithological structure </w:t>
      </w:r>
      <w:r w:rsidR="008C2A10" w:rsidRPr="00F305A4">
        <w:rPr>
          <w:lang w:val="en-GB"/>
        </w:rPr>
        <w:t>–</w:t>
      </w:r>
      <w:r w:rsidR="00D43B76" w:rsidRPr="00F305A4">
        <w:rPr>
          <w:lang w:val="en-GB"/>
        </w:rPr>
        <w:t xml:space="preserve"> </w:t>
      </w:r>
      <w:proofErr w:type="spellStart"/>
      <w:r w:rsidR="00D43B76" w:rsidRPr="00F305A4">
        <w:rPr>
          <w:lang w:val="en-GB"/>
        </w:rPr>
        <w:t>Bălăneasa</w:t>
      </w:r>
      <w:proofErr w:type="spellEnd"/>
      <w:r w:rsidR="00D43B76" w:rsidRPr="00F305A4">
        <w:rPr>
          <w:lang w:val="en-GB"/>
        </w:rPr>
        <w:t xml:space="preserve"> Basin, </w:t>
      </w:r>
      <w:proofErr w:type="spellStart"/>
      <w:r w:rsidR="00D43B76" w:rsidRPr="00F305A4">
        <w:rPr>
          <w:lang w:val="en-GB"/>
        </w:rPr>
        <w:t>Buzău</w:t>
      </w:r>
      <w:proofErr w:type="spellEnd"/>
      <w:r w:rsidR="00D43B76" w:rsidRPr="00F305A4">
        <w:rPr>
          <w:lang w:val="en-GB"/>
        </w:rPr>
        <w:t xml:space="preserve"> County</w:t>
      </w:r>
    </w:p>
    <w:p w14:paraId="224F72A7" w14:textId="4264B6D8" w:rsidR="00C565F1" w:rsidRPr="00F305A4" w:rsidRDefault="00C565F1" w:rsidP="008C2A10">
      <w:pPr>
        <w:pStyle w:val="Rn2"/>
        <w:rPr>
          <w:lang w:val="en-GB"/>
        </w:rPr>
      </w:pPr>
      <w:bookmarkStart w:id="10" w:name="_Toc221092407"/>
      <w:r w:rsidRPr="00F305A4">
        <w:rPr>
          <w:lang w:val="en-GB"/>
        </w:rPr>
        <w:t>1.</w:t>
      </w:r>
      <w:r w:rsidR="00477352" w:rsidRPr="00F305A4">
        <w:rPr>
          <w:lang w:val="en-GB"/>
        </w:rPr>
        <w:t>4</w:t>
      </w:r>
      <w:r w:rsidRPr="00F305A4">
        <w:rPr>
          <w:lang w:val="en-GB"/>
        </w:rPr>
        <w:t>. Soil Types</w:t>
      </w:r>
      <w:bookmarkEnd w:id="10"/>
    </w:p>
    <w:p w14:paraId="399FDCDD" w14:textId="77777777" w:rsidR="00E044A0" w:rsidRPr="00F305A4" w:rsidRDefault="00E044A0"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Soil distribution in the basin is primarily controlled by altitude, lithology, and slope dynamics. Zonal soils (brown, cambic, luvic, and podzolic types) dominate mid-altitude areas and exhibit moderate erosion resistance, while azonal soils (alluvial soils, regosols, and colluvial deposits) are concentrated in valley bottoms and steep slopes.</w:t>
      </w:r>
    </w:p>
    <w:p w14:paraId="78091E49" w14:textId="77777777" w:rsidR="008C2A10" w:rsidRPr="00F305A4" w:rsidRDefault="008C2A10" w:rsidP="008800A0">
      <w:pPr>
        <w:spacing w:after="0" w:line="240" w:lineRule="auto"/>
        <w:ind w:firstLine="284"/>
        <w:jc w:val="both"/>
        <w:rPr>
          <w:rFonts w:ascii="Times New Roman" w:hAnsi="Times New Roman" w:cs="Times New Roman"/>
          <w:lang w:val="en-GB"/>
        </w:rPr>
      </w:pPr>
    </w:p>
    <w:p w14:paraId="5D8C1B77" w14:textId="34B76BC1" w:rsidR="00B422F0" w:rsidRPr="00F305A4" w:rsidRDefault="00E044A0" w:rsidP="00F305A4">
      <w:pPr>
        <w:spacing w:line="240" w:lineRule="auto"/>
        <w:jc w:val="center"/>
        <w:rPr>
          <w:rFonts w:ascii="Times New Roman" w:hAnsi="Times New Roman" w:cs="Times New Roman"/>
          <w:sz w:val="24"/>
          <w:szCs w:val="24"/>
          <w:lang w:val="en-GB"/>
        </w:rPr>
      </w:pPr>
      <w:r w:rsidRPr="00F305A4">
        <w:rPr>
          <w:rFonts w:ascii="Times New Roman" w:hAnsi="Times New Roman"/>
          <w:sz w:val="24"/>
          <w:szCs w:val="24"/>
          <w:lang w:val="en-GB"/>
        </w:rPr>
        <w:drawing>
          <wp:inline distT="0" distB="0" distL="0" distR="0" wp14:anchorId="7BAD92BE" wp14:editId="12864B46">
            <wp:extent cx="3718312" cy="3064747"/>
            <wp:effectExtent l="0" t="0" r="0" b="2540"/>
            <wp:docPr id="16234421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2212"/>
                    <a:stretch/>
                  </pic:blipFill>
                  <pic:spPr bwMode="auto">
                    <a:xfrm>
                      <a:off x="0" y="0"/>
                      <a:ext cx="3752287" cy="3092750"/>
                    </a:xfrm>
                    <a:prstGeom prst="rect">
                      <a:avLst/>
                    </a:prstGeom>
                    <a:noFill/>
                    <a:ln>
                      <a:noFill/>
                    </a:ln>
                    <a:extLst>
                      <a:ext uri="{53640926-AAD7-44D8-BBD7-CCE9431645EC}">
                        <a14:shadowObscured xmlns:a14="http://schemas.microsoft.com/office/drawing/2010/main"/>
                      </a:ext>
                    </a:extLst>
                  </pic:spPr>
                </pic:pic>
              </a:graphicData>
            </a:graphic>
          </wp:inline>
        </w:drawing>
      </w:r>
    </w:p>
    <w:p w14:paraId="22FAB9AF" w14:textId="35C94CC5" w:rsidR="00B422F0" w:rsidRDefault="0049438D" w:rsidP="008C2A10">
      <w:pPr>
        <w:pStyle w:val="Rrys"/>
        <w:rPr>
          <w:lang w:val="en-GB"/>
        </w:rPr>
      </w:pPr>
      <w:r w:rsidRPr="00F305A4">
        <w:rPr>
          <w:b/>
          <w:bCs/>
          <w:lang w:val="en-GB"/>
        </w:rPr>
        <w:t>Fig.</w:t>
      </w:r>
      <w:r w:rsidR="008C2A10" w:rsidRPr="00F305A4">
        <w:rPr>
          <w:b/>
          <w:bCs/>
          <w:lang w:val="en-GB"/>
        </w:rPr>
        <w:t xml:space="preserve"> </w:t>
      </w:r>
      <w:r w:rsidRPr="00F305A4">
        <w:rPr>
          <w:b/>
          <w:bCs/>
          <w:lang w:val="en-GB"/>
        </w:rPr>
        <w:t>5.</w:t>
      </w:r>
      <w:r w:rsidR="0027147C" w:rsidRPr="00F305A4">
        <w:rPr>
          <w:lang w:val="en-GB"/>
        </w:rPr>
        <w:t xml:space="preserve"> Main soil types </w:t>
      </w:r>
      <w:r w:rsidR="008C2A10" w:rsidRPr="00F305A4">
        <w:rPr>
          <w:lang w:val="en-GB"/>
        </w:rPr>
        <w:t>–</w:t>
      </w:r>
      <w:r w:rsidR="0027147C" w:rsidRPr="00F305A4">
        <w:rPr>
          <w:lang w:val="en-GB"/>
        </w:rPr>
        <w:t xml:space="preserve"> </w:t>
      </w:r>
      <w:proofErr w:type="spellStart"/>
      <w:r w:rsidR="0027147C" w:rsidRPr="00F305A4">
        <w:rPr>
          <w:lang w:val="en-GB"/>
        </w:rPr>
        <w:t>Bălăneasa</w:t>
      </w:r>
      <w:proofErr w:type="spellEnd"/>
      <w:r w:rsidR="0027147C" w:rsidRPr="00F305A4">
        <w:rPr>
          <w:lang w:val="en-GB"/>
        </w:rPr>
        <w:t xml:space="preserve"> drainage basin, </w:t>
      </w:r>
      <w:proofErr w:type="spellStart"/>
      <w:r w:rsidR="0027147C" w:rsidRPr="00F305A4">
        <w:rPr>
          <w:lang w:val="en-GB"/>
        </w:rPr>
        <w:t>Buzău</w:t>
      </w:r>
      <w:proofErr w:type="spellEnd"/>
      <w:r w:rsidR="0027147C" w:rsidRPr="00F305A4">
        <w:rPr>
          <w:lang w:val="en-GB"/>
        </w:rPr>
        <w:t xml:space="preserve"> county</w:t>
      </w:r>
    </w:p>
    <w:p w14:paraId="4E0EAA1C" w14:textId="77777777" w:rsidR="005C4E70" w:rsidRPr="00F305A4" w:rsidRDefault="005C4E70" w:rsidP="005C4E7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lastRenderedPageBreak/>
        <w:t>Steep slopes developed on weak or moderately developed soils are highly susceptible to mass movements, particularly whe</w:t>
      </w:r>
      <w:r>
        <w:rPr>
          <w:rFonts w:ascii="Times New Roman" w:hAnsi="Times New Roman" w:cs="Times New Roman"/>
          <w:lang w:val="en-GB"/>
        </w:rPr>
        <w:t>n anthropogenic pressures reduce</w:t>
      </w:r>
      <w:r w:rsidRPr="00F305A4">
        <w:rPr>
          <w:rFonts w:ascii="Times New Roman" w:hAnsi="Times New Roman" w:cs="Times New Roman"/>
          <w:lang w:val="en-GB"/>
        </w:rPr>
        <w:t xml:space="preserve"> vegetation cover. In contrast, mid-altitude subcarpathian sectors (300–620 m) present relatively stable soil conditions and higher agricultural suitability.</w:t>
      </w:r>
    </w:p>
    <w:p w14:paraId="23A0DA27" w14:textId="77777777" w:rsidR="005C4E70" w:rsidRPr="00F305A4" w:rsidRDefault="005C4E70" w:rsidP="005C4E7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This distribution justifies </w:t>
      </w:r>
      <w:r>
        <w:rPr>
          <w:rFonts w:ascii="Times New Roman" w:hAnsi="Times New Roman" w:cs="Times New Roman"/>
          <w:lang w:val="en-GB"/>
        </w:rPr>
        <w:t>the application of</w:t>
      </w:r>
      <w:r w:rsidRPr="00F305A4">
        <w:rPr>
          <w:rFonts w:ascii="Times New Roman" w:hAnsi="Times New Roman" w:cs="Times New Roman"/>
          <w:lang w:val="en-GB"/>
        </w:rPr>
        <w:t xml:space="preserve"> technical-engineering solutions for </w:t>
      </w:r>
      <w:r>
        <w:rPr>
          <w:rFonts w:ascii="Times New Roman" w:hAnsi="Times New Roman" w:cs="Times New Roman"/>
          <w:lang w:val="en-GB"/>
        </w:rPr>
        <w:t>"</w:t>
      </w:r>
      <w:r w:rsidRPr="00F305A4">
        <w:rPr>
          <w:rFonts w:ascii="Times New Roman" w:hAnsi="Times New Roman" w:cs="Times New Roman"/>
          <w:lang w:val="en-GB"/>
        </w:rPr>
        <w:t>slope protection and river channel stabilization</w:t>
      </w:r>
      <w:r>
        <w:rPr>
          <w:rFonts w:ascii="Times New Roman" w:hAnsi="Times New Roman" w:cs="Times New Roman"/>
          <w:lang w:val="en-GB"/>
        </w:rPr>
        <w:t>"</w:t>
      </w:r>
      <w:r w:rsidRPr="00F305A4">
        <w:rPr>
          <w:rFonts w:ascii="Times New Roman" w:hAnsi="Times New Roman" w:cs="Times New Roman"/>
          <w:lang w:val="en-GB"/>
        </w:rPr>
        <w:t xml:space="preserve"> (Minea, 2011).</w:t>
      </w:r>
    </w:p>
    <w:p w14:paraId="5599C47B" w14:textId="317D0667" w:rsidR="00B422F0" w:rsidRPr="00F305A4" w:rsidRDefault="00B422F0" w:rsidP="008C2A10">
      <w:pPr>
        <w:pStyle w:val="Rn2"/>
        <w:rPr>
          <w:lang w:val="en-GB"/>
        </w:rPr>
      </w:pPr>
      <w:bookmarkStart w:id="11" w:name="_Toc221092408"/>
      <w:r w:rsidRPr="00F305A4">
        <w:rPr>
          <w:lang w:val="en-GB"/>
        </w:rPr>
        <w:t>1.</w:t>
      </w:r>
      <w:r w:rsidR="00477352" w:rsidRPr="00F305A4">
        <w:rPr>
          <w:lang w:val="en-GB"/>
        </w:rPr>
        <w:t>5</w:t>
      </w:r>
      <w:r w:rsidRPr="00F305A4">
        <w:rPr>
          <w:lang w:val="en-GB"/>
        </w:rPr>
        <w:t xml:space="preserve">. </w:t>
      </w:r>
      <w:proofErr w:type="spellStart"/>
      <w:r w:rsidRPr="00F305A4">
        <w:rPr>
          <w:lang w:val="en-GB"/>
        </w:rPr>
        <w:t>Landuse</w:t>
      </w:r>
      <w:bookmarkEnd w:id="11"/>
      <w:proofErr w:type="spellEnd"/>
    </w:p>
    <w:p w14:paraId="08F17B47" w14:textId="11C5ED03" w:rsidR="00E044A0" w:rsidRPr="00F305A4" w:rsidRDefault="00E044A0"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Land</w:t>
      </w:r>
      <w:r w:rsidR="005C4E70">
        <w:rPr>
          <w:rFonts w:ascii="Times New Roman" w:hAnsi="Times New Roman" w:cs="Times New Roman"/>
          <w:lang w:val="en-GB"/>
        </w:rPr>
        <w:t xml:space="preserve"> </w:t>
      </w:r>
      <w:r w:rsidRPr="00F305A4">
        <w:rPr>
          <w:rFonts w:ascii="Times New Roman" w:hAnsi="Times New Roman" w:cs="Times New Roman"/>
          <w:lang w:val="en-GB"/>
        </w:rPr>
        <w:t>use in the Bălăneasa Basin reflects strong adaptation to geomorphological constraints. Forested areas (~4076 ha) dominate steeper slopes and play a key role in slope stabilization, runoff regulation, and erosion control.</w:t>
      </w:r>
    </w:p>
    <w:p w14:paraId="33130FD8" w14:textId="4C9F504F" w:rsidR="00E044A0" w:rsidRPr="00F305A4" w:rsidRDefault="00E044A0"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Agricultural land, including pastures, hayfields, and orchards, is concentrated in depression areas and lower terraces where slope gradients are reduced and soil conditions are more favorable. Conversely, steeper slopes remain predominantly forested due to their high </w:t>
      </w:r>
      <w:r w:rsidR="005C4E70">
        <w:rPr>
          <w:rFonts w:ascii="Times New Roman" w:hAnsi="Times New Roman" w:cs="Times New Roman"/>
          <w:lang w:val="en-GB"/>
        </w:rPr>
        <w:t>susceptibility to erosion</w:t>
      </w:r>
      <w:r w:rsidRPr="00F305A4">
        <w:rPr>
          <w:rFonts w:ascii="Times New Roman" w:hAnsi="Times New Roman" w:cs="Times New Roman"/>
          <w:lang w:val="en-GB"/>
        </w:rPr>
        <w:t>.</w:t>
      </w:r>
    </w:p>
    <w:p w14:paraId="7D538E37" w14:textId="77777777" w:rsidR="00E044A0" w:rsidRPr="00F305A4" w:rsidRDefault="00E044A0"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This spatial organization of land use is strongly conditioned by relief, soil distribution, and hydrological processes, resulting in a landscape where anthropogenic activities and natural constraints are tightly coupled.</w:t>
      </w:r>
    </w:p>
    <w:p w14:paraId="2BE1EA47" w14:textId="77777777" w:rsidR="008C2A10" w:rsidRPr="00F305A4" w:rsidRDefault="008C2A10" w:rsidP="008800A0">
      <w:pPr>
        <w:spacing w:after="0" w:line="240" w:lineRule="auto"/>
        <w:ind w:firstLine="284"/>
        <w:jc w:val="both"/>
        <w:rPr>
          <w:rFonts w:ascii="Times New Roman" w:hAnsi="Times New Roman" w:cs="Times New Roman"/>
          <w:lang w:val="en-GB"/>
        </w:rPr>
      </w:pPr>
    </w:p>
    <w:p w14:paraId="74939D26" w14:textId="64662249" w:rsidR="000C644D" w:rsidRPr="00F305A4" w:rsidRDefault="00E044A0" w:rsidP="00F305A4">
      <w:pPr>
        <w:spacing w:after="0" w:line="240" w:lineRule="auto"/>
        <w:jc w:val="center"/>
        <w:rPr>
          <w:rFonts w:ascii="Times New Roman" w:hAnsi="Times New Roman" w:cs="Times New Roman"/>
          <w:sz w:val="24"/>
          <w:szCs w:val="24"/>
          <w:lang w:val="en-GB"/>
        </w:rPr>
      </w:pPr>
      <w:r w:rsidRPr="00F305A4">
        <w:rPr>
          <w:lang w:val="en-GB"/>
        </w:rPr>
        <w:drawing>
          <wp:inline distT="0" distB="0" distL="0" distR="0" wp14:anchorId="3D3E3704" wp14:editId="05AA7D1A">
            <wp:extent cx="3176945" cy="3165231"/>
            <wp:effectExtent l="0" t="0" r="4445" b="0"/>
            <wp:docPr id="310204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3690"/>
                    <a:stretch/>
                  </pic:blipFill>
                  <pic:spPr bwMode="auto">
                    <a:xfrm>
                      <a:off x="0" y="0"/>
                      <a:ext cx="3223183" cy="3211299"/>
                    </a:xfrm>
                    <a:prstGeom prst="rect">
                      <a:avLst/>
                    </a:prstGeom>
                    <a:noFill/>
                    <a:ln>
                      <a:noFill/>
                    </a:ln>
                    <a:extLst>
                      <a:ext uri="{53640926-AAD7-44D8-BBD7-CCE9431645EC}">
                        <a14:shadowObscured xmlns:a14="http://schemas.microsoft.com/office/drawing/2010/main"/>
                      </a:ext>
                    </a:extLst>
                  </pic:spPr>
                </pic:pic>
              </a:graphicData>
            </a:graphic>
          </wp:inline>
        </w:drawing>
      </w:r>
    </w:p>
    <w:p w14:paraId="11A90D94" w14:textId="0770300E" w:rsidR="000C644D" w:rsidRPr="00F305A4" w:rsidRDefault="0049438D" w:rsidP="008C2A10">
      <w:pPr>
        <w:pStyle w:val="Rrys"/>
        <w:rPr>
          <w:lang w:val="en-GB"/>
        </w:rPr>
      </w:pPr>
      <w:r w:rsidRPr="00F305A4">
        <w:rPr>
          <w:b/>
          <w:bCs/>
          <w:lang w:val="en-GB"/>
        </w:rPr>
        <w:t>Fig.</w:t>
      </w:r>
      <w:r w:rsidR="008C2A10" w:rsidRPr="00F305A4">
        <w:rPr>
          <w:b/>
          <w:bCs/>
          <w:lang w:val="en-GB"/>
        </w:rPr>
        <w:t xml:space="preserve"> </w:t>
      </w:r>
      <w:r w:rsidRPr="00F305A4">
        <w:rPr>
          <w:b/>
          <w:bCs/>
          <w:lang w:val="en-GB"/>
        </w:rPr>
        <w:t>6.</w:t>
      </w:r>
      <w:r w:rsidR="000C644D" w:rsidRPr="00F305A4">
        <w:rPr>
          <w:lang w:val="en-GB"/>
        </w:rPr>
        <w:t xml:space="preserve"> </w:t>
      </w:r>
      <w:proofErr w:type="spellStart"/>
      <w:r w:rsidR="00B422F0" w:rsidRPr="00F305A4">
        <w:rPr>
          <w:lang w:val="en-GB"/>
        </w:rPr>
        <w:t>Landuse</w:t>
      </w:r>
      <w:proofErr w:type="spellEnd"/>
      <w:r w:rsidR="00B422F0" w:rsidRPr="00F305A4">
        <w:rPr>
          <w:lang w:val="en-GB"/>
        </w:rPr>
        <w:t xml:space="preserve"> </w:t>
      </w:r>
      <w:r w:rsidR="00B46601">
        <w:rPr>
          <w:lang w:val="en-GB"/>
        </w:rPr>
        <w:t>–</w:t>
      </w:r>
      <w:r w:rsidR="00B422F0" w:rsidRPr="00F305A4">
        <w:rPr>
          <w:lang w:val="en-GB"/>
        </w:rPr>
        <w:t xml:space="preserve"> </w:t>
      </w:r>
      <w:proofErr w:type="spellStart"/>
      <w:r w:rsidR="00B422F0" w:rsidRPr="00F305A4">
        <w:rPr>
          <w:lang w:val="en-GB"/>
        </w:rPr>
        <w:t>Bălăneasa</w:t>
      </w:r>
      <w:proofErr w:type="spellEnd"/>
      <w:r w:rsidR="00B422F0" w:rsidRPr="00F305A4">
        <w:rPr>
          <w:lang w:val="en-GB"/>
        </w:rPr>
        <w:t xml:space="preserve"> basin, </w:t>
      </w:r>
      <w:proofErr w:type="spellStart"/>
      <w:r w:rsidR="00B422F0" w:rsidRPr="00F305A4">
        <w:rPr>
          <w:lang w:val="en-GB"/>
        </w:rPr>
        <w:t>Buzău</w:t>
      </w:r>
      <w:proofErr w:type="spellEnd"/>
      <w:r w:rsidR="00B422F0" w:rsidRPr="00F305A4">
        <w:rPr>
          <w:lang w:val="en-GB"/>
        </w:rPr>
        <w:t xml:space="preserve"> county</w:t>
      </w:r>
    </w:p>
    <w:p w14:paraId="45784A69" w14:textId="77777777" w:rsidR="00C565F1" w:rsidRPr="00F305A4" w:rsidRDefault="00C565F1" w:rsidP="008C2A10">
      <w:pPr>
        <w:pStyle w:val="Rn1"/>
        <w:rPr>
          <w:lang w:val="en-GB"/>
        </w:rPr>
      </w:pPr>
      <w:bookmarkStart w:id="12" w:name="_Toc221092409"/>
      <w:r w:rsidRPr="00F305A4">
        <w:rPr>
          <w:lang w:val="en-GB"/>
        </w:rPr>
        <w:t>2. Data and Methods</w:t>
      </w:r>
      <w:bookmarkEnd w:id="12"/>
    </w:p>
    <w:p w14:paraId="4075AA2C" w14:textId="522B33D2" w:rsidR="0091007B" w:rsidRPr="00F305A4" w:rsidRDefault="0091007B" w:rsidP="008C2A10">
      <w:pPr>
        <w:pStyle w:val="Rn2"/>
        <w:rPr>
          <w:lang w:val="en-GB"/>
        </w:rPr>
      </w:pPr>
      <w:r w:rsidRPr="00F305A4">
        <w:rPr>
          <w:lang w:val="en-GB"/>
        </w:rPr>
        <w:t>2.1</w:t>
      </w:r>
      <w:r w:rsidR="008C2A10" w:rsidRPr="00F305A4">
        <w:rPr>
          <w:lang w:val="en-GB"/>
        </w:rPr>
        <w:t>.</w:t>
      </w:r>
      <w:r w:rsidRPr="00F305A4">
        <w:rPr>
          <w:lang w:val="en-GB"/>
        </w:rPr>
        <w:t xml:space="preserve"> Study </w:t>
      </w:r>
      <w:r w:rsidR="00B46601">
        <w:rPr>
          <w:lang w:val="en-GB"/>
        </w:rPr>
        <w:t>D</w:t>
      </w:r>
      <w:r w:rsidRPr="00F305A4">
        <w:rPr>
          <w:lang w:val="en-GB"/>
        </w:rPr>
        <w:t>esign</w:t>
      </w:r>
    </w:p>
    <w:p w14:paraId="0CC858DE" w14:textId="67D229FE" w:rsidR="009248B9" w:rsidRPr="00F305A4" w:rsidRDefault="0091007B" w:rsidP="0014254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This study integrates geomorphological, GIS-based, hydrological, and engineering analyses to evaluate channel dynamics and to support riverbank stabilization strategies in the Bălăneasa River Basin. </w:t>
      </w:r>
      <w:r w:rsidR="00C43E03" w:rsidRPr="00F305A4">
        <w:rPr>
          <w:rFonts w:ascii="Times New Roman" w:hAnsi="Times New Roman" w:cs="Times New Roman"/>
          <w:lang w:val="en-GB"/>
        </w:rPr>
        <w:t xml:space="preserve">The methodological framework combines spatial morphometric analysis—where the channel gradient is quantified in per mille (‰), equivalent to meters per kilometer (m/km)—with numerical engineering modelling of a proposed gabion handling system. </w:t>
      </w:r>
      <w:r w:rsidR="00EA6FA7" w:rsidRPr="00F305A4">
        <w:rPr>
          <w:rFonts w:ascii="Times New Roman" w:hAnsi="Times New Roman" w:cs="Times New Roman"/>
          <w:lang w:val="en-GB"/>
        </w:rPr>
        <w:t>The overall methodological framework adopted in this study is summarized in Fig.</w:t>
      </w:r>
      <w:r w:rsidR="008C2A10" w:rsidRPr="00F305A4">
        <w:rPr>
          <w:rFonts w:ascii="Times New Roman" w:hAnsi="Times New Roman" w:cs="Times New Roman"/>
          <w:lang w:val="en-GB"/>
        </w:rPr>
        <w:t xml:space="preserve"> </w:t>
      </w:r>
      <w:r w:rsidR="00EA6FA7" w:rsidRPr="00F305A4">
        <w:rPr>
          <w:rFonts w:ascii="Times New Roman" w:hAnsi="Times New Roman" w:cs="Times New Roman"/>
          <w:lang w:val="en-GB"/>
        </w:rPr>
        <w:t>7, illustrating the integration of spatial geomorphological analysis with engineering modelling and FE</w:t>
      </w:r>
      <w:r w:rsidR="00230903" w:rsidRPr="00F305A4">
        <w:rPr>
          <w:rFonts w:ascii="Times New Roman" w:hAnsi="Times New Roman" w:cs="Times New Roman"/>
          <w:lang w:val="en-GB"/>
        </w:rPr>
        <w:t>A</w:t>
      </w:r>
      <w:r w:rsidR="00EA6FA7" w:rsidRPr="00F305A4">
        <w:rPr>
          <w:rFonts w:ascii="Times New Roman" w:hAnsi="Times New Roman" w:cs="Times New Roman"/>
          <w:lang w:val="en-GB"/>
        </w:rPr>
        <w:t>-based structural validation.</w:t>
      </w:r>
    </w:p>
    <w:p w14:paraId="48864B11" w14:textId="77777777" w:rsidR="008C2A10" w:rsidRPr="00F305A4" w:rsidRDefault="008C2A10" w:rsidP="00B46601">
      <w:pPr>
        <w:spacing w:after="0" w:line="240" w:lineRule="auto"/>
        <w:jc w:val="both"/>
        <w:rPr>
          <w:rFonts w:ascii="Times New Roman" w:hAnsi="Times New Roman" w:cs="Times New Roman"/>
          <w:lang w:val="en-GB"/>
        </w:rPr>
      </w:pPr>
    </w:p>
    <w:p w14:paraId="386A3BCB" w14:textId="487A096C" w:rsidR="009248B9" w:rsidRPr="00F305A4" w:rsidRDefault="009248B9" w:rsidP="00F305A4">
      <w:pPr>
        <w:spacing w:after="0" w:line="240" w:lineRule="auto"/>
        <w:jc w:val="center"/>
        <w:rPr>
          <w:rFonts w:ascii="Times New Roman" w:hAnsi="Times New Roman" w:cs="Times New Roman"/>
          <w:lang w:val="en-GB"/>
        </w:rPr>
      </w:pPr>
      <w:r w:rsidRPr="00F305A4">
        <w:rPr>
          <w:rFonts w:ascii="Times New Roman" w:hAnsi="Times New Roman" w:cs="Times New Roman"/>
          <w:lang w:val="en-GB"/>
        </w:rPr>
        <w:lastRenderedPageBreak/>
        <w:drawing>
          <wp:inline distT="0" distB="0" distL="0" distR="0" wp14:anchorId="3CBCF75B" wp14:editId="0D6B7498">
            <wp:extent cx="2334018" cy="2918460"/>
            <wp:effectExtent l="0" t="0" r="9525" b="0"/>
            <wp:docPr id="586508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67070" cy="2959788"/>
                    </a:xfrm>
                    <a:prstGeom prst="rect">
                      <a:avLst/>
                    </a:prstGeom>
                    <a:noFill/>
                    <a:ln>
                      <a:noFill/>
                    </a:ln>
                  </pic:spPr>
                </pic:pic>
              </a:graphicData>
            </a:graphic>
          </wp:inline>
        </w:drawing>
      </w:r>
    </w:p>
    <w:p w14:paraId="5D6E79E4" w14:textId="38AE93A8" w:rsidR="009248B9" w:rsidRPr="00F305A4" w:rsidRDefault="00230903" w:rsidP="008C2A10">
      <w:pPr>
        <w:pStyle w:val="Rrys"/>
        <w:rPr>
          <w:lang w:val="en-GB"/>
        </w:rPr>
      </w:pPr>
      <w:r w:rsidRPr="00F305A4">
        <w:rPr>
          <w:b/>
          <w:bCs/>
          <w:lang w:val="en-GB"/>
        </w:rPr>
        <w:t>Fig.</w:t>
      </w:r>
      <w:r w:rsidR="008C2A10" w:rsidRPr="00F305A4">
        <w:rPr>
          <w:b/>
          <w:bCs/>
          <w:lang w:val="en-GB"/>
        </w:rPr>
        <w:t xml:space="preserve"> </w:t>
      </w:r>
      <w:r w:rsidRPr="00F305A4">
        <w:rPr>
          <w:b/>
          <w:bCs/>
          <w:lang w:val="en-GB"/>
        </w:rPr>
        <w:t>7.</w:t>
      </w:r>
      <w:r w:rsidRPr="00F305A4">
        <w:rPr>
          <w:lang w:val="en-GB"/>
        </w:rPr>
        <w:t xml:space="preserve"> Conceptual framework and multi-step operational workflow of the study</w:t>
      </w:r>
    </w:p>
    <w:p w14:paraId="2807653E" w14:textId="77777777" w:rsidR="009248B9" w:rsidRPr="00F305A4" w:rsidRDefault="009248B9" w:rsidP="00230903">
      <w:pPr>
        <w:spacing w:after="0" w:line="240" w:lineRule="auto"/>
        <w:ind w:firstLine="284"/>
        <w:jc w:val="both"/>
        <w:rPr>
          <w:rFonts w:ascii="Times New Roman" w:hAnsi="Times New Roman" w:cs="Times New Roman"/>
          <w:lang w:val="en-GB"/>
        </w:rPr>
      </w:pPr>
    </w:p>
    <w:p w14:paraId="73C53548" w14:textId="6A27C2EA" w:rsidR="0091007B" w:rsidRPr="00F305A4" w:rsidRDefault="0091007B" w:rsidP="008C2A10">
      <w:pPr>
        <w:pStyle w:val="Rn2"/>
        <w:rPr>
          <w:lang w:val="en-GB"/>
        </w:rPr>
      </w:pPr>
      <w:r w:rsidRPr="00F305A4">
        <w:rPr>
          <w:lang w:val="en-GB"/>
        </w:rPr>
        <w:t>2.2</w:t>
      </w:r>
      <w:r w:rsidR="008C2A10" w:rsidRPr="00F305A4">
        <w:rPr>
          <w:lang w:val="en-GB"/>
        </w:rPr>
        <w:t>.</w:t>
      </w:r>
      <w:r w:rsidRPr="00F305A4">
        <w:rPr>
          <w:lang w:val="en-GB"/>
        </w:rPr>
        <w:t xml:space="preserve"> GIS processing and morphometric analysis</w:t>
      </w:r>
    </w:p>
    <w:p w14:paraId="7D5CFA8A" w14:textId="77777777" w:rsidR="00B231C7" w:rsidRPr="00F305A4" w:rsidRDefault="00B231C7" w:rsidP="00B231C7">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To complement the historical hydrographic data with continuous topographic metrics, a Digital Elevation Model (DEM) with a spatial resolution of 10 meters was generated from 1:25,000 topographic contour lines with a 5-meter contour interval. The elevation extraction utilized the Topo to Raster interpolation method, which is specifically optimized to preserve hydrological connectivity and prevent artificial sinks in river channels.</w:t>
      </w:r>
    </w:p>
    <w:p w14:paraId="73048846" w14:textId="5528A773" w:rsidR="00B231C7" w:rsidRPr="00F305A4" w:rsidRDefault="00B231C7" w:rsidP="00B231C7">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Potential uncertainties related to the inherent vertical accuracy limitations of contour-derived grids—which typically exhibit a vertical root-mean-square error (RMSEz) between 1.5 and 2.5 meters—were carefully factored into the morphometric analysis. These terrain model constraints include the potential smoothing of micro-topographic channel features and subtle underestimations of crest elevations below the 5-meter contour threshold.</w:t>
      </w:r>
      <w:r w:rsidR="001F2E61" w:rsidRPr="00F305A4">
        <w:rPr>
          <w:lang w:val="en-GB"/>
        </w:rPr>
        <w:t xml:space="preserve"> </w:t>
      </w:r>
      <w:r w:rsidR="001F2E61" w:rsidRPr="00F305A4">
        <w:rPr>
          <w:rFonts w:ascii="Times New Roman" w:eastAsia="Times New Roman" w:hAnsi="Times New Roman" w:cs="Times New Roman"/>
          <w:lang w:val="en-GB" w:eastAsia="en-GB"/>
        </w:rPr>
        <w:t>Consequently, the identified topographic variations are treated within these acceptable cartographic uncertainties, while simultaneously accounting for real morphodynamic adjustments along the channel.</w:t>
      </w:r>
    </w:p>
    <w:p w14:paraId="0FECE749" w14:textId="77777777" w:rsidR="00B231C7" w:rsidRPr="00F305A4" w:rsidRDefault="00B231C7" w:rsidP="00B231C7">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Spatial analysis was performed using QGIS and GRASS GIS environments. The following tools were applied to the processed topographic data:</w:t>
      </w:r>
    </w:p>
    <w:p w14:paraId="0E7186C2" w14:textId="2C529390" w:rsidR="00B231C7" w:rsidRPr="00F305A4" w:rsidRDefault="00B231C7" w:rsidP="00B231C7">
      <w:pPr>
        <w:numPr>
          <w:ilvl w:val="0"/>
          <w:numId w:val="27"/>
        </w:numPr>
        <w:spacing w:after="0" w:line="240" w:lineRule="auto"/>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r.slope.aspect – slope and exposure calculation</w:t>
      </w:r>
      <w:r w:rsidR="008273E8">
        <w:rPr>
          <w:rFonts w:ascii="Times New Roman" w:eastAsia="Times New Roman" w:hAnsi="Times New Roman" w:cs="Times New Roman"/>
          <w:lang w:val="en-GB" w:eastAsia="en-GB"/>
        </w:rPr>
        <w:t>,</w:t>
      </w:r>
    </w:p>
    <w:p w14:paraId="344B6C89" w14:textId="76F3BF32" w:rsidR="00B231C7" w:rsidRPr="00F305A4" w:rsidRDefault="00B231C7" w:rsidP="00B231C7">
      <w:pPr>
        <w:numPr>
          <w:ilvl w:val="0"/>
          <w:numId w:val="27"/>
        </w:numPr>
        <w:spacing w:after="0" w:line="240" w:lineRule="auto"/>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v.rast.stats – statistical extraction of raster values on vector layers</w:t>
      </w:r>
      <w:r w:rsidR="008273E8">
        <w:rPr>
          <w:rFonts w:ascii="Times New Roman" w:eastAsia="Times New Roman" w:hAnsi="Times New Roman" w:cs="Times New Roman"/>
          <w:lang w:val="en-GB" w:eastAsia="en-GB"/>
        </w:rPr>
        <w:t>,</w:t>
      </w:r>
    </w:p>
    <w:p w14:paraId="35394BC6" w14:textId="7FFAD0BB" w:rsidR="00230903" w:rsidRPr="00F305A4" w:rsidRDefault="00B231C7" w:rsidP="00230903">
      <w:pPr>
        <w:numPr>
          <w:ilvl w:val="0"/>
          <w:numId w:val="27"/>
        </w:numPr>
        <w:spacing w:after="0" w:line="240" w:lineRule="auto"/>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r.report – spatial distribution of terrain parameters</w:t>
      </w:r>
      <w:r w:rsidR="008273E8">
        <w:rPr>
          <w:rFonts w:ascii="Times New Roman" w:eastAsia="Times New Roman" w:hAnsi="Times New Roman" w:cs="Times New Roman"/>
          <w:lang w:val="en-GB" w:eastAsia="en-GB"/>
        </w:rPr>
        <w:t>.</w:t>
      </w:r>
    </w:p>
    <w:p w14:paraId="4C6BC51B" w14:textId="77777777" w:rsidR="008C2A10" w:rsidRPr="00F305A4" w:rsidRDefault="008C2A10" w:rsidP="008C2A10">
      <w:pPr>
        <w:spacing w:after="0" w:line="240" w:lineRule="auto"/>
        <w:jc w:val="both"/>
        <w:rPr>
          <w:rFonts w:ascii="Times New Roman" w:eastAsia="Times New Roman" w:hAnsi="Times New Roman" w:cs="Times New Roman"/>
          <w:lang w:val="en-GB" w:eastAsia="en-GB"/>
        </w:rPr>
      </w:pPr>
    </w:p>
    <w:p w14:paraId="428C90EF" w14:textId="22F79192" w:rsidR="00C437DC" w:rsidRPr="00F305A4" w:rsidRDefault="00D43B76" w:rsidP="008C2A10">
      <w:pPr>
        <w:pStyle w:val="Rtab"/>
        <w:rPr>
          <w:lang w:val="en-GB"/>
        </w:rPr>
      </w:pPr>
      <w:r w:rsidRPr="00F305A4">
        <w:rPr>
          <w:b/>
          <w:lang w:val="en-GB"/>
        </w:rPr>
        <w:t>Table 1.</w:t>
      </w:r>
      <w:r w:rsidRPr="00F305A4">
        <w:rPr>
          <w:lang w:val="en-GB"/>
        </w:rPr>
        <w:t xml:space="preserve"> Data sets used</w:t>
      </w:r>
    </w:p>
    <w:tbl>
      <w:tblPr>
        <w:tblStyle w:val="Tabela-Siatka"/>
        <w:tblW w:w="912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851"/>
        <w:gridCol w:w="2339"/>
        <w:gridCol w:w="1470"/>
        <w:gridCol w:w="1301"/>
        <w:gridCol w:w="3164"/>
      </w:tblGrid>
      <w:tr w:rsidR="00D43B76" w:rsidRPr="00F305A4" w14:paraId="012D1AB7" w14:textId="77777777" w:rsidTr="008273E8">
        <w:trPr>
          <w:trHeight w:val="397"/>
          <w:jc w:val="center"/>
        </w:trPr>
        <w:tc>
          <w:tcPr>
            <w:tcW w:w="851" w:type="dxa"/>
            <w:vAlign w:val="center"/>
          </w:tcPr>
          <w:p w14:paraId="768DA86D" w14:textId="0AFD49FB"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No.</w:t>
            </w:r>
          </w:p>
        </w:tc>
        <w:tc>
          <w:tcPr>
            <w:tcW w:w="2339" w:type="dxa"/>
            <w:vAlign w:val="center"/>
          </w:tcPr>
          <w:p w14:paraId="33834586" w14:textId="49B8A829" w:rsidR="00D43B76" w:rsidRPr="00F305A4" w:rsidRDefault="009666EE"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Data</w:t>
            </w:r>
            <w:r w:rsidR="00D43B76" w:rsidRPr="00F305A4">
              <w:rPr>
                <w:rFonts w:ascii="Times New Roman" w:hAnsi="Times New Roman" w:cs="Times New Roman"/>
                <w:sz w:val="20"/>
                <w:szCs w:val="20"/>
                <w:lang w:val="en-GB"/>
              </w:rPr>
              <w:t>base (name)</w:t>
            </w:r>
          </w:p>
        </w:tc>
        <w:tc>
          <w:tcPr>
            <w:tcW w:w="1470" w:type="dxa"/>
            <w:vAlign w:val="center"/>
          </w:tcPr>
          <w:p w14:paraId="4E0EFD1F" w14:textId="0986C283"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Structure Type</w:t>
            </w:r>
          </w:p>
        </w:tc>
        <w:tc>
          <w:tcPr>
            <w:tcW w:w="1301" w:type="dxa"/>
            <w:vAlign w:val="center"/>
          </w:tcPr>
          <w:p w14:paraId="30116721" w14:textId="21DD7095"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Attributes</w:t>
            </w:r>
          </w:p>
        </w:tc>
        <w:tc>
          <w:tcPr>
            <w:tcW w:w="3164" w:type="dxa"/>
            <w:vAlign w:val="center"/>
          </w:tcPr>
          <w:p w14:paraId="26AE20CD" w14:textId="69676112"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Data source</w:t>
            </w:r>
          </w:p>
        </w:tc>
      </w:tr>
      <w:tr w:rsidR="00D43B76" w:rsidRPr="00F305A4" w14:paraId="6BC1706D" w14:textId="77777777" w:rsidTr="008273E8">
        <w:trPr>
          <w:trHeight w:val="283"/>
          <w:jc w:val="center"/>
        </w:trPr>
        <w:tc>
          <w:tcPr>
            <w:tcW w:w="851" w:type="dxa"/>
            <w:vAlign w:val="center"/>
          </w:tcPr>
          <w:p w14:paraId="3A668179" w14:textId="7F053D06" w:rsidR="00D43B76" w:rsidRPr="00F305A4" w:rsidRDefault="008C2A10" w:rsidP="008C2A10">
            <w:pPr>
              <w:suppressAutoHyphens/>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1</w:t>
            </w:r>
          </w:p>
        </w:tc>
        <w:tc>
          <w:tcPr>
            <w:tcW w:w="2339" w:type="dxa"/>
            <w:vAlign w:val="center"/>
          </w:tcPr>
          <w:p w14:paraId="0981D222" w14:textId="75AEE4CE"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Contour lines</w:t>
            </w:r>
          </w:p>
        </w:tc>
        <w:tc>
          <w:tcPr>
            <w:tcW w:w="1470" w:type="dxa"/>
            <w:vAlign w:val="center"/>
          </w:tcPr>
          <w:p w14:paraId="546712C1" w14:textId="77777777"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vector</w:t>
            </w:r>
          </w:p>
        </w:tc>
        <w:tc>
          <w:tcPr>
            <w:tcW w:w="1301" w:type="dxa"/>
            <w:vAlign w:val="center"/>
          </w:tcPr>
          <w:p w14:paraId="11475CFE" w14:textId="167874EE" w:rsidR="00D43B76" w:rsidRPr="00F305A4" w:rsidRDefault="00B62643"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eleva</w:t>
            </w:r>
            <w:r w:rsidR="00D43B76" w:rsidRPr="00F305A4">
              <w:rPr>
                <w:rFonts w:ascii="Times New Roman" w:hAnsi="Times New Roman" w:cs="Times New Roman"/>
                <w:sz w:val="20"/>
                <w:szCs w:val="20"/>
                <w:lang w:val="en-GB"/>
              </w:rPr>
              <w:t>tion</w:t>
            </w:r>
          </w:p>
        </w:tc>
        <w:tc>
          <w:tcPr>
            <w:tcW w:w="3164" w:type="dxa"/>
            <w:vAlign w:val="center"/>
          </w:tcPr>
          <w:p w14:paraId="79C73ECE" w14:textId="5112967F"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ANCPI Geoportal (1:25.000)</w:t>
            </w:r>
          </w:p>
        </w:tc>
      </w:tr>
      <w:tr w:rsidR="00D43B76" w:rsidRPr="00F305A4" w14:paraId="30A5882E" w14:textId="77777777" w:rsidTr="008273E8">
        <w:trPr>
          <w:trHeight w:val="283"/>
          <w:jc w:val="center"/>
        </w:trPr>
        <w:tc>
          <w:tcPr>
            <w:tcW w:w="851" w:type="dxa"/>
            <w:vAlign w:val="center"/>
          </w:tcPr>
          <w:p w14:paraId="7702EEB8" w14:textId="070301F9" w:rsidR="00D43B76" w:rsidRPr="00F305A4" w:rsidRDefault="008C2A10" w:rsidP="008C2A10">
            <w:pPr>
              <w:suppressAutoHyphens/>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2</w:t>
            </w:r>
          </w:p>
        </w:tc>
        <w:tc>
          <w:tcPr>
            <w:tcW w:w="2339" w:type="dxa"/>
            <w:vAlign w:val="center"/>
          </w:tcPr>
          <w:p w14:paraId="468D030D" w14:textId="4D6D891B"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Hydrography</w:t>
            </w:r>
          </w:p>
        </w:tc>
        <w:tc>
          <w:tcPr>
            <w:tcW w:w="1470" w:type="dxa"/>
            <w:vAlign w:val="center"/>
          </w:tcPr>
          <w:p w14:paraId="2ABAED74" w14:textId="77777777"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vector</w:t>
            </w:r>
          </w:p>
        </w:tc>
        <w:tc>
          <w:tcPr>
            <w:tcW w:w="1301" w:type="dxa"/>
            <w:vAlign w:val="center"/>
          </w:tcPr>
          <w:p w14:paraId="60344BE9" w14:textId="5BD06385"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line</w:t>
            </w:r>
          </w:p>
        </w:tc>
        <w:tc>
          <w:tcPr>
            <w:tcW w:w="3164" w:type="dxa"/>
            <w:vAlign w:val="center"/>
          </w:tcPr>
          <w:p w14:paraId="51512281" w14:textId="77777777"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ANAR</w:t>
            </w:r>
          </w:p>
        </w:tc>
      </w:tr>
      <w:tr w:rsidR="00D43B76" w:rsidRPr="00F305A4" w14:paraId="0D4635B7" w14:textId="77777777" w:rsidTr="008273E8">
        <w:trPr>
          <w:trHeight w:val="283"/>
          <w:jc w:val="center"/>
        </w:trPr>
        <w:tc>
          <w:tcPr>
            <w:tcW w:w="851" w:type="dxa"/>
            <w:vAlign w:val="center"/>
          </w:tcPr>
          <w:p w14:paraId="596613F7" w14:textId="196F6B6D" w:rsidR="00D43B76" w:rsidRPr="00F305A4" w:rsidRDefault="008C2A10" w:rsidP="008C2A10">
            <w:pPr>
              <w:suppressAutoHyphens/>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3</w:t>
            </w:r>
          </w:p>
        </w:tc>
        <w:tc>
          <w:tcPr>
            <w:tcW w:w="2339" w:type="dxa"/>
            <w:vAlign w:val="center"/>
          </w:tcPr>
          <w:p w14:paraId="3C18E0F8" w14:textId="0C4B0B24"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Landform unit boundaries</w:t>
            </w:r>
          </w:p>
        </w:tc>
        <w:tc>
          <w:tcPr>
            <w:tcW w:w="1470" w:type="dxa"/>
            <w:vAlign w:val="center"/>
          </w:tcPr>
          <w:p w14:paraId="13937212" w14:textId="43AA07BC"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vector</w:t>
            </w:r>
          </w:p>
        </w:tc>
        <w:tc>
          <w:tcPr>
            <w:tcW w:w="1301" w:type="dxa"/>
            <w:vAlign w:val="center"/>
          </w:tcPr>
          <w:p w14:paraId="1A8BDF4E" w14:textId="244B6612"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polygon</w:t>
            </w:r>
          </w:p>
        </w:tc>
        <w:tc>
          <w:tcPr>
            <w:tcW w:w="3164" w:type="dxa"/>
            <w:vAlign w:val="center"/>
          </w:tcPr>
          <w:p w14:paraId="030260BF" w14:textId="77777777"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ANCPI Geoportal (1:200.000)</w:t>
            </w:r>
          </w:p>
        </w:tc>
      </w:tr>
      <w:tr w:rsidR="00D43B76" w:rsidRPr="00F305A4" w14:paraId="6113D41D" w14:textId="77777777" w:rsidTr="008273E8">
        <w:trPr>
          <w:trHeight w:val="558"/>
          <w:jc w:val="center"/>
        </w:trPr>
        <w:tc>
          <w:tcPr>
            <w:tcW w:w="851" w:type="dxa"/>
            <w:vAlign w:val="center"/>
          </w:tcPr>
          <w:p w14:paraId="5987550B" w14:textId="6BC763EE" w:rsidR="00D43B76" w:rsidRPr="00F305A4" w:rsidRDefault="008C2A10" w:rsidP="008C2A10">
            <w:pPr>
              <w:suppressAutoHyphens/>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4</w:t>
            </w:r>
          </w:p>
        </w:tc>
        <w:tc>
          <w:tcPr>
            <w:tcW w:w="2339" w:type="dxa"/>
            <w:vAlign w:val="center"/>
          </w:tcPr>
          <w:p w14:paraId="3935E5E8" w14:textId="2282266B"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Geology</w:t>
            </w:r>
          </w:p>
        </w:tc>
        <w:tc>
          <w:tcPr>
            <w:tcW w:w="1470" w:type="dxa"/>
            <w:vAlign w:val="center"/>
          </w:tcPr>
          <w:p w14:paraId="1DD78290" w14:textId="76089E33"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vector</w:t>
            </w:r>
          </w:p>
        </w:tc>
        <w:tc>
          <w:tcPr>
            <w:tcW w:w="1301" w:type="dxa"/>
            <w:vAlign w:val="center"/>
          </w:tcPr>
          <w:p w14:paraId="6FB8A2FB" w14:textId="7F278E25"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polygon</w:t>
            </w:r>
          </w:p>
        </w:tc>
        <w:tc>
          <w:tcPr>
            <w:tcW w:w="3164" w:type="dxa"/>
            <w:vAlign w:val="center"/>
          </w:tcPr>
          <w:p w14:paraId="18B776BC" w14:textId="77777777" w:rsidR="00B62643"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Romanian Geological Institute</w:t>
            </w:r>
          </w:p>
          <w:p w14:paraId="19515AC4" w14:textId="5152C544"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(1:50.000)</w:t>
            </w:r>
          </w:p>
        </w:tc>
      </w:tr>
      <w:tr w:rsidR="00D43B76" w:rsidRPr="00F305A4" w14:paraId="17A73D0F" w14:textId="77777777" w:rsidTr="008273E8">
        <w:trPr>
          <w:trHeight w:val="283"/>
          <w:jc w:val="center"/>
        </w:trPr>
        <w:tc>
          <w:tcPr>
            <w:tcW w:w="851" w:type="dxa"/>
            <w:vAlign w:val="center"/>
          </w:tcPr>
          <w:p w14:paraId="50BD3E3E" w14:textId="5B5196B9" w:rsidR="00D43B76" w:rsidRPr="00F305A4" w:rsidRDefault="008C2A10" w:rsidP="008C2A10">
            <w:pPr>
              <w:suppressAutoHyphens/>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5</w:t>
            </w:r>
          </w:p>
        </w:tc>
        <w:tc>
          <w:tcPr>
            <w:tcW w:w="2339" w:type="dxa"/>
            <w:vAlign w:val="center"/>
          </w:tcPr>
          <w:p w14:paraId="0709A4F9" w14:textId="57715884"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Localities</w:t>
            </w:r>
          </w:p>
        </w:tc>
        <w:tc>
          <w:tcPr>
            <w:tcW w:w="1470" w:type="dxa"/>
            <w:vAlign w:val="center"/>
          </w:tcPr>
          <w:p w14:paraId="180A8CC5" w14:textId="77777777"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vector</w:t>
            </w:r>
          </w:p>
        </w:tc>
        <w:tc>
          <w:tcPr>
            <w:tcW w:w="1301" w:type="dxa"/>
            <w:vAlign w:val="center"/>
          </w:tcPr>
          <w:p w14:paraId="67C730C3" w14:textId="658D2B98"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point</w:t>
            </w:r>
          </w:p>
        </w:tc>
        <w:tc>
          <w:tcPr>
            <w:tcW w:w="3164" w:type="dxa"/>
            <w:vAlign w:val="center"/>
          </w:tcPr>
          <w:p w14:paraId="5FA6A8D1" w14:textId="77777777"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ANCPI Geoportal</w:t>
            </w:r>
          </w:p>
        </w:tc>
      </w:tr>
      <w:tr w:rsidR="00D43B76" w:rsidRPr="00F305A4" w14:paraId="0538AAF4" w14:textId="77777777" w:rsidTr="008273E8">
        <w:trPr>
          <w:trHeight w:val="283"/>
          <w:jc w:val="center"/>
        </w:trPr>
        <w:tc>
          <w:tcPr>
            <w:tcW w:w="851" w:type="dxa"/>
            <w:vAlign w:val="center"/>
          </w:tcPr>
          <w:p w14:paraId="05DE27D8" w14:textId="64101B62" w:rsidR="00D43B76" w:rsidRPr="00F305A4" w:rsidRDefault="008C2A10" w:rsidP="008C2A10">
            <w:pPr>
              <w:suppressAutoHyphens/>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6</w:t>
            </w:r>
          </w:p>
        </w:tc>
        <w:tc>
          <w:tcPr>
            <w:tcW w:w="2339" w:type="dxa"/>
            <w:vAlign w:val="center"/>
          </w:tcPr>
          <w:p w14:paraId="36AB3035" w14:textId="7AA63854"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Roads</w:t>
            </w:r>
          </w:p>
        </w:tc>
        <w:tc>
          <w:tcPr>
            <w:tcW w:w="1470" w:type="dxa"/>
            <w:vAlign w:val="center"/>
          </w:tcPr>
          <w:p w14:paraId="60653792" w14:textId="682B9D86" w:rsidR="00D43B76" w:rsidRPr="00F305A4" w:rsidRDefault="00B62643"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vector</w:t>
            </w:r>
          </w:p>
        </w:tc>
        <w:tc>
          <w:tcPr>
            <w:tcW w:w="1301" w:type="dxa"/>
            <w:vAlign w:val="center"/>
          </w:tcPr>
          <w:p w14:paraId="11EB39DC" w14:textId="44857732"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line</w:t>
            </w:r>
          </w:p>
        </w:tc>
        <w:tc>
          <w:tcPr>
            <w:tcW w:w="3164" w:type="dxa"/>
            <w:vAlign w:val="center"/>
          </w:tcPr>
          <w:p w14:paraId="0817698B" w14:textId="77777777"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ANCPI Geoportal (1:200.000)</w:t>
            </w:r>
          </w:p>
        </w:tc>
      </w:tr>
      <w:tr w:rsidR="00D43B76" w:rsidRPr="00F305A4" w14:paraId="2555CB84" w14:textId="77777777" w:rsidTr="008273E8">
        <w:trPr>
          <w:trHeight w:val="283"/>
          <w:jc w:val="center"/>
        </w:trPr>
        <w:tc>
          <w:tcPr>
            <w:tcW w:w="851" w:type="dxa"/>
            <w:vAlign w:val="center"/>
          </w:tcPr>
          <w:p w14:paraId="6A03019E" w14:textId="58F7792F" w:rsidR="00D43B76" w:rsidRPr="00F305A4" w:rsidRDefault="008C2A10" w:rsidP="008C2A10">
            <w:pPr>
              <w:suppressAutoHyphens/>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7</w:t>
            </w:r>
          </w:p>
        </w:tc>
        <w:tc>
          <w:tcPr>
            <w:tcW w:w="2339" w:type="dxa"/>
            <w:vAlign w:val="center"/>
          </w:tcPr>
          <w:p w14:paraId="10620655" w14:textId="3DCB2312"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Hydrography</w:t>
            </w:r>
          </w:p>
        </w:tc>
        <w:tc>
          <w:tcPr>
            <w:tcW w:w="1470" w:type="dxa"/>
            <w:vAlign w:val="center"/>
          </w:tcPr>
          <w:p w14:paraId="71DAFE04" w14:textId="0FF2A16E" w:rsidR="00D43B76" w:rsidRPr="00F305A4" w:rsidRDefault="00B62643"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vector</w:t>
            </w:r>
          </w:p>
        </w:tc>
        <w:tc>
          <w:tcPr>
            <w:tcW w:w="1301" w:type="dxa"/>
            <w:vAlign w:val="center"/>
          </w:tcPr>
          <w:p w14:paraId="0912F878" w14:textId="4F3A8417" w:rsidR="00D43B76" w:rsidRPr="00F305A4" w:rsidRDefault="00B62643"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lin</w:t>
            </w:r>
            <w:r w:rsidR="00D43B76" w:rsidRPr="00F305A4">
              <w:rPr>
                <w:rFonts w:ascii="Times New Roman" w:hAnsi="Times New Roman" w:cs="Times New Roman"/>
                <w:sz w:val="20"/>
                <w:szCs w:val="20"/>
                <w:lang w:val="en-GB"/>
              </w:rPr>
              <w:t>e</w:t>
            </w:r>
          </w:p>
        </w:tc>
        <w:tc>
          <w:tcPr>
            <w:tcW w:w="3164" w:type="dxa"/>
            <w:vAlign w:val="center"/>
          </w:tcPr>
          <w:p w14:paraId="2EAFB23E" w14:textId="35CD8A3A"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INHGA</w:t>
            </w:r>
          </w:p>
        </w:tc>
      </w:tr>
      <w:tr w:rsidR="00D43B76" w:rsidRPr="00F305A4" w14:paraId="161C3976" w14:textId="77777777" w:rsidTr="008273E8">
        <w:trPr>
          <w:trHeight w:val="283"/>
          <w:jc w:val="center"/>
        </w:trPr>
        <w:tc>
          <w:tcPr>
            <w:tcW w:w="851" w:type="dxa"/>
            <w:vAlign w:val="center"/>
          </w:tcPr>
          <w:p w14:paraId="676D5C5F" w14:textId="28F0E035" w:rsidR="00D43B76" w:rsidRPr="00F305A4" w:rsidRDefault="008C2A10" w:rsidP="008C2A10">
            <w:pPr>
              <w:suppressAutoHyphens/>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8</w:t>
            </w:r>
          </w:p>
        </w:tc>
        <w:tc>
          <w:tcPr>
            <w:tcW w:w="2339" w:type="dxa"/>
            <w:vAlign w:val="center"/>
          </w:tcPr>
          <w:p w14:paraId="697D850C" w14:textId="21025E79"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Landuse</w:t>
            </w:r>
          </w:p>
        </w:tc>
        <w:tc>
          <w:tcPr>
            <w:tcW w:w="1470" w:type="dxa"/>
            <w:vAlign w:val="center"/>
          </w:tcPr>
          <w:p w14:paraId="0F6603B7" w14:textId="10B4D64A" w:rsidR="00D43B76" w:rsidRPr="00F305A4" w:rsidRDefault="00B62643"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vector</w:t>
            </w:r>
          </w:p>
        </w:tc>
        <w:tc>
          <w:tcPr>
            <w:tcW w:w="1301" w:type="dxa"/>
            <w:vAlign w:val="center"/>
          </w:tcPr>
          <w:p w14:paraId="57A93B9A" w14:textId="321509F1"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polygon</w:t>
            </w:r>
          </w:p>
        </w:tc>
        <w:tc>
          <w:tcPr>
            <w:tcW w:w="3164" w:type="dxa"/>
            <w:vAlign w:val="center"/>
          </w:tcPr>
          <w:p w14:paraId="12605EA9" w14:textId="77777777"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ICPA</w:t>
            </w:r>
          </w:p>
        </w:tc>
      </w:tr>
      <w:tr w:rsidR="00D43B76" w:rsidRPr="00F305A4" w14:paraId="44E227C8" w14:textId="77777777" w:rsidTr="008273E8">
        <w:trPr>
          <w:trHeight w:val="283"/>
          <w:jc w:val="center"/>
        </w:trPr>
        <w:tc>
          <w:tcPr>
            <w:tcW w:w="851" w:type="dxa"/>
            <w:vAlign w:val="center"/>
          </w:tcPr>
          <w:p w14:paraId="53D522F5" w14:textId="3BD62CD1" w:rsidR="00D43B76" w:rsidRPr="00F305A4" w:rsidRDefault="008C2A10" w:rsidP="008C2A10">
            <w:pPr>
              <w:suppressAutoHyphens/>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9</w:t>
            </w:r>
          </w:p>
        </w:tc>
        <w:tc>
          <w:tcPr>
            <w:tcW w:w="2339" w:type="dxa"/>
            <w:vAlign w:val="center"/>
          </w:tcPr>
          <w:p w14:paraId="61A9F605" w14:textId="6F6699AB"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DEM România</w:t>
            </w:r>
          </w:p>
        </w:tc>
        <w:tc>
          <w:tcPr>
            <w:tcW w:w="1470" w:type="dxa"/>
            <w:vAlign w:val="center"/>
          </w:tcPr>
          <w:p w14:paraId="504FFFBF" w14:textId="46DA0A64" w:rsidR="00D43B76" w:rsidRPr="00F305A4" w:rsidRDefault="00B62643"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raster</w:t>
            </w:r>
          </w:p>
        </w:tc>
        <w:tc>
          <w:tcPr>
            <w:tcW w:w="1301" w:type="dxa"/>
            <w:vAlign w:val="center"/>
          </w:tcPr>
          <w:p w14:paraId="28132BBD" w14:textId="435C656B" w:rsidR="00D43B76" w:rsidRPr="00F305A4" w:rsidRDefault="008C2A10"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w:t>
            </w:r>
          </w:p>
        </w:tc>
        <w:tc>
          <w:tcPr>
            <w:tcW w:w="3164" w:type="dxa"/>
            <w:vAlign w:val="center"/>
          </w:tcPr>
          <w:p w14:paraId="0281B3FA" w14:textId="55F7E223" w:rsidR="00D43B76" w:rsidRPr="00F305A4" w:rsidRDefault="00D43B76" w:rsidP="008C2A10">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Obtained from contour lines</w:t>
            </w:r>
          </w:p>
        </w:tc>
      </w:tr>
    </w:tbl>
    <w:p w14:paraId="65EE0C1E" w14:textId="77777777" w:rsidR="005C01FF" w:rsidRPr="005C01FF" w:rsidRDefault="005C01FF" w:rsidP="005C01FF">
      <w:pPr>
        <w:spacing w:after="0" w:line="240" w:lineRule="auto"/>
        <w:jc w:val="both"/>
        <w:rPr>
          <w:rFonts w:ascii="Times New Roman" w:hAnsi="Times New Roman" w:cs="Times New Roman"/>
          <w:lang w:val="en-GB" w:eastAsia="en-GB"/>
        </w:rPr>
      </w:pPr>
      <w:bookmarkStart w:id="13" w:name="_Toc221092410"/>
    </w:p>
    <w:p w14:paraId="12FA8685" w14:textId="77777777" w:rsidR="005C4E70" w:rsidRDefault="005C4E70" w:rsidP="008C2A10">
      <w:pPr>
        <w:pStyle w:val="Rn2"/>
        <w:rPr>
          <w:lang w:val="en-GB" w:eastAsia="en-GB"/>
        </w:rPr>
      </w:pPr>
    </w:p>
    <w:p w14:paraId="07EAC76D" w14:textId="6CDDC5CF" w:rsidR="0091007B" w:rsidRPr="00F305A4" w:rsidRDefault="0091007B" w:rsidP="008C2A10">
      <w:pPr>
        <w:pStyle w:val="Rn2"/>
        <w:rPr>
          <w:lang w:val="en-GB" w:eastAsia="en-GB"/>
        </w:rPr>
      </w:pPr>
      <w:r w:rsidRPr="00F305A4">
        <w:rPr>
          <w:lang w:val="en-GB" w:eastAsia="en-GB"/>
        </w:rPr>
        <w:lastRenderedPageBreak/>
        <w:t>2.3</w:t>
      </w:r>
      <w:r w:rsidR="008C2A10" w:rsidRPr="00F305A4">
        <w:rPr>
          <w:lang w:val="en-GB" w:eastAsia="en-GB"/>
        </w:rPr>
        <w:t>.</w:t>
      </w:r>
      <w:r w:rsidRPr="00F305A4">
        <w:rPr>
          <w:lang w:val="en-GB" w:eastAsia="en-GB"/>
        </w:rPr>
        <w:t xml:space="preserve"> Hydrographic and historical comparison</w:t>
      </w:r>
    </w:p>
    <w:p w14:paraId="2FBC0DE3" w14:textId="252ADDCC" w:rsidR="00B231C7" w:rsidRPr="00F305A4" w:rsidRDefault="00B231C7" w:rsidP="008800A0">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 xml:space="preserve">Historical hydrographic data were extracted exclusively from the </w:t>
      </w:r>
      <w:r w:rsidR="00D15048" w:rsidRPr="00F305A4">
        <w:rPr>
          <w:rFonts w:ascii="Times New Roman" w:eastAsia="Times New Roman" w:hAnsi="Times New Roman" w:cs="Times New Roman"/>
          <w:lang w:val="en-GB" w:eastAsia="en-GB"/>
        </w:rPr>
        <w:t>Romanian Master Plan Sheets</w:t>
      </w:r>
      <w:r w:rsidRPr="00F305A4">
        <w:rPr>
          <w:rFonts w:ascii="Times New Roman" w:eastAsia="Times New Roman" w:hAnsi="Times New Roman" w:cs="Times New Roman"/>
          <w:lang w:val="en-GB" w:eastAsia="en-GB"/>
        </w:rPr>
        <w:t>, which were produced between 1916 and 1959 at a spatial scale of 1:20.000. To minimize spatial distortions, these historical maps were georeferenced in QGIS using a second-order polynomial transformation based on distinct ground control points (GCPs), achieving a root-mean-square error (RMS</w:t>
      </w:r>
      <w:r w:rsidR="005C4E70">
        <w:rPr>
          <w:rFonts w:ascii="Times New Roman" w:eastAsia="Times New Roman" w:hAnsi="Times New Roman" w:cs="Times New Roman"/>
          <w:lang w:val="en-GB" w:eastAsia="en-GB"/>
        </w:rPr>
        <w:t>E</w:t>
      </w:r>
      <w:r w:rsidRPr="00F305A4">
        <w:rPr>
          <w:rFonts w:ascii="Times New Roman" w:eastAsia="Times New Roman" w:hAnsi="Times New Roman" w:cs="Times New Roman"/>
          <w:lang w:val="en-GB" w:eastAsia="en-GB"/>
        </w:rPr>
        <w:t xml:space="preserve">) of less than 12.5 meters. Potential uncertainties stemming from map generalization, paper shrinkage, georeferencing accuracy, and manual digitization procedures were meticulously evaluated. </w:t>
      </w:r>
    </w:p>
    <w:p w14:paraId="675EBB9C" w14:textId="68EBBE61" w:rsidR="005C1410" w:rsidRPr="00F305A4" w:rsidRDefault="005C1410" w:rsidP="008800A0">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To reduce operator-induced uncertainty, channel digitization was repeated independently and cross-checked against recent orthophotos and hydrographic layers. Estimated positional deviations remain below the spatial resolution threshold of the DEM and do not significantly affect basin-scale morphometric trends.</w:t>
      </w:r>
    </w:p>
    <w:p w14:paraId="54F162C2" w14:textId="3D84EE70" w:rsidR="0091007B" w:rsidRPr="00F305A4" w:rsidRDefault="00B231C7" w:rsidP="008800A0">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Consequently, during the interpretation of historical-to-present variations, it was acknowledged that the observed channel-length differences may derive both from genuine hydro-morphological adjustments (such as anthropogenically induced channel training or natural planform evolution) and from inherent cartographic errors or scale limitations.</w:t>
      </w:r>
    </w:p>
    <w:p w14:paraId="3EA91FB7" w14:textId="6095D732" w:rsidR="0091007B" w:rsidRPr="00F305A4" w:rsidRDefault="0091007B" w:rsidP="008C2A10">
      <w:pPr>
        <w:pStyle w:val="Rn2"/>
        <w:rPr>
          <w:lang w:val="en-GB" w:eastAsia="en-GB"/>
        </w:rPr>
      </w:pPr>
      <w:r w:rsidRPr="00F305A4">
        <w:rPr>
          <w:lang w:val="en-GB" w:eastAsia="en-GB"/>
        </w:rPr>
        <w:t>2.4</w:t>
      </w:r>
      <w:r w:rsidR="008C2A10" w:rsidRPr="00F305A4">
        <w:rPr>
          <w:lang w:val="en-GB" w:eastAsia="en-GB"/>
        </w:rPr>
        <w:t>.</w:t>
      </w:r>
      <w:r w:rsidRPr="00F305A4">
        <w:rPr>
          <w:lang w:val="en-GB" w:eastAsia="en-GB"/>
        </w:rPr>
        <w:t xml:space="preserve"> Engineering modelling and design</w:t>
      </w:r>
    </w:p>
    <w:p w14:paraId="79327B88" w14:textId="77777777" w:rsidR="0091007B" w:rsidRPr="00F305A4" w:rsidRDefault="0091007B" w:rsidP="008800A0">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Based on the geomorphological interpretation, areas prone to instability and erosion were identified, and appropriate river management measures were considered, including bank protection, torrent correction, and secondary channel regulation.</w:t>
      </w:r>
    </w:p>
    <w:p w14:paraId="20B9F842" w14:textId="77777777" w:rsidR="0091007B" w:rsidRPr="00F305A4" w:rsidRDefault="0091007B" w:rsidP="008800A0">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A gabion handling device was designed to support the implementation of stabilization works in steep and inaccessible sectors of the basin.</w:t>
      </w:r>
    </w:p>
    <w:p w14:paraId="16252E4F" w14:textId="4F77D14D" w:rsidR="0091007B" w:rsidRPr="00F305A4" w:rsidRDefault="0091007B" w:rsidP="008800A0">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The design and 3D modelling of the device were carried out using SolidWorks Premium 2021. The software enabled geometric construction, assembly verification, and mechanical compatibility assessment of structural components.</w:t>
      </w:r>
    </w:p>
    <w:p w14:paraId="17F7B88D" w14:textId="3D7AC5E2" w:rsidR="0091007B" w:rsidRPr="00F305A4" w:rsidRDefault="0091007B" w:rsidP="008C2A10">
      <w:pPr>
        <w:pStyle w:val="Rn2"/>
        <w:rPr>
          <w:lang w:val="en-GB" w:eastAsia="en-GB"/>
        </w:rPr>
      </w:pPr>
      <w:r w:rsidRPr="00F305A4">
        <w:rPr>
          <w:lang w:val="en-GB" w:eastAsia="en-GB"/>
        </w:rPr>
        <w:t>2.5</w:t>
      </w:r>
      <w:r w:rsidR="008C2A10" w:rsidRPr="00F305A4">
        <w:rPr>
          <w:lang w:val="en-GB" w:eastAsia="en-GB"/>
        </w:rPr>
        <w:t>.</w:t>
      </w:r>
      <w:r w:rsidRPr="00F305A4">
        <w:rPr>
          <w:lang w:val="en-GB" w:eastAsia="en-GB"/>
        </w:rPr>
        <w:t xml:space="preserve"> Structural simulation (FEA)</w:t>
      </w:r>
    </w:p>
    <w:p w14:paraId="156FB41F" w14:textId="425E8561" w:rsidR="0091007B" w:rsidRPr="00F305A4" w:rsidRDefault="0091007B" w:rsidP="008800A0">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Mechanical performance was evaluated using the finite element method (FEM) in the SolidWorks Simulation environment. The model was discretized using a finite element mesh, and boundary conditions were applied at the lifting attachment point.</w:t>
      </w:r>
      <w:r w:rsidR="00DC2DEF" w:rsidRPr="00F305A4">
        <w:rPr>
          <w:lang w:val="en-GB"/>
        </w:rPr>
        <w:t xml:space="preserve"> </w:t>
      </w:r>
      <w:r w:rsidR="00DC2DEF" w:rsidRPr="00F305A4">
        <w:rPr>
          <w:rFonts w:ascii="Times New Roman" w:eastAsia="Times New Roman" w:hAnsi="Times New Roman" w:cs="Times New Roman"/>
          <w:lang w:val="en-GB" w:eastAsia="en-GB"/>
        </w:rPr>
        <w:t>The applied load represents typical operational handling conditions for gabion elements in field stabilization works.</w:t>
      </w:r>
    </w:p>
    <w:p w14:paraId="795DB3E5" w14:textId="211DF7AD" w:rsidR="0091007B" w:rsidRPr="00F305A4" w:rsidRDefault="0091007B" w:rsidP="008800A0">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A representative load corresponding to a 2000 kg gabion (≈ 20</w:t>
      </w:r>
      <w:r w:rsidR="00534586" w:rsidRPr="00F305A4">
        <w:rPr>
          <w:rFonts w:ascii="Times New Roman" w:eastAsia="Times New Roman" w:hAnsi="Times New Roman" w:cs="Times New Roman"/>
          <w:lang w:val="en-GB" w:eastAsia="en-GB"/>
        </w:rPr>
        <w:t>.</w:t>
      </w:r>
      <w:r w:rsidRPr="00F305A4">
        <w:rPr>
          <w:rFonts w:ascii="Times New Roman" w:eastAsia="Times New Roman" w:hAnsi="Times New Roman" w:cs="Times New Roman"/>
          <w:lang w:val="en-GB" w:eastAsia="en-GB"/>
        </w:rPr>
        <w:t>000 N) was applied at the gripping arms.</w:t>
      </w:r>
    </w:p>
    <w:p w14:paraId="7085B84F" w14:textId="2C68E3B9" w:rsidR="0091007B" w:rsidRPr="00F305A4" w:rsidRDefault="0091007B" w:rsidP="008C2A10">
      <w:pPr>
        <w:pStyle w:val="Rn2"/>
        <w:rPr>
          <w:lang w:val="en-GB" w:eastAsia="en-GB"/>
        </w:rPr>
      </w:pPr>
      <w:r w:rsidRPr="00F305A4">
        <w:rPr>
          <w:lang w:val="en-GB" w:eastAsia="en-GB"/>
        </w:rPr>
        <w:t>2.6</w:t>
      </w:r>
      <w:r w:rsidR="008C2A10" w:rsidRPr="00F305A4">
        <w:rPr>
          <w:lang w:val="en-GB" w:eastAsia="en-GB"/>
        </w:rPr>
        <w:t>.</w:t>
      </w:r>
      <w:r w:rsidRPr="00F305A4">
        <w:rPr>
          <w:lang w:val="en-GB" w:eastAsia="en-GB"/>
        </w:rPr>
        <w:t xml:space="preserve"> Data processing and interpretation</w:t>
      </w:r>
    </w:p>
    <w:p w14:paraId="54FC95A6" w14:textId="77777777" w:rsidR="0091007B" w:rsidRPr="00F305A4" w:rsidRDefault="0091007B" w:rsidP="008800A0">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All spatial and numerical outputs were further processed and visualized using Microsoft Excel for graphical representation of morphometric parameters and temporal comparisons.</w:t>
      </w:r>
    </w:p>
    <w:p w14:paraId="6087CCF2" w14:textId="7E8248F5" w:rsidR="00477352" w:rsidRPr="00F305A4" w:rsidRDefault="0091007B" w:rsidP="008800A0">
      <w:pPr>
        <w:spacing w:after="0" w:line="240" w:lineRule="auto"/>
        <w:ind w:firstLine="284"/>
        <w:jc w:val="both"/>
        <w:rPr>
          <w:rFonts w:ascii="Times New Roman" w:eastAsia="Times New Roman" w:hAnsi="Times New Roman" w:cs="Times New Roman"/>
          <w:lang w:val="en-GB" w:eastAsia="en-GB"/>
        </w:rPr>
      </w:pPr>
      <w:r w:rsidRPr="00F305A4">
        <w:rPr>
          <w:rFonts w:ascii="Times New Roman" w:eastAsia="Times New Roman" w:hAnsi="Times New Roman" w:cs="Times New Roman"/>
          <w:lang w:val="en-GB" w:eastAsia="en-GB"/>
        </w:rPr>
        <w:t>The integration of GIS-based analysis with field observations and engineering modelling provided a</w:t>
      </w:r>
      <w:r w:rsidR="00F8497E">
        <w:rPr>
          <w:rFonts w:ascii="Times New Roman" w:eastAsia="Times New Roman" w:hAnsi="Times New Roman" w:cs="Times New Roman"/>
          <w:lang w:val="en-GB" w:eastAsia="en-GB"/>
        </w:rPr>
        <w:t> </w:t>
      </w:r>
      <w:r w:rsidRPr="00F305A4">
        <w:rPr>
          <w:rFonts w:ascii="Times New Roman" w:eastAsia="Times New Roman" w:hAnsi="Times New Roman" w:cs="Times New Roman"/>
          <w:lang w:val="en-GB" w:eastAsia="en-GB"/>
        </w:rPr>
        <w:t>comprehensive framework for evaluating channel dynamics and supporting river management strategies in the Bălăneasa Basin.</w:t>
      </w:r>
    </w:p>
    <w:p w14:paraId="016EC47C" w14:textId="4BAA727E" w:rsidR="00C565F1" w:rsidRPr="00F305A4" w:rsidRDefault="00C565F1" w:rsidP="008C2A10">
      <w:pPr>
        <w:pStyle w:val="Rn1"/>
        <w:rPr>
          <w:rFonts w:eastAsia="Times New Roman"/>
          <w:lang w:val="en-GB" w:eastAsia="en-GB"/>
        </w:rPr>
      </w:pPr>
      <w:r w:rsidRPr="00F305A4">
        <w:rPr>
          <w:lang w:val="en-GB" w:eastAsia="en-GB"/>
        </w:rPr>
        <w:t>3. Results</w:t>
      </w:r>
      <w:bookmarkEnd w:id="13"/>
    </w:p>
    <w:p w14:paraId="4D22AE7E" w14:textId="77777777" w:rsidR="00EA6EC0" w:rsidRPr="00F305A4" w:rsidRDefault="00EA6EC0" w:rsidP="008800A0">
      <w:pPr>
        <w:pStyle w:val="Nagwek2"/>
        <w:spacing w:before="120" w:after="120" w:line="240" w:lineRule="auto"/>
        <w:ind w:firstLine="284"/>
        <w:rPr>
          <w:rFonts w:ascii="Times New Roman" w:eastAsia="Times New Roman" w:hAnsi="Times New Roman" w:cs="Times New Roman"/>
          <w:b w:val="0"/>
          <w:bCs w:val="0"/>
          <w:color w:val="auto"/>
          <w:sz w:val="22"/>
          <w:szCs w:val="22"/>
          <w:lang w:val="en-GB" w:eastAsia="en-GB"/>
        </w:rPr>
      </w:pPr>
      <w:r w:rsidRPr="00F305A4">
        <w:rPr>
          <w:rFonts w:ascii="Times New Roman" w:eastAsia="Times New Roman" w:hAnsi="Times New Roman" w:cs="Times New Roman"/>
          <w:b w:val="0"/>
          <w:bCs w:val="0"/>
          <w:color w:val="auto"/>
          <w:sz w:val="22"/>
          <w:szCs w:val="22"/>
          <w:lang w:val="en-GB" w:eastAsia="en-GB"/>
        </w:rPr>
        <w:t>The following results summarize the morphometric characteristics, channel dynamics, infrastructure exposure, and engineering analyses conducted for the Bălăneasa River Basin.</w:t>
      </w:r>
    </w:p>
    <w:p w14:paraId="0B1BB774" w14:textId="13E1811B" w:rsidR="00666236" w:rsidRPr="00F305A4" w:rsidRDefault="00A07E21" w:rsidP="008C2A10">
      <w:pPr>
        <w:pStyle w:val="Rn2"/>
        <w:rPr>
          <w:lang w:val="en-GB"/>
        </w:rPr>
      </w:pPr>
      <w:r w:rsidRPr="00F305A4">
        <w:rPr>
          <w:lang w:val="en-GB"/>
        </w:rPr>
        <w:t xml:space="preserve">3.1. Channel Dynamics of the </w:t>
      </w:r>
      <w:proofErr w:type="spellStart"/>
      <w:r w:rsidRPr="00F305A4">
        <w:rPr>
          <w:lang w:val="en-GB"/>
        </w:rPr>
        <w:t>Bălăneasa</w:t>
      </w:r>
      <w:proofErr w:type="spellEnd"/>
      <w:r w:rsidRPr="00F305A4">
        <w:rPr>
          <w:lang w:val="en-GB"/>
        </w:rPr>
        <w:t xml:space="preserve"> River</w:t>
      </w:r>
    </w:p>
    <w:p w14:paraId="6BD1D0A2" w14:textId="788BA283" w:rsidR="00E64BB1" w:rsidRPr="005057C2" w:rsidRDefault="00E64BB1" w:rsidP="008800A0">
      <w:pPr>
        <w:spacing w:after="0" w:line="240" w:lineRule="auto"/>
        <w:ind w:firstLine="284"/>
        <w:jc w:val="both"/>
        <w:rPr>
          <w:rFonts w:ascii="Times New Roman" w:eastAsiaTheme="majorEastAsia" w:hAnsi="Times New Roman" w:cs="Times New Roman"/>
          <w:spacing w:val="-2"/>
          <w:lang w:val="en-GB"/>
        </w:rPr>
      </w:pPr>
      <w:r w:rsidRPr="005057C2">
        <w:rPr>
          <w:rFonts w:ascii="Times New Roman" w:eastAsiaTheme="majorEastAsia" w:hAnsi="Times New Roman" w:cs="Times New Roman"/>
          <w:spacing w:val="-2"/>
          <w:lang w:val="en-GB"/>
        </w:rPr>
        <w:t>The morphometric and geometric characteristics of the Bălăneasa River channel were analyzed to quantify longitudinal dynamics and identify spatial variations in channel stability.</w:t>
      </w:r>
    </w:p>
    <w:p w14:paraId="6B3DC5BE" w14:textId="77777777" w:rsidR="00E64BB1" w:rsidRPr="00F305A4" w:rsidRDefault="00E64BB1" w:rsidP="008800A0">
      <w:pPr>
        <w:spacing w:after="0" w:line="240" w:lineRule="auto"/>
        <w:ind w:firstLine="284"/>
        <w:jc w:val="both"/>
        <w:rPr>
          <w:rFonts w:ascii="Times New Roman" w:eastAsiaTheme="majorEastAsia" w:hAnsi="Times New Roman" w:cs="Times New Roman"/>
          <w:lang w:val="en-GB"/>
        </w:rPr>
      </w:pPr>
      <w:r w:rsidRPr="00F305A4">
        <w:rPr>
          <w:rFonts w:ascii="Times New Roman" w:eastAsiaTheme="majorEastAsia" w:hAnsi="Times New Roman" w:cs="Times New Roman"/>
          <w:lang w:val="en-GB"/>
        </w:rPr>
        <w:t>Key parameters include elevation at the upstream and downstream limits, channel slope, channel length (straight and sinuous), and sinuosity coefficient. Some of these parameters (elevation and straight-line distance) remain constant over time, while others (channel length and sinuosity) reflect channel dynamics and morphological adjustments.</w:t>
      </w:r>
    </w:p>
    <w:p w14:paraId="5F1B1D11" w14:textId="181F7BE4" w:rsidR="0049438D" w:rsidRPr="00F305A4" w:rsidRDefault="00E64BB1" w:rsidP="008800A0">
      <w:pPr>
        <w:spacing w:after="0" w:line="240" w:lineRule="auto"/>
        <w:ind w:firstLine="284"/>
        <w:jc w:val="both"/>
        <w:rPr>
          <w:rFonts w:ascii="Times New Roman" w:eastAsiaTheme="majorEastAsia" w:hAnsi="Times New Roman" w:cs="Times New Roman"/>
          <w:lang w:val="en-GB"/>
        </w:rPr>
      </w:pPr>
      <w:r w:rsidRPr="00F305A4">
        <w:rPr>
          <w:rFonts w:ascii="Times New Roman" w:eastAsiaTheme="majorEastAsia" w:hAnsi="Times New Roman" w:cs="Times New Roman"/>
          <w:lang w:val="en-GB"/>
        </w:rPr>
        <w:t xml:space="preserve">At the upstream boundary, the river enters the study area at 770 m </w:t>
      </w:r>
      <w:r w:rsidR="008C1CB6" w:rsidRPr="00F305A4">
        <w:rPr>
          <w:rFonts w:ascii="Times New Roman" w:eastAsiaTheme="majorEastAsia" w:hAnsi="Times New Roman" w:cs="Times New Roman"/>
          <w:lang w:val="en-GB"/>
        </w:rPr>
        <w:t>ASL</w:t>
      </w:r>
      <w:r w:rsidRPr="00F305A4">
        <w:rPr>
          <w:rFonts w:ascii="Times New Roman" w:eastAsiaTheme="majorEastAsia" w:hAnsi="Times New Roman" w:cs="Times New Roman"/>
          <w:lang w:val="en-GB"/>
        </w:rPr>
        <w:t xml:space="preserve">., while the downstream limit is located at 168 m </w:t>
      </w:r>
      <w:r w:rsidR="008C1CB6" w:rsidRPr="00F305A4">
        <w:rPr>
          <w:rFonts w:ascii="Times New Roman" w:eastAsiaTheme="majorEastAsia" w:hAnsi="Times New Roman" w:cs="Times New Roman"/>
          <w:lang w:val="en-GB"/>
        </w:rPr>
        <w:t>ASL</w:t>
      </w:r>
      <w:r w:rsidRPr="00F305A4">
        <w:rPr>
          <w:rFonts w:ascii="Times New Roman" w:eastAsiaTheme="majorEastAsia" w:hAnsi="Times New Roman" w:cs="Times New Roman"/>
          <w:lang w:val="en-GB"/>
        </w:rPr>
        <w:t>., resulting in a total elevation difference of 602 m (Table 2).</w:t>
      </w:r>
    </w:p>
    <w:p w14:paraId="171C5634" w14:textId="77777777" w:rsidR="008C2A10" w:rsidRPr="00F305A4" w:rsidRDefault="008C2A10" w:rsidP="008800A0">
      <w:pPr>
        <w:spacing w:after="0" w:line="240" w:lineRule="auto"/>
        <w:ind w:firstLine="284"/>
        <w:jc w:val="both"/>
        <w:rPr>
          <w:rFonts w:ascii="Times New Roman" w:eastAsiaTheme="majorEastAsia" w:hAnsi="Times New Roman" w:cs="Times New Roman"/>
          <w:lang w:val="en-GB"/>
        </w:rPr>
      </w:pPr>
    </w:p>
    <w:p w14:paraId="6692AAFF" w14:textId="77777777" w:rsidR="008273E8" w:rsidRDefault="008273E8">
      <w:pPr>
        <w:rPr>
          <w:rFonts w:ascii="Times New Roman" w:eastAsiaTheme="minorHAnsi" w:hAnsi="Times New Roman"/>
          <w:b/>
          <w:noProof w:val="0"/>
          <w:kern w:val="2"/>
          <w:sz w:val="20"/>
          <w:lang w:val="en-GB"/>
          <w14:ligatures w14:val="standardContextual"/>
        </w:rPr>
      </w:pPr>
      <w:r>
        <w:rPr>
          <w:b/>
          <w:lang w:val="en-GB"/>
        </w:rPr>
        <w:br w:type="page"/>
      </w:r>
    </w:p>
    <w:p w14:paraId="7EEC42BE" w14:textId="3611DE87" w:rsidR="000F64CE" w:rsidRPr="00F305A4" w:rsidRDefault="006274D7" w:rsidP="008C2A10">
      <w:pPr>
        <w:pStyle w:val="Rtab"/>
        <w:rPr>
          <w:lang w:val="en-GB"/>
        </w:rPr>
      </w:pPr>
      <w:r w:rsidRPr="00F305A4">
        <w:rPr>
          <w:b/>
          <w:lang w:val="en-GB"/>
        </w:rPr>
        <w:lastRenderedPageBreak/>
        <w:t xml:space="preserve">Table </w:t>
      </w:r>
      <w:r w:rsidR="000F64CE" w:rsidRPr="00F305A4">
        <w:rPr>
          <w:b/>
          <w:lang w:val="en-GB"/>
        </w:rPr>
        <w:t>2.</w:t>
      </w:r>
      <w:r w:rsidRPr="00F305A4">
        <w:rPr>
          <w:lang w:val="en-GB"/>
        </w:rPr>
        <w:t xml:space="preserve"> General Parameters in the </w:t>
      </w:r>
      <w:r w:rsidR="00D15048" w:rsidRPr="00F305A4">
        <w:rPr>
          <w:lang w:val="en-GB"/>
        </w:rPr>
        <w:t xml:space="preserve">Romanian Master Plan Sheets </w:t>
      </w:r>
      <w:r w:rsidR="00B5613D" w:rsidRPr="00F305A4">
        <w:rPr>
          <w:lang w:val="en-GB"/>
        </w:rPr>
        <w:t>(mid-20th century</w:t>
      </w:r>
      <w:r w:rsidR="00230903" w:rsidRPr="00F305A4">
        <w:rPr>
          <w:lang w:val="en-GB"/>
        </w:rPr>
        <w:t>)</w:t>
      </w:r>
    </w:p>
    <w:tbl>
      <w:tblPr>
        <w:tblStyle w:val="Tabela-Siatka"/>
        <w:tblW w:w="9214" w:type="dxa"/>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570"/>
        <w:gridCol w:w="2974"/>
        <w:gridCol w:w="1984"/>
        <w:gridCol w:w="3686"/>
      </w:tblGrid>
      <w:tr w:rsidR="000F64CE" w:rsidRPr="00F305A4" w14:paraId="51B9BF41" w14:textId="77777777" w:rsidTr="0087055B">
        <w:trPr>
          <w:trHeight w:val="397"/>
        </w:trPr>
        <w:tc>
          <w:tcPr>
            <w:tcW w:w="570" w:type="dxa"/>
            <w:vAlign w:val="center"/>
          </w:tcPr>
          <w:p w14:paraId="2D780B0A" w14:textId="31CCD6EC" w:rsidR="000F64CE" w:rsidRPr="00F305A4" w:rsidRDefault="000F64CE" w:rsidP="008C2A10">
            <w:pPr>
              <w:pStyle w:val="Default"/>
              <w:jc w:val="center"/>
              <w:rPr>
                <w:noProof/>
                <w:color w:val="auto"/>
                <w:sz w:val="20"/>
                <w:szCs w:val="20"/>
              </w:rPr>
            </w:pPr>
            <w:r w:rsidRPr="00F305A4">
              <w:rPr>
                <w:noProof/>
                <w:color w:val="auto"/>
                <w:sz w:val="20"/>
                <w:szCs w:val="20"/>
              </w:rPr>
              <w:t>N</w:t>
            </w:r>
            <w:r w:rsidR="006274D7" w:rsidRPr="00F305A4">
              <w:rPr>
                <w:noProof/>
                <w:color w:val="auto"/>
                <w:sz w:val="20"/>
                <w:szCs w:val="20"/>
              </w:rPr>
              <w:t>o.</w:t>
            </w:r>
          </w:p>
        </w:tc>
        <w:tc>
          <w:tcPr>
            <w:tcW w:w="2974" w:type="dxa"/>
            <w:vAlign w:val="center"/>
          </w:tcPr>
          <w:p w14:paraId="714C4164" w14:textId="1CE1F3DE" w:rsidR="000F64CE" w:rsidRPr="00F305A4" w:rsidRDefault="006274D7" w:rsidP="008C2A10">
            <w:pPr>
              <w:pStyle w:val="Default"/>
              <w:jc w:val="center"/>
              <w:rPr>
                <w:noProof/>
                <w:color w:val="auto"/>
                <w:sz w:val="20"/>
                <w:szCs w:val="20"/>
              </w:rPr>
            </w:pPr>
            <w:r w:rsidRPr="00F305A4">
              <w:rPr>
                <w:noProof/>
                <w:color w:val="auto"/>
                <w:sz w:val="20"/>
                <w:szCs w:val="20"/>
              </w:rPr>
              <w:t>Analysis Item</w:t>
            </w:r>
          </w:p>
        </w:tc>
        <w:tc>
          <w:tcPr>
            <w:tcW w:w="1984" w:type="dxa"/>
            <w:vAlign w:val="center"/>
          </w:tcPr>
          <w:p w14:paraId="15759377" w14:textId="602C63CF" w:rsidR="000F64CE" w:rsidRPr="00F305A4" w:rsidRDefault="000F64CE" w:rsidP="008C2A10">
            <w:pPr>
              <w:pStyle w:val="Default"/>
              <w:jc w:val="center"/>
              <w:rPr>
                <w:noProof/>
                <w:color w:val="auto"/>
                <w:sz w:val="20"/>
                <w:szCs w:val="20"/>
              </w:rPr>
            </w:pPr>
            <w:r w:rsidRPr="00F305A4">
              <w:rPr>
                <w:noProof/>
                <w:color w:val="auto"/>
                <w:sz w:val="20"/>
                <w:szCs w:val="20"/>
              </w:rPr>
              <w:t>Unit of Measurement</w:t>
            </w:r>
          </w:p>
        </w:tc>
        <w:tc>
          <w:tcPr>
            <w:tcW w:w="3686" w:type="dxa"/>
            <w:vAlign w:val="center"/>
          </w:tcPr>
          <w:p w14:paraId="5AA6F2B4" w14:textId="31B7BF0C" w:rsidR="000F64CE" w:rsidRPr="00F305A4" w:rsidRDefault="000F64CE" w:rsidP="008C2A10">
            <w:pPr>
              <w:pStyle w:val="Default"/>
              <w:jc w:val="center"/>
              <w:rPr>
                <w:noProof/>
                <w:color w:val="auto"/>
                <w:sz w:val="20"/>
                <w:szCs w:val="20"/>
              </w:rPr>
            </w:pPr>
            <w:r w:rsidRPr="00F305A4">
              <w:rPr>
                <w:noProof/>
                <w:color w:val="auto"/>
                <w:sz w:val="20"/>
                <w:szCs w:val="20"/>
              </w:rPr>
              <w:t>Value (</w:t>
            </w:r>
            <w:r w:rsidR="00D15048" w:rsidRPr="00F305A4">
              <w:rPr>
                <w:noProof/>
                <w:color w:val="auto"/>
                <w:sz w:val="20"/>
                <w:szCs w:val="20"/>
              </w:rPr>
              <w:t>Romanian Master Plan Sheets</w:t>
            </w:r>
            <w:r w:rsidR="00615381" w:rsidRPr="00F305A4">
              <w:rPr>
                <w:noProof/>
                <w:color w:val="auto"/>
                <w:sz w:val="20"/>
                <w:szCs w:val="20"/>
              </w:rPr>
              <w:t>)</w:t>
            </w:r>
          </w:p>
        </w:tc>
      </w:tr>
      <w:tr w:rsidR="000F64CE" w:rsidRPr="00F305A4" w14:paraId="292A871A" w14:textId="77777777" w:rsidTr="0087055B">
        <w:trPr>
          <w:trHeight w:val="283"/>
        </w:trPr>
        <w:tc>
          <w:tcPr>
            <w:tcW w:w="570" w:type="dxa"/>
            <w:vAlign w:val="center"/>
          </w:tcPr>
          <w:p w14:paraId="5DEAEE9D" w14:textId="7E3891FB" w:rsidR="000F64CE" w:rsidRPr="00F305A4" w:rsidRDefault="008C2A10" w:rsidP="008C2A10">
            <w:pPr>
              <w:pStyle w:val="Default"/>
              <w:jc w:val="center"/>
              <w:rPr>
                <w:noProof/>
                <w:color w:val="auto"/>
                <w:sz w:val="20"/>
                <w:szCs w:val="20"/>
              </w:rPr>
            </w:pPr>
            <w:bookmarkStart w:id="14" w:name="_Hlk221187315"/>
            <w:r w:rsidRPr="00F305A4">
              <w:rPr>
                <w:noProof/>
                <w:color w:val="auto"/>
                <w:sz w:val="20"/>
                <w:szCs w:val="20"/>
              </w:rPr>
              <w:t>1</w:t>
            </w:r>
          </w:p>
        </w:tc>
        <w:tc>
          <w:tcPr>
            <w:tcW w:w="2974" w:type="dxa"/>
            <w:vAlign w:val="center"/>
          </w:tcPr>
          <w:p w14:paraId="18D0DA40" w14:textId="5715AAA1" w:rsidR="000F64CE" w:rsidRPr="00F305A4" w:rsidRDefault="000F64CE" w:rsidP="008C2A10">
            <w:pPr>
              <w:pStyle w:val="Default"/>
              <w:jc w:val="center"/>
              <w:rPr>
                <w:noProof/>
                <w:color w:val="auto"/>
                <w:sz w:val="20"/>
                <w:szCs w:val="20"/>
              </w:rPr>
            </w:pPr>
            <w:r w:rsidRPr="00F305A4">
              <w:rPr>
                <w:noProof/>
                <w:sz w:val="20"/>
                <w:szCs w:val="20"/>
              </w:rPr>
              <w:t>Quota A</w:t>
            </w:r>
          </w:p>
        </w:tc>
        <w:tc>
          <w:tcPr>
            <w:tcW w:w="1984" w:type="dxa"/>
            <w:vAlign w:val="center"/>
          </w:tcPr>
          <w:p w14:paraId="1F517B3B" w14:textId="77777777" w:rsidR="000F64CE" w:rsidRPr="00F305A4" w:rsidRDefault="000F64CE" w:rsidP="008C2A10">
            <w:pPr>
              <w:pStyle w:val="Default"/>
              <w:jc w:val="center"/>
              <w:rPr>
                <w:noProof/>
                <w:color w:val="auto"/>
                <w:sz w:val="20"/>
                <w:szCs w:val="20"/>
              </w:rPr>
            </w:pPr>
            <w:r w:rsidRPr="00F305A4">
              <w:rPr>
                <w:noProof/>
                <w:color w:val="auto"/>
                <w:sz w:val="20"/>
                <w:szCs w:val="20"/>
              </w:rPr>
              <w:t>m (ASL)</w:t>
            </w:r>
          </w:p>
        </w:tc>
        <w:tc>
          <w:tcPr>
            <w:tcW w:w="3686" w:type="dxa"/>
            <w:vAlign w:val="center"/>
          </w:tcPr>
          <w:p w14:paraId="13F13FD5" w14:textId="070B2442" w:rsidR="000F64CE" w:rsidRPr="00F305A4" w:rsidRDefault="00FF54CF" w:rsidP="008C2A10">
            <w:pPr>
              <w:pStyle w:val="Default"/>
              <w:jc w:val="center"/>
              <w:rPr>
                <w:noProof/>
                <w:color w:val="auto"/>
                <w:sz w:val="20"/>
                <w:szCs w:val="20"/>
              </w:rPr>
            </w:pPr>
            <w:r w:rsidRPr="00F305A4">
              <w:rPr>
                <w:noProof/>
                <w:sz w:val="20"/>
                <w:szCs w:val="20"/>
              </w:rPr>
              <w:t>770</w:t>
            </w:r>
          </w:p>
        </w:tc>
      </w:tr>
      <w:tr w:rsidR="000F64CE" w:rsidRPr="00F305A4" w14:paraId="5AE34C33" w14:textId="77777777" w:rsidTr="0087055B">
        <w:trPr>
          <w:trHeight w:val="283"/>
        </w:trPr>
        <w:tc>
          <w:tcPr>
            <w:tcW w:w="570" w:type="dxa"/>
            <w:vAlign w:val="center"/>
          </w:tcPr>
          <w:p w14:paraId="5F8DB72D" w14:textId="1628E875" w:rsidR="000F64CE" w:rsidRPr="00F305A4" w:rsidRDefault="008C2A10" w:rsidP="008C2A10">
            <w:pPr>
              <w:pStyle w:val="Default"/>
              <w:jc w:val="center"/>
              <w:rPr>
                <w:noProof/>
                <w:color w:val="auto"/>
                <w:sz w:val="20"/>
                <w:szCs w:val="20"/>
              </w:rPr>
            </w:pPr>
            <w:r w:rsidRPr="00F305A4">
              <w:rPr>
                <w:noProof/>
                <w:color w:val="auto"/>
                <w:sz w:val="20"/>
                <w:szCs w:val="20"/>
              </w:rPr>
              <w:t>2</w:t>
            </w:r>
          </w:p>
        </w:tc>
        <w:tc>
          <w:tcPr>
            <w:tcW w:w="2974" w:type="dxa"/>
            <w:vAlign w:val="center"/>
          </w:tcPr>
          <w:p w14:paraId="5AB9252B" w14:textId="48FBF895" w:rsidR="000F64CE" w:rsidRPr="00F305A4" w:rsidRDefault="000F64CE" w:rsidP="008C2A10">
            <w:pPr>
              <w:pStyle w:val="Default"/>
              <w:jc w:val="center"/>
              <w:rPr>
                <w:noProof/>
                <w:color w:val="auto"/>
                <w:sz w:val="20"/>
                <w:szCs w:val="20"/>
              </w:rPr>
            </w:pPr>
            <w:r w:rsidRPr="00F305A4">
              <w:rPr>
                <w:noProof/>
                <w:sz w:val="20"/>
                <w:szCs w:val="20"/>
              </w:rPr>
              <w:t>Quota B</w:t>
            </w:r>
          </w:p>
        </w:tc>
        <w:tc>
          <w:tcPr>
            <w:tcW w:w="1984" w:type="dxa"/>
            <w:vAlign w:val="center"/>
          </w:tcPr>
          <w:p w14:paraId="0BD3CB13" w14:textId="77777777" w:rsidR="000F64CE" w:rsidRPr="00F305A4" w:rsidRDefault="000F64CE" w:rsidP="008C2A10">
            <w:pPr>
              <w:pStyle w:val="Default"/>
              <w:jc w:val="center"/>
              <w:rPr>
                <w:noProof/>
                <w:color w:val="auto"/>
                <w:sz w:val="20"/>
                <w:szCs w:val="20"/>
              </w:rPr>
            </w:pPr>
            <w:r w:rsidRPr="00F305A4">
              <w:rPr>
                <w:noProof/>
                <w:color w:val="auto"/>
                <w:sz w:val="20"/>
                <w:szCs w:val="20"/>
              </w:rPr>
              <w:t>m (ASL)</w:t>
            </w:r>
          </w:p>
        </w:tc>
        <w:tc>
          <w:tcPr>
            <w:tcW w:w="3686" w:type="dxa"/>
            <w:vAlign w:val="center"/>
          </w:tcPr>
          <w:p w14:paraId="57225352" w14:textId="0B5615AD" w:rsidR="000F64CE" w:rsidRPr="00F305A4" w:rsidRDefault="000F64CE" w:rsidP="008C2A10">
            <w:pPr>
              <w:pStyle w:val="Default"/>
              <w:jc w:val="center"/>
              <w:rPr>
                <w:noProof/>
                <w:color w:val="auto"/>
                <w:sz w:val="20"/>
                <w:szCs w:val="20"/>
              </w:rPr>
            </w:pPr>
            <w:r w:rsidRPr="00F305A4">
              <w:rPr>
                <w:noProof/>
                <w:sz w:val="20"/>
                <w:szCs w:val="20"/>
              </w:rPr>
              <w:t>168</w:t>
            </w:r>
          </w:p>
        </w:tc>
      </w:tr>
      <w:tr w:rsidR="000F64CE" w:rsidRPr="00F305A4" w14:paraId="7767C517" w14:textId="77777777" w:rsidTr="0087055B">
        <w:trPr>
          <w:trHeight w:val="283"/>
        </w:trPr>
        <w:tc>
          <w:tcPr>
            <w:tcW w:w="570" w:type="dxa"/>
            <w:vAlign w:val="center"/>
          </w:tcPr>
          <w:p w14:paraId="5CEF3171" w14:textId="3A6A7E23" w:rsidR="000F64CE" w:rsidRPr="00F305A4" w:rsidRDefault="008C2A10" w:rsidP="008C2A10">
            <w:pPr>
              <w:pStyle w:val="Default"/>
              <w:jc w:val="center"/>
              <w:rPr>
                <w:noProof/>
                <w:color w:val="auto"/>
                <w:sz w:val="20"/>
                <w:szCs w:val="20"/>
              </w:rPr>
            </w:pPr>
            <w:r w:rsidRPr="00F305A4">
              <w:rPr>
                <w:noProof/>
                <w:color w:val="auto"/>
                <w:sz w:val="20"/>
                <w:szCs w:val="20"/>
              </w:rPr>
              <w:t>3</w:t>
            </w:r>
          </w:p>
        </w:tc>
        <w:tc>
          <w:tcPr>
            <w:tcW w:w="2974" w:type="dxa"/>
            <w:vAlign w:val="center"/>
          </w:tcPr>
          <w:p w14:paraId="5F48B1FC" w14:textId="110D8857" w:rsidR="000F64CE" w:rsidRPr="00F305A4" w:rsidRDefault="006274D7" w:rsidP="008C2A10">
            <w:pPr>
              <w:pStyle w:val="Default"/>
              <w:jc w:val="center"/>
              <w:rPr>
                <w:noProof/>
                <w:color w:val="auto"/>
                <w:sz w:val="20"/>
                <w:szCs w:val="20"/>
              </w:rPr>
            </w:pPr>
            <w:r w:rsidRPr="00F305A4">
              <w:rPr>
                <w:noProof/>
                <w:color w:val="auto"/>
                <w:sz w:val="20"/>
                <w:szCs w:val="20"/>
              </w:rPr>
              <w:t>Elevation difference</w:t>
            </w:r>
          </w:p>
        </w:tc>
        <w:tc>
          <w:tcPr>
            <w:tcW w:w="1984" w:type="dxa"/>
            <w:vAlign w:val="center"/>
          </w:tcPr>
          <w:p w14:paraId="02E10D02" w14:textId="77777777" w:rsidR="000F64CE" w:rsidRPr="00F305A4" w:rsidRDefault="000F64CE" w:rsidP="008C2A10">
            <w:pPr>
              <w:pStyle w:val="Default"/>
              <w:jc w:val="center"/>
              <w:rPr>
                <w:noProof/>
                <w:color w:val="auto"/>
                <w:sz w:val="20"/>
                <w:szCs w:val="20"/>
              </w:rPr>
            </w:pPr>
            <w:r w:rsidRPr="00F305A4">
              <w:rPr>
                <w:noProof/>
                <w:color w:val="auto"/>
                <w:sz w:val="20"/>
                <w:szCs w:val="20"/>
              </w:rPr>
              <w:t>m</w:t>
            </w:r>
          </w:p>
        </w:tc>
        <w:tc>
          <w:tcPr>
            <w:tcW w:w="3686" w:type="dxa"/>
            <w:vAlign w:val="center"/>
          </w:tcPr>
          <w:p w14:paraId="0EBCADE4" w14:textId="735A6860" w:rsidR="000F64CE" w:rsidRPr="00F305A4" w:rsidRDefault="005100B8" w:rsidP="008C2A10">
            <w:pPr>
              <w:pStyle w:val="Default"/>
              <w:jc w:val="center"/>
              <w:rPr>
                <w:noProof/>
                <w:color w:val="auto"/>
                <w:sz w:val="20"/>
                <w:szCs w:val="20"/>
              </w:rPr>
            </w:pPr>
            <w:r w:rsidRPr="00F305A4">
              <w:rPr>
                <w:noProof/>
                <w:color w:val="auto"/>
                <w:sz w:val="20"/>
                <w:szCs w:val="20"/>
              </w:rPr>
              <w:t>602</w:t>
            </w:r>
          </w:p>
        </w:tc>
      </w:tr>
      <w:tr w:rsidR="000F64CE" w:rsidRPr="00F305A4" w14:paraId="77B09D7B" w14:textId="77777777" w:rsidTr="0087055B">
        <w:trPr>
          <w:trHeight w:val="283"/>
        </w:trPr>
        <w:tc>
          <w:tcPr>
            <w:tcW w:w="570" w:type="dxa"/>
            <w:vAlign w:val="center"/>
          </w:tcPr>
          <w:p w14:paraId="6300FC37" w14:textId="2275CFF2" w:rsidR="000F64CE" w:rsidRPr="00F305A4" w:rsidRDefault="008C2A10" w:rsidP="008C2A10">
            <w:pPr>
              <w:pStyle w:val="Default"/>
              <w:jc w:val="center"/>
              <w:rPr>
                <w:noProof/>
                <w:color w:val="auto"/>
                <w:sz w:val="20"/>
                <w:szCs w:val="20"/>
              </w:rPr>
            </w:pPr>
            <w:r w:rsidRPr="00F305A4">
              <w:rPr>
                <w:noProof/>
                <w:color w:val="auto"/>
                <w:sz w:val="20"/>
                <w:szCs w:val="20"/>
              </w:rPr>
              <w:t>4</w:t>
            </w:r>
          </w:p>
        </w:tc>
        <w:tc>
          <w:tcPr>
            <w:tcW w:w="2974" w:type="dxa"/>
            <w:vAlign w:val="center"/>
          </w:tcPr>
          <w:p w14:paraId="37D8A35F" w14:textId="704013F6" w:rsidR="000F64CE" w:rsidRPr="00F305A4" w:rsidRDefault="006274D7" w:rsidP="008C2A10">
            <w:pPr>
              <w:pStyle w:val="Default"/>
              <w:jc w:val="center"/>
              <w:rPr>
                <w:noProof/>
                <w:color w:val="auto"/>
                <w:sz w:val="20"/>
                <w:szCs w:val="20"/>
              </w:rPr>
            </w:pPr>
            <w:r w:rsidRPr="00F305A4">
              <w:rPr>
                <w:noProof/>
                <w:color w:val="auto"/>
                <w:sz w:val="20"/>
                <w:szCs w:val="20"/>
              </w:rPr>
              <w:t>Straight-line length</w:t>
            </w:r>
          </w:p>
        </w:tc>
        <w:tc>
          <w:tcPr>
            <w:tcW w:w="1984" w:type="dxa"/>
            <w:vAlign w:val="center"/>
          </w:tcPr>
          <w:p w14:paraId="0D0041BE" w14:textId="77777777" w:rsidR="000F64CE" w:rsidRPr="00F305A4" w:rsidRDefault="000F64CE" w:rsidP="008C2A10">
            <w:pPr>
              <w:pStyle w:val="Default"/>
              <w:jc w:val="center"/>
              <w:rPr>
                <w:noProof/>
                <w:color w:val="auto"/>
                <w:sz w:val="20"/>
                <w:szCs w:val="20"/>
              </w:rPr>
            </w:pPr>
            <w:r w:rsidRPr="00F305A4">
              <w:rPr>
                <w:noProof/>
                <w:color w:val="auto"/>
                <w:sz w:val="20"/>
                <w:szCs w:val="20"/>
              </w:rPr>
              <w:t>m</w:t>
            </w:r>
          </w:p>
        </w:tc>
        <w:tc>
          <w:tcPr>
            <w:tcW w:w="3686" w:type="dxa"/>
            <w:vAlign w:val="center"/>
          </w:tcPr>
          <w:p w14:paraId="5DE6BB69" w14:textId="008A4FB7" w:rsidR="000F64CE" w:rsidRPr="00F305A4" w:rsidRDefault="000F64CE" w:rsidP="008C2A10">
            <w:pPr>
              <w:pStyle w:val="Default"/>
              <w:jc w:val="center"/>
              <w:rPr>
                <w:noProof/>
                <w:color w:val="auto"/>
                <w:sz w:val="20"/>
                <w:szCs w:val="20"/>
              </w:rPr>
            </w:pPr>
            <w:r w:rsidRPr="00F305A4">
              <w:rPr>
                <w:noProof/>
                <w:color w:val="auto"/>
                <w:sz w:val="20"/>
                <w:szCs w:val="20"/>
              </w:rPr>
              <w:t>3</w:t>
            </w:r>
            <w:r w:rsidR="001564DD" w:rsidRPr="00F305A4">
              <w:rPr>
                <w:noProof/>
                <w:color w:val="auto"/>
                <w:sz w:val="20"/>
                <w:szCs w:val="20"/>
              </w:rPr>
              <w:t>1</w:t>
            </w:r>
            <w:r w:rsidRPr="00F305A4">
              <w:rPr>
                <w:noProof/>
                <w:color w:val="auto"/>
                <w:sz w:val="20"/>
                <w:szCs w:val="20"/>
              </w:rPr>
              <w:t>000</w:t>
            </w:r>
          </w:p>
        </w:tc>
      </w:tr>
      <w:tr w:rsidR="000F64CE" w:rsidRPr="00F305A4" w14:paraId="2AA3E8E9" w14:textId="77777777" w:rsidTr="0087055B">
        <w:trPr>
          <w:trHeight w:val="283"/>
        </w:trPr>
        <w:tc>
          <w:tcPr>
            <w:tcW w:w="570" w:type="dxa"/>
            <w:vAlign w:val="center"/>
          </w:tcPr>
          <w:p w14:paraId="4D967EEE" w14:textId="1CB7387B" w:rsidR="000F64CE" w:rsidRPr="00F305A4" w:rsidRDefault="008C2A10" w:rsidP="008C2A10">
            <w:pPr>
              <w:pStyle w:val="Default"/>
              <w:jc w:val="center"/>
              <w:rPr>
                <w:noProof/>
                <w:color w:val="auto"/>
                <w:sz w:val="20"/>
                <w:szCs w:val="20"/>
              </w:rPr>
            </w:pPr>
            <w:r w:rsidRPr="00F305A4">
              <w:rPr>
                <w:noProof/>
                <w:color w:val="auto"/>
                <w:sz w:val="20"/>
                <w:szCs w:val="20"/>
              </w:rPr>
              <w:t>5</w:t>
            </w:r>
          </w:p>
        </w:tc>
        <w:tc>
          <w:tcPr>
            <w:tcW w:w="2974" w:type="dxa"/>
            <w:vAlign w:val="center"/>
          </w:tcPr>
          <w:p w14:paraId="2190450F" w14:textId="3E533880" w:rsidR="000F64CE" w:rsidRPr="00F305A4" w:rsidRDefault="006274D7" w:rsidP="008C2A10">
            <w:pPr>
              <w:pStyle w:val="Default"/>
              <w:jc w:val="center"/>
              <w:rPr>
                <w:noProof/>
                <w:color w:val="auto"/>
                <w:sz w:val="20"/>
                <w:szCs w:val="20"/>
              </w:rPr>
            </w:pPr>
            <w:r w:rsidRPr="00F305A4">
              <w:rPr>
                <w:noProof/>
                <w:color w:val="auto"/>
                <w:sz w:val="20"/>
                <w:szCs w:val="20"/>
              </w:rPr>
              <w:t>Sinuous length (Channel length)</w:t>
            </w:r>
          </w:p>
        </w:tc>
        <w:tc>
          <w:tcPr>
            <w:tcW w:w="1984" w:type="dxa"/>
            <w:vAlign w:val="center"/>
          </w:tcPr>
          <w:p w14:paraId="36B606B3" w14:textId="77777777" w:rsidR="000F64CE" w:rsidRPr="00F305A4" w:rsidRDefault="000F64CE" w:rsidP="008C2A10">
            <w:pPr>
              <w:pStyle w:val="Default"/>
              <w:jc w:val="center"/>
              <w:rPr>
                <w:noProof/>
                <w:color w:val="auto"/>
                <w:sz w:val="20"/>
                <w:szCs w:val="20"/>
              </w:rPr>
            </w:pPr>
            <w:r w:rsidRPr="00F305A4">
              <w:rPr>
                <w:noProof/>
                <w:color w:val="auto"/>
                <w:sz w:val="20"/>
                <w:szCs w:val="20"/>
              </w:rPr>
              <w:t>m</w:t>
            </w:r>
          </w:p>
        </w:tc>
        <w:tc>
          <w:tcPr>
            <w:tcW w:w="3686" w:type="dxa"/>
            <w:vAlign w:val="center"/>
          </w:tcPr>
          <w:p w14:paraId="002BC7FD" w14:textId="110AC584" w:rsidR="000F64CE" w:rsidRPr="00F305A4" w:rsidRDefault="000F64CE" w:rsidP="008C2A10">
            <w:pPr>
              <w:pStyle w:val="Default"/>
              <w:jc w:val="center"/>
              <w:rPr>
                <w:noProof/>
                <w:color w:val="auto"/>
                <w:sz w:val="20"/>
                <w:szCs w:val="20"/>
              </w:rPr>
            </w:pPr>
            <w:r w:rsidRPr="00F305A4">
              <w:rPr>
                <w:noProof/>
                <w:color w:val="auto"/>
                <w:sz w:val="20"/>
                <w:szCs w:val="20"/>
              </w:rPr>
              <w:t>3</w:t>
            </w:r>
            <w:r w:rsidR="001564DD" w:rsidRPr="00F305A4">
              <w:rPr>
                <w:noProof/>
                <w:color w:val="auto"/>
                <w:sz w:val="20"/>
                <w:szCs w:val="20"/>
              </w:rPr>
              <w:t>3</w:t>
            </w:r>
            <w:r w:rsidRPr="00F305A4">
              <w:rPr>
                <w:noProof/>
                <w:color w:val="auto"/>
                <w:sz w:val="20"/>
                <w:szCs w:val="20"/>
              </w:rPr>
              <w:t>000</w:t>
            </w:r>
          </w:p>
        </w:tc>
      </w:tr>
      <w:tr w:rsidR="000F64CE" w:rsidRPr="00F305A4" w14:paraId="4014C815" w14:textId="77777777" w:rsidTr="0087055B">
        <w:trPr>
          <w:trHeight w:val="283"/>
        </w:trPr>
        <w:tc>
          <w:tcPr>
            <w:tcW w:w="570" w:type="dxa"/>
            <w:vAlign w:val="center"/>
          </w:tcPr>
          <w:p w14:paraId="6D2B0EBB" w14:textId="3BFE77B0" w:rsidR="000F64CE" w:rsidRPr="00F305A4" w:rsidRDefault="008C2A10" w:rsidP="008C2A10">
            <w:pPr>
              <w:pStyle w:val="Default"/>
              <w:jc w:val="center"/>
              <w:rPr>
                <w:noProof/>
                <w:color w:val="auto"/>
                <w:sz w:val="20"/>
                <w:szCs w:val="20"/>
              </w:rPr>
            </w:pPr>
            <w:r w:rsidRPr="00F305A4">
              <w:rPr>
                <w:noProof/>
                <w:color w:val="auto"/>
                <w:sz w:val="20"/>
                <w:szCs w:val="20"/>
              </w:rPr>
              <w:t>6</w:t>
            </w:r>
          </w:p>
        </w:tc>
        <w:tc>
          <w:tcPr>
            <w:tcW w:w="2974" w:type="dxa"/>
            <w:vAlign w:val="center"/>
          </w:tcPr>
          <w:p w14:paraId="27E10D3A" w14:textId="6787F084" w:rsidR="000F64CE" w:rsidRPr="00F305A4" w:rsidRDefault="006274D7" w:rsidP="008C2A10">
            <w:pPr>
              <w:pStyle w:val="Default"/>
              <w:jc w:val="center"/>
              <w:rPr>
                <w:noProof/>
                <w:color w:val="auto"/>
                <w:sz w:val="20"/>
                <w:szCs w:val="20"/>
              </w:rPr>
            </w:pPr>
            <w:r w:rsidRPr="00F305A4">
              <w:rPr>
                <w:noProof/>
                <w:color w:val="auto"/>
                <w:sz w:val="20"/>
                <w:szCs w:val="20"/>
              </w:rPr>
              <w:t>Sinuosity coefficient</w:t>
            </w:r>
          </w:p>
        </w:tc>
        <w:tc>
          <w:tcPr>
            <w:tcW w:w="1984" w:type="dxa"/>
            <w:vAlign w:val="center"/>
          </w:tcPr>
          <w:p w14:paraId="7FC5361E" w14:textId="77777777" w:rsidR="000F64CE" w:rsidRPr="00F305A4" w:rsidRDefault="000F64CE" w:rsidP="008C2A10">
            <w:pPr>
              <w:pStyle w:val="Default"/>
              <w:jc w:val="center"/>
              <w:rPr>
                <w:noProof/>
                <w:color w:val="auto"/>
                <w:sz w:val="20"/>
                <w:szCs w:val="20"/>
              </w:rPr>
            </w:pPr>
            <w:r w:rsidRPr="00F305A4">
              <w:rPr>
                <w:noProof/>
                <w:color w:val="auto"/>
                <w:sz w:val="20"/>
                <w:szCs w:val="20"/>
              </w:rPr>
              <w:t>n/a</w:t>
            </w:r>
          </w:p>
        </w:tc>
        <w:tc>
          <w:tcPr>
            <w:tcW w:w="3686" w:type="dxa"/>
            <w:vAlign w:val="center"/>
          </w:tcPr>
          <w:p w14:paraId="4BBA2B1D" w14:textId="63DB89D1" w:rsidR="000F64CE" w:rsidRPr="00F305A4" w:rsidRDefault="000F64CE" w:rsidP="008C2A10">
            <w:pPr>
              <w:pStyle w:val="Default"/>
              <w:jc w:val="center"/>
              <w:rPr>
                <w:noProof/>
                <w:color w:val="auto"/>
                <w:sz w:val="20"/>
                <w:szCs w:val="20"/>
              </w:rPr>
            </w:pPr>
            <w:r w:rsidRPr="00F305A4">
              <w:rPr>
                <w:noProof/>
                <w:color w:val="auto"/>
                <w:sz w:val="20"/>
                <w:szCs w:val="20"/>
              </w:rPr>
              <w:t>1.</w:t>
            </w:r>
            <w:r w:rsidR="001564DD" w:rsidRPr="00F305A4">
              <w:rPr>
                <w:noProof/>
                <w:color w:val="auto"/>
                <w:sz w:val="20"/>
                <w:szCs w:val="20"/>
              </w:rPr>
              <w:t>1</w:t>
            </w:r>
          </w:p>
        </w:tc>
      </w:tr>
      <w:tr w:rsidR="000F64CE" w:rsidRPr="00F305A4" w14:paraId="06624C60" w14:textId="77777777" w:rsidTr="0087055B">
        <w:trPr>
          <w:trHeight w:val="283"/>
        </w:trPr>
        <w:tc>
          <w:tcPr>
            <w:tcW w:w="570" w:type="dxa"/>
            <w:vAlign w:val="center"/>
          </w:tcPr>
          <w:p w14:paraId="784CB195" w14:textId="2C426CD6" w:rsidR="000F64CE" w:rsidRPr="00F305A4" w:rsidRDefault="008C2A10" w:rsidP="008C2A10">
            <w:pPr>
              <w:pStyle w:val="Default"/>
              <w:jc w:val="center"/>
              <w:rPr>
                <w:noProof/>
                <w:color w:val="auto"/>
                <w:sz w:val="20"/>
                <w:szCs w:val="20"/>
              </w:rPr>
            </w:pPr>
            <w:r w:rsidRPr="00F305A4">
              <w:rPr>
                <w:noProof/>
                <w:color w:val="auto"/>
                <w:sz w:val="20"/>
                <w:szCs w:val="20"/>
              </w:rPr>
              <w:t>7</w:t>
            </w:r>
          </w:p>
        </w:tc>
        <w:tc>
          <w:tcPr>
            <w:tcW w:w="2974" w:type="dxa"/>
            <w:vAlign w:val="center"/>
          </w:tcPr>
          <w:p w14:paraId="314586CF" w14:textId="386A0D0C" w:rsidR="000F64CE" w:rsidRPr="00F305A4" w:rsidRDefault="006274D7" w:rsidP="008C2A10">
            <w:pPr>
              <w:pStyle w:val="Default"/>
              <w:jc w:val="center"/>
              <w:rPr>
                <w:noProof/>
                <w:color w:val="auto"/>
                <w:sz w:val="20"/>
                <w:szCs w:val="20"/>
              </w:rPr>
            </w:pPr>
            <w:r w:rsidRPr="00F305A4">
              <w:rPr>
                <w:noProof/>
                <w:color w:val="auto"/>
                <w:sz w:val="20"/>
                <w:szCs w:val="20"/>
              </w:rPr>
              <w:t>River gradient (Slope)</w:t>
            </w:r>
          </w:p>
        </w:tc>
        <w:tc>
          <w:tcPr>
            <w:tcW w:w="1984" w:type="dxa"/>
            <w:vAlign w:val="center"/>
          </w:tcPr>
          <w:p w14:paraId="53517968" w14:textId="77777777" w:rsidR="000F64CE" w:rsidRPr="00F305A4" w:rsidRDefault="000F64CE" w:rsidP="008C2A10">
            <w:pPr>
              <w:pStyle w:val="Default"/>
              <w:jc w:val="center"/>
              <w:rPr>
                <w:noProof/>
                <w:color w:val="auto"/>
                <w:sz w:val="20"/>
                <w:szCs w:val="20"/>
              </w:rPr>
            </w:pPr>
            <w:r w:rsidRPr="00F305A4">
              <w:rPr>
                <w:noProof/>
                <w:color w:val="auto"/>
                <w:sz w:val="20"/>
                <w:szCs w:val="20"/>
              </w:rPr>
              <w:t>‰</w:t>
            </w:r>
          </w:p>
        </w:tc>
        <w:tc>
          <w:tcPr>
            <w:tcW w:w="3686" w:type="dxa"/>
            <w:vAlign w:val="center"/>
          </w:tcPr>
          <w:p w14:paraId="77AB6C2F" w14:textId="66E16096" w:rsidR="000F64CE" w:rsidRPr="00F305A4" w:rsidRDefault="00FF54CF" w:rsidP="008C2A10">
            <w:pPr>
              <w:pStyle w:val="Default"/>
              <w:jc w:val="center"/>
              <w:rPr>
                <w:noProof/>
                <w:color w:val="auto"/>
                <w:sz w:val="20"/>
                <w:szCs w:val="20"/>
              </w:rPr>
            </w:pPr>
            <w:r w:rsidRPr="00F305A4">
              <w:rPr>
                <w:noProof/>
                <w:sz w:val="20"/>
                <w:szCs w:val="20"/>
              </w:rPr>
              <w:t>18</w:t>
            </w:r>
            <w:r w:rsidR="00534586" w:rsidRPr="00F305A4">
              <w:rPr>
                <w:noProof/>
                <w:sz w:val="20"/>
                <w:szCs w:val="20"/>
              </w:rPr>
              <w:t>.</w:t>
            </w:r>
            <w:r w:rsidR="001564DD" w:rsidRPr="00F305A4">
              <w:rPr>
                <w:noProof/>
                <w:sz w:val="20"/>
                <w:szCs w:val="20"/>
              </w:rPr>
              <w:t>2</w:t>
            </w:r>
            <w:r w:rsidRPr="00F305A4">
              <w:rPr>
                <w:noProof/>
                <w:sz w:val="20"/>
                <w:szCs w:val="20"/>
              </w:rPr>
              <w:t>4</w:t>
            </w:r>
          </w:p>
        </w:tc>
      </w:tr>
    </w:tbl>
    <w:p w14:paraId="07D78E9D" w14:textId="77777777" w:rsidR="008C2A10" w:rsidRPr="00F305A4" w:rsidRDefault="008C2A10" w:rsidP="008800A0">
      <w:pPr>
        <w:pStyle w:val="Nagwek2"/>
        <w:spacing w:before="0" w:line="240" w:lineRule="auto"/>
        <w:ind w:firstLine="284"/>
        <w:jc w:val="both"/>
        <w:rPr>
          <w:rFonts w:ascii="Times New Roman" w:hAnsi="Times New Roman" w:cs="Times New Roman"/>
          <w:b w:val="0"/>
          <w:bCs w:val="0"/>
          <w:color w:val="auto"/>
          <w:sz w:val="22"/>
          <w:szCs w:val="22"/>
          <w:lang w:val="en-GB"/>
        </w:rPr>
      </w:pPr>
      <w:bookmarkStart w:id="15" w:name="_Toc221092412"/>
      <w:bookmarkEnd w:id="14"/>
    </w:p>
    <w:p w14:paraId="17C0B425" w14:textId="3499B593" w:rsidR="00E64BB1" w:rsidRPr="00F305A4" w:rsidRDefault="00E64BB1" w:rsidP="008800A0">
      <w:pPr>
        <w:pStyle w:val="Nagwek2"/>
        <w:spacing w:before="0" w:line="240" w:lineRule="auto"/>
        <w:ind w:firstLine="284"/>
        <w:jc w:val="both"/>
        <w:rPr>
          <w:rFonts w:ascii="Times New Roman" w:hAnsi="Times New Roman" w:cs="Times New Roman"/>
          <w:b w:val="0"/>
          <w:bCs w:val="0"/>
          <w:color w:val="auto"/>
          <w:sz w:val="22"/>
          <w:szCs w:val="22"/>
          <w:lang w:val="en-GB"/>
        </w:rPr>
      </w:pPr>
      <w:r w:rsidRPr="00F305A4">
        <w:rPr>
          <w:rFonts w:ascii="Times New Roman" w:hAnsi="Times New Roman" w:cs="Times New Roman"/>
          <w:b w:val="0"/>
          <w:bCs w:val="0"/>
          <w:color w:val="auto"/>
          <w:sz w:val="22"/>
          <w:szCs w:val="22"/>
          <w:lang w:val="en-GB"/>
        </w:rPr>
        <w:t xml:space="preserve">The straight-line </w:t>
      </w:r>
      <w:r w:rsidR="00371E29" w:rsidRPr="00F305A4">
        <w:rPr>
          <w:rFonts w:ascii="Times New Roman" w:hAnsi="Times New Roman" w:cs="Times New Roman"/>
          <w:b w:val="0"/>
          <w:bCs w:val="0"/>
          <w:color w:val="auto"/>
          <w:sz w:val="22"/>
          <w:szCs w:val="22"/>
          <w:lang w:val="en-GB"/>
        </w:rPr>
        <w:t>length</w:t>
      </w:r>
      <w:r w:rsidRPr="00F305A4">
        <w:rPr>
          <w:rFonts w:ascii="Times New Roman" w:hAnsi="Times New Roman" w:cs="Times New Roman"/>
          <w:b w:val="0"/>
          <w:bCs w:val="0"/>
          <w:color w:val="auto"/>
          <w:sz w:val="22"/>
          <w:szCs w:val="22"/>
          <w:lang w:val="en-GB"/>
        </w:rPr>
        <w:t xml:space="preserve"> of the river is 3</w:t>
      </w:r>
      <w:r w:rsidR="00FF54CF" w:rsidRPr="00F305A4">
        <w:rPr>
          <w:rFonts w:ascii="Times New Roman" w:hAnsi="Times New Roman" w:cs="Times New Roman"/>
          <w:b w:val="0"/>
          <w:bCs w:val="0"/>
          <w:color w:val="auto"/>
          <w:sz w:val="22"/>
          <w:szCs w:val="22"/>
          <w:lang w:val="en-GB"/>
        </w:rPr>
        <w:t>1</w:t>
      </w:r>
      <w:r w:rsidRPr="00F305A4">
        <w:rPr>
          <w:rFonts w:ascii="Times New Roman" w:hAnsi="Times New Roman" w:cs="Times New Roman"/>
          <w:b w:val="0"/>
          <w:bCs w:val="0"/>
          <w:color w:val="auto"/>
          <w:sz w:val="22"/>
          <w:szCs w:val="22"/>
          <w:lang w:val="en-GB"/>
        </w:rPr>
        <w:t xml:space="preserve"> km, while the channel length in the reference dataset is 3</w:t>
      </w:r>
      <w:r w:rsidR="00FF54CF" w:rsidRPr="00F305A4">
        <w:rPr>
          <w:rFonts w:ascii="Times New Roman" w:hAnsi="Times New Roman" w:cs="Times New Roman"/>
          <w:b w:val="0"/>
          <w:bCs w:val="0"/>
          <w:color w:val="auto"/>
          <w:sz w:val="22"/>
          <w:szCs w:val="22"/>
          <w:lang w:val="en-GB"/>
        </w:rPr>
        <w:t>3</w:t>
      </w:r>
      <w:r w:rsidRPr="00F305A4">
        <w:rPr>
          <w:rFonts w:ascii="Times New Roman" w:hAnsi="Times New Roman" w:cs="Times New Roman"/>
          <w:b w:val="0"/>
          <w:bCs w:val="0"/>
          <w:color w:val="auto"/>
          <w:sz w:val="22"/>
          <w:szCs w:val="22"/>
          <w:lang w:val="en-GB"/>
        </w:rPr>
        <w:t xml:space="preserve"> km, resulting in a sinuosity coefficient of 1.</w:t>
      </w:r>
      <w:r w:rsidR="005100B8" w:rsidRPr="00F305A4">
        <w:rPr>
          <w:rFonts w:ascii="Times New Roman" w:hAnsi="Times New Roman" w:cs="Times New Roman"/>
          <w:b w:val="0"/>
          <w:bCs w:val="0"/>
          <w:color w:val="auto"/>
          <w:sz w:val="22"/>
          <w:szCs w:val="22"/>
          <w:lang w:val="en-GB"/>
        </w:rPr>
        <w:t>1</w:t>
      </w:r>
      <w:r w:rsidRPr="00F305A4">
        <w:rPr>
          <w:rFonts w:ascii="Times New Roman" w:hAnsi="Times New Roman" w:cs="Times New Roman"/>
          <w:b w:val="0"/>
          <w:bCs w:val="0"/>
          <w:color w:val="auto"/>
          <w:sz w:val="22"/>
          <w:szCs w:val="22"/>
          <w:lang w:val="en-GB"/>
        </w:rPr>
        <w:t xml:space="preserve">. The mean channel slope is </w:t>
      </w:r>
      <w:r w:rsidR="005100B8" w:rsidRPr="00F305A4">
        <w:rPr>
          <w:rFonts w:ascii="Times New Roman" w:hAnsi="Times New Roman" w:cs="Times New Roman"/>
          <w:b w:val="0"/>
          <w:bCs w:val="0"/>
          <w:color w:val="auto"/>
          <w:sz w:val="22"/>
          <w:szCs w:val="22"/>
          <w:lang w:val="en-GB"/>
        </w:rPr>
        <w:t>18</w:t>
      </w:r>
      <w:r w:rsidRPr="00F305A4">
        <w:rPr>
          <w:rFonts w:ascii="Times New Roman" w:hAnsi="Times New Roman" w:cs="Times New Roman"/>
          <w:b w:val="0"/>
          <w:bCs w:val="0"/>
          <w:color w:val="auto"/>
          <w:sz w:val="22"/>
          <w:szCs w:val="22"/>
          <w:lang w:val="en-GB"/>
        </w:rPr>
        <w:t>.2</w:t>
      </w:r>
      <w:r w:rsidR="005100B8" w:rsidRPr="00F305A4">
        <w:rPr>
          <w:rFonts w:ascii="Times New Roman" w:hAnsi="Times New Roman" w:cs="Times New Roman"/>
          <w:b w:val="0"/>
          <w:bCs w:val="0"/>
          <w:color w:val="auto"/>
          <w:sz w:val="22"/>
          <w:szCs w:val="22"/>
          <w:lang w:val="en-GB"/>
        </w:rPr>
        <w:t>4</w:t>
      </w:r>
      <w:r w:rsidRPr="00F305A4">
        <w:rPr>
          <w:rFonts w:ascii="Times New Roman" w:hAnsi="Times New Roman" w:cs="Times New Roman"/>
          <w:b w:val="0"/>
          <w:bCs w:val="0"/>
          <w:color w:val="auto"/>
          <w:sz w:val="22"/>
          <w:szCs w:val="22"/>
          <w:lang w:val="en-GB"/>
        </w:rPr>
        <w:t>‰.</w:t>
      </w:r>
    </w:p>
    <w:p w14:paraId="59618D09" w14:textId="440BCCBC" w:rsidR="00816C8A" w:rsidRPr="00F305A4" w:rsidRDefault="00E64BB1" w:rsidP="008800A0">
      <w:pPr>
        <w:pStyle w:val="Nagwek2"/>
        <w:spacing w:before="0" w:line="240" w:lineRule="auto"/>
        <w:ind w:firstLine="284"/>
        <w:jc w:val="both"/>
        <w:rPr>
          <w:rFonts w:ascii="Times New Roman" w:hAnsi="Times New Roman" w:cs="Times New Roman"/>
          <w:b w:val="0"/>
          <w:bCs w:val="0"/>
          <w:color w:val="auto"/>
          <w:sz w:val="22"/>
          <w:szCs w:val="22"/>
          <w:lang w:val="en-GB"/>
        </w:rPr>
      </w:pPr>
      <w:r w:rsidRPr="00F305A4">
        <w:rPr>
          <w:rFonts w:ascii="Times New Roman" w:hAnsi="Times New Roman" w:cs="Times New Roman"/>
          <w:b w:val="0"/>
          <w:bCs w:val="0"/>
          <w:color w:val="auto"/>
          <w:sz w:val="22"/>
          <w:szCs w:val="22"/>
          <w:lang w:val="en-GB"/>
        </w:rPr>
        <w:t xml:space="preserve">For the year 2025, the parameter values have not changed substantially compared to those in the </w:t>
      </w:r>
      <w:r w:rsidR="00D15048" w:rsidRPr="00F305A4">
        <w:rPr>
          <w:rFonts w:ascii="Times New Roman" w:hAnsi="Times New Roman" w:cs="Times New Roman"/>
          <w:b w:val="0"/>
          <w:bCs w:val="0"/>
          <w:color w:val="auto"/>
          <w:sz w:val="22"/>
          <w:szCs w:val="22"/>
          <w:lang w:val="en-GB"/>
        </w:rPr>
        <w:t>Romanian Master Plan Sheets</w:t>
      </w:r>
      <w:r w:rsidR="005B23D9" w:rsidRPr="00F305A4">
        <w:rPr>
          <w:rFonts w:ascii="Times New Roman" w:hAnsi="Times New Roman" w:cs="Times New Roman"/>
          <w:b w:val="0"/>
          <w:bCs w:val="0"/>
          <w:color w:val="auto"/>
          <w:sz w:val="22"/>
          <w:szCs w:val="22"/>
          <w:lang w:val="en-GB"/>
        </w:rPr>
        <w:t xml:space="preserve"> (mid-20th century)</w:t>
      </w:r>
      <w:r w:rsidRPr="00F305A4">
        <w:rPr>
          <w:rFonts w:ascii="Times New Roman" w:hAnsi="Times New Roman" w:cs="Times New Roman"/>
          <w:b w:val="0"/>
          <w:bCs w:val="0"/>
          <w:color w:val="auto"/>
          <w:sz w:val="22"/>
          <w:szCs w:val="22"/>
          <w:lang w:val="en-GB"/>
        </w:rPr>
        <w:t xml:space="preserve">, except for the sinuous length and, consequently, the sinuosity coefficient and slope, which are dependent on it (Zăvoianu, 2006). </w:t>
      </w:r>
      <w:r w:rsidR="00816C8A" w:rsidRPr="00F305A4">
        <w:rPr>
          <w:rFonts w:ascii="Times New Roman" w:hAnsi="Times New Roman" w:cs="Times New Roman"/>
          <w:b w:val="0"/>
          <w:bCs w:val="0"/>
          <w:color w:val="auto"/>
          <w:sz w:val="22"/>
          <w:szCs w:val="22"/>
          <w:lang w:val="en-GB"/>
        </w:rPr>
        <w:t xml:space="preserve">However, channel length decreases to </w:t>
      </w:r>
      <w:r w:rsidR="005100B8" w:rsidRPr="00F305A4">
        <w:rPr>
          <w:rFonts w:ascii="Times New Roman" w:hAnsi="Times New Roman" w:cs="Times New Roman"/>
          <w:b w:val="0"/>
          <w:bCs w:val="0"/>
          <w:color w:val="auto"/>
          <w:sz w:val="22"/>
          <w:szCs w:val="22"/>
          <w:lang w:val="en-GB"/>
        </w:rPr>
        <w:t>32</w:t>
      </w:r>
      <w:r w:rsidR="00816C8A" w:rsidRPr="00F305A4">
        <w:rPr>
          <w:rFonts w:ascii="Times New Roman" w:hAnsi="Times New Roman" w:cs="Times New Roman"/>
          <w:b w:val="0"/>
          <w:bCs w:val="0"/>
          <w:color w:val="auto"/>
          <w:sz w:val="22"/>
          <w:szCs w:val="22"/>
          <w:lang w:val="en-GB"/>
        </w:rPr>
        <w:t xml:space="preserve"> km, indicating a modification of channel geometry under constrained conditions. </w:t>
      </w:r>
      <w:r w:rsidR="0018720A" w:rsidRPr="00F305A4">
        <w:rPr>
          <w:rFonts w:ascii="Times New Roman" w:hAnsi="Times New Roman" w:cs="Times New Roman"/>
          <w:b w:val="0"/>
          <w:bCs w:val="0"/>
          <w:color w:val="auto"/>
          <w:sz w:val="22"/>
          <w:szCs w:val="22"/>
          <w:lang w:val="en-GB"/>
        </w:rPr>
        <w:t xml:space="preserve">The decrease in sinuosity to 1.03 and the corresponding increase in mean channel slope to 18.81‰ reflect channel confinement and anthropogenic influence on river morphology. </w:t>
      </w:r>
      <w:r w:rsidR="00833FF6" w:rsidRPr="00F305A4">
        <w:rPr>
          <w:rFonts w:ascii="Times New Roman" w:hAnsi="Times New Roman" w:cs="Times New Roman"/>
          <w:b w:val="0"/>
          <w:bCs w:val="0"/>
          <w:color w:val="auto"/>
          <w:sz w:val="22"/>
          <w:szCs w:val="22"/>
          <w:lang w:val="en-GB"/>
        </w:rPr>
        <w:t xml:space="preserve">This systemic reduction in channel </w:t>
      </w:r>
      <w:r w:rsidR="00833FF6" w:rsidRPr="00637E02">
        <w:rPr>
          <w:rFonts w:ascii="Times New Roman" w:hAnsi="Times New Roman" w:cs="Times New Roman"/>
          <w:b w:val="0"/>
          <w:bCs w:val="0"/>
          <w:color w:val="auto"/>
          <w:spacing w:val="-2"/>
          <w:sz w:val="22"/>
          <w:szCs w:val="22"/>
          <w:lang w:val="en-GB"/>
        </w:rPr>
        <w:t>length and subsequent steepening is a classic morphodynamic response to river training and narrowing, where the concentration of stream power prevents natural energy dissipation through meandering (Surian et al., 2009).</w:t>
      </w:r>
    </w:p>
    <w:p w14:paraId="24FFC3BD" w14:textId="77777777" w:rsidR="008C2A10" w:rsidRPr="00F305A4" w:rsidRDefault="008C2A10" w:rsidP="008C2A10">
      <w:pPr>
        <w:spacing w:after="0" w:line="240" w:lineRule="auto"/>
        <w:jc w:val="both"/>
        <w:rPr>
          <w:lang w:val="en-GB"/>
        </w:rPr>
      </w:pPr>
    </w:p>
    <w:p w14:paraId="72EDD1C7" w14:textId="5AB4A315" w:rsidR="009F20BA" w:rsidRPr="00F305A4" w:rsidRDefault="009F20BA" w:rsidP="008800A0">
      <w:pPr>
        <w:spacing w:after="120" w:line="240" w:lineRule="auto"/>
        <w:rPr>
          <w:rFonts w:ascii="Times New Roman" w:hAnsi="Times New Roman" w:cs="Times New Roman"/>
          <w:b/>
          <w:bCs/>
          <w:sz w:val="20"/>
          <w:lang w:val="en-GB"/>
        </w:rPr>
      </w:pPr>
      <w:r w:rsidRPr="00F305A4">
        <w:rPr>
          <w:rFonts w:ascii="Times New Roman" w:hAnsi="Times New Roman" w:cs="Times New Roman"/>
          <w:b/>
          <w:sz w:val="20"/>
          <w:lang w:val="en-GB"/>
        </w:rPr>
        <w:t>Table 3</w:t>
      </w:r>
      <w:r w:rsidRPr="00F305A4">
        <w:rPr>
          <w:rFonts w:ascii="Times New Roman" w:hAnsi="Times New Roman" w:cs="Times New Roman"/>
          <w:b/>
          <w:bCs/>
          <w:sz w:val="20"/>
          <w:lang w:val="en-GB"/>
        </w:rPr>
        <w:t>.</w:t>
      </w:r>
      <w:r w:rsidRPr="00F305A4">
        <w:rPr>
          <w:rFonts w:ascii="Times New Roman" w:hAnsi="Times New Roman" w:cs="Times New Roman"/>
          <w:sz w:val="20"/>
          <w:lang w:val="en-GB"/>
        </w:rPr>
        <w:t xml:space="preserve"> General Parameters in 2025</w:t>
      </w:r>
    </w:p>
    <w:tbl>
      <w:tblPr>
        <w:tblStyle w:val="Tabela-Siatka"/>
        <w:tblW w:w="7305" w:type="dxa"/>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851"/>
        <w:gridCol w:w="2835"/>
        <w:gridCol w:w="1984"/>
        <w:gridCol w:w="1635"/>
      </w:tblGrid>
      <w:tr w:rsidR="009F20BA" w:rsidRPr="00F305A4" w14:paraId="1F6BE036" w14:textId="77777777" w:rsidTr="00637E02">
        <w:trPr>
          <w:trHeight w:val="397"/>
        </w:trPr>
        <w:tc>
          <w:tcPr>
            <w:tcW w:w="851" w:type="dxa"/>
            <w:vAlign w:val="center"/>
          </w:tcPr>
          <w:p w14:paraId="4597D20D" w14:textId="7F6C7DFA" w:rsidR="001564DD" w:rsidRPr="00F305A4" w:rsidRDefault="001564DD" w:rsidP="008273E8">
            <w:pPr>
              <w:pStyle w:val="Default"/>
              <w:jc w:val="center"/>
              <w:rPr>
                <w:noProof/>
                <w:color w:val="auto"/>
                <w:sz w:val="20"/>
                <w:szCs w:val="20"/>
              </w:rPr>
            </w:pPr>
            <w:r w:rsidRPr="00F305A4">
              <w:rPr>
                <w:noProof/>
                <w:color w:val="auto"/>
                <w:sz w:val="20"/>
                <w:szCs w:val="20"/>
              </w:rPr>
              <w:t>N</w:t>
            </w:r>
            <w:r w:rsidR="009F20BA" w:rsidRPr="00F305A4">
              <w:rPr>
                <w:noProof/>
                <w:color w:val="auto"/>
                <w:sz w:val="20"/>
                <w:szCs w:val="20"/>
              </w:rPr>
              <w:t>o.</w:t>
            </w:r>
          </w:p>
        </w:tc>
        <w:tc>
          <w:tcPr>
            <w:tcW w:w="2835" w:type="dxa"/>
            <w:vAlign w:val="center"/>
          </w:tcPr>
          <w:p w14:paraId="6C62063A" w14:textId="021774E0" w:rsidR="001564DD" w:rsidRPr="00F305A4" w:rsidRDefault="009F20BA" w:rsidP="008273E8">
            <w:pPr>
              <w:pStyle w:val="Default"/>
              <w:jc w:val="center"/>
              <w:rPr>
                <w:noProof/>
                <w:color w:val="auto"/>
                <w:sz w:val="20"/>
                <w:szCs w:val="20"/>
              </w:rPr>
            </w:pPr>
            <w:r w:rsidRPr="00F305A4">
              <w:rPr>
                <w:noProof/>
                <w:color w:val="auto"/>
                <w:sz w:val="20"/>
                <w:szCs w:val="20"/>
              </w:rPr>
              <w:t>Analysis Item</w:t>
            </w:r>
          </w:p>
        </w:tc>
        <w:tc>
          <w:tcPr>
            <w:tcW w:w="1984" w:type="dxa"/>
            <w:vAlign w:val="center"/>
          </w:tcPr>
          <w:p w14:paraId="0795C02E" w14:textId="427A8E3C" w:rsidR="001564DD" w:rsidRPr="00F305A4" w:rsidRDefault="009F20BA" w:rsidP="008273E8">
            <w:pPr>
              <w:pStyle w:val="Default"/>
              <w:jc w:val="center"/>
              <w:rPr>
                <w:noProof/>
                <w:color w:val="auto"/>
                <w:sz w:val="20"/>
                <w:szCs w:val="20"/>
              </w:rPr>
            </w:pPr>
            <w:r w:rsidRPr="00F305A4">
              <w:rPr>
                <w:noProof/>
                <w:color w:val="auto"/>
                <w:sz w:val="20"/>
                <w:szCs w:val="20"/>
              </w:rPr>
              <w:t>Unit of Measurement</w:t>
            </w:r>
          </w:p>
        </w:tc>
        <w:tc>
          <w:tcPr>
            <w:tcW w:w="1635" w:type="dxa"/>
            <w:vAlign w:val="center"/>
          </w:tcPr>
          <w:p w14:paraId="16FA67C6" w14:textId="2851A651" w:rsidR="001564DD" w:rsidRPr="00F305A4" w:rsidRDefault="009F20BA" w:rsidP="008273E8">
            <w:pPr>
              <w:pStyle w:val="Default"/>
              <w:jc w:val="center"/>
              <w:rPr>
                <w:noProof/>
                <w:color w:val="auto"/>
                <w:sz w:val="20"/>
                <w:szCs w:val="20"/>
              </w:rPr>
            </w:pPr>
            <w:r w:rsidRPr="00F305A4">
              <w:rPr>
                <w:noProof/>
                <w:color w:val="auto"/>
                <w:sz w:val="20"/>
                <w:szCs w:val="20"/>
              </w:rPr>
              <w:t>Value (</w:t>
            </w:r>
            <w:r w:rsidR="002D7862" w:rsidRPr="00F305A4">
              <w:rPr>
                <w:noProof/>
                <w:color w:val="auto"/>
                <w:sz w:val="20"/>
                <w:szCs w:val="20"/>
              </w:rPr>
              <w:t>2025</w:t>
            </w:r>
            <w:r w:rsidRPr="00F305A4">
              <w:rPr>
                <w:noProof/>
                <w:color w:val="auto"/>
                <w:sz w:val="20"/>
                <w:szCs w:val="20"/>
              </w:rPr>
              <w:t>)</w:t>
            </w:r>
          </w:p>
        </w:tc>
      </w:tr>
      <w:tr w:rsidR="009F20BA" w:rsidRPr="00F305A4" w14:paraId="63BBA4EE" w14:textId="77777777" w:rsidTr="00637E02">
        <w:trPr>
          <w:trHeight w:val="283"/>
        </w:trPr>
        <w:tc>
          <w:tcPr>
            <w:tcW w:w="851" w:type="dxa"/>
            <w:vAlign w:val="center"/>
          </w:tcPr>
          <w:p w14:paraId="088543D3" w14:textId="761440AF" w:rsidR="009F20BA" w:rsidRPr="00F305A4" w:rsidRDefault="008C2A10" w:rsidP="008273E8">
            <w:pPr>
              <w:pStyle w:val="Default"/>
              <w:jc w:val="center"/>
              <w:rPr>
                <w:noProof/>
                <w:color w:val="auto"/>
                <w:sz w:val="20"/>
                <w:szCs w:val="20"/>
              </w:rPr>
            </w:pPr>
            <w:r w:rsidRPr="00F305A4">
              <w:rPr>
                <w:noProof/>
                <w:color w:val="auto"/>
                <w:sz w:val="20"/>
                <w:szCs w:val="20"/>
              </w:rPr>
              <w:t>1</w:t>
            </w:r>
          </w:p>
        </w:tc>
        <w:tc>
          <w:tcPr>
            <w:tcW w:w="2835" w:type="dxa"/>
            <w:vAlign w:val="center"/>
          </w:tcPr>
          <w:p w14:paraId="7B879EB6" w14:textId="23670399" w:rsidR="009F20BA" w:rsidRPr="00F305A4" w:rsidRDefault="009F20BA" w:rsidP="008273E8">
            <w:pPr>
              <w:pStyle w:val="Default"/>
              <w:jc w:val="center"/>
              <w:rPr>
                <w:noProof/>
                <w:color w:val="auto"/>
                <w:sz w:val="20"/>
                <w:szCs w:val="20"/>
              </w:rPr>
            </w:pPr>
            <w:r w:rsidRPr="00F305A4">
              <w:rPr>
                <w:noProof/>
                <w:sz w:val="20"/>
                <w:szCs w:val="20"/>
              </w:rPr>
              <w:t>Quota A</w:t>
            </w:r>
          </w:p>
        </w:tc>
        <w:tc>
          <w:tcPr>
            <w:tcW w:w="1984" w:type="dxa"/>
            <w:vAlign w:val="center"/>
          </w:tcPr>
          <w:p w14:paraId="1CE09AA4" w14:textId="77777777" w:rsidR="009F20BA" w:rsidRPr="00F305A4" w:rsidRDefault="009F20BA" w:rsidP="008273E8">
            <w:pPr>
              <w:pStyle w:val="Default"/>
              <w:jc w:val="center"/>
              <w:rPr>
                <w:noProof/>
                <w:color w:val="auto"/>
                <w:sz w:val="20"/>
                <w:szCs w:val="20"/>
              </w:rPr>
            </w:pPr>
            <w:r w:rsidRPr="00F305A4">
              <w:rPr>
                <w:noProof/>
                <w:color w:val="auto"/>
                <w:sz w:val="20"/>
                <w:szCs w:val="20"/>
              </w:rPr>
              <w:t>m (ASL)</w:t>
            </w:r>
          </w:p>
        </w:tc>
        <w:tc>
          <w:tcPr>
            <w:tcW w:w="1635" w:type="dxa"/>
            <w:vAlign w:val="center"/>
          </w:tcPr>
          <w:p w14:paraId="6F99360E" w14:textId="0C7429C6" w:rsidR="009F20BA" w:rsidRPr="00F305A4" w:rsidRDefault="00FF54CF" w:rsidP="008273E8">
            <w:pPr>
              <w:pStyle w:val="Default"/>
              <w:jc w:val="center"/>
              <w:rPr>
                <w:noProof/>
                <w:color w:val="auto"/>
                <w:sz w:val="20"/>
                <w:szCs w:val="20"/>
              </w:rPr>
            </w:pPr>
            <w:r w:rsidRPr="00F305A4">
              <w:rPr>
                <w:noProof/>
                <w:sz w:val="20"/>
                <w:szCs w:val="20"/>
              </w:rPr>
              <w:t>770</w:t>
            </w:r>
          </w:p>
        </w:tc>
      </w:tr>
      <w:tr w:rsidR="0049438D" w:rsidRPr="00F305A4" w14:paraId="2E6EA32D" w14:textId="77777777" w:rsidTr="00637E02">
        <w:trPr>
          <w:trHeight w:val="283"/>
        </w:trPr>
        <w:tc>
          <w:tcPr>
            <w:tcW w:w="851" w:type="dxa"/>
            <w:vAlign w:val="center"/>
          </w:tcPr>
          <w:p w14:paraId="30B32364" w14:textId="020260AE" w:rsidR="0049438D" w:rsidRPr="00F305A4" w:rsidRDefault="008C2A10" w:rsidP="008273E8">
            <w:pPr>
              <w:pStyle w:val="Default"/>
              <w:jc w:val="center"/>
              <w:rPr>
                <w:noProof/>
                <w:color w:val="auto"/>
                <w:sz w:val="20"/>
                <w:szCs w:val="20"/>
              </w:rPr>
            </w:pPr>
            <w:r w:rsidRPr="00F305A4">
              <w:rPr>
                <w:noProof/>
                <w:color w:val="auto"/>
                <w:sz w:val="20"/>
                <w:szCs w:val="20"/>
              </w:rPr>
              <w:t>2</w:t>
            </w:r>
          </w:p>
        </w:tc>
        <w:tc>
          <w:tcPr>
            <w:tcW w:w="2835" w:type="dxa"/>
            <w:vAlign w:val="center"/>
          </w:tcPr>
          <w:p w14:paraId="63618081" w14:textId="5A20E50A" w:rsidR="0049438D" w:rsidRPr="00F305A4" w:rsidRDefault="0049438D" w:rsidP="008273E8">
            <w:pPr>
              <w:pStyle w:val="Default"/>
              <w:jc w:val="center"/>
              <w:rPr>
                <w:noProof/>
                <w:color w:val="auto"/>
                <w:sz w:val="20"/>
                <w:szCs w:val="20"/>
              </w:rPr>
            </w:pPr>
            <w:r w:rsidRPr="00F305A4">
              <w:rPr>
                <w:noProof/>
                <w:sz w:val="20"/>
                <w:szCs w:val="20"/>
              </w:rPr>
              <w:t>Quota B</w:t>
            </w:r>
          </w:p>
        </w:tc>
        <w:tc>
          <w:tcPr>
            <w:tcW w:w="1984" w:type="dxa"/>
            <w:vAlign w:val="center"/>
          </w:tcPr>
          <w:p w14:paraId="2E8BB227" w14:textId="77777777" w:rsidR="0049438D" w:rsidRPr="00F305A4" w:rsidRDefault="0049438D" w:rsidP="008273E8">
            <w:pPr>
              <w:pStyle w:val="Default"/>
              <w:jc w:val="center"/>
              <w:rPr>
                <w:noProof/>
                <w:color w:val="auto"/>
                <w:sz w:val="20"/>
                <w:szCs w:val="20"/>
              </w:rPr>
            </w:pPr>
            <w:r w:rsidRPr="00F305A4">
              <w:rPr>
                <w:noProof/>
                <w:color w:val="auto"/>
                <w:sz w:val="20"/>
                <w:szCs w:val="20"/>
              </w:rPr>
              <w:t>m (ASL)</w:t>
            </w:r>
          </w:p>
        </w:tc>
        <w:tc>
          <w:tcPr>
            <w:tcW w:w="1635" w:type="dxa"/>
            <w:vAlign w:val="center"/>
          </w:tcPr>
          <w:p w14:paraId="403E3B1D" w14:textId="5B2BC317" w:rsidR="0049438D" w:rsidRPr="00F305A4" w:rsidRDefault="0049438D" w:rsidP="008273E8">
            <w:pPr>
              <w:pStyle w:val="Default"/>
              <w:jc w:val="center"/>
              <w:rPr>
                <w:noProof/>
                <w:color w:val="auto"/>
                <w:sz w:val="20"/>
                <w:szCs w:val="20"/>
              </w:rPr>
            </w:pPr>
            <w:r w:rsidRPr="00F305A4">
              <w:rPr>
                <w:noProof/>
                <w:sz w:val="20"/>
                <w:szCs w:val="20"/>
              </w:rPr>
              <w:t>168</w:t>
            </w:r>
          </w:p>
        </w:tc>
      </w:tr>
      <w:tr w:rsidR="0049438D" w:rsidRPr="00F305A4" w14:paraId="712020B5" w14:textId="77777777" w:rsidTr="00637E02">
        <w:trPr>
          <w:trHeight w:val="283"/>
        </w:trPr>
        <w:tc>
          <w:tcPr>
            <w:tcW w:w="851" w:type="dxa"/>
            <w:vAlign w:val="center"/>
          </w:tcPr>
          <w:p w14:paraId="6576AE71" w14:textId="3043A44A" w:rsidR="0049438D" w:rsidRPr="00F305A4" w:rsidRDefault="008C2A10" w:rsidP="008273E8">
            <w:pPr>
              <w:pStyle w:val="Default"/>
              <w:jc w:val="center"/>
              <w:rPr>
                <w:noProof/>
                <w:color w:val="auto"/>
                <w:sz w:val="20"/>
                <w:szCs w:val="20"/>
              </w:rPr>
            </w:pPr>
            <w:r w:rsidRPr="00F305A4">
              <w:rPr>
                <w:noProof/>
                <w:color w:val="auto"/>
                <w:sz w:val="20"/>
                <w:szCs w:val="20"/>
              </w:rPr>
              <w:t>3</w:t>
            </w:r>
          </w:p>
        </w:tc>
        <w:tc>
          <w:tcPr>
            <w:tcW w:w="2835" w:type="dxa"/>
            <w:vAlign w:val="center"/>
          </w:tcPr>
          <w:p w14:paraId="150F0EA1" w14:textId="7889F476" w:rsidR="0049438D" w:rsidRPr="00F305A4" w:rsidRDefault="0049438D" w:rsidP="008273E8">
            <w:pPr>
              <w:pStyle w:val="Default"/>
              <w:jc w:val="center"/>
              <w:rPr>
                <w:noProof/>
                <w:color w:val="auto"/>
                <w:sz w:val="20"/>
                <w:szCs w:val="20"/>
              </w:rPr>
            </w:pPr>
            <w:r w:rsidRPr="00F305A4">
              <w:rPr>
                <w:noProof/>
                <w:color w:val="auto"/>
                <w:sz w:val="20"/>
                <w:szCs w:val="20"/>
              </w:rPr>
              <w:t>Elevation difference</w:t>
            </w:r>
          </w:p>
        </w:tc>
        <w:tc>
          <w:tcPr>
            <w:tcW w:w="1984" w:type="dxa"/>
            <w:vAlign w:val="center"/>
          </w:tcPr>
          <w:p w14:paraId="7DB0E757" w14:textId="77777777" w:rsidR="0049438D" w:rsidRPr="00F305A4" w:rsidRDefault="0049438D" w:rsidP="008273E8">
            <w:pPr>
              <w:pStyle w:val="Default"/>
              <w:jc w:val="center"/>
              <w:rPr>
                <w:noProof/>
                <w:color w:val="auto"/>
                <w:sz w:val="20"/>
                <w:szCs w:val="20"/>
              </w:rPr>
            </w:pPr>
            <w:r w:rsidRPr="00F305A4">
              <w:rPr>
                <w:noProof/>
                <w:color w:val="auto"/>
                <w:sz w:val="20"/>
                <w:szCs w:val="20"/>
              </w:rPr>
              <w:t>m</w:t>
            </w:r>
          </w:p>
        </w:tc>
        <w:tc>
          <w:tcPr>
            <w:tcW w:w="1635" w:type="dxa"/>
            <w:vAlign w:val="center"/>
          </w:tcPr>
          <w:p w14:paraId="06A7DEEF" w14:textId="38E83DCB" w:rsidR="0049438D" w:rsidRPr="00F305A4" w:rsidRDefault="005100B8" w:rsidP="008273E8">
            <w:pPr>
              <w:pStyle w:val="Default"/>
              <w:jc w:val="center"/>
              <w:rPr>
                <w:noProof/>
                <w:color w:val="auto"/>
                <w:sz w:val="20"/>
                <w:szCs w:val="20"/>
              </w:rPr>
            </w:pPr>
            <w:r w:rsidRPr="00F305A4">
              <w:rPr>
                <w:noProof/>
                <w:color w:val="auto"/>
                <w:sz w:val="20"/>
                <w:szCs w:val="20"/>
              </w:rPr>
              <w:t>602</w:t>
            </w:r>
          </w:p>
        </w:tc>
      </w:tr>
      <w:tr w:rsidR="0049438D" w:rsidRPr="00F305A4" w14:paraId="46474090" w14:textId="77777777" w:rsidTr="00637E02">
        <w:trPr>
          <w:trHeight w:val="283"/>
        </w:trPr>
        <w:tc>
          <w:tcPr>
            <w:tcW w:w="851" w:type="dxa"/>
            <w:vAlign w:val="center"/>
          </w:tcPr>
          <w:p w14:paraId="7893AE32" w14:textId="2E0283C0" w:rsidR="0049438D" w:rsidRPr="00F305A4" w:rsidRDefault="008C2A10" w:rsidP="008273E8">
            <w:pPr>
              <w:pStyle w:val="Default"/>
              <w:jc w:val="center"/>
              <w:rPr>
                <w:noProof/>
                <w:color w:val="auto"/>
                <w:sz w:val="20"/>
                <w:szCs w:val="20"/>
              </w:rPr>
            </w:pPr>
            <w:r w:rsidRPr="00F305A4">
              <w:rPr>
                <w:noProof/>
                <w:color w:val="auto"/>
                <w:sz w:val="20"/>
                <w:szCs w:val="20"/>
              </w:rPr>
              <w:t>4</w:t>
            </w:r>
          </w:p>
        </w:tc>
        <w:tc>
          <w:tcPr>
            <w:tcW w:w="2835" w:type="dxa"/>
            <w:vAlign w:val="center"/>
          </w:tcPr>
          <w:p w14:paraId="548EAA7A" w14:textId="0CC349F1" w:rsidR="0049438D" w:rsidRPr="00F305A4" w:rsidRDefault="0049438D" w:rsidP="008273E8">
            <w:pPr>
              <w:pStyle w:val="Default"/>
              <w:jc w:val="center"/>
              <w:rPr>
                <w:noProof/>
                <w:color w:val="auto"/>
                <w:sz w:val="20"/>
                <w:szCs w:val="20"/>
              </w:rPr>
            </w:pPr>
            <w:r w:rsidRPr="00F305A4">
              <w:rPr>
                <w:noProof/>
                <w:color w:val="auto"/>
                <w:sz w:val="20"/>
                <w:szCs w:val="20"/>
              </w:rPr>
              <w:t>Straight-line length</w:t>
            </w:r>
          </w:p>
        </w:tc>
        <w:tc>
          <w:tcPr>
            <w:tcW w:w="1984" w:type="dxa"/>
            <w:vAlign w:val="center"/>
          </w:tcPr>
          <w:p w14:paraId="002EDCF8" w14:textId="77777777" w:rsidR="0049438D" w:rsidRPr="00F305A4" w:rsidRDefault="0049438D" w:rsidP="008273E8">
            <w:pPr>
              <w:pStyle w:val="Default"/>
              <w:jc w:val="center"/>
              <w:rPr>
                <w:noProof/>
                <w:color w:val="auto"/>
                <w:sz w:val="20"/>
                <w:szCs w:val="20"/>
              </w:rPr>
            </w:pPr>
            <w:r w:rsidRPr="00F305A4">
              <w:rPr>
                <w:noProof/>
                <w:color w:val="auto"/>
                <w:sz w:val="20"/>
                <w:szCs w:val="20"/>
              </w:rPr>
              <w:t>m</w:t>
            </w:r>
          </w:p>
        </w:tc>
        <w:tc>
          <w:tcPr>
            <w:tcW w:w="1635" w:type="dxa"/>
            <w:vAlign w:val="center"/>
          </w:tcPr>
          <w:p w14:paraId="20DFD6FC" w14:textId="409778ED" w:rsidR="0049438D" w:rsidRPr="00F305A4" w:rsidRDefault="00FF54CF" w:rsidP="008273E8">
            <w:pPr>
              <w:pStyle w:val="Default"/>
              <w:jc w:val="center"/>
              <w:rPr>
                <w:noProof/>
                <w:color w:val="auto"/>
                <w:sz w:val="20"/>
                <w:szCs w:val="20"/>
              </w:rPr>
            </w:pPr>
            <w:r w:rsidRPr="00F305A4">
              <w:rPr>
                <w:noProof/>
                <w:color w:val="auto"/>
                <w:sz w:val="20"/>
                <w:szCs w:val="20"/>
              </w:rPr>
              <w:t>31</w:t>
            </w:r>
            <w:r w:rsidR="0049438D" w:rsidRPr="00F305A4">
              <w:rPr>
                <w:noProof/>
                <w:color w:val="auto"/>
                <w:sz w:val="20"/>
                <w:szCs w:val="20"/>
              </w:rPr>
              <w:t>000</w:t>
            </w:r>
          </w:p>
        </w:tc>
      </w:tr>
      <w:tr w:rsidR="0049438D" w:rsidRPr="00F305A4" w14:paraId="4E7239FF" w14:textId="77777777" w:rsidTr="00637E02">
        <w:trPr>
          <w:trHeight w:val="283"/>
        </w:trPr>
        <w:tc>
          <w:tcPr>
            <w:tcW w:w="851" w:type="dxa"/>
            <w:vAlign w:val="center"/>
          </w:tcPr>
          <w:p w14:paraId="3684B353" w14:textId="31853790" w:rsidR="0049438D" w:rsidRPr="00F305A4" w:rsidRDefault="008C2A10" w:rsidP="008273E8">
            <w:pPr>
              <w:pStyle w:val="Default"/>
              <w:jc w:val="center"/>
              <w:rPr>
                <w:noProof/>
                <w:color w:val="auto"/>
                <w:sz w:val="20"/>
                <w:szCs w:val="20"/>
              </w:rPr>
            </w:pPr>
            <w:r w:rsidRPr="00F305A4">
              <w:rPr>
                <w:noProof/>
                <w:color w:val="auto"/>
                <w:sz w:val="20"/>
                <w:szCs w:val="20"/>
              </w:rPr>
              <w:t>5</w:t>
            </w:r>
          </w:p>
        </w:tc>
        <w:tc>
          <w:tcPr>
            <w:tcW w:w="2835" w:type="dxa"/>
            <w:vAlign w:val="center"/>
          </w:tcPr>
          <w:p w14:paraId="1BE036EB" w14:textId="650330F6" w:rsidR="0049438D" w:rsidRPr="00F305A4" w:rsidRDefault="0049438D" w:rsidP="008273E8">
            <w:pPr>
              <w:pStyle w:val="Default"/>
              <w:jc w:val="center"/>
              <w:rPr>
                <w:noProof/>
                <w:color w:val="auto"/>
                <w:sz w:val="20"/>
                <w:szCs w:val="20"/>
              </w:rPr>
            </w:pPr>
            <w:r w:rsidRPr="00F305A4">
              <w:rPr>
                <w:noProof/>
                <w:color w:val="auto"/>
                <w:sz w:val="20"/>
                <w:szCs w:val="20"/>
              </w:rPr>
              <w:t>Sinuous length (Channel length)</w:t>
            </w:r>
          </w:p>
        </w:tc>
        <w:tc>
          <w:tcPr>
            <w:tcW w:w="1984" w:type="dxa"/>
            <w:vAlign w:val="center"/>
          </w:tcPr>
          <w:p w14:paraId="03A79EF4" w14:textId="77777777" w:rsidR="0049438D" w:rsidRPr="00F305A4" w:rsidRDefault="0049438D" w:rsidP="008273E8">
            <w:pPr>
              <w:pStyle w:val="Default"/>
              <w:jc w:val="center"/>
              <w:rPr>
                <w:noProof/>
                <w:color w:val="auto"/>
                <w:sz w:val="20"/>
                <w:szCs w:val="20"/>
              </w:rPr>
            </w:pPr>
            <w:r w:rsidRPr="00F305A4">
              <w:rPr>
                <w:noProof/>
                <w:color w:val="auto"/>
                <w:sz w:val="20"/>
                <w:szCs w:val="20"/>
              </w:rPr>
              <w:t>m</w:t>
            </w:r>
          </w:p>
        </w:tc>
        <w:tc>
          <w:tcPr>
            <w:tcW w:w="1635" w:type="dxa"/>
            <w:vAlign w:val="center"/>
          </w:tcPr>
          <w:p w14:paraId="5089B85A" w14:textId="41B9B40F" w:rsidR="0049438D" w:rsidRPr="00F305A4" w:rsidRDefault="005100B8" w:rsidP="008273E8">
            <w:pPr>
              <w:pStyle w:val="Default"/>
              <w:jc w:val="center"/>
              <w:rPr>
                <w:noProof/>
                <w:color w:val="auto"/>
                <w:sz w:val="20"/>
                <w:szCs w:val="20"/>
              </w:rPr>
            </w:pPr>
            <w:r w:rsidRPr="00F305A4">
              <w:rPr>
                <w:noProof/>
                <w:color w:val="auto"/>
                <w:sz w:val="20"/>
                <w:szCs w:val="20"/>
              </w:rPr>
              <w:t>32</w:t>
            </w:r>
            <w:r w:rsidR="00A473B6" w:rsidRPr="00F305A4">
              <w:rPr>
                <w:noProof/>
                <w:color w:val="auto"/>
                <w:sz w:val="20"/>
                <w:szCs w:val="20"/>
              </w:rPr>
              <w:t>0</w:t>
            </w:r>
            <w:r w:rsidR="0049438D" w:rsidRPr="00F305A4">
              <w:rPr>
                <w:noProof/>
                <w:color w:val="auto"/>
                <w:sz w:val="20"/>
                <w:szCs w:val="20"/>
              </w:rPr>
              <w:t>00</w:t>
            </w:r>
          </w:p>
        </w:tc>
      </w:tr>
      <w:tr w:rsidR="0049438D" w:rsidRPr="00F305A4" w14:paraId="0679A287" w14:textId="77777777" w:rsidTr="00637E02">
        <w:trPr>
          <w:trHeight w:val="283"/>
        </w:trPr>
        <w:tc>
          <w:tcPr>
            <w:tcW w:w="851" w:type="dxa"/>
            <w:vAlign w:val="center"/>
          </w:tcPr>
          <w:p w14:paraId="0F27DBA8" w14:textId="5EB16ED8" w:rsidR="0049438D" w:rsidRPr="00F305A4" w:rsidRDefault="008C2A10" w:rsidP="008273E8">
            <w:pPr>
              <w:pStyle w:val="Default"/>
              <w:jc w:val="center"/>
              <w:rPr>
                <w:noProof/>
                <w:color w:val="auto"/>
                <w:sz w:val="20"/>
                <w:szCs w:val="20"/>
              </w:rPr>
            </w:pPr>
            <w:r w:rsidRPr="00F305A4">
              <w:rPr>
                <w:noProof/>
                <w:color w:val="auto"/>
                <w:sz w:val="20"/>
                <w:szCs w:val="20"/>
              </w:rPr>
              <w:t>6</w:t>
            </w:r>
          </w:p>
        </w:tc>
        <w:tc>
          <w:tcPr>
            <w:tcW w:w="2835" w:type="dxa"/>
            <w:vAlign w:val="center"/>
          </w:tcPr>
          <w:p w14:paraId="072284B7" w14:textId="5AF0A360" w:rsidR="0049438D" w:rsidRPr="00F305A4" w:rsidRDefault="0049438D" w:rsidP="008273E8">
            <w:pPr>
              <w:pStyle w:val="Default"/>
              <w:jc w:val="center"/>
              <w:rPr>
                <w:noProof/>
                <w:color w:val="auto"/>
                <w:sz w:val="20"/>
                <w:szCs w:val="20"/>
              </w:rPr>
            </w:pPr>
            <w:r w:rsidRPr="00F305A4">
              <w:rPr>
                <w:noProof/>
                <w:color w:val="auto"/>
                <w:sz w:val="20"/>
                <w:szCs w:val="20"/>
              </w:rPr>
              <w:t>Sinuosity coefficient</w:t>
            </w:r>
          </w:p>
        </w:tc>
        <w:tc>
          <w:tcPr>
            <w:tcW w:w="1984" w:type="dxa"/>
            <w:vAlign w:val="center"/>
          </w:tcPr>
          <w:p w14:paraId="524A1B4C" w14:textId="77777777" w:rsidR="0049438D" w:rsidRPr="00F305A4" w:rsidRDefault="0049438D" w:rsidP="008273E8">
            <w:pPr>
              <w:pStyle w:val="Default"/>
              <w:jc w:val="center"/>
              <w:rPr>
                <w:noProof/>
                <w:color w:val="auto"/>
                <w:sz w:val="20"/>
                <w:szCs w:val="20"/>
              </w:rPr>
            </w:pPr>
            <w:r w:rsidRPr="00F305A4">
              <w:rPr>
                <w:noProof/>
                <w:color w:val="auto"/>
                <w:sz w:val="20"/>
                <w:szCs w:val="20"/>
              </w:rPr>
              <w:t>n/a</w:t>
            </w:r>
          </w:p>
        </w:tc>
        <w:tc>
          <w:tcPr>
            <w:tcW w:w="1635" w:type="dxa"/>
            <w:vAlign w:val="center"/>
          </w:tcPr>
          <w:p w14:paraId="00062302" w14:textId="5C10A38B" w:rsidR="0049438D" w:rsidRPr="00637E02" w:rsidRDefault="005100B8" w:rsidP="008273E8">
            <w:pPr>
              <w:pStyle w:val="Default"/>
              <w:jc w:val="center"/>
              <w:rPr>
                <w:noProof/>
                <w:color w:val="auto"/>
                <w:sz w:val="20"/>
                <w:szCs w:val="20"/>
              </w:rPr>
            </w:pPr>
            <w:r w:rsidRPr="00637E02">
              <w:rPr>
                <w:noProof/>
                <w:color w:val="auto"/>
                <w:sz w:val="20"/>
                <w:szCs w:val="20"/>
              </w:rPr>
              <w:t>1.03</w:t>
            </w:r>
          </w:p>
        </w:tc>
      </w:tr>
      <w:tr w:rsidR="0049438D" w:rsidRPr="00F305A4" w14:paraId="62C0B70D" w14:textId="77777777" w:rsidTr="00637E02">
        <w:trPr>
          <w:trHeight w:val="283"/>
        </w:trPr>
        <w:tc>
          <w:tcPr>
            <w:tcW w:w="851" w:type="dxa"/>
            <w:vAlign w:val="center"/>
          </w:tcPr>
          <w:p w14:paraId="035CBB43" w14:textId="57F64503" w:rsidR="0049438D" w:rsidRPr="00F305A4" w:rsidRDefault="008C2A10" w:rsidP="008273E8">
            <w:pPr>
              <w:pStyle w:val="Default"/>
              <w:jc w:val="center"/>
              <w:rPr>
                <w:noProof/>
                <w:color w:val="auto"/>
                <w:sz w:val="20"/>
                <w:szCs w:val="20"/>
              </w:rPr>
            </w:pPr>
            <w:r w:rsidRPr="00F305A4">
              <w:rPr>
                <w:noProof/>
                <w:color w:val="auto"/>
                <w:sz w:val="20"/>
                <w:szCs w:val="20"/>
              </w:rPr>
              <w:t>7</w:t>
            </w:r>
          </w:p>
        </w:tc>
        <w:tc>
          <w:tcPr>
            <w:tcW w:w="2835" w:type="dxa"/>
            <w:vAlign w:val="center"/>
          </w:tcPr>
          <w:p w14:paraId="1788AC8A" w14:textId="2EF37A59" w:rsidR="0049438D" w:rsidRPr="00F305A4" w:rsidRDefault="0049438D" w:rsidP="008273E8">
            <w:pPr>
              <w:pStyle w:val="Default"/>
              <w:jc w:val="center"/>
              <w:rPr>
                <w:noProof/>
                <w:color w:val="auto"/>
                <w:sz w:val="20"/>
                <w:szCs w:val="20"/>
              </w:rPr>
            </w:pPr>
            <w:r w:rsidRPr="00F305A4">
              <w:rPr>
                <w:noProof/>
                <w:color w:val="auto"/>
                <w:sz w:val="20"/>
                <w:szCs w:val="20"/>
              </w:rPr>
              <w:t>River gradient (Slope)</w:t>
            </w:r>
          </w:p>
        </w:tc>
        <w:tc>
          <w:tcPr>
            <w:tcW w:w="1984" w:type="dxa"/>
            <w:vAlign w:val="center"/>
          </w:tcPr>
          <w:p w14:paraId="714FD814" w14:textId="77777777" w:rsidR="0049438D" w:rsidRPr="00F305A4" w:rsidRDefault="0049438D" w:rsidP="008273E8">
            <w:pPr>
              <w:pStyle w:val="Default"/>
              <w:jc w:val="center"/>
              <w:rPr>
                <w:noProof/>
                <w:color w:val="auto"/>
                <w:sz w:val="20"/>
                <w:szCs w:val="20"/>
              </w:rPr>
            </w:pPr>
            <w:r w:rsidRPr="00F305A4">
              <w:rPr>
                <w:noProof/>
                <w:color w:val="auto"/>
                <w:sz w:val="20"/>
                <w:szCs w:val="20"/>
              </w:rPr>
              <w:t>‰</w:t>
            </w:r>
          </w:p>
        </w:tc>
        <w:tc>
          <w:tcPr>
            <w:tcW w:w="1635" w:type="dxa"/>
            <w:vAlign w:val="center"/>
          </w:tcPr>
          <w:p w14:paraId="1F217CE2" w14:textId="0496C060" w:rsidR="0049438D" w:rsidRPr="00637E02" w:rsidRDefault="005100B8" w:rsidP="008273E8">
            <w:pPr>
              <w:pStyle w:val="Default"/>
              <w:jc w:val="center"/>
              <w:rPr>
                <w:noProof/>
                <w:color w:val="auto"/>
                <w:sz w:val="20"/>
                <w:szCs w:val="20"/>
              </w:rPr>
            </w:pPr>
            <w:r w:rsidRPr="00637E02">
              <w:rPr>
                <w:noProof/>
                <w:color w:val="auto"/>
                <w:sz w:val="20"/>
                <w:szCs w:val="20"/>
              </w:rPr>
              <w:t>18</w:t>
            </w:r>
            <w:r w:rsidR="00534586" w:rsidRPr="00637E02">
              <w:rPr>
                <w:noProof/>
                <w:color w:val="auto"/>
                <w:sz w:val="20"/>
                <w:szCs w:val="20"/>
              </w:rPr>
              <w:t>.</w:t>
            </w:r>
            <w:r w:rsidRPr="00637E02">
              <w:rPr>
                <w:noProof/>
                <w:color w:val="auto"/>
                <w:sz w:val="20"/>
                <w:szCs w:val="20"/>
              </w:rPr>
              <w:t>81</w:t>
            </w:r>
          </w:p>
        </w:tc>
      </w:tr>
    </w:tbl>
    <w:p w14:paraId="6E0124BC" w14:textId="77777777" w:rsidR="008C2A10" w:rsidRPr="00F305A4" w:rsidRDefault="008C2A10" w:rsidP="008273E8">
      <w:pPr>
        <w:spacing w:after="0" w:line="240" w:lineRule="auto"/>
        <w:ind w:firstLine="284"/>
        <w:jc w:val="both"/>
        <w:rPr>
          <w:rFonts w:ascii="Times New Roman" w:hAnsi="Times New Roman" w:cs="Times New Roman"/>
          <w:lang w:val="en-GB"/>
        </w:rPr>
      </w:pPr>
    </w:p>
    <w:p w14:paraId="7E9FE100" w14:textId="61680127" w:rsidR="00E64BB1" w:rsidRPr="00F305A4" w:rsidRDefault="00E64BB1" w:rsidP="008800A0">
      <w:pPr>
        <w:spacing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These variations indicate a progressive channel simplification, associated with reduced lateral migration and </w:t>
      </w:r>
      <w:r w:rsidR="00DC2DEF" w:rsidRPr="00F305A4">
        <w:rPr>
          <w:rFonts w:ascii="Times New Roman" w:hAnsi="Times New Roman" w:cs="Times New Roman"/>
          <w:lang w:val="en-GB"/>
        </w:rPr>
        <w:t>channel adjustment tendency</w:t>
      </w:r>
      <w:r w:rsidRPr="00F305A4">
        <w:rPr>
          <w:rFonts w:ascii="Times New Roman" w:hAnsi="Times New Roman" w:cs="Times New Roman"/>
          <w:lang w:val="en-GB"/>
        </w:rPr>
        <w:t xml:space="preserve"> of the river course.</w:t>
      </w:r>
    </w:p>
    <w:p w14:paraId="4BD35A62" w14:textId="722BB6A3" w:rsidR="00E64BB1" w:rsidRPr="00F305A4" w:rsidRDefault="00E64BB1" w:rsidP="008C2A10">
      <w:pPr>
        <w:pStyle w:val="Rn2"/>
        <w:rPr>
          <w:lang w:val="en-GB"/>
        </w:rPr>
      </w:pPr>
      <w:r w:rsidRPr="00F305A4">
        <w:rPr>
          <w:lang w:val="en-GB"/>
        </w:rPr>
        <w:t>3.2</w:t>
      </w:r>
      <w:r w:rsidR="008C2A10" w:rsidRPr="00F305A4">
        <w:rPr>
          <w:lang w:val="en-GB"/>
        </w:rPr>
        <w:t>.</w:t>
      </w:r>
      <w:r w:rsidRPr="00F305A4">
        <w:rPr>
          <w:lang w:val="en-GB"/>
        </w:rPr>
        <w:t xml:space="preserve"> Meandering potential and spatial constraints</w:t>
      </w:r>
    </w:p>
    <w:p w14:paraId="063F31C7" w14:textId="61CFC9B4" w:rsidR="00E64BB1" w:rsidRDefault="00E64BB1" w:rsidP="008273E8">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spatial extent of meandering potential was delineated based on fixed anthropogenic constraints, including settlement boundaries and transport infrastructure (Fig</w:t>
      </w:r>
      <w:r w:rsidR="0049438D" w:rsidRPr="00F305A4">
        <w:rPr>
          <w:rFonts w:ascii="Times New Roman" w:hAnsi="Times New Roman" w:cs="Times New Roman"/>
          <w:lang w:val="en-GB"/>
        </w:rPr>
        <w:t>.</w:t>
      </w:r>
      <w:r w:rsidRPr="00F305A4">
        <w:rPr>
          <w:rFonts w:ascii="Times New Roman" w:hAnsi="Times New Roman" w:cs="Times New Roman"/>
          <w:lang w:val="en-GB"/>
        </w:rPr>
        <w:t xml:space="preserve"> </w:t>
      </w:r>
      <w:r w:rsidR="00230903" w:rsidRPr="00F305A4">
        <w:rPr>
          <w:rFonts w:ascii="Times New Roman" w:hAnsi="Times New Roman" w:cs="Times New Roman"/>
          <w:lang w:val="en-GB"/>
        </w:rPr>
        <w:t>8</w:t>
      </w:r>
      <w:r w:rsidRPr="00F305A4">
        <w:rPr>
          <w:rFonts w:ascii="Times New Roman" w:hAnsi="Times New Roman" w:cs="Times New Roman"/>
          <w:lang w:val="en-GB"/>
        </w:rPr>
        <w:t>).</w:t>
      </w:r>
    </w:p>
    <w:p w14:paraId="05B78760" w14:textId="1FE67FC4" w:rsidR="008273E8" w:rsidRPr="00F305A4" w:rsidRDefault="008273E8" w:rsidP="008273E8">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The total area available for lateral channel migration is approximately 28.5 km² and </w:t>
      </w:r>
      <w:r w:rsidR="005C4E70">
        <w:rPr>
          <w:rFonts w:ascii="Times New Roman" w:hAnsi="Times New Roman" w:cs="Times New Roman"/>
          <w:lang w:val="en-GB"/>
        </w:rPr>
        <w:t xml:space="preserve">has </w:t>
      </w:r>
      <w:r w:rsidRPr="00F305A4">
        <w:rPr>
          <w:rFonts w:ascii="Times New Roman" w:hAnsi="Times New Roman" w:cs="Times New Roman"/>
          <w:lang w:val="en-GB"/>
        </w:rPr>
        <w:t>remained constant throughout the analyzed period.</w:t>
      </w:r>
    </w:p>
    <w:p w14:paraId="6CD11117" w14:textId="33398A78" w:rsidR="008273E8" w:rsidRPr="005057C2" w:rsidRDefault="008273E8" w:rsidP="008273E8">
      <w:pPr>
        <w:spacing w:after="0" w:line="240" w:lineRule="auto"/>
        <w:ind w:firstLine="284"/>
        <w:jc w:val="both"/>
        <w:rPr>
          <w:rFonts w:ascii="Times New Roman" w:hAnsi="Times New Roman" w:cs="Times New Roman"/>
          <w:spacing w:val="-2"/>
          <w:lang w:val="en-GB"/>
        </w:rPr>
      </w:pPr>
      <w:r w:rsidRPr="005057C2">
        <w:rPr>
          <w:rFonts w:ascii="Times New Roman" w:hAnsi="Times New Roman" w:cs="Times New Roman"/>
          <w:spacing w:val="-2"/>
          <w:lang w:val="en-GB"/>
        </w:rPr>
        <w:t xml:space="preserve">The meandering potential index, defined as the ratio </w:t>
      </w:r>
      <w:r w:rsidR="005C4E70" w:rsidRPr="005057C2">
        <w:rPr>
          <w:rFonts w:ascii="Times New Roman" w:hAnsi="Times New Roman" w:cs="Times New Roman"/>
          <w:spacing w:val="-2"/>
          <w:lang w:val="en-GB"/>
        </w:rPr>
        <w:t>of channel length to available migration area, decreases from 1.15 km/km² (historical dataset) to 1.12 km/km² in 2025 (Table 4), primarily due to a</w:t>
      </w:r>
      <w:r w:rsidRPr="005057C2">
        <w:rPr>
          <w:rFonts w:ascii="Times New Roman" w:hAnsi="Times New Roman" w:cs="Times New Roman"/>
          <w:spacing w:val="-2"/>
          <w:lang w:val="en-GB"/>
        </w:rPr>
        <w:t xml:space="preserve"> reduction in channel length.</w:t>
      </w:r>
    </w:p>
    <w:p w14:paraId="3B3E338F" w14:textId="77777777" w:rsidR="008273E8" w:rsidRPr="00F305A4" w:rsidRDefault="008273E8" w:rsidP="008273E8">
      <w:pPr>
        <w:spacing w:after="0" w:line="240" w:lineRule="auto"/>
        <w:ind w:firstLine="284"/>
        <w:jc w:val="both"/>
        <w:rPr>
          <w:rFonts w:ascii="Times New Roman" w:hAnsi="Times New Roman" w:cs="Times New Roman"/>
          <w:lang w:val="en-GB"/>
        </w:rPr>
      </w:pPr>
    </w:p>
    <w:p w14:paraId="0CD90628" w14:textId="41A7937A" w:rsidR="00E64BB1" w:rsidRPr="00F305A4" w:rsidRDefault="00E64BB1" w:rsidP="00F305A4">
      <w:pPr>
        <w:spacing w:line="240" w:lineRule="auto"/>
        <w:jc w:val="center"/>
        <w:rPr>
          <w:rFonts w:ascii="Times New Roman" w:hAnsi="Times New Roman" w:cs="Times New Roman"/>
          <w:sz w:val="24"/>
          <w:szCs w:val="24"/>
          <w:lang w:val="en-GB"/>
        </w:rPr>
      </w:pPr>
      <w:r w:rsidRPr="00F305A4">
        <w:rPr>
          <w:rFonts w:ascii="Times New Roman" w:hAnsi="Times New Roman"/>
          <w:i/>
          <w:iCs/>
          <w:sz w:val="24"/>
          <w:szCs w:val="24"/>
          <w:lang w:val="en-GB"/>
        </w:rPr>
        <w:lastRenderedPageBreak/>
        <w:drawing>
          <wp:inline distT="0" distB="0" distL="0" distR="0" wp14:anchorId="756B9B9A" wp14:editId="52A2C8E9">
            <wp:extent cx="3165773" cy="2826000"/>
            <wp:effectExtent l="0" t="0" r="0" b="0"/>
            <wp:docPr id="161337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7778" name=""/>
                    <pic:cNvPicPr/>
                  </pic:nvPicPr>
                  <pic:blipFill>
                    <a:blip r:embed="rId20"/>
                    <a:stretch>
                      <a:fillRect/>
                    </a:stretch>
                  </pic:blipFill>
                  <pic:spPr>
                    <a:xfrm>
                      <a:off x="0" y="0"/>
                      <a:ext cx="3165773" cy="2826000"/>
                    </a:xfrm>
                    <a:prstGeom prst="rect">
                      <a:avLst/>
                    </a:prstGeom>
                  </pic:spPr>
                </pic:pic>
              </a:graphicData>
            </a:graphic>
          </wp:inline>
        </w:drawing>
      </w:r>
    </w:p>
    <w:p w14:paraId="793CEDD1" w14:textId="0615335D" w:rsidR="00E64BB1" w:rsidRPr="00F305A4" w:rsidRDefault="00E64BB1" w:rsidP="00CB31B1">
      <w:pPr>
        <w:pStyle w:val="Rrys"/>
        <w:rPr>
          <w:lang w:val="en-GB"/>
        </w:rPr>
      </w:pPr>
      <w:r w:rsidRPr="00F305A4">
        <w:rPr>
          <w:b/>
          <w:lang w:val="en-GB"/>
        </w:rPr>
        <w:t>Fig</w:t>
      </w:r>
      <w:r w:rsidR="0049438D" w:rsidRPr="00F305A4">
        <w:rPr>
          <w:b/>
          <w:lang w:val="en-GB"/>
        </w:rPr>
        <w:t>.</w:t>
      </w:r>
      <w:r w:rsidR="008C1CB6" w:rsidRPr="00F305A4">
        <w:rPr>
          <w:b/>
          <w:lang w:val="en-GB"/>
        </w:rPr>
        <w:t xml:space="preserve"> </w:t>
      </w:r>
      <w:r w:rsidR="00230903" w:rsidRPr="00F305A4">
        <w:rPr>
          <w:b/>
          <w:lang w:val="en-GB"/>
        </w:rPr>
        <w:t>8</w:t>
      </w:r>
      <w:r w:rsidRPr="00F305A4">
        <w:rPr>
          <w:b/>
          <w:lang w:val="en-GB"/>
        </w:rPr>
        <w:t>.</w:t>
      </w:r>
      <w:r w:rsidRPr="00F305A4">
        <w:rPr>
          <w:lang w:val="en-GB"/>
        </w:rPr>
        <w:t xml:space="preserve"> Meandering potential of the </w:t>
      </w:r>
      <w:proofErr w:type="spellStart"/>
      <w:r w:rsidRPr="00F305A4">
        <w:rPr>
          <w:lang w:val="en-GB"/>
        </w:rPr>
        <w:t>Bălăneasa</w:t>
      </w:r>
      <w:proofErr w:type="spellEnd"/>
      <w:r w:rsidRPr="00F305A4">
        <w:rPr>
          <w:lang w:val="en-GB"/>
        </w:rPr>
        <w:t xml:space="preserve"> River</w:t>
      </w:r>
    </w:p>
    <w:p w14:paraId="4C86A241" w14:textId="77777777" w:rsidR="00CB31B1" w:rsidRPr="00F305A4" w:rsidRDefault="00CB31B1" w:rsidP="008800A0">
      <w:pPr>
        <w:spacing w:after="0" w:line="240" w:lineRule="auto"/>
        <w:ind w:firstLine="284"/>
        <w:jc w:val="both"/>
        <w:rPr>
          <w:rFonts w:ascii="Times New Roman" w:hAnsi="Times New Roman" w:cs="Times New Roman"/>
          <w:lang w:val="en-GB"/>
        </w:rPr>
      </w:pPr>
    </w:p>
    <w:p w14:paraId="0A35BFBC" w14:textId="66CEB6D4" w:rsidR="009F20BA" w:rsidRPr="00F305A4" w:rsidRDefault="009F20BA" w:rsidP="008800A0">
      <w:pPr>
        <w:spacing w:after="120" w:line="240" w:lineRule="auto"/>
        <w:rPr>
          <w:rFonts w:ascii="Times New Roman" w:hAnsi="Times New Roman" w:cs="Times New Roman"/>
          <w:sz w:val="20"/>
          <w:szCs w:val="20"/>
          <w:lang w:val="en-GB"/>
        </w:rPr>
      </w:pPr>
      <w:r w:rsidRPr="00F305A4">
        <w:rPr>
          <w:rFonts w:ascii="Times New Roman" w:hAnsi="Times New Roman" w:cs="Times New Roman"/>
          <w:b/>
          <w:sz w:val="20"/>
          <w:szCs w:val="20"/>
          <w:lang w:val="en-GB"/>
        </w:rPr>
        <w:t>Table 4.</w:t>
      </w:r>
      <w:r w:rsidRPr="00F305A4">
        <w:rPr>
          <w:rFonts w:ascii="Times New Roman" w:hAnsi="Times New Roman" w:cs="Times New Roman"/>
          <w:sz w:val="20"/>
          <w:szCs w:val="20"/>
          <w:lang w:val="en-GB"/>
        </w:rPr>
        <w:t xml:space="preserve"> Meandering Potential Index Analysis</w:t>
      </w:r>
    </w:p>
    <w:tbl>
      <w:tblPr>
        <w:tblStyle w:val="Tabela-Siatka"/>
        <w:tblW w:w="4892" w:type="dxa"/>
        <w:jc w:val="center"/>
        <w:tblLook w:val="04A0" w:firstRow="1" w:lastRow="0" w:firstColumn="1" w:lastColumn="0" w:noHBand="0" w:noVBand="1"/>
      </w:tblPr>
      <w:tblGrid>
        <w:gridCol w:w="2340"/>
        <w:gridCol w:w="1701"/>
        <w:gridCol w:w="851"/>
      </w:tblGrid>
      <w:tr w:rsidR="009F20BA" w:rsidRPr="00F305A4" w14:paraId="6455ACB1" w14:textId="77777777" w:rsidTr="00CB31B1">
        <w:trPr>
          <w:trHeight w:val="397"/>
          <w:jc w:val="center"/>
        </w:trPr>
        <w:tc>
          <w:tcPr>
            <w:tcW w:w="4892" w:type="dxa"/>
            <w:gridSpan w:val="3"/>
            <w:tcBorders>
              <w:top w:val="single" w:sz="4" w:space="0" w:color="auto"/>
              <w:left w:val="nil"/>
              <w:bottom w:val="single" w:sz="4" w:space="0" w:color="auto"/>
              <w:right w:val="nil"/>
            </w:tcBorders>
            <w:vAlign w:val="center"/>
          </w:tcPr>
          <w:p w14:paraId="5F97F9C4" w14:textId="4D12F365" w:rsidR="009F20BA" w:rsidRPr="00F305A4" w:rsidRDefault="009F20BA"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Meandering Potential</w:t>
            </w:r>
          </w:p>
        </w:tc>
      </w:tr>
      <w:tr w:rsidR="009F20BA" w:rsidRPr="00F305A4" w14:paraId="5ADEAE09" w14:textId="77777777" w:rsidTr="00CB31B1">
        <w:trPr>
          <w:trHeight w:val="283"/>
          <w:jc w:val="center"/>
        </w:trPr>
        <w:tc>
          <w:tcPr>
            <w:tcW w:w="2340" w:type="dxa"/>
            <w:vMerge w:val="restart"/>
            <w:tcBorders>
              <w:top w:val="single" w:sz="4" w:space="0" w:color="auto"/>
              <w:left w:val="nil"/>
              <w:bottom w:val="single" w:sz="4" w:space="0" w:color="auto"/>
              <w:right w:val="nil"/>
            </w:tcBorders>
            <w:vAlign w:val="center"/>
          </w:tcPr>
          <w:p w14:paraId="45CEEFFF" w14:textId="7347A993" w:rsidR="00164F8B" w:rsidRPr="00F305A4" w:rsidRDefault="00D15048"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 xml:space="preserve">Romanian Master Plan Sheets </w:t>
            </w:r>
            <w:r w:rsidR="00164F8B" w:rsidRPr="00F305A4">
              <w:rPr>
                <w:rFonts w:ascii="Times New Roman" w:hAnsi="Times New Roman" w:cs="Times New Roman"/>
                <w:sz w:val="20"/>
                <w:szCs w:val="20"/>
                <w:lang w:val="en-GB"/>
              </w:rPr>
              <w:t>(</w:t>
            </w:r>
            <w:r w:rsidR="005B23D9" w:rsidRPr="00F305A4">
              <w:rPr>
                <w:rFonts w:ascii="Times New Roman" w:hAnsi="Times New Roman" w:cs="Times New Roman"/>
                <w:sz w:val="20"/>
                <w:szCs w:val="20"/>
                <w:lang w:val="en-GB"/>
              </w:rPr>
              <w:t>mid-20th century</w:t>
            </w:r>
            <w:r w:rsidR="00164F8B" w:rsidRPr="00F305A4">
              <w:rPr>
                <w:rFonts w:ascii="Times New Roman" w:hAnsi="Times New Roman" w:cs="Times New Roman"/>
                <w:sz w:val="20"/>
                <w:szCs w:val="20"/>
                <w:lang w:val="en-GB"/>
              </w:rPr>
              <w:t>)</w:t>
            </w:r>
          </w:p>
        </w:tc>
        <w:tc>
          <w:tcPr>
            <w:tcW w:w="1701" w:type="dxa"/>
            <w:tcBorders>
              <w:top w:val="single" w:sz="4" w:space="0" w:color="auto"/>
              <w:left w:val="nil"/>
              <w:bottom w:val="single" w:sz="4" w:space="0" w:color="auto"/>
              <w:right w:val="nil"/>
            </w:tcBorders>
            <w:vAlign w:val="center"/>
          </w:tcPr>
          <w:p w14:paraId="2ED9E07B" w14:textId="1F44F1DF" w:rsidR="009F20BA" w:rsidRPr="00F305A4" w:rsidRDefault="009F20BA"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River Length</w:t>
            </w:r>
          </w:p>
        </w:tc>
        <w:tc>
          <w:tcPr>
            <w:tcW w:w="851" w:type="dxa"/>
            <w:tcBorders>
              <w:top w:val="single" w:sz="4" w:space="0" w:color="auto"/>
              <w:left w:val="nil"/>
              <w:bottom w:val="single" w:sz="4" w:space="0" w:color="auto"/>
              <w:right w:val="nil"/>
            </w:tcBorders>
            <w:vAlign w:val="center"/>
          </w:tcPr>
          <w:p w14:paraId="7785962A" w14:textId="0574156F" w:rsidR="009F20BA" w:rsidRPr="00F305A4" w:rsidRDefault="009F20BA"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3</w:t>
            </w:r>
            <w:r w:rsidR="00164F8B" w:rsidRPr="00F305A4">
              <w:rPr>
                <w:rFonts w:ascii="Times New Roman" w:hAnsi="Times New Roman" w:cs="Times New Roman"/>
                <w:sz w:val="20"/>
                <w:szCs w:val="20"/>
                <w:lang w:val="en-GB"/>
              </w:rPr>
              <w:t>3</w:t>
            </w:r>
          </w:p>
        </w:tc>
      </w:tr>
      <w:tr w:rsidR="009F20BA" w:rsidRPr="00F305A4" w14:paraId="765DA92E" w14:textId="77777777" w:rsidTr="00CB31B1">
        <w:trPr>
          <w:trHeight w:val="283"/>
          <w:jc w:val="center"/>
        </w:trPr>
        <w:tc>
          <w:tcPr>
            <w:tcW w:w="2340" w:type="dxa"/>
            <w:vMerge/>
            <w:tcBorders>
              <w:top w:val="single" w:sz="4" w:space="0" w:color="auto"/>
              <w:left w:val="nil"/>
              <w:bottom w:val="single" w:sz="4" w:space="0" w:color="auto"/>
              <w:right w:val="nil"/>
            </w:tcBorders>
            <w:vAlign w:val="center"/>
          </w:tcPr>
          <w:p w14:paraId="2BC774F3" w14:textId="77777777" w:rsidR="009F20BA" w:rsidRPr="00F305A4" w:rsidRDefault="009F20BA" w:rsidP="00CB31B1">
            <w:pPr>
              <w:jc w:val="center"/>
              <w:rPr>
                <w:rFonts w:ascii="Times New Roman" w:hAnsi="Times New Roman" w:cs="Times New Roman"/>
                <w:sz w:val="20"/>
                <w:szCs w:val="20"/>
                <w:lang w:val="en-GB"/>
              </w:rPr>
            </w:pPr>
          </w:p>
        </w:tc>
        <w:tc>
          <w:tcPr>
            <w:tcW w:w="1701" w:type="dxa"/>
            <w:tcBorders>
              <w:top w:val="single" w:sz="4" w:space="0" w:color="auto"/>
              <w:left w:val="nil"/>
              <w:bottom w:val="single" w:sz="4" w:space="0" w:color="auto"/>
              <w:right w:val="nil"/>
            </w:tcBorders>
            <w:vAlign w:val="center"/>
          </w:tcPr>
          <w:p w14:paraId="1DDE546A" w14:textId="35E45BFB" w:rsidR="009F20BA" w:rsidRPr="00F305A4" w:rsidRDefault="009F20BA"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Polygon Area</w:t>
            </w:r>
          </w:p>
        </w:tc>
        <w:tc>
          <w:tcPr>
            <w:tcW w:w="851" w:type="dxa"/>
            <w:tcBorders>
              <w:top w:val="single" w:sz="4" w:space="0" w:color="auto"/>
              <w:left w:val="nil"/>
              <w:bottom w:val="single" w:sz="4" w:space="0" w:color="auto"/>
              <w:right w:val="nil"/>
            </w:tcBorders>
            <w:vAlign w:val="center"/>
          </w:tcPr>
          <w:p w14:paraId="75591A94" w14:textId="77777777" w:rsidR="009F20BA" w:rsidRPr="00F305A4" w:rsidRDefault="009F20BA"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28.5</w:t>
            </w:r>
          </w:p>
        </w:tc>
      </w:tr>
      <w:tr w:rsidR="009F20BA" w:rsidRPr="00F305A4" w14:paraId="4D474BDA" w14:textId="77777777" w:rsidTr="00CB31B1">
        <w:trPr>
          <w:trHeight w:val="283"/>
          <w:jc w:val="center"/>
        </w:trPr>
        <w:tc>
          <w:tcPr>
            <w:tcW w:w="2340" w:type="dxa"/>
            <w:vMerge/>
            <w:tcBorders>
              <w:top w:val="single" w:sz="4" w:space="0" w:color="auto"/>
              <w:left w:val="nil"/>
              <w:bottom w:val="single" w:sz="4" w:space="0" w:color="auto"/>
              <w:right w:val="nil"/>
            </w:tcBorders>
            <w:vAlign w:val="center"/>
          </w:tcPr>
          <w:p w14:paraId="02304F03" w14:textId="77777777" w:rsidR="009F20BA" w:rsidRPr="00F305A4" w:rsidRDefault="009F20BA" w:rsidP="00CB31B1">
            <w:pPr>
              <w:jc w:val="center"/>
              <w:rPr>
                <w:rFonts w:ascii="Times New Roman" w:hAnsi="Times New Roman" w:cs="Times New Roman"/>
                <w:sz w:val="20"/>
                <w:szCs w:val="20"/>
                <w:lang w:val="en-GB"/>
              </w:rPr>
            </w:pPr>
          </w:p>
        </w:tc>
        <w:tc>
          <w:tcPr>
            <w:tcW w:w="1701" w:type="dxa"/>
            <w:tcBorders>
              <w:top w:val="single" w:sz="4" w:space="0" w:color="auto"/>
              <w:left w:val="nil"/>
              <w:bottom w:val="single" w:sz="4" w:space="0" w:color="auto"/>
              <w:right w:val="nil"/>
            </w:tcBorders>
            <w:vAlign w:val="center"/>
          </w:tcPr>
          <w:p w14:paraId="1253DEF7" w14:textId="238A6074" w:rsidR="009F20BA" w:rsidRPr="00F305A4" w:rsidRDefault="009F20BA"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Potential Index</w:t>
            </w:r>
          </w:p>
        </w:tc>
        <w:tc>
          <w:tcPr>
            <w:tcW w:w="851" w:type="dxa"/>
            <w:tcBorders>
              <w:top w:val="single" w:sz="4" w:space="0" w:color="auto"/>
              <w:left w:val="nil"/>
              <w:bottom w:val="single" w:sz="4" w:space="0" w:color="auto"/>
              <w:right w:val="nil"/>
            </w:tcBorders>
            <w:vAlign w:val="center"/>
          </w:tcPr>
          <w:p w14:paraId="369D580A" w14:textId="636AF099" w:rsidR="009F20BA" w:rsidRPr="00F305A4" w:rsidRDefault="009F20BA"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1.</w:t>
            </w:r>
            <w:r w:rsidR="00164F8B" w:rsidRPr="00F305A4">
              <w:rPr>
                <w:rFonts w:ascii="Times New Roman" w:hAnsi="Times New Roman" w:cs="Times New Roman"/>
                <w:sz w:val="20"/>
                <w:szCs w:val="20"/>
                <w:lang w:val="en-GB"/>
              </w:rPr>
              <w:t>15</w:t>
            </w:r>
          </w:p>
        </w:tc>
      </w:tr>
      <w:tr w:rsidR="009F20BA" w:rsidRPr="00F305A4" w14:paraId="2B7FAF95" w14:textId="77777777" w:rsidTr="00CB31B1">
        <w:trPr>
          <w:trHeight w:val="283"/>
          <w:jc w:val="center"/>
        </w:trPr>
        <w:tc>
          <w:tcPr>
            <w:tcW w:w="2340" w:type="dxa"/>
            <w:vMerge w:val="restart"/>
            <w:tcBorders>
              <w:top w:val="single" w:sz="4" w:space="0" w:color="auto"/>
              <w:left w:val="nil"/>
              <w:bottom w:val="single" w:sz="4" w:space="0" w:color="auto"/>
              <w:right w:val="nil"/>
            </w:tcBorders>
            <w:vAlign w:val="center"/>
          </w:tcPr>
          <w:p w14:paraId="019FD415" w14:textId="77777777" w:rsidR="009F20BA" w:rsidRPr="00F305A4" w:rsidRDefault="009F20BA"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2025</w:t>
            </w:r>
          </w:p>
        </w:tc>
        <w:tc>
          <w:tcPr>
            <w:tcW w:w="1701" w:type="dxa"/>
            <w:tcBorders>
              <w:top w:val="single" w:sz="4" w:space="0" w:color="auto"/>
              <w:left w:val="nil"/>
              <w:bottom w:val="single" w:sz="4" w:space="0" w:color="auto"/>
              <w:right w:val="nil"/>
            </w:tcBorders>
            <w:vAlign w:val="center"/>
          </w:tcPr>
          <w:p w14:paraId="6B97DBC1" w14:textId="4D827C31" w:rsidR="009F20BA" w:rsidRPr="00F305A4" w:rsidRDefault="009F20BA"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River Length</w:t>
            </w:r>
          </w:p>
        </w:tc>
        <w:tc>
          <w:tcPr>
            <w:tcW w:w="851" w:type="dxa"/>
            <w:tcBorders>
              <w:top w:val="single" w:sz="4" w:space="0" w:color="auto"/>
              <w:left w:val="nil"/>
              <w:bottom w:val="single" w:sz="4" w:space="0" w:color="auto"/>
              <w:right w:val="nil"/>
            </w:tcBorders>
            <w:vAlign w:val="center"/>
          </w:tcPr>
          <w:p w14:paraId="3BD668CF" w14:textId="76FA2C95" w:rsidR="009F20BA" w:rsidRPr="00F305A4" w:rsidRDefault="00164F8B"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32</w:t>
            </w:r>
          </w:p>
        </w:tc>
      </w:tr>
      <w:tr w:rsidR="009F20BA" w:rsidRPr="00F305A4" w14:paraId="49A09BED" w14:textId="77777777" w:rsidTr="00CB31B1">
        <w:trPr>
          <w:trHeight w:val="283"/>
          <w:jc w:val="center"/>
        </w:trPr>
        <w:tc>
          <w:tcPr>
            <w:tcW w:w="2340" w:type="dxa"/>
            <w:vMerge/>
            <w:tcBorders>
              <w:top w:val="single" w:sz="4" w:space="0" w:color="auto"/>
              <w:left w:val="nil"/>
              <w:bottom w:val="single" w:sz="4" w:space="0" w:color="auto"/>
              <w:right w:val="nil"/>
            </w:tcBorders>
            <w:vAlign w:val="center"/>
          </w:tcPr>
          <w:p w14:paraId="5C7FAD8F" w14:textId="77777777" w:rsidR="009F20BA" w:rsidRPr="00F305A4" w:rsidRDefault="009F20BA" w:rsidP="00CB31B1">
            <w:pPr>
              <w:jc w:val="center"/>
              <w:rPr>
                <w:rFonts w:ascii="Times New Roman" w:hAnsi="Times New Roman" w:cs="Times New Roman"/>
                <w:sz w:val="20"/>
                <w:szCs w:val="20"/>
                <w:lang w:val="en-GB"/>
              </w:rPr>
            </w:pPr>
          </w:p>
        </w:tc>
        <w:tc>
          <w:tcPr>
            <w:tcW w:w="1701" w:type="dxa"/>
            <w:tcBorders>
              <w:top w:val="single" w:sz="4" w:space="0" w:color="auto"/>
              <w:left w:val="nil"/>
              <w:bottom w:val="single" w:sz="4" w:space="0" w:color="auto"/>
              <w:right w:val="nil"/>
            </w:tcBorders>
            <w:vAlign w:val="center"/>
          </w:tcPr>
          <w:p w14:paraId="29323D43" w14:textId="47565C8A" w:rsidR="009F20BA" w:rsidRPr="00F305A4" w:rsidRDefault="009F20BA"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Polygon Area</w:t>
            </w:r>
          </w:p>
        </w:tc>
        <w:tc>
          <w:tcPr>
            <w:tcW w:w="851" w:type="dxa"/>
            <w:tcBorders>
              <w:top w:val="single" w:sz="4" w:space="0" w:color="auto"/>
              <w:left w:val="nil"/>
              <w:bottom w:val="single" w:sz="4" w:space="0" w:color="auto"/>
              <w:right w:val="nil"/>
            </w:tcBorders>
            <w:vAlign w:val="center"/>
          </w:tcPr>
          <w:p w14:paraId="076505EA" w14:textId="77777777" w:rsidR="009F20BA" w:rsidRPr="00F305A4" w:rsidRDefault="009F20BA"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28.5</w:t>
            </w:r>
          </w:p>
        </w:tc>
      </w:tr>
      <w:tr w:rsidR="009F20BA" w:rsidRPr="00F305A4" w14:paraId="201B96AB" w14:textId="77777777" w:rsidTr="00CB31B1">
        <w:trPr>
          <w:trHeight w:val="283"/>
          <w:jc w:val="center"/>
        </w:trPr>
        <w:tc>
          <w:tcPr>
            <w:tcW w:w="2340" w:type="dxa"/>
            <w:vMerge/>
            <w:tcBorders>
              <w:top w:val="single" w:sz="4" w:space="0" w:color="auto"/>
              <w:left w:val="nil"/>
              <w:bottom w:val="single" w:sz="4" w:space="0" w:color="auto"/>
              <w:right w:val="nil"/>
            </w:tcBorders>
            <w:vAlign w:val="center"/>
          </w:tcPr>
          <w:p w14:paraId="318ABC99" w14:textId="77777777" w:rsidR="009F20BA" w:rsidRPr="00F305A4" w:rsidRDefault="009F20BA" w:rsidP="00CB31B1">
            <w:pPr>
              <w:jc w:val="center"/>
              <w:rPr>
                <w:rFonts w:ascii="Times New Roman" w:hAnsi="Times New Roman" w:cs="Times New Roman"/>
                <w:sz w:val="20"/>
                <w:szCs w:val="20"/>
                <w:lang w:val="en-GB"/>
              </w:rPr>
            </w:pPr>
          </w:p>
        </w:tc>
        <w:tc>
          <w:tcPr>
            <w:tcW w:w="1701" w:type="dxa"/>
            <w:tcBorders>
              <w:top w:val="single" w:sz="4" w:space="0" w:color="auto"/>
              <w:left w:val="nil"/>
              <w:bottom w:val="single" w:sz="4" w:space="0" w:color="auto"/>
              <w:right w:val="nil"/>
            </w:tcBorders>
            <w:vAlign w:val="center"/>
          </w:tcPr>
          <w:p w14:paraId="327209D5" w14:textId="768D51D4" w:rsidR="009F20BA" w:rsidRPr="00F305A4" w:rsidRDefault="009F20BA"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Potential Index</w:t>
            </w:r>
          </w:p>
        </w:tc>
        <w:tc>
          <w:tcPr>
            <w:tcW w:w="851" w:type="dxa"/>
            <w:tcBorders>
              <w:top w:val="single" w:sz="4" w:space="0" w:color="auto"/>
              <w:left w:val="nil"/>
              <w:bottom w:val="single" w:sz="4" w:space="0" w:color="auto"/>
              <w:right w:val="nil"/>
            </w:tcBorders>
            <w:vAlign w:val="center"/>
          </w:tcPr>
          <w:p w14:paraId="5BEFF875" w14:textId="215DDBCE" w:rsidR="009F20BA" w:rsidRPr="00F305A4" w:rsidRDefault="00164F8B" w:rsidP="00CB31B1">
            <w:pPr>
              <w:jc w:val="center"/>
              <w:rPr>
                <w:rFonts w:ascii="Times New Roman" w:hAnsi="Times New Roman" w:cs="Times New Roman"/>
                <w:sz w:val="20"/>
                <w:szCs w:val="20"/>
                <w:lang w:val="en-GB"/>
              </w:rPr>
            </w:pPr>
            <w:r w:rsidRPr="00F305A4">
              <w:rPr>
                <w:rFonts w:ascii="Times New Roman" w:hAnsi="Times New Roman" w:cs="Times New Roman"/>
                <w:sz w:val="20"/>
                <w:szCs w:val="20"/>
                <w:lang w:val="en-GB"/>
              </w:rPr>
              <w:t>1</w:t>
            </w:r>
            <w:r w:rsidR="00534586" w:rsidRPr="00F305A4">
              <w:rPr>
                <w:rFonts w:ascii="Times New Roman" w:hAnsi="Times New Roman" w:cs="Times New Roman"/>
                <w:sz w:val="20"/>
                <w:szCs w:val="20"/>
                <w:lang w:val="en-GB"/>
              </w:rPr>
              <w:t>.</w:t>
            </w:r>
            <w:r w:rsidRPr="00F305A4">
              <w:rPr>
                <w:rFonts w:ascii="Times New Roman" w:hAnsi="Times New Roman" w:cs="Times New Roman"/>
                <w:sz w:val="20"/>
                <w:szCs w:val="20"/>
                <w:lang w:val="en-GB"/>
              </w:rPr>
              <w:t>12</w:t>
            </w:r>
          </w:p>
        </w:tc>
      </w:tr>
    </w:tbl>
    <w:p w14:paraId="5B0C345E" w14:textId="77777777" w:rsidR="00CB31B1" w:rsidRPr="00F305A4" w:rsidRDefault="00CB31B1" w:rsidP="008800A0">
      <w:pPr>
        <w:spacing w:after="0" w:line="240" w:lineRule="auto"/>
        <w:ind w:firstLine="284"/>
        <w:jc w:val="both"/>
        <w:rPr>
          <w:rFonts w:ascii="Times New Roman" w:hAnsi="Times New Roman" w:cs="Times New Roman"/>
          <w:lang w:val="en-GB"/>
        </w:rPr>
      </w:pPr>
    </w:p>
    <w:p w14:paraId="0F7D806B" w14:textId="2D7AA2FD" w:rsidR="00E64BB1" w:rsidRPr="00F305A4" w:rsidRDefault="00E64BB1"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This reduction reflects </w:t>
      </w:r>
      <w:r w:rsidR="005C4E70">
        <w:rPr>
          <w:rFonts w:ascii="Times New Roman" w:hAnsi="Times New Roman" w:cs="Times New Roman"/>
          <w:lang w:val="en-GB"/>
        </w:rPr>
        <w:t>decreased active lateral migration and a tendency toward channel confinement across</w:t>
      </w:r>
      <w:r w:rsidRPr="00F305A4">
        <w:rPr>
          <w:rFonts w:ascii="Times New Roman" w:hAnsi="Times New Roman" w:cs="Times New Roman"/>
          <w:lang w:val="en-GB"/>
        </w:rPr>
        <w:t xml:space="preserve"> several sectors of the basin.</w:t>
      </w:r>
    </w:p>
    <w:p w14:paraId="5BF45505" w14:textId="3D97AA1B" w:rsidR="00E64BB1" w:rsidRPr="00F305A4" w:rsidRDefault="00E64BB1" w:rsidP="00CB31B1">
      <w:pPr>
        <w:pStyle w:val="Rn2"/>
        <w:rPr>
          <w:lang w:val="en-GB"/>
        </w:rPr>
      </w:pPr>
      <w:r w:rsidRPr="00F305A4">
        <w:rPr>
          <w:lang w:val="en-GB"/>
        </w:rPr>
        <w:t>3.3</w:t>
      </w:r>
      <w:r w:rsidR="00CB31B1" w:rsidRPr="00F305A4">
        <w:rPr>
          <w:lang w:val="en-GB"/>
        </w:rPr>
        <w:t>.</w:t>
      </w:r>
      <w:r w:rsidRPr="00F305A4">
        <w:rPr>
          <w:lang w:val="en-GB"/>
        </w:rPr>
        <w:t xml:space="preserve"> Infrastructure exposure and vulnerability</w:t>
      </w:r>
    </w:p>
    <w:p w14:paraId="476E8778" w14:textId="0C214458" w:rsidR="00E64BB1" w:rsidRDefault="00E64BB1"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Based on spatial overlay analysis, infrastructure elements intersecting the meandering corridor were identified (Fig</w:t>
      </w:r>
      <w:r w:rsidR="0049438D" w:rsidRPr="00F305A4">
        <w:rPr>
          <w:rFonts w:ascii="Times New Roman" w:hAnsi="Times New Roman" w:cs="Times New Roman"/>
          <w:lang w:val="en-GB"/>
        </w:rPr>
        <w:t>.</w:t>
      </w:r>
      <w:r w:rsidRPr="00F305A4">
        <w:rPr>
          <w:rFonts w:ascii="Times New Roman" w:hAnsi="Times New Roman" w:cs="Times New Roman"/>
          <w:lang w:val="en-GB"/>
        </w:rPr>
        <w:t xml:space="preserve"> </w:t>
      </w:r>
      <w:r w:rsidR="00230903" w:rsidRPr="00F305A4">
        <w:rPr>
          <w:rFonts w:ascii="Times New Roman" w:hAnsi="Times New Roman" w:cs="Times New Roman"/>
          <w:lang w:val="en-GB"/>
        </w:rPr>
        <w:t>9</w:t>
      </w:r>
      <w:r w:rsidRPr="00F305A4">
        <w:rPr>
          <w:rFonts w:ascii="Times New Roman" w:hAnsi="Times New Roman" w:cs="Times New Roman"/>
          <w:lang w:val="en-GB"/>
        </w:rPr>
        <w:t>).</w:t>
      </w:r>
    </w:p>
    <w:p w14:paraId="56B55698" w14:textId="77777777" w:rsidR="00352049" w:rsidRPr="00F305A4" w:rsidRDefault="00352049" w:rsidP="008800A0">
      <w:pPr>
        <w:spacing w:after="0" w:line="240" w:lineRule="auto"/>
        <w:ind w:firstLine="284"/>
        <w:jc w:val="both"/>
        <w:rPr>
          <w:rFonts w:ascii="Times New Roman" w:hAnsi="Times New Roman" w:cs="Times New Roman"/>
          <w:lang w:val="en-GB"/>
        </w:rPr>
      </w:pPr>
    </w:p>
    <w:p w14:paraId="0E3199E2" w14:textId="43516DCB" w:rsidR="00923034" w:rsidRPr="00F305A4" w:rsidRDefault="000F04AB" w:rsidP="00F305A4">
      <w:pPr>
        <w:spacing w:after="0" w:line="240" w:lineRule="auto"/>
        <w:jc w:val="center"/>
        <w:rPr>
          <w:rFonts w:ascii="Times New Roman" w:hAnsi="Times New Roman" w:cs="Times New Roman"/>
          <w:sz w:val="24"/>
          <w:szCs w:val="24"/>
          <w:lang w:val="en-GB"/>
        </w:rPr>
      </w:pPr>
      <w:r w:rsidRPr="00F305A4">
        <w:rPr>
          <w:rFonts w:ascii="Times New Roman" w:hAnsi="Times New Roman"/>
          <w:sz w:val="24"/>
          <w:szCs w:val="24"/>
          <w:lang w:val="en-GB"/>
        </w:rPr>
        <w:drawing>
          <wp:inline distT="0" distB="0" distL="0" distR="0" wp14:anchorId="198039C7" wp14:editId="0897D19F">
            <wp:extent cx="3210320" cy="2697480"/>
            <wp:effectExtent l="0" t="0" r="9525" b="7620"/>
            <wp:docPr id="501287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20910" cy="2706379"/>
                    </a:xfrm>
                    <a:prstGeom prst="rect">
                      <a:avLst/>
                    </a:prstGeom>
                    <a:noFill/>
                    <a:ln>
                      <a:noFill/>
                    </a:ln>
                  </pic:spPr>
                </pic:pic>
              </a:graphicData>
            </a:graphic>
          </wp:inline>
        </w:drawing>
      </w:r>
    </w:p>
    <w:p w14:paraId="5A5DD574" w14:textId="1B0AD89A" w:rsidR="00E64BB1" w:rsidRPr="00F305A4" w:rsidRDefault="00E02BD6" w:rsidP="00CB31B1">
      <w:pPr>
        <w:pStyle w:val="Rrys"/>
        <w:rPr>
          <w:lang w:val="en-GB"/>
        </w:rPr>
      </w:pPr>
      <w:r w:rsidRPr="00F305A4">
        <w:rPr>
          <w:b/>
          <w:bCs/>
          <w:lang w:val="en-GB"/>
        </w:rPr>
        <w:t>Fig</w:t>
      </w:r>
      <w:r w:rsidR="0049438D" w:rsidRPr="00F305A4">
        <w:rPr>
          <w:b/>
          <w:bCs/>
          <w:lang w:val="en-GB"/>
        </w:rPr>
        <w:t>.</w:t>
      </w:r>
      <w:r w:rsidR="00CB31B1" w:rsidRPr="00F305A4">
        <w:rPr>
          <w:b/>
          <w:bCs/>
          <w:lang w:val="en-GB"/>
        </w:rPr>
        <w:t xml:space="preserve"> </w:t>
      </w:r>
      <w:r w:rsidR="00230903" w:rsidRPr="00F305A4">
        <w:rPr>
          <w:b/>
          <w:bCs/>
          <w:lang w:val="en-GB"/>
        </w:rPr>
        <w:t>9</w:t>
      </w:r>
      <w:r w:rsidR="008C1CB6" w:rsidRPr="00F305A4">
        <w:rPr>
          <w:b/>
          <w:bCs/>
          <w:lang w:val="en-GB"/>
        </w:rPr>
        <w:t>.</w:t>
      </w:r>
      <w:r w:rsidRPr="00F305A4">
        <w:rPr>
          <w:lang w:val="en-GB"/>
        </w:rPr>
        <w:t xml:space="preserve"> Elements affected by the meandering potential of the </w:t>
      </w:r>
      <w:proofErr w:type="spellStart"/>
      <w:r w:rsidRPr="00F305A4">
        <w:rPr>
          <w:lang w:val="en-GB"/>
        </w:rPr>
        <w:t>Bălăneasa</w:t>
      </w:r>
      <w:proofErr w:type="spellEnd"/>
      <w:r w:rsidRPr="00F305A4">
        <w:rPr>
          <w:lang w:val="en-GB"/>
        </w:rPr>
        <w:t xml:space="preserve"> River</w:t>
      </w:r>
    </w:p>
    <w:p w14:paraId="0344F64A" w14:textId="77777777" w:rsidR="00E64BB1" w:rsidRPr="00F305A4" w:rsidRDefault="00E64BB1" w:rsidP="00CB31B1">
      <w:pPr>
        <w:spacing w:after="0" w:line="240" w:lineRule="auto"/>
        <w:ind w:firstLine="284"/>
        <w:jc w:val="both"/>
        <w:rPr>
          <w:rFonts w:ascii="Times New Roman" w:hAnsi="Times New Roman" w:cs="Times New Roman"/>
          <w:sz w:val="20"/>
          <w:szCs w:val="20"/>
          <w:lang w:val="en-GB"/>
        </w:rPr>
      </w:pPr>
    </w:p>
    <w:p w14:paraId="6464D840" w14:textId="1DACD742" w:rsidR="00E64BB1" w:rsidRPr="00F305A4" w:rsidRDefault="00E64BB1"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lastRenderedPageBreak/>
        <w:t>The main transport axis</w:t>
      </w:r>
      <w:r w:rsidR="005C4E70">
        <w:rPr>
          <w:rFonts w:ascii="Times New Roman" w:hAnsi="Times New Roman" w:cs="Times New Roman"/>
          <w:lang w:val="en-GB"/>
        </w:rPr>
        <w:t>, DJ 203L (Cozieni–Bozioru–Brăești), follows the longitudinal valley and intersects multiple high-risk erosion zones characterized by</w:t>
      </w:r>
      <w:r w:rsidRPr="00F305A4">
        <w:rPr>
          <w:rFonts w:ascii="Times New Roman" w:hAnsi="Times New Roman" w:cs="Times New Roman"/>
          <w:lang w:val="en-GB"/>
        </w:rPr>
        <w:t xml:space="preserve"> narrow floodplains and active lateral erosion.</w:t>
      </w:r>
    </w:p>
    <w:p w14:paraId="41884E61" w14:textId="77777777" w:rsidR="00E64BB1" w:rsidRPr="00F305A4" w:rsidRDefault="00E64BB1" w:rsidP="008800A0">
      <w:pPr>
        <w:spacing w:after="0" w:line="240" w:lineRule="auto"/>
        <w:ind w:firstLine="284"/>
        <w:jc w:val="both"/>
        <w:rPr>
          <w:rFonts w:ascii="Times New Roman" w:hAnsi="Times New Roman" w:cs="Times New Roman"/>
          <w:lang w:val="en-GB"/>
        </w:rPr>
      </w:pPr>
      <w:r w:rsidRPr="00637E02">
        <w:rPr>
          <w:rFonts w:ascii="Times New Roman" w:hAnsi="Times New Roman" w:cs="Times New Roman"/>
          <w:spacing w:val="-2"/>
          <w:lang w:val="en-GB"/>
        </w:rPr>
        <w:t>Secondary communal roads, including DC Bozioru–Ulmet (0.9 km) and DC Cătina–Valea Cătinei (0.6 km),</w:t>
      </w:r>
      <w:r w:rsidRPr="00F305A4">
        <w:rPr>
          <w:rFonts w:ascii="Times New Roman" w:hAnsi="Times New Roman" w:cs="Times New Roman"/>
          <w:lang w:val="en-GB"/>
        </w:rPr>
        <w:t xml:space="preserve"> together represent approximately 3.6 km of exposed infrastructure.</w:t>
      </w:r>
    </w:p>
    <w:p w14:paraId="4143C5B5" w14:textId="77777777" w:rsidR="00E64BB1" w:rsidRPr="00F305A4" w:rsidRDefault="00E64BB1"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most vulnerable administrative units are Brăești (0.15 km²), Bozioru (0.27 km²), Cozieni (0.32 km²), Cătina (0.18 km²), and Pârscov (0.21 km²), with a cumulative exposed area of approximately 1.13 km².</w:t>
      </w:r>
    </w:p>
    <w:p w14:paraId="2B5C62D6" w14:textId="77777777" w:rsidR="00E64BB1" w:rsidRPr="00F305A4" w:rsidRDefault="00E64BB1"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These results indicate a moderate to high level of infrastructure vulnerability, particularly in central and southern sectors of the basin.</w:t>
      </w:r>
    </w:p>
    <w:p w14:paraId="34A76C68" w14:textId="16BE143A" w:rsidR="00E64BB1" w:rsidRPr="00F305A4" w:rsidRDefault="00E64BB1" w:rsidP="00CB31B1">
      <w:pPr>
        <w:pStyle w:val="Rn2"/>
        <w:rPr>
          <w:lang w:val="en-GB"/>
        </w:rPr>
      </w:pPr>
      <w:r w:rsidRPr="00F305A4">
        <w:rPr>
          <w:lang w:val="en-GB"/>
        </w:rPr>
        <w:t>3.4</w:t>
      </w:r>
      <w:r w:rsidR="00CB31B1" w:rsidRPr="00F305A4">
        <w:rPr>
          <w:lang w:val="en-GB"/>
        </w:rPr>
        <w:t>.</w:t>
      </w:r>
      <w:r w:rsidRPr="00F305A4">
        <w:rPr>
          <w:lang w:val="en-GB"/>
        </w:rPr>
        <w:t xml:space="preserve"> Channel morphology and meander evolution</w:t>
      </w:r>
    </w:p>
    <w:p w14:paraId="15F69645" w14:textId="4FA2D8BD" w:rsidR="00E64BB1" w:rsidRPr="00F305A4" w:rsidRDefault="00E64BB1"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spatial distribution of meanders in 2025 (Fig</w:t>
      </w:r>
      <w:r w:rsidR="0049438D" w:rsidRPr="00F305A4">
        <w:rPr>
          <w:rFonts w:ascii="Times New Roman" w:hAnsi="Times New Roman" w:cs="Times New Roman"/>
          <w:lang w:val="en-GB"/>
        </w:rPr>
        <w:t>.</w:t>
      </w:r>
      <w:r w:rsidRPr="00F305A4">
        <w:rPr>
          <w:rFonts w:ascii="Times New Roman" w:hAnsi="Times New Roman" w:cs="Times New Roman"/>
          <w:lang w:val="en-GB"/>
        </w:rPr>
        <w:t xml:space="preserve"> </w:t>
      </w:r>
      <w:r w:rsidR="00230903" w:rsidRPr="00F305A4">
        <w:rPr>
          <w:rFonts w:ascii="Times New Roman" w:hAnsi="Times New Roman" w:cs="Times New Roman"/>
          <w:lang w:val="en-GB"/>
        </w:rPr>
        <w:t>10</w:t>
      </w:r>
      <w:r w:rsidRPr="00F305A4">
        <w:rPr>
          <w:rFonts w:ascii="Times New Roman" w:hAnsi="Times New Roman" w:cs="Times New Roman"/>
          <w:lang w:val="en-GB"/>
        </w:rPr>
        <w:t>) shows that channel curvature is primarily controlled by local slope conditions and valley confinement.</w:t>
      </w:r>
    </w:p>
    <w:p w14:paraId="419F48F1" w14:textId="77777777" w:rsidR="00CB31B1" w:rsidRPr="00F305A4" w:rsidRDefault="00CB31B1" w:rsidP="008800A0">
      <w:pPr>
        <w:spacing w:after="0" w:line="240" w:lineRule="auto"/>
        <w:ind w:firstLine="284"/>
        <w:jc w:val="both"/>
        <w:rPr>
          <w:rFonts w:ascii="Times New Roman" w:hAnsi="Times New Roman" w:cs="Times New Roman"/>
          <w:lang w:val="en-GB"/>
        </w:rPr>
      </w:pPr>
    </w:p>
    <w:p w14:paraId="1BBD2A3C" w14:textId="31230321" w:rsidR="009F20BA" w:rsidRPr="00F305A4" w:rsidRDefault="00E64BB1" w:rsidP="00F204E2">
      <w:pPr>
        <w:spacing w:after="0" w:line="240" w:lineRule="auto"/>
        <w:jc w:val="center"/>
        <w:rPr>
          <w:rFonts w:ascii="Times New Roman" w:hAnsi="Times New Roman" w:cs="Times New Roman"/>
          <w:sz w:val="24"/>
          <w:szCs w:val="24"/>
          <w:lang w:val="en-GB"/>
        </w:rPr>
      </w:pPr>
      <w:r w:rsidRPr="00F305A4">
        <w:rPr>
          <w:lang w:val="en-GB"/>
        </w:rPr>
        <w:drawing>
          <wp:inline distT="0" distB="0" distL="0" distR="0" wp14:anchorId="0C6157DD" wp14:editId="24A6A457">
            <wp:extent cx="2734310" cy="2777819"/>
            <wp:effectExtent l="0" t="0" r="889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66152" cy="2810168"/>
                    </a:xfrm>
                    <a:prstGeom prst="rect">
                      <a:avLst/>
                    </a:prstGeom>
                    <a:noFill/>
                  </pic:spPr>
                </pic:pic>
              </a:graphicData>
            </a:graphic>
          </wp:inline>
        </w:drawing>
      </w:r>
    </w:p>
    <w:p w14:paraId="55EF43B3" w14:textId="7C2544FC" w:rsidR="009E058B" w:rsidRPr="00F305A4" w:rsidRDefault="00E02BD6" w:rsidP="00CB31B1">
      <w:pPr>
        <w:pStyle w:val="Rrys"/>
        <w:rPr>
          <w:lang w:val="en-GB"/>
        </w:rPr>
      </w:pPr>
      <w:r w:rsidRPr="00F305A4">
        <w:rPr>
          <w:b/>
          <w:bCs/>
          <w:lang w:val="en-GB"/>
        </w:rPr>
        <w:t>Fig</w:t>
      </w:r>
      <w:r w:rsidR="0049438D" w:rsidRPr="00F305A4">
        <w:rPr>
          <w:b/>
          <w:bCs/>
          <w:lang w:val="en-GB"/>
        </w:rPr>
        <w:t>.</w:t>
      </w:r>
      <w:r w:rsidR="00BD7760" w:rsidRPr="00F305A4">
        <w:rPr>
          <w:b/>
          <w:bCs/>
          <w:lang w:val="en-GB"/>
        </w:rPr>
        <w:t xml:space="preserve"> </w:t>
      </w:r>
      <w:r w:rsidR="00230903" w:rsidRPr="00F305A4">
        <w:rPr>
          <w:b/>
          <w:bCs/>
          <w:lang w:val="en-GB"/>
        </w:rPr>
        <w:t>10</w:t>
      </w:r>
      <w:r w:rsidR="00BD7760" w:rsidRPr="00F305A4">
        <w:rPr>
          <w:b/>
          <w:bCs/>
          <w:lang w:val="en-GB"/>
        </w:rPr>
        <w:t>.</w:t>
      </w:r>
      <w:r w:rsidRPr="00F305A4">
        <w:rPr>
          <w:lang w:val="en-GB"/>
        </w:rPr>
        <w:t xml:space="preserve"> Spatial distribution of meanders of the </w:t>
      </w:r>
      <w:proofErr w:type="spellStart"/>
      <w:r w:rsidRPr="00F305A4">
        <w:rPr>
          <w:lang w:val="en-GB"/>
        </w:rPr>
        <w:t>Bălăneasa</w:t>
      </w:r>
      <w:proofErr w:type="spellEnd"/>
      <w:r w:rsidRPr="00F305A4">
        <w:rPr>
          <w:lang w:val="en-GB"/>
        </w:rPr>
        <w:t xml:space="preserve"> River in 2025</w:t>
      </w:r>
    </w:p>
    <w:p w14:paraId="50CDA44F" w14:textId="77777777" w:rsidR="00CB31B1" w:rsidRPr="00F305A4" w:rsidRDefault="00CB31B1" w:rsidP="008800A0">
      <w:pPr>
        <w:spacing w:after="0" w:line="240" w:lineRule="auto"/>
        <w:ind w:firstLine="284"/>
        <w:jc w:val="both"/>
        <w:rPr>
          <w:rFonts w:ascii="Times New Roman" w:hAnsi="Times New Roman" w:cs="Times New Roman"/>
          <w:lang w:val="en-GB"/>
        </w:rPr>
      </w:pPr>
    </w:p>
    <w:p w14:paraId="52C9B09E" w14:textId="20407A61" w:rsidR="00BD7760" w:rsidRPr="00F305A4" w:rsidRDefault="00BD7760"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In upper basin sectors, meander radii are generally &lt;60 m, constrained by valley morphology and forested slopes. In contrast, </w:t>
      </w:r>
      <w:r w:rsidR="005C4E70">
        <w:rPr>
          <w:rFonts w:ascii="Times New Roman" w:hAnsi="Times New Roman" w:cs="Times New Roman"/>
          <w:lang w:val="en-GB"/>
        </w:rPr>
        <w:t>the middle and lower reaches exhibit larger radii, typically</w:t>
      </w:r>
      <w:r w:rsidRPr="00F305A4">
        <w:rPr>
          <w:rFonts w:ascii="Times New Roman" w:hAnsi="Times New Roman" w:cs="Times New Roman"/>
          <w:lang w:val="en-GB"/>
        </w:rPr>
        <w:t xml:space="preserve"> 100–140 m, indicating partial channel adjustment and localized stabilization.</w:t>
      </w:r>
    </w:p>
    <w:p w14:paraId="1E898314" w14:textId="74D72F6C" w:rsidR="00BD7760" w:rsidRPr="00F305A4" w:rsidRDefault="005C4E70" w:rsidP="008800A0">
      <w:pPr>
        <w:spacing w:after="0" w:line="240" w:lineRule="auto"/>
        <w:ind w:firstLine="284"/>
        <w:jc w:val="both"/>
        <w:rPr>
          <w:rFonts w:ascii="Times New Roman" w:hAnsi="Times New Roman" w:cs="Times New Roman"/>
          <w:lang w:val="en-GB"/>
        </w:rPr>
      </w:pPr>
      <w:r>
        <w:rPr>
          <w:rFonts w:ascii="Times New Roman" w:hAnsi="Times New Roman" w:cs="Times New Roman"/>
          <w:lang w:val="en-GB"/>
        </w:rPr>
        <w:t>A comparative analysis of</w:t>
      </w:r>
      <w:r w:rsidR="00BD7760" w:rsidRPr="00F305A4">
        <w:rPr>
          <w:rFonts w:ascii="Times New Roman" w:hAnsi="Times New Roman" w:cs="Times New Roman"/>
          <w:lang w:val="en-GB"/>
        </w:rPr>
        <w:t xml:space="preserve"> historical cartographic data (Fig</w:t>
      </w:r>
      <w:r w:rsidR="00BE6253" w:rsidRPr="00F305A4">
        <w:rPr>
          <w:rFonts w:ascii="Times New Roman" w:hAnsi="Times New Roman" w:cs="Times New Roman"/>
          <w:lang w:val="en-GB"/>
        </w:rPr>
        <w:t>.</w:t>
      </w:r>
      <w:r w:rsidR="00BD7760" w:rsidRPr="00F305A4">
        <w:rPr>
          <w:rFonts w:ascii="Times New Roman" w:hAnsi="Times New Roman" w:cs="Times New Roman"/>
          <w:lang w:val="en-GB"/>
        </w:rPr>
        <w:t xml:space="preserve"> 1</w:t>
      </w:r>
      <w:r w:rsidR="00230903" w:rsidRPr="00F305A4">
        <w:rPr>
          <w:rFonts w:ascii="Times New Roman" w:hAnsi="Times New Roman" w:cs="Times New Roman"/>
          <w:lang w:val="en-GB"/>
        </w:rPr>
        <w:t>1</w:t>
      </w:r>
      <w:r w:rsidR="00BD7760" w:rsidRPr="00F305A4">
        <w:rPr>
          <w:rFonts w:ascii="Times New Roman" w:hAnsi="Times New Roman" w:cs="Times New Roman"/>
          <w:lang w:val="en-GB"/>
        </w:rPr>
        <w:t>) shows that the river previously exhibited higher sinuosity and greater lateral mobility.</w:t>
      </w:r>
    </w:p>
    <w:p w14:paraId="4E1A35E2" w14:textId="63E2B8D3" w:rsidR="00EE2109" w:rsidRPr="00F305A4" w:rsidRDefault="00BD7760" w:rsidP="00F204E2">
      <w:pPr>
        <w:spacing w:after="0" w:line="240" w:lineRule="auto"/>
        <w:jc w:val="center"/>
        <w:rPr>
          <w:lang w:val="en-GB"/>
        </w:rPr>
      </w:pPr>
      <w:r w:rsidRPr="00F305A4">
        <w:rPr>
          <w:lang w:val="en-GB"/>
        </w:rPr>
        <w:drawing>
          <wp:inline distT="0" distB="0" distL="0" distR="0" wp14:anchorId="0BD95657" wp14:editId="045974BE">
            <wp:extent cx="2886824" cy="28260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6824" cy="2826000"/>
                    </a:xfrm>
                    <a:prstGeom prst="rect">
                      <a:avLst/>
                    </a:prstGeom>
                    <a:noFill/>
                  </pic:spPr>
                </pic:pic>
              </a:graphicData>
            </a:graphic>
          </wp:inline>
        </w:drawing>
      </w:r>
    </w:p>
    <w:p w14:paraId="2C902DC6" w14:textId="7660320D" w:rsidR="00AA57D6" w:rsidRPr="00F305A4" w:rsidRDefault="00634947" w:rsidP="00637E02">
      <w:pPr>
        <w:pStyle w:val="Rrys"/>
        <w:rPr>
          <w:lang w:val="en-GB"/>
        </w:rPr>
      </w:pPr>
      <w:r w:rsidRPr="00F305A4">
        <w:rPr>
          <w:b/>
          <w:bCs/>
          <w:lang w:val="en-GB"/>
        </w:rPr>
        <w:t>Fig</w:t>
      </w:r>
      <w:r w:rsidR="0049438D" w:rsidRPr="00F305A4">
        <w:rPr>
          <w:b/>
          <w:bCs/>
          <w:lang w:val="en-GB"/>
        </w:rPr>
        <w:t>.</w:t>
      </w:r>
      <w:r w:rsidR="00BD7760" w:rsidRPr="00F305A4">
        <w:rPr>
          <w:b/>
          <w:bCs/>
          <w:lang w:val="en-GB"/>
        </w:rPr>
        <w:t xml:space="preserve"> </w:t>
      </w:r>
      <w:r w:rsidR="0049438D" w:rsidRPr="00F305A4">
        <w:rPr>
          <w:b/>
          <w:bCs/>
          <w:lang w:val="en-GB"/>
        </w:rPr>
        <w:t>1</w:t>
      </w:r>
      <w:r w:rsidR="00230903" w:rsidRPr="00F305A4">
        <w:rPr>
          <w:b/>
          <w:bCs/>
          <w:lang w:val="en-GB"/>
        </w:rPr>
        <w:t>1</w:t>
      </w:r>
      <w:r w:rsidRPr="00F305A4">
        <w:rPr>
          <w:b/>
          <w:bCs/>
          <w:lang w:val="en-GB"/>
        </w:rPr>
        <w:t>.</w:t>
      </w:r>
      <w:r w:rsidRPr="00F305A4">
        <w:rPr>
          <w:lang w:val="en-GB"/>
        </w:rPr>
        <w:t xml:space="preserve"> Spatial distribution of meanders of the </w:t>
      </w:r>
      <w:proofErr w:type="spellStart"/>
      <w:r w:rsidRPr="00F305A4">
        <w:rPr>
          <w:lang w:val="en-GB"/>
        </w:rPr>
        <w:t>Bălăneasa</w:t>
      </w:r>
      <w:proofErr w:type="spellEnd"/>
      <w:r w:rsidRPr="00F305A4">
        <w:rPr>
          <w:lang w:val="en-GB"/>
        </w:rPr>
        <w:t xml:space="preserve"> River, according to the </w:t>
      </w:r>
      <w:r w:rsidR="00D15048" w:rsidRPr="00F305A4">
        <w:rPr>
          <w:lang w:val="en-GB"/>
        </w:rPr>
        <w:t xml:space="preserve">Romanian Master Plan Sheets </w:t>
      </w:r>
      <w:r w:rsidR="00637E02">
        <w:rPr>
          <w:lang w:val="en-GB"/>
        </w:rPr>
        <w:br/>
      </w:r>
      <w:r w:rsidR="005B23D9" w:rsidRPr="00F305A4">
        <w:rPr>
          <w:lang w:val="en-GB"/>
        </w:rPr>
        <w:t>(mid-20th century)</w:t>
      </w:r>
    </w:p>
    <w:p w14:paraId="0FDF4CF0" w14:textId="450992CF" w:rsidR="00EA6FA7" w:rsidRPr="00F305A4" w:rsidRDefault="00BD7760" w:rsidP="00230903">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lastRenderedPageBreak/>
        <w:t>At that stage, smaller meander radii and frequent channel shifts were characteristic of an active morphodynamic regime. Subsequent engineering interventions (bank stabilization, flow regulation, and local channel corrections) have contributed to reduced lateral migration and improved channel stability.</w:t>
      </w:r>
      <w:bookmarkStart w:id="16" w:name="_Toc221092414"/>
      <w:bookmarkEnd w:id="15"/>
    </w:p>
    <w:p w14:paraId="75AE7617" w14:textId="1C574AB1" w:rsidR="00A93F2C" w:rsidRPr="00F305A4" w:rsidRDefault="00634947" w:rsidP="00CB31B1">
      <w:pPr>
        <w:pStyle w:val="Rn2"/>
        <w:rPr>
          <w:lang w:val="en-GB"/>
        </w:rPr>
      </w:pPr>
      <w:r w:rsidRPr="00F305A4">
        <w:rPr>
          <w:lang w:val="en-GB"/>
        </w:rPr>
        <w:t>3.</w:t>
      </w:r>
      <w:r w:rsidR="0081513B" w:rsidRPr="00F305A4">
        <w:rPr>
          <w:lang w:val="en-GB"/>
        </w:rPr>
        <w:t>5</w:t>
      </w:r>
      <w:r w:rsidRPr="00F305A4">
        <w:rPr>
          <w:lang w:val="en-GB"/>
        </w:rPr>
        <w:t xml:space="preserve">. </w:t>
      </w:r>
      <w:r w:rsidR="00BE4878" w:rsidRPr="00F305A4">
        <w:rPr>
          <w:lang w:val="en-GB"/>
        </w:rPr>
        <w:t xml:space="preserve">3D </w:t>
      </w:r>
      <w:proofErr w:type="spellStart"/>
      <w:r w:rsidR="00BE4878" w:rsidRPr="00F305A4">
        <w:rPr>
          <w:lang w:val="en-GB"/>
        </w:rPr>
        <w:t>Modeling</w:t>
      </w:r>
      <w:proofErr w:type="spellEnd"/>
      <w:r w:rsidR="00BE4878" w:rsidRPr="00F305A4">
        <w:rPr>
          <w:lang w:val="en-GB"/>
        </w:rPr>
        <w:t xml:space="preserve"> of the Device </w:t>
      </w:r>
      <w:r w:rsidRPr="00F305A4">
        <w:rPr>
          <w:lang w:val="en-GB"/>
        </w:rPr>
        <w:t>(FEA)</w:t>
      </w:r>
    </w:p>
    <w:p w14:paraId="66ACD570" w14:textId="725BF6D5" w:rsidR="00BE4878" w:rsidRPr="00F305A4" w:rsidRDefault="00BE4878"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3D model</w:t>
      </w:r>
      <w:r w:rsidR="005C4E70">
        <w:rPr>
          <w:rFonts w:ascii="Times New Roman" w:hAnsi="Times New Roman" w:cs="Times New Roman"/>
          <w:lang w:val="en-GB"/>
        </w:rPr>
        <w:t xml:space="preserve"> of the gabion clamping device was created in SolidWorks Premium 2021</w:t>
      </w:r>
      <w:r w:rsidRPr="00F305A4">
        <w:rPr>
          <w:rFonts w:ascii="Times New Roman" w:hAnsi="Times New Roman" w:cs="Times New Roman"/>
          <w:lang w:val="en-GB"/>
        </w:rPr>
        <w:t>. The assembly was designed as a tong-type gripping mechanism intended for lifting and handling gabion units used in riverbank stabilization works.</w:t>
      </w:r>
    </w:p>
    <w:p w14:paraId="0F851177" w14:textId="5CB2FBB0" w:rsidR="00BE4878" w:rsidRPr="00F305A4" w:rsidRDefault="00BE4878"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model integrates the main structural components, including the articulated gripping arms, claw elements, and the upper lifting attachment point (Fig</w:t>
      </w:r>
      <w:r w:rsidR="00EF0F78" w:rsidRPr="00F305A4">
        <w:rPr>
          <w:rFonts w:ascii="Times New Roman" w:hAnsi="Times New Roman" w:cs="Times New Roman"/>
          <w:lang w:val="en-GB"/>
        </w:rPr>
        <w:t>.</w:t>
      </w:r>
      <w:r w:rsidR="008273E8">
        <w:rPr>
          <w:rFonts w:ascii="Times New Roman" w:hAnsi="Times New Roman" w:cs="Times New Roman"/>
          <w:lang w:val="en-GB"/>
        </w:rPr>
        <w:t xml:space="preserve"> </w:t>
      </w:r>
      <w:r w:rsidRPr="00F305A4">
        <w:rPr>
          <w:rFonts w:ascii="Times New Roman" w:hAnsi="Times New Roman" w:cs="Times New Roman"/>
          <w:lang w:val="en-GB"/>
        </w:rPr>
        <w:t>1</w:t>
      </w:r>
      <w:r w:rsidR="00230903" w:rsidRPr="00F305A4">
        <w:rPr>
          <w:rFonts w:ascii="Times New Roman" w:hAnsi="Times New Roman" w:cs="Times New Roman"/>
          <w:lang w:val="en-GB"/>
        </w:rPr>
        <w:t>2</w:t>
      </w:r>
      <w:r w:rsidRPr="00F305A4">
        <w:rPr>
          <w:rFonts w:ascii="Times New Roman" w:hAnsi="Times New Roman" w:cs="Times New Roman"/>
          <w:lang w:val="en-GB"/>
        </w:rPr>
        <w:t xml:space="preserve">). </w:t>
      </w:r>
      <w:r w:rsidR="005C4E70">
        <w:rPr>
          <w:rFonts w:ascii="Times New Roman" w:hAnsi="Times New Roman" w:cs="Times New Roman"/>
          <w:lang w:val="en-GB"/>
        </w:rPr>
        <w:t>The geometric configuration and joint positions were defined to ensure efficient load gripping and uniform mechanical stress distribution</w:t>
      </w:r>
      <w:r w:rsidRPr="00F305A4">
        <w:rPr>
          <w:rFonts w:ascii="Times New Roman" w:hAnsi="Times New Roman" w:cs="Times New Roman"/>
          <w:lang w:val="en-GB"/>
        </w:rPr>
        <w:t xml:space="preserve"> during operation.</w:t>
      </w:r>
    </w:p>
    <w:p w14:paraId="5A0E6BD1" w14:textId="5BD93327" w:rsidR="00BE4878" w:rsidRPr="00F305A4" w:rsidRDefault="00BE4878"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device was designed with an adjustable jaw opening ranging from 400 to 1100 mm, allowing compatibility with standard gabion dimensions and ensuring safe handling conditions under variable field requirements.</w:t>
      </w:r>
    </w:p>
    <w:p w14:paraId="53C3F0A5" w14:textId="77777777" w:rsidR="00CB31B1" w:rsidRPr="00F305A4" w:rsidRDefault="00CB31B1" w:rsidP="008800A0">
      <w:pPr>
        <w:spacing w:after="0" w:line="240" w:lineRule="auto"/>
        <w:ind w:firstLine="284"/>
        <w:jc w:val="both"/>
        <w:rPr>
          <w:rFonts w:ascii="Times New Roman" w:hAnsi="Times New Roman" w:cs="Times New Roman"/>
          <w:lang w:val="en-GB"/>
        </w:rPr>
      </w:pPr>
    </w:p>
    <w:p w14:paraId="1CC0EC89" w14:textId="6B8EA2F4" w:rsidR="00BE4878" w:rsidRPr="00F305A4" w:rsidRDefault="00BE4878" w:rsidP="00CB31B1">
      <w:pPr>
        <w:pStyle w:val="Rtab"/>
        <w:rPr>
          <w:lang w:val="en-GB"/>
        </w:rPr>
      </w:pPr>
      <w:r w:rsidRPr="00F305A4">
        <w:rPr>
          <w:b/>
          <w:lang w:val="en-GB"/>
        </w:rPr>
        <w:t>Table 5.</w:t>
      </w:r>
      <w:r w:rsidRPr="00F305A4">
        <w:rPr>
          <w:lang w:val="en-GB"/>
        </w:rPr>
        <w:t xml:space="preserve"> Handling device subassemblies</w:t>
      </w: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11"/>
        <w:gridCol w:w="1675"/>
        <w:gridCol w:w="916"/>
      </w:tblGrid>
      <w:tr w:rsidR="00F305A4" w:rsidRPr="00F305A4" w14:paraId="7865E06D" w14:textId="77777777" w:rsidTr="00CB31B1">
        <w:trPr>
          <w:trHeight w:val="340"/>
          <w:jc w:val="center"/>
        </w:trPr>
        <w:tc>
          <w:tcPr>
            <w:tcW w:w="511" w:type="dxa"/>
            <w:vAlign w:val="center"/>
            <w:hideMark/>
          </w:tcPr>
          <w:p w14:paraId="2396F72C" w14:textId="77777777" w:rsidR="00BE4878" w:rsidRPr="00F305A4" w:rsidRDefault="00BE4878" w:rsidP="00CB31B1">
            <w:pPr>
              <w:jc w:val="center"/>
              <w:rPr>
                <w:rFonts w:ascii="Times New Roman" w:eastAsia="Times New Roman" w:hAnsi="Times New Roman" w:cs="Times New Roman"/>
                <w:sz w:val="20"/>
                <w:szCs w:val="20"/>
                <w:lang w:eastAsia="en-GB"/>
              </w:rPr>
            </w:pPr>
            <w:r w:rsidRPr="00F305A4">
              <w:rPr>
                <w:rFonts w:ascii="Times New Roman" w:eastAsia="Times New Roman" w:hAnsi="Times New Roman" w:cs="Times New Roman"/>
                <w:sz w:val="20"/>
                <w:szCs w:val="20"/>
                <w:lang w:eastAsia="en-GB"/>
              </w:rPr>
              <w:t>No.</w:t>
            </w:r>
          </w:p>
        </w:tc>
        <w:tc>
          <w:tcPr>
            <w:tcW w:w="1675" w:type="dxa"/>
            <w:vAlign w:val="center"/>
            <w:hideMark/>
          </w:tcPr>
          <w:p w14:paraId="71950735" w14:textId="77777777" w:rsidR="00BE4878" w:rsidRPr="00F305A4" w:rsidRDefault="00BE4878" w:rsidP="00CB31B1">
            <w:pPr>
              <w:jc w:val="center"/>
              <w:rPr>
                <w:rFonts w:ascii="Times New Roman" w:eastAsia="Times New Roman" w:hAnsi="Times New Roman" w:cs="Times New Roman"/>
                <w:sz w:val="20"/>
                <w:szCs w:val="20"/>
                <w:lang w:eastAsia="en-GB"/>
              </w:rPr>
            </w:pPr>
            <w:r w:rsidRPr="00F305A4">
              <w:rPr>
                <w:rFonts w:ascii="Times New Roman" w:eastAsia="Times New Roman" w:hAnsi="Times New Roman" w:cs="Times New Roman"/>
                <w:sz w:val="20"/>
                <w:szCs w:val="20"/>
                <w:lang w:eastAsia="en-GB"/>
              </w:rPr>
              <w:t>Assembly name</w:t>
            </w:r>
          </w:p>
        </w:tc>
        <w:tc>
          <w:tcPr>
            <w:tcW w:w="0" w:type="auto"/>
            <w:vAlign w:val="center"/>
            <w:hideMark/>
          </w:tcPr>
          <w:p w14:paraId="7D426D3E" w14:textId="77777777" w:rsidR="00BE4878" w:rsidRPr="00F305A4" w:rsidRDefault="00BE4878" w:rsidP="00CB31B1">
            <w:pPr>
              <w:jc w:val="center"/>
              <w:rPr>
                <w:rFonts w:ascii="Times New Roman" w:eastAsia="Times New Roman" w:hAnsi="Times New Roman" w:cs="Times New Roman"/>
                <w:sz w:val="20"/>
                <w:szCs w:val="20"/>
                <w:lang w:eastAsia="en-GB"/>
              </w:rPr>
            </w:pPr>
            <w:r w:rsidRPr="00F305A4">
              <w:rPr>
                <w:rFonts w:ascii="Times New Roman" w:eastAsia="Times New Roman" w:hAnsi="Times New Roman" w:cs="Times New Roman"/>
                <w:sz w:val="20"/>
                <w:szCs w:val="20"/>
                <w:lang w:eastAsia="en-GB"/>
              </w:rPr>
              <w:t>Quantity</w:t>
            </w:r>
          </w:p>
        </w:tc>
      </w:tr>
      <w:tr w:rsidR="00F305A4" w:rsidRPr="00F305A4" w14:paraId="7C53A546" w14:textId="77777777" w:rsidTr="00CB31B1">
        <w:trPr>
          <w:trHeight w:val="283"/>
          <w:jc w:val="center"/>
        </w:trPr>
        <w:tc>
          <w:tcPr>
            <w:tcW w:w="511" w:type="dxa"/>
            <w:vAlign w:val="center"/>
            <w:hideMark/>
          </w:tcPr>
          <w:p w14:paraId="775FAE01" w14:textId="77777777" w:rsidR="00BE4878" w:rsidRPr="00F305A4" w:rsidRDefault="00BE4878" w:rsidP="00CB31B1">
            <w:pPr>
              <w:jc w:val="center"/>
              <w:rPr>
                <w:rFonts w:ascii="Times New Roman" w:eastAsia="Times New Roman" w:hAnsi="Times New Roman" w:cs="Times New Roman"/>
                <w:sz w:val="20"/>
                <w:szCs w:val="20"/>
                <w:lang w:eastAsia="en-GB"/>
              </w:rPr>
            </w:pPr>
            <w:r w:rsidRPr="00F305A4">
              <w:rPr>
                <w:rFonts w:ascii="Times New Roman" w:eastAsia="Times New Roman" w:hAnsi="Times New Roman" w:cs="Times New Roman"/>
                <w:sz w:val="20"/>
                <w:szCs w:val="20"/>
                <w:lang w:eastAsia="en-GB"/>
              </w:rPr>
              <w:t>1</w:t>
            </w:r>
          </w:p>
        </w:tc>
        <w:tc>
          <w:tcPr>
            <w:tcW w:w="1675" w:type="dxa"/>
            <w:vAlign w:val="center"/>
            <w:hideMark/>
          </w:tcPr>
          <w:p w14:paraId="2CA358AC" w14:textId="77777777" w:rsidR="00BE4878" w:rsidRPr="00F305A4" w:rsidRDefault="00BE4878" w:rsidP="00CB31B1">
            <w:pPr>
              <w:jc w:val="center"/>
              <w:rPr>
                <w:rFonts w:ascii="Times New Roman" w:eastAsia="Times New Roman" w:hAnsi="Times New Roman" w:cs="Times New Roman"/>
                <w:sz w:val="20"/>
                <w:szCs w:val="20"/>
                <w:lang w:eastAsia="en-GB"/>
              </w:rPr>
            </w:pPr>
            <w:r w:rsidRPr="00F305A4">
              <w:rPr>
                <w:rFonts w:ascii="Times New Roman" w:eastAsia="Times New Roman" w:hAnsi="Times New Roman" w:cs="Times New Roman"/>
                <w:sz w:val="20"/>
                <w:szCs w:val="20"/>
                <w:lang w:eastAsia="en-GB"/>
              </w:rPr>
              <w:t>Upper lifting eye</w:t>
            </w:r>
          </w:p>
        </w:tc>
        <w:tc>
          <w:tcPr>
            <w:tcW w:w="0" w:type="auto"/>
            <w:vAlign w:val="center"/>
            <w:hideMark/>
          </w:tcPr>
          <w:p w14:paraId="118D7F27" w14:textId="77777777" w:rsidR="00BE4878" w:rsidRPr="00F305A4" w:rsidRDefault="00BE4878" w:rsidP="00CB31B1">
            <w:pPr>
              <w:jc w:val="center"/>
              <w:rPr>
                <w:rFonts w:ascii="Times New Roman" w:eastAsia="Times New Roman" w:hAnsi="Times New Roman" w:cs="Times New Roman"/>
                <w:sz w:val="20"/>
                <w:szCs w:val="20"/>
                <w:lang w:eastAsia="en-GB"/>
              </w:rPr>
            </w:pPr>
            <w:r w:rsidRPr="00F305A4">
              <w:rPr>
                <w:rFonts w:ascii="Times New Roman" w:eastAsia="Times New Roman" w:hAnsi="Times New Roman" w:cs="Times New Roman"/>
                <w:sz w:val="20"/>
                <w:szCs w:val="20"/>
                <w:lang w:eastAsia="en-GB"/>
              </w:rPr>
              <w:t>1</w:t>
            </w:r>
          </w:p>
        </w:tc>
      </w:tr>
      <w:tr w:rsidR="00F305A4" w:rsidRPr="00F305A4" w14:paraId="2D9974A8" w14:textId="77777777" w:rsidTr="00CB31B1">
        <w:trPr>
          <w:trHeight w:val="283"/>
          <w:jc w:val="center"/>
        </w:trPr>
        <w:tc>
          <w:tcPr>
            <w:tcW w:w="511" w:type="dxa"/>
            <w:vAlign w:val="center"/>
            <w:hideMark/>
          </w:tcPr>
          <w:p w14:paraId="6931C92A" w14:textId="7918556A" w:rsidR="00BE4878" w:rsidRPr="00F305A4" w:rsidRDefault="00BE4878" w:rsidP="00CB31B1">
            <w:pPr>
              <w:jc w:val="center"/>
              <w:rPr>
                <w:rFonts w:ascii="Times New Roman" w:eastAsia="Times New Roman" w:hAnsi="Times New Roman" w:cs="Times New Roman"/>
                <w:sz w:val="20"/>
                <w:szCs w:val="20"/>
                <w:lang w:eastAsia="en-GB"/>
              </w:rPr>
            </w:pPr>
            <w:r w:rsidRPr="00F305A4">
              <w:rPr>
                <w:rFonts w:ascii="Times New Roman" w:eastAsia="Times New Roman" w:hAnsi="Times New Roman" w:cs="Times New Roman"/>
                <w:sz w:val="20"/>
                <w:szCs w:val="20"/>
                <w:lang w:eastAsia="en-GB"/>
              </w:rPr>
              <w:t>2</w:t>
            </w:r>
          </w:p>
        </w:tc>
        <w:tc>
          <w:tcPr>
            <w:tcW w:w="1675" w:type="dxa"/>
            <w:vAlign w:val="center"/>
            <w:hideMark/>
          </w:tcPr>
          <w:p w14:paraId="35FF4359" w14:textId="77777777" w:rsidR="00BE4878" w:rsidRPr="00F305A4" w:rsidRDefault="00BE4878" w:rsidP="00CB31B1">
            <w:pPr>
              <w:jc w:val="center"/>
              <w:rPr>
                <w:rFonts w:ascii="Times New Roman" w:eastAsia="Times New Roman" w:hAnsi="Times New Roman" w:cs="Times New Roman"/>
                <w:sz w:val="20"/>
                <w:szCs w:val="20"/>
                <w:lang w:eastAsia="en-GB"/>
              </w:rPr>
            </w:pPr>
            <w:r w:rsidRPr="00F305A4">
              <w:rPr>
                <w:rFonts w:ascii="Times New Roman" w:eastAsia="Times New Roman" w:hAnsi="Times New Roman" w:cs="Times New Roman"/>
                <w:sz w:val="20"/>
                <w:szCs w:val="20"/>
                <w:lang w:eastAsia="en-GB"/>
              </w:rPr>
              <w:t>Gripping arms</w:t>
            </w:r>
          </w:p>
        </w:tc>
        <w:tc>
          <w:tcPr>
            <w:tcW w:w="0" w:type="auto"/>
            <w:vAlign w:val="center"/>
            <w:hideMark/>
          </w:tcPr>
          <w:p w14:paraId="1CC7872C" w14:textId="77777777" w:rsidR="00BE4878" w:rsidRPr="00F305A4" w:rsidRDefault="00BE4878" w:rsidP="00CB31B1">
            <w:pPr>
              <w:jc w:val="center"/>
              <w:rPr>
                <w:rFonts w:ascii="Times New Roman" w:eastAsia="Times New Roman" w:hAnsi="Times New Roman" w:cs="Times New Roman"/>
                <w:sz w:val="20"/>
                <w:szCs w:val="20"/>
                <w:lang w:eastAsia="en-GB"/>
              </w:rPr>
            </w:pPr>
            <w:r w:rsidRPr="00F305A4">
              <w:rPr>
                <w:rFonts w:ascii="Times New Roman" w:eastAsia="Times New Roman" w:hAnsi="Times New Roman" w:cs="Times New Roman"/>
                <w:sz w:val="20"/>
                <w:szCs w:val="20"/>
                <w:lang w:eastAsia="en-GB"/>
              </w:rPr>
              <w:t>2</w:t>
            </w:r>
          </w:p>
        </w:tc>
      </w:tr>
      <w:tr w:rsidR="00F305A4" w:rsidRPr="00F305A4" w14:paraId="154068BE" w14:textId="77777777" w:rsidTr="00CB31B1">
        <w:trPr>
          <w:trHeight w:val="283"/>
          <w:jc w:val="center"/>
        </w:trPr>
        <w:tc>
          <w:tcPr>
            <w:tcW w:w="511" w:type="dxa"/>
            <w:vAlign w:val="center"/>
            <w:hideMark/>
          </w:tcPr>
          <w:p w14:paraId="731D2A6B" w14:textId="77777777" w:rsidR="00BE4878" w:rsidRPr="00F305A4" w:rsidRDefault="00BE4878" w:rsidP="00CB31B1">
            <w:pPr>
              <w:jc w:val="center"/>
              <w:rPr>
                <w:rFonts w:ascii="Times New Roman" w:eastAsia="Times New Roman" w:hAnsi="Times New Roman" w:cs="Times New Roman"/>
                <w:sz w:val="20"/>
                <w:szCs w:val="20"/>
                <w:lang w:eastAsia="en-GB"/>
              </w:rPr>
            </w:pPr>
            <w:r w:rsidRPr="00F305A4">
              <w:rPr>
                <w:rFonts w:ascii="Times New Roman" w:eastAsia="Times New Roman" w:hAnsi="Times New Roman" w:cs="Times New Roman"/>
                <w:sz w:val="20"/>
                <w:szCs w:val="20"/>
                <w:lang w:eastAsia="en-GB"/>
              </w:rPr>
              <w:t>3</w:t>
            </w:r>
          </w:p>
        </w:tc>
        <w:tc>
          <w:tcPr>
            <w:tcW w:w="1675" w:type="dxa"/>
            <w:vAlign w:val="center"/>
            <w:hideMark/>
          </w:tcPr>
          <w:p w14:paraId="40F13F76" w14:textId="77777777" w:rsidR="00BE4878" w:rsidRPr="00F305A4" w:rsidRDefault="00BE4878" w:rsidP="00CB31B1">
            <w:pPr>
              <w:jc w:val="center"/>
              <w:rPr>
                <w:rFonts w:ascii="Times New Roman" w:eastAsia="Times New Roman" w:hAnsi="Times New Roman" w:cs="Times New Roman"/>
                <w:sz w:val="20"/>
                <w:szCs w:val="20"/>
                <w:lang w:eastAsia="en-GB"/>
              </w:rPr>
            </w:pPr>
            <w:r w:rsidRPr="00F305A4">
              <w:rPr>
                <w:rFonts w:ascii="Times New Roman" w:eastAsia="Times New Roman" w:hAnsi="Times New Roman" w:cs="Times New Roman"/>
                <w:sz w:val="20"/>
                <w:szCs w:val="20"/>
                <w:lang w:eastAsia="en-GB"/>
              </w:rPr>
              <w:t>Claws</w:t>
            </w:r>
          </w:p>
        </w:tc>
        <w:tc>
          <w:tcPr>
            <w:tcW w:w="0" w:type="auto"/>
            <w:vAlign w:val="center"/>
            <w:hideMark/>
          </w:tcPr>
          <w:p w14:paraId="021C5DA0" w14:textId="77777777" w:rsidR="00BE4878" w:rsidRPr="00F305A4" w:rsidRDefault="00BE4878" w:rsidP="00CB31B1">
            <w:pPr>
              <w:jc w:val="center"/>
              <w:rPr>
                <w:rFonts w:ascii="Times New Roman" w:eastAsia="Times New Roman" w:hAnsi="Times New Roman" w:cs="Times New Roman"/>
                <w:sz w:val="20"/>
                <w:szCs w:val="20"/>
                <w:lang w:eastAsia="en-GB"/>
              </w:rPr>
            </w:pPr>
            <w:r w:rsidRPr="00F305A4">
              <w:rPr>
                <w:rFonts w:ascii="Times New Roman" w:eastAsia="Times New Roman" w:hAnsi="Times New Roman" w:cs="Times New Roman"/>
                <w:sz w:val="20"/>
                <w:szCs w:val="20"/>
                <w:lang w:eastAsia="en-GB"/>
              </w:rPr>
              <w:t>2</w:t>
            </w:r>
          </w:p>
        </w:tc>
      </w:tr>
    </w:tbl>
    <w:p w14:paraId="6974D6D9" w14:textId="77777777" w:rsidR="00012D68" w:rsidRPr="00F305A4" w:rsidRDefault="00BE4878" w:rsidP="00CB31B1">
      <w:pPr>
        <w:spacing w:before="120" w:after="0" w:line="240" w:lineRule="auto"/>
        <w:jc w:val="center"/>
        <w:rPr>
          <w:rFonts w:ascii="Times New Roman" w:hAnsi="Times New Roman"/>
          <w:b/>
          <w:bCs/>
          <w:szCs w:val="20"/>
          <w:lang w:val="en-GB"/>
        </w:rPr>
      </w:pPr>
      <w:r w:rsidRPr="00F305A4">
        <w:rPr>
          <w:lang w:val="en-GB"/>
        </w:rPr>
        <w:drawing>
          <wp:inline distT="0" distB="0" distL="0" distR="0" wp14:anchorId="3387F7AD" wp14:editId="1308D776">
            <wp:extent cx="2415540" cy="2686103"/>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9722" cy="2690753"/>
                    </a:xfrm>
                    <a:prstGeom prst="rect">
                      <a:avLst/>
                    </a:prstGeom>
                    <a:noFill/>
                  </pic:spPr>
                </pic:pic>
              </a:graphicData>
            </a:graphic>
          </wp:inline>
        </w:drawing>
      </w:r>
    </w:p>
    <w:p w14:paraId="7AF57A24" w14:textId="56B0ED70" w:rsidR="00BE4878" w:rsidRPr="00F305A4" w:rsidRDefault="00BE4878" w:rsidP="00CB31B1">
      <w:pPr>
        <w:pStyle w:val="Rrys"/>
        <w:rPr>
          <w:sz w:val="24"/>
          <w:szCs w:val="24"/>
          <w:lang w:val="en-GB"/>
        </w:rPr>
      </w:pPr>
      <w:r w:rsidRPr="00F305A4">
        <w:rPr>
          <w:b/>
          <w:bCs/>
          <w:lang w:val="en-GB"/>
        </w:rPr>
        <w:t>Fig</w:t>
      </w:r>
      <w:r w:rsidR="0049438D" w:rsidRPr="00F305A4">
        <w:rPr>
          <w:b/>
          <w:bCs/>
          <w:lang w:val="en-GB"/>
        </w:rPr>
        <w:t>.</w:t>
      </w:r>
      <w:r w:rsidR="00CB31B1" w:rsidRPr="00F305A4">
        <w:rPr>
          <w:b/>
          <w:bCs/>
          <w:lang w:val="en-GB"/>
        </w:rPr>
        <w:t xml:space="preserve"> </w:t>
      </w:r>
      <w:r w:rsidR="0049438D" w:rsidRPr="00F305A4">
        <w:rPr>
          <w:b/>
          <w:bCs/>
          <w:lang w:val="en-GB"/>
        </w:rPr>
        <w:t>1</w:t>
      </w:r>
      <w:r w:rsidR="00230903" w:rsidRPr="00F305A4">
        <w:rPr>
          <w:b/>
          <w:bCs/>
          <w:lang w:val="en-GB"/>
        </w:rPr>
        <w:t>2</w:t>
      </w:r>
      <w:r w:rsidRPr="00F305A4">
        <w:rPr>
          <w:b/>
          <w:bCs/>
          <w:lang w:val="en-GB"/>
        </w:rPr>
        <w:t>.</w:t>
      </w:r>
      <w:r w:rsidRPr="00F305A4">
        <w:rPr>
          <w:lang w:val="en-GB"/>
        </w:rPr>
        <w:t xml:space="preserve"> </w:t>
      </w:r>
      <w:r w:rsidR="00EA6EC0" w:rsidRPr="00F305A4">
        <w:rPr>
          <w:lang w:val="en-GB"/>
        </w:rPr>
        <w:t>3D model of the proposed clamp-type gabion gripping device</w:t>
      </w:r>
    </w:p>
    <w:p w14:paraId="31EFC6F8" w14:textId="77777777" w:rsidR="00CB31B1" w:rsidRPr="00F305A4" w:rsidRDefault="00CB31B1" w:rsidP="00CB31B1">
      <w:pPr>
        <w:spacing w:after="0" w:line="240" w:lineRule="auto"/>
        <w:ind w:firstLine="284"/>
        <w:jc w:val="both"/>
        <w:rPr>
          <w:rFonts w:ascii="Times New Roman" w:hAnsi="Times New Roman" w:cs="Times New Roman"/>
          <w:lang w:val="en-GB"/>
        </w:rPr>
      </w:pPr>
    </w:p>
    <w:p w14:paraId="60005C77" w14:textId="25EA8B53" w:rsidR="00477352" w:rsidRPr="00F305A4" w:rsidRDefault="00552008" w:rsidP="00CB31B1">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The structural design incorporates a flexible articulated system intended to accommodate variable geomorphological conditions. The digital prototype is based on structural steel, selected for its high mechanical strength and resistance to environmental degradation. These material properties ensure reliable performance under repetitive handling operations and long-term exposure to mountainous outdoor conditions. </w:t>
      </w:r>
      <w:r w:rsidR="00EA6FA7" w:rsidRPr="00F305A4">
        <w:rPr>
          <w:rFonts w:ascii="Times New Roman" w:hAnsi="Times New Roman" w:cs="Times New Roman"/>
          <w:lang w:val="en-GB"/>
        </w:rPr>
        <w:t>(Callister &amp; Rethwisch, 2018).</w:t>
      </w:r>
    </w:p>
    <w:p w14:paraId="2337FF73" w14:textId="3F175502" w:rsidR="00BE4878" w:rsidRPr="00F305A4" w:rsidRDefault="00BE4878" w:rsidP="00CB31B1">
      <w:pPr>
        <w:pStyle w:val="Rn2"/>
        <w:rPr>
          <w:lang w:val="en-GB"/>
        </w:rPr>
      </w:pPr>
      <w:r w:rsidRPr="00F305A4">
        <w:rPr>
          <w:lang w:val="en-GB"/>
        </w:rPr>
        <w:t>3.</w:t>
      </w:r>
      <w:r w:rsidR="0081513B" w:rsidRPr="00F305A4">
        <w:rPr>
          <w:lang w:val="en-GB"/>
        </w:rPr>
        <w:t>6</w:t>
      </w:r>
      <w:r w:rsidRPr="00F305A4">
        <w:rPr>
          <w:lang w:val="en-GB"/>
        </w:rPr>
        <w:t>. Structural Analysis Using the Finite Element Method (FEA)</w:t>
      </w:r>
    </w:p>
    <w:p w14:paraId="4B369B80" w14:textId="77777777" w:rsidR="00266A4F" w:rsidRPr="00F305A4" w:rsidRDefault="00266A4F" w:rsidP="00266A4F">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mechanical performance of the proposed clamping device was assessed using the finite element method (FEM) to evaluate stress distribution and displacement patterns under operational loading conditions.</w:t>
      </w:r>
    </w:p>
    <w:p w14:paraId="08F86069" w14:textId="77777777" w:rsidR="00266A4F" w:rsidRDefault="00266A4F" w:rsidP="00266A4F">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numerical simulation was conducted in the SOLIDWORKS Simulation environment, where the 3D model was discretized into a finite element mesh. Boundary conditions were applied at the upper lifting eye, representing the connection to the hoisting system, while the load was applied at the gripping claws to simulate gabion handling conditions (Fig. 13).</w:t>
      </w:r>
    </w:p>
    <w:p w14:paraId="3B9746A1" w14:textId="77777777" w:rsidR="00266A4F" w:rsidRPr="00F305A4" w:rsidRDefault="00266A4F" w:rsidP="00266A4F">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A representative load corresponding to a 2000 kg gabion (≈ 20 kN) was applied to the system.</w:t>
      </w:r>
    </w:p>
    <w:p w14:paraId="357D67F4" w14:textId="7C7CC30A" w:rsidR="00266A4F" w:rsidRPr="00F305A4" w:rsidRDefault="00266A4F" w:rsidP="00266A4F">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The simulation results were obtained </w:t>
      </w:r>
      <w:r w:rsidR="005C4E70">
        <w:rPr>
          <w:rFonts w:ascii="Times New Roman" w:hAnsi="Times New Roman" w:cs="Times New Roman"/>
          <w:lang w:val="en-GB"/>
        </w:rPr>
        <w:t>for</w:t>
      </w:r>
      <w:r w:rsidRPr="00F305A4">
        <w:rPr>
          <w:rFonts w:ascii="Times New Roman" w:hAnsi="Times New Roman" w:cs="Times New Roman"/>
          <w:lang w:val="en-GB"/>
        </w:rPr>
        <w:t xml:space="preserve"> equivalent (von Mises) stress, total displacement, and equivalent strain, as shown in Fig. 14.</w:t>
      </w:r>
    </w:p>
    <w:p w14:paraId="5543CD6A" w14:textId="73DF708C" w:rsidR="00BE4878" w:rsidRPr="00F305A4" w:rsidRDefault="00BE4878" w:rsidP="00CB31B1">
      <w:pPr>
        <w:spacing w:line="240" w:lineRule="auto"/>
        <w:jc w:val="center"/>
        <w:rPr>
          <w:rFonts w:ascii="Times New Roman" w:hAnsi="Times New Roman" w:cs="Times New Roman"/>
          <w:sz w:val="24"/>
          <w:szCs w:val="24"/>
          <w:lang w:val="en-GB"/>
        </w:rPr>
      </w:pPr>
      <w:r w:rsidRPr="00F305A4">
        <w:rPr>
          <w:lang w:val="en-GB"/>
        </w:rPr>
        <w:lastRenderedPageBreak/>
        <w:drawing>
          <wp:inline distT="0" distB="0" distL="0" distR="0" wp14:anchorId="5DED94E2" wp14:editId="7AE897AA">
            <wp:extent cx="2026920" cy="2755336"/>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29530" cy="2758884"/>
                    </a:xfrm>
                    <a:prstGeom prst="rect">
                      <a:avLst/>
                    </a:prstGeom>
                    <a:noFill/>
                  </pic:spPr>
                </pic:pic>
              </a:graphicData>
            </a:graphic>
          </wp:inline>
        </w:drawing>
      </w:r>
    </w:p>
    <w:p w14:paraId="77C6F57A" w14:textId="3BD80FD2" w:rsidR="00A93F2C" w:rsidRDefault="0081513B" w:rsidP="00CB31B1">
      <w:pPr>
        <w:pStyle w:val="Rrys"/>
        <w:rPr>
          <w:noProof/>
          <w:lang w:val="en-GB"/>
        </w:rPr>
      </w:pPr>
      <w:r w:rsidRPr="00F305A4">
        <w:rPr>
          <w:b/>
          <w:bCs/>
          <w:noProof/>
          <w:lang w:val="en-GB"/>
        </w:rPr>
        <w:t>Fig</w:t>
      </w:r>
      <w:r w:rsidR="0049438D" w:rsidRPr="00F305A4">
        <w:rPr>
          <w:b/>
          <w:bCs/>
          <w:noProof/>
          <w:lang w:val="en-GB"/>
        </w:rPr>
        <w:t>.</w:t>
      </w:r>
      <w:r w:rsidRPr="00F305A4">
        <w:rPr>
          <w:b/>
          <w:bCs/>
          <w:noProof/>
          <w:lang w:val="en-GB"/>
        </w:rPr>
        <w:t xml:space="preserve"> </w:t>
      </w:r>
      <w:r w:rsidR="0049438D" w:rsidRPr="00F305A4">
        <w:rPr>
          <w:b/>
          <w:bCs/>
          <w:noProof/>
          <w:lang w:val="en-GB"/>
        </w:rPr>
        <w:t>1</w:t>
      </w:r>
      <w:r w:rsidR="00230903" w:rsidRPr="00F305A4">
        <w:rPr>
          <w:b/>
          <w:bCs/>
          <w:noProof/>
          <w:lang w:val="en-GB"/>
        </w:rPr>
        <w:t>3</w:t>
      </w:r>
      <w:r w:rsidR="008C1CB6" w:rsidRPr="00F305A4">
        <w:rPr>
          <w:b/>
          <w:bCs/>
          <w:noProof/>
          <w:lang w:val="en-GB"/>
        </w:rPr>
        <w:t>.</w:t>
      </w:r>
      <w:r w:rsidRPr="00F305A4">
        <w:rPr>
          <w:b/>
          <w:bCs/>
          <w:noProof/>
          <w:lang w:val="en-GB"/>
        </w:rPr>
        <w:t xml:space="preserve"> </w:t>
      </w:r>
      <w:r w:rsidRPr="00F305A4">
        <w:rPr>
          <w:noProof/>
          <w:lang w:val="en-GB"/>
        </w:rPr>
        <w:t>Fixtures and load application points</w:t>
      </w:r>
    </w:p>
    <w:p w14:paraId="6AE3CCEB" w14:textId="77777777" w:rsidR="005C4E70" w:rsidRPr="00F305A4" w:rsidRDefault="005C4E70" w:rsidP="00CB31B1">
      <w:pPr>
        <w:pStyle w:val="Rrys"/>
        <w:rPr>
          <w:noProof/>
          <w:lang w:val="en-GB"/>
        </w:rPr>
      </w:pPr>
    </w:p>
    <w:tbl>
      <w:tblPr>
        <w:tblStyle w:val="Tabela-Siatk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8"/>
      </w:tblGrid>
      <w:tr w:rsidR="005C4E70" w:rsidRPr="00F305A4" w14:paraId="00C6D596" w14:textId="77777777" w:rsidTr="005C4E70">
        <w:tc>
          <w:tcPr>
            <w:tcW w:w="9568" w:type="dxa"/>
            <w:vAlign w:val="center"/>
          </w:tcPr>
          <w:p w14:paraId="5E9E7A4D" w14:textId="3F4E152F" w:rsidR="005C4E70" w:rsidRPr="00F305A4" w:rsidRDefault="005C4E70" w:rsidP="0057044C">
            <w:pPr>
              <w:spacing w:after="120"/>
              <w:jc w:val="center"/>
              <w:rPr>
                <w:rFonts w:ascii="Times New Roman" w:hAnsi="Times New Roman" w:cs="Times New Roman"/>
                <w:lang w:val="en-GB"/>
              </w:rPr>
            </w:pPr>
            <w:r w:rsidRPr="005C4E70">
              <w:rPr>
                <w:rFonts w:ascii="Times New Roman" w:hAnsi="Times New Roman" w:cs="Times New Roman"/>
                <w:sz w:val="24"/>
                <w:szCs w:val="24"/>
                <w:lang w:val="en-GB"/>
              </w:rPr>
              <mc:AlternateContent>
                <mc:Choice Requires="wps">
                  <w:drawing>
                    <wp:anchor distT="45720" distB="45720" distL="114300" distR="114300" simplePos="0" relativeHeight="251658752" behindDoc="0" locked="0" layoutInCell="1" allowOverlap="1" wp14:anchorId="1938007A" wp14:editId="6A61B00E">
                      <wp:simplePos x="0" y="0"/>
                      <wp:positionH relativeFrom="column">
                        <wp:posOffset>3140075</wp:posOffset>
                      </wp:positionH>
                      <wp:positionV relativeFrom="paragraph">
                        <wp:posOffset>100965</wp:posOffset>
                      </wp:positionV>
                      <wp:extent cx="431800" cy="290830"/>
                      <wp:effectExtent l="0" t="0" r="0" b="0"/>
                      <wp:wrapNone/>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90830"/>
                              </a:xfrm>
                              <a:prstGeom prst="rect">
                                <a:avLst/>
                              </a:prstGeom>
                              <a:noFill/>
                              <a:ln w="9525">
                                <a:noFill/>
                                <a:miter lim="800000"/>
                                <a:headEnd/>
                                <a:tailEnd/>
                              </a:ln>
                            </wps:spPr>
                            <wps:txbx>
                              <w:txbxContent>
                                <w:p w14:paraId="6E4F0206" w14:textId="503E1445" w:rsidR="005C4E70" w:rsidRDefault="005C4E70" w:rsidP="005C4E70">
                                  <w:r w:rsidRPr="00F305A4">
                                    <w:rPr>
                                      <w:rFonts w:ascii="Times New Roman" w:hAnsi="Times New Roman" w:cs="Times New Roman"/>
                                      <w:sz w:val="24"/>
                                      <w:szCs w:val="24"/>
                                      <w:lang w:val="en-GB"/>
                                    </w:rPr>
                                    <w:t>(</w:t>
                                  </w:r>
                                  <w:r>
                                    <w:rPr>
                                      <w:rFonts w:ascii="Times New Roman" w:hAnsi="Times New Roman" w:cs="Times New Roman"/>
                                      <w:sz w:val="24"/>
                                      <w:szCs w:val="24"/>
                                      <w:lang w:val="en-GB"/>
                                    </w:rPr>
                                    <w:t>b</w:t>
                                  </w:r>
                                  <w:r w:rsidRPr="00F305A4">
                                    <w:rPr>
                                      <w:rFonts w:ascii="Times New Roman" w:hAnsi="Times New Roman" w:cs="Times New Roman"/>
                                      <w:sz w:val="24"/>
                                      <w:szCs w:val="24"/>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38007A" id="_x0000_t202" coordsize="21600,21600" o:spt="202" path="m,l,21600r21600,l21600,xe">
                      <v:stroke joinstyle="miter"/>
                      <v:path gradientshapeok="t" o:connecttype="rect"/>
                    </v:shapetype>
                    <v:shape id="Pole tekstowe 2" o:spid="_x0000_s1026" type="#_x0000_t202" style="position:absolute;left:0;text-align:left;margin-left:247.25pt;margin-top:7.95pt;width:34pt;height:22.9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" filled="f" stroked="f">
                      <v:textbox>
                        <w:txbxContent>
                          <w:p w14:paraId="6E4F0206" w14:textId="503E1445" w:rsidR="005C4E70" w:rsidRDefault="005C4E70" w:rsidP="005C4E70">
                            <w:r w:rsidRPr="00F305A4">
                              <w:rPr>
                                <w:rFonts w:ascii="Times New Roman" w:hAnsi="Times New Roman" w:cs="Times New Roman"/>
                                <w:sz w:val="24"/>
                                <w:szCs w:val="24"/>
                                <w:lang w:val="en-GB"/>
                              </w:rPr>
                              <w:t>(</w:t>
                            </w:r>
                            <w:r>
                              <w:rPr>
                                <w:rFonts w:ascii="Times New Roman" w:hAnsi="Times New Roman" w:cs="Times New Roman"/>
                                <w:sz w:val="24"/>
                                <w:szCs w:val="24"/>
                                <w:lang w:val="en-GB"/>
                              </w:rPr>
                              <w:t>b</w:t>
                            </w:r>
                            <w:r w:rsidRPr="00F305A4">
                              <w:rPr>
                                <w:rFonts w:ascii="Times New Roman" w:hAnsi="Times New Roman" w:cs="Times New Roman"/>
                                <w:sz w:val="24"/>
                                <w:szCs w:val="24"/>
                                <w:lang w:val="en-GB"/>
                              </w:rPr>
                              <w:t>)</w:t>
                            </w:r>
                          </w:p>
                        </w:txbxContent>
                      </v:textbox>
                    </v:shape>
                  </w:pict>
                </mc:Fallback>
              </mc:AlternateContent>
            </w:r>
            <w:r w:rsidRPr="005C4E70">
              <w:rPr>
                <w:rFonts w:ascii="Times New Roman" w:hAnsi="Times New Roman" w:cs="Times New Roman"/>
                <w:sz w:val="24"/>
                <w:szCs w:val="24"/>
                <w:lang w:val="en-GB"/>
              </w:rPr>
              <mc:AlternateContent>
                <mc:Choice Requires="wps">
                  <w:drawing>
                    <wp:anchor distT="45720" distB="45720" distL="114300" distR="114300" simplePos="0" relativeHeight="251654656" behindDoc="0" locked="0" layoutInCell="1" allowOverlap="1" wp14:anchorId="5CA949C8" wp14:editId="248505C0">
                      <wp:simplePos x="0" y="0"/>
                      <wp:positionH relativeFrom="column">
                        <wp:posOffset>431800</wp:posOffset>
                      </wp:positionH>
                      <wp:positionV relativeFrom="paragraph">
                        <wp:posOffset>139065</wp:posOffset>
                      </wp:positionV>
                      <wp:extent cx="431800" cy="29083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90830"/>
                              </a:xfrm>
                              <a:prstGeom prst="rect">
                                <a:avLst/>
                              </a:prstGeom>
                              <a:noFill/>
                              <a:ln w="9525">
                                <a:noFill/>
                                <a:miter lim="800000"/>
                                <a:headEnd/>
                                <a:tailEnd/>
                              </a:ln>
                            </wps:spPr>
                            <wps:txbx>
                              <w:txbxContent>
                                <w:p w14:paraId="7CF26AE9" w14:textId="26B465B1" w:rsidR="005C4E70" w:rsidRDefault="005C4E70">
                                  <w:r w:rsidRPr="00F305A4">
                                    <w:rPr>
                                      <w:rFonts w:ascii="Times New Roman" w:hAnsi="Times New Roman" w:cs="Times New Roman"/>
                                      <w:sz w:val="24"/>
                                      <w:szCs w:val="24"/>
                                      <w:lang w:val="en-G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949C8" id="_x0000_s1027" type="#_x0000_t202" style="position:absolute;left:0;text-align:left;margin-left:34pt;margin-top:10.95pt;width:34pt;height:22.9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" filled="f" stroked="f">
                      <v:textbox>
                        <w:txbxContent>
                          <w:p w14:paraId="7CF26AE9" w14:textId="26B465B1" w:rsidR="005C4E70" w:rsidRDefault="005C4E70">
                            <w:r w:rsidRPr="00F305A4">
                              <w:rPr>
                                <w:rFonts w:ascii="Times New Roman" w:hAnsi="Times New Roman" w:cs="Times New Roman"/>
                                <w:sz w:val="24"/>
                                <w:szCs w:val="24"/>
                                <w:lang w:val="en-GB"/>
                              </w:rPr>
                              <w:t>(a)</w:t>
                            </w:r>
                          </w:p>
                        </w:txbxContent>
                      </v:textbox>
                    </v:shape>
                  </w:pict>
                </mc:Fallback>
              </mc:AlternateContent>
            </w:r>
            <w:r w:rsidRPr="00F305A4">
              <w:rPr>
                <w:lang w:val="en-GB"/>
              </w:rPr>
              <w:drawing>
                <wp:inline distT="0" distB="0" distL="0" distR="0" wp14:anchorId="0A1A7F46" wp14:editId="240BA9D7">
                  <wp:extent cx="1647930" cy="251123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a:extLst>
                              <a:ext uri="{28A0092B-C50C-407E-A947-70E740481C1C}">
                                <a14:useLocalDpi xmlns:a14="http://schemas.microsoft.com/office/drawing/2010/main" val="0"/>
                              </a:ext>
                            </a:extLst>
                          </a:blip>
                          <a:srcRect l="7827" t="2596" r="49361" b="4691"/>
                          <a:stretch/>
                        </pic:blipFill>
                        <pic:spPr bwMode="auto">
                          <a:xfrm>
                            <a:off x="0" y="0"/>
                            <a:ext cx="1648692" cy="2512391"/>
                          </a:xfrm>
                          <a:prstGeom prst="rect">
                            <a:avLst/>
                          </a:prstGeom>
                          <a:noFill/>
                          <a:ln>
                            <a:noFill/>
                          </a:ln>
                          <a:extLst>
                            <a:ext uri="{53640926-AAD7-44D8-BBD7-CCE9431645EC}">
                              <a14:shadowObscured xmlns:a14="http://schemas.microsoft.com/office/drawing/2010/main"/>
                            </a:ext>
                          </a:extLst>
                        </pic:spPr>
                      </pic:pic>
                    </a:graphicData>
                  </a:graphic>
                </wp:inline>
              </w:drawing>
            </w:r>
            <w:r w:rsidRPr="00F305A4">
              <w:rPr>
                <w:lang w:val="en-GB"/>
              </w:rPr>
              <w:drawing>
                <wp:inline distT="0" distB="0" distL="0" distR="0" wp14:anchorId="4AE26EC5" wp14:editId="70854977">
                  <wp:extent cx="847488" cy="2511230"/>
                  <wp:effectExtent l="0" t="0" r="0" b="381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a:extLst>
                              <a:ext uri="{28A0092B-C50C-407E-A947-70E740481C1C}">
                                <a14:useLocalDpi xmlns:a14="http://schemas.microsoft.com/office/drawing/2010/main" val="0"/>
                              </a:ext>
                            </a:extLst>
                          </a:blip>
                          <a:srcRect l="75568" t="2596" r="2415" b="4691"/>
                          <a:stretch/>
                        </pic:blipFill>
                        <pic:spPr bwMode="auto">
                          <a:xfrm>
                            <a:off x="0" y="0"/>
                            <a:ext cx="847880" cy="2512391"/>
                          </a:xfrm>
                          <a:prstGeom prst="rect">
                            <a:avLst/>
                          </a:prstGeom>
                          <a:noFill/>
                          <a:ln>
                            <a:noFill/>
                          </a:ln>
                          <a:extLst>
                            <a:ext uri="{53640926-AAD7-44D8-BBD7-CCE9431645EC}">
                              <a14:shadowObscured xmlns:a14="http://schemas.microsoft.com/office/drawing/2010/main"/>
                            </a:ext>
                          </a:extLst>
                        </pic:spPr>
                      </pic:pic>
                    </a:graphicData>
                  </a:graphic>
                </wp:inline>
              </w:drawing>
            </w:r>
            <w:r w:rsidRPr="00F305A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F305A4">
              <w:rPr>
                <w:lang w:val="en-GB"/>
              </w:rPr>
              <w:drawing>
                <wp:inline distT="0" distB="0" distL="0" distR="0" wp14:anchorId="416CAA82" wp14:editId="30BF71B6">
                  <wp:extent cx="1693147" cy="2597150"/>
                  <wp:effectExtent l="0" t="0" r="2540" b="0"/>
                  <wp:docPr id="493415512" name="Picture 49341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6652" t="3759" r="49360" b="3698"/>
                          <a:stretch/>
                        </pic:blipFill>
                        <pic:spPr bwMode="auto">
                          <a:xfrm>
                            <a:off x="0" y="0"/>
                            <a:ext cx="1694378" cy="2599038"/>
                          </a:xfrm>
                          <a:prstGeom prst="rect">
                            <a:avLst/>
                          </a:prstGeom>
                          <a:ln>
                            <a:noFill/>
                          </a:ln>
                          <a:extLst>
                            <a:ext uri="{53640926-AAD7-44D8-BBD7-CCE9431645EC}">
                              <a14:shadowObscured xmlns:a14="http://schemas.microsoft.com/office/drawing/2010/main"/>
                            </a:ext>
                          </a:extLst>
                        </pic:spPr>
                      </pic:pic>
                    </a:graphicData>
                  </a:graphic>
                </wp:inline>
              </w:drawing>
            </w:r>
            <w:r w:rsidRPr="00F305A4">
              <w:rPr>
                <w:lang w:val="en-GB"/>
              </w:rPr>
              <w:drawing>
                <wp:inline distT="0" distB="0" distL="0" distR="0" wp14:anchorId="37DCD7F3" wp14:editId="5558C025">
                  <wp:extent cx="646599" cy="2597150"/>
                  <wp:effectExtent l="0" t="0" r="1270" b="0"/>
                  <wp:docPr id="9" name="Picture 49341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77267" t="3759" r="5934" b="3698"/>
                          <a:stretch/>
                        </pic:blipFill>
                        <pic:spPr bwMode="auto">
                          <a:xfrm>
                            <a:off x="0" y="0"/>
                            <a:ext cx="647069" cy="2599038"/>
                          </a:xfrm>
                          <a:prstGeom prst="rect">
                            <a:avLst/>
                          </a:prstGeom>
                          <a:ln>
                            <a:noFill/>
                          </a:ln>
                          <a:extLst>
                            <a:ext uri="{53640926-AAD7-44D8-BBD7-CCE9431645EC}">
                              <a14:shadowObscured xmlns:a14="http://schemas.microsoft.com/office/drawing/2010/main"/>
                            </a:ext>
                          </a:extLst>
                        </pic:spPr>
                      </pic:pic>
                    </a:graphicData>
                  </a:graphic>
                </wp:inline>
              </w:drawing>
            </w:r>
          </w:p>
        </w:tc>
      </w:tr>
      <w:tr w:rsidR="005C4E70" w:rsidRPr="00F305A4" w14:paraId="28EE2A1A" w14:textId="77777777" w:rsidTr="005C4E70">
        <w:tc>
          <w:tcPr>
            <w:tcW w:w="9568" w:type="dxa"/>
            <w:vAlign w:val="center"/>
          </w:tcPr>
          <w:p w14:paraId="00E33ED5" w14:textId="5F5BA86C" w:rsidR="005C4E70" w:rsidRPr="00F305A4" w:rsidRDefault="005C4E70" w:rsidP="0057044C">
            <w:pPr>
              <w:spacing w:after="120"/>
              <w:jc w:val="center"/>
              <w:rPr>
                <w:rFonts w:ascii="Times New Roman" w:hAnsi="Times New Roman" w:cs="Times New Roman"/>
                <w:lang w:val="en-GB"/>
              </w:rPr>
            </w:pPr>
          </w:p>
        </w:tc>
      </w:tr>
      <w:tr w:rsidR="005C4E70" w:rsidRPr="00F305A4" w14:paraId="3CB73642" w14:textId="77777777" w:rsidTr="005C4E70">
        <w:tc>
          <w:tcPr>
            <w:tcW w:w="9568" w:type="dxa"/>
            <w:vAlign w:val="center"/>
          </w:tcPr>
          <w:p w14:paraId="37AB2BAC" w14:textId="3BEC7100" w:rsidR="005C4E70" w:rsidRPr="00F305A4" w:rsidRDefault="005C4E70" w:rsidP="0057044C">
            <w:pPr>
              <w:jc w:val="center"/>
              <w:rPr>
                <w:rFonts w:ascii="Times New Roman" w:hAnsi="Times New Roman" w:cs="Times New Roman"/>
                <w:lang w:val="en-GB"/>
              </w:rPr>
            </w:pPr>
            <w:r w:rsidRPr="005C4E70">
              <w:rPr>
                <w:rFonts w:ascii="Times New Roman" w:hAnsi="Times New Roman" w:cs="Times New Roman"/>
                <w:sz w:val="24"/>
                <w:szCs w:val="24"/>
                <w:lang w:val="en-GB"/>
              </w:rPr>
              <mc:AlternateContent>
                <mc:Choice Requires="wps">
                  <w:drawing>
                    <wp:anchor distT="45720" distB="45720" distL="114300" distR="114300" simplePos="0" relativeHeight="251660800" behindDoc="0" locked="0" layoutInCell="1" allowOverlap="1" wp14:anchorId="4FD465AE" wp14:editId="6494CF0D">
                      <wp:simplePos x="0" y="0"/>
                      <wp:positionH relativeFrom="column">
                        <wp:posOffset>1748790</wp:posOffset>
                      </wp:positionH>
                      <wp:positionV relativeFrom="paragraph">
                        <wp:posOffset>51435</wp:posOffset>
                      </wp:positionV>
                      <wp:extent cx="431800" cy="290830"/>
                      <wp:effectExtent l="0" t="0" r="0" b="0"/>
                      <wp:wrapNone/>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90830"/>
                              </a:xfrm>
                              <a:prstGeom prst="rect">
                                <a:avLst/>
                              </a:prstGeom>
                              <a:noFill/>
                              <a:ln w="9525">
                                <a:noFill/>
                                <a:miter lim="800000"/>
                                <a:headEnd/>
                                <a:tailEnd/>
                              </a:ln>
                            </wps:spPr>
                            <wps:txbx>
                              <w:txbxContent>
                                <w:p w14:paraId="789C8742" w14:textId="22D0DF9A" w:rsidR="005C4E70" w:rsidRDefault="005C4E70" w:rsidP="005C4E70">
                                  <w:r w:rsidRPr="00F305A4">
                                    <w:rPr>
                                      <w:rFonts w:ascii="Times New Roman" w:hAnsi="Times New Roman" w:cs="Times New Roman"/>
                                      <w:sz w:val="24"/>
                                      <w:szCs w:val="24"/>
                                      <w:lang w:val="en-GB"/>
                                    </w:rPr>
                                    <w:t>(</w:t>
                                  </w:r>
                                  <w:r>
                                    <w:rPr>
                                      <w:rFonts w:ascii="Times New Roman" w:hAnsi="Times New Roman" w:cs="Times New Roman"/>
                                      <w:sz w:val="24"/>
                                      <w:szCs w:val="24"/>
                                      <w:lang w:val="en-GB"/>
                                    </w:rPr>
                                    <w:t>c</w:t>
                                  </w:r>
                                  <w:r w:rsidRPr="00F305A4">
                                    <w:rPr>
                                      <w:rFonts w:ascii="Times New Roman" w:hAnsi="Times New Roman" w:cs="Times New Roman"/>
                                      <w:sz w:val="24"/>
                                      <w:szCs w:val="24"/>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465AE" id="_x0000_s1028" type="#_x0000_t202" style="position:absolute;left:0;text-align:left;margin-left:137.7pt;margin-top:4.05pt;width:34pt;height:22.9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" filled="f" stroked="f">
                      <v:textbox>
                        <w:txbxContent>
                          <w:p w14:paraId="789C8742" w14:textId="22D0DF9A" w:rsidR="005C4E70" w:rsidRDefault="005C4E70" w:rsidP="005C4E70">
                            <w:r w:rsidRPr="00F305A4">
                              <w:rPr>
                                <w:rFonts w:ascii="Times New Roman" w:hAnsi="Times New Roman" w:cs="Times New Roman"/>
                                <w:sz w:val="24"/>
                                <w:szCs w:val="24"/>
                                <w:lang w:val="en-GB"/>
                              </w:rPr>
                              <w:t>(</w:t>
                            </w:r>
                            <w:r>
                              <w:rPr>
                                <w:rFonts w:ascii="Times New Roman" w:hAnsi="Times New Roman" w:cs="Times New Roman"/>
                                <w:sz w:val="24"/>
                                <w:szCs w:val="24"/>
                                <w:lang w:val="en-GB"/>
                              </w:rPr>
                              <w:t>c</w:t>
                            </w:r>
                            <w:r w:rsidRPr="00F305A4">
                              <w:rPr>
                                <w:rFonts w:ascii="Times New Roman" w:hAnsi="Times New Roman" w:cs="Times New Roman"/>
                                <w:sz w:val="24"/>
                                <w:szCs w:val="24"/>
                                <w:lang w:val="en-GB"/>
                              </w:rPr>
                              <w:t>)</w:t>
                            </w:r>
                          </w:p>
                        </w:txbxContent>
                      </v:textbox>
                    </v:shape>
                  </w:pict>
                </mc:Fallback>
              </mc:AlternateContent>
            </w:r>
            <w:r w:rsidRPr="00F305A4">
              <w:rPr>
                <w:lang w:val="en-GB"/>
              </w:rPr>
              <w:drawing>
                <wp:inline distT="0" distB="0" distL="0" distR="0" wp14:anchorId="5A7BD4A9" wp14:editId="7194A56F">
                  <wp:extent cx="1663002" cy="24863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val="0"/>
                              </a:ext>
                            </a:extLst>
                          </a:blip>
                          <a:srcRect l="6523" t="2883" r="50286" b="1952"/>
                          <a:stretch/>
                        </pic:blipFill>
                        <pic:spPr bwMode="auto">
                          <a:xfrm>
                            <a:off x="0" y="0"/>
                            <a:ext cx="1663711" cy="2487435"/>
                          </a:xfrm>
                          <a:prstGeom prst="rect">
                            <a:avLst/>
                          </a:prstGeom>
                          <a:noFill/>
                          <a:ln>
                            <a:noFill/>
                          </a:ln>
                          <a:extLst>
                            <a:ext uri="{53640926-AAD7-44D8-BBD7-CCE9431645EC}">
                              <a14:shadowObscured xmlns:a14="http://schemas.microsoft.com/office/drawing/2010/main"/>
                            </a:ext>
                          </a:extLst>
                        </pic:spPr>
                      </pic:pic>
                    </a:graphicData>
                  </a:graphic>
                </wp:inline>
              </w:drawing>
            </w:r>
            <w:r w:rsidRPr="00F305A4">
              <w:rPr>
                <w:lang w:val="en-GB"/>
              </w:rPr>
              <w:drawing>
                <wp:inline distT="0" distB="0" distL="0" distR="0" wp14:anchorId="10B46777" wp14:editId="174DEC47">
                  <wp:extent cx="813917" cy="2485915"/>
                  <wp:effectExtent l="0" t="0" r="5715"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val="0"/>
                              </a:ext>
                            </a:extLst>
                          </a:blip>
                          <a:srcRect l="71629" t="2883" r="7229" b="1952"/>
                          <a:stretch/>
                        </pic:blipFill>
                        <pic:spPr bwMode="auto">
                          <a:xfrm>
                            <a:off x="0" y="0"/>
                            <a:ext cx="814415" cy="248743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BA95479" w14:textId="77777777" w:rsidR="005C4E70" w:rsidRPr="00F305A4" w:rsidRDefault="005C4E70" w:rsidP="005C4E70">
      <w:pPr>
        <w:pStyle w:val="Rrys"/>
        <w:rPr>
          <w:noProof/>
          <w:lang w:val="en-GB"/>
        </w:rPr>
      </w:pPr>
      <w:r w:rsidRPr="00F305A4">
        <w:rPr>
          <w:b/>
          <w:bCs/>
          <w:noProof/>
          <w:lang w:val="en-GB"/>
        </w:rPr>
        <w:t>Fig. 14.</w:t>
      </w:r>
      <w:r w:rsidRPr="00F305A4">
        <w:rPr>
          <w:noProof/>
          <w:lang w:val="en-GB"/>
        </w:rPr>
        <w:t xml:space="preserve"> FEA simulations of the clamp-type device. (a) Equivalent stress values according to the von Mises criterion, (b) Displacement values, (c) Equivalent strain values</w:t>
      </w:r>
    </w:p>
    <w:p w14:paraId="7A02FB90" w14:textId="436A8689" w:rsidR="00816C8A" w:rsidRPr="00F305A4" w:rsidRDefault="0081513B" w:rsidP="00CB31B1">
      <w:pPr>
        <w:pStyle w:val="Rn1"/>
        <w:rPr>
          <w:lang w:val="en-GB"/>
        </w:rPr>
      </w:pPr>
      <w:r w:rsidRPr="00F305A4">
        <w:rPr>
          <w:lang w:val="en-GB"/>
        </w:rPr>
        <w:lastRenderedPageBreak/>
        <w:t>4. Discussions</w:t>
      </w:r>
    </w:p>
    <w:p w14:paraId="031C9291" w14:textId="77777777" w:rsidR="00574170" w:rsidRPr="00F305A4" w:rsidRDefault="00574170" w:rsidP="007A3382">
      <w:pPr>
        <w:pStyle w:val="MDPI31text"/>
        <w:spacing w:line="240" w:lineRule="auto"/>
        <w:ind w:left="0" w:firstLine="284"/>
        <w:rPr>
          <w:rFonts w:ascii="Times New Roman" w:hAnsi="Times New Roman"/>
          <w:noProof/>
          <w:sz w:val="22"/>
          <w:lang w:val="en-GB"/>
        </w:rPr>
      </w:pPr>
      <w:r w:rsidRPr="00F305A4">
        <w:rPr>
          <w:rFonts w:ascii="Times New Roman" w:hAnsi="Times New Roman"/>
          <w:noProof/>
          <w:sz w:val="22"/>
          <w:lang w:val="en-GB"/>
        </w:rPr>
        <w:t>The results of the present study highlight a strong coupling between geomorphological controls and engineering applicability within the Bălăneasa River Basin. The observed morphodynamic patterns reflect the combined influence of lithology, relief energy, and channel gradient, which govern sediment transport processes and channel adjustment mechanisms. These interactions require an integrated interpretation that connects spatial analysis with practical stabilization strategies.</w:t>
      </w:r>
    </w:p>
    <w:p w14:paraId="13CDE75D" w14:textId="3488E742" w:rsidR="00816C8A" w:rsidRPr="00B21F0A" w:rsidRDefault="009E058B" w:rsidP="007A3382">
      <w:pPr>
        <w:pStyle w:val="Rn2"/>
        <w:rPr>
          <w:lang w:val="en-US"/>
        </w:rPr>
      </w:pPr>
      <w:r w:rsidRPr="00B21F0A">
        <w:rPr>
          <w:lang w:val="en-US"/>
        </w:rPr>
        <w:t>4.1. Technical and Engineering Measures for Riverbed Stabilization and Management</w:t>
      </w:r>
    </w:p>
    <w:p w14:paraId="71C5F3FA" w14:textId="523059FB" w:rsidR="00574170" w:rsidRPr="00637E02" w:rsidRDefault="00574170" w:rsidP="007A3382">
      <w:pPr>
        <w:spacing w:after="0" w:line="240" w:lineRule="auto"/>
        <w:ind w:firstLine="284"/>
        <w:jc w:val="both"/>
        <w:rPr>
          <w:rFonts w:ascii="Times New Roman" w:hAnsi="Times New Roman" w:cs="Times New Roman"/>
          <w:bCs/>
          <w:snapToGrid w:val="0"/>
          <w:spacing w:val="-2"/>
          <w:lang w:val="en-GB" w:eastAsia="en-GB" w:bidi="en-US"/>
        </w:rPr>
      </w:pPr>
      <w:r w:rsidRPr="00637E02">
        <w:rPr>
          <w:rFonts w:ascii="Times New Roman" w:hAnsi="Times New Roman" w:cs="Times New Roman"/>
          <w:snapToGrid w:val="0"/>
          <w:spacing w:val="-2"/>
          <w:lang w:val="en-GB" w:eastAsia="en-GB" w:bidi="en-US"/>
        </w:rPr>
        <w:t xml:space="preserve">The Bălăneasa River Basin is characterized by a high degree of geomorphological sensitivity, </w:t>
      </w:r>
      <w:r w:rsidR="007A3382" w:rsidRPr="00637E02">
        <w:rPr>
          <w:rFonts w:ascii="Times New Roman" w:hAnsi="Times New Roman" w:cs="Times New Roman"/>
          <w:bCs/>
          <w:snapToGrid w:val="0"/>
          <w:spacing w:val="-2"/>
          <w:lang w:val="en-GB" w:eastAsia="en-GB" w:bidi="en-US"/>
        </w:rPr>
        <w:t>as</w:t>
      </w:r>
      <w:r w:rsidR="00637E02" w:rsidRPr="00637E02">
        <w:rPr>
          <w:rFonts w:ascii="Times New Roman" w:hAnsi="Times New Roman" w:cs="Times New Roman"/>
          <w:bCs/>
          <w:snapToGrid w:val="0"/>
          <w:spacing w:val="-2"/>
          <w:lang w:val="en-GB" w:eastAsia="en-GB" w:bidi="en-US"/>
        </w:rPr>
        <w:t xml:space="preserve"> </w:t>
      </w:r>
      <w:r w:rsidR="007A3382" w:rsidRPr="00637E02">
        <w:rPr>
          <w:rFonts w:ascii="Times New Roman" w:hAnsi="Times New Roman" w:cs="Times New Roman"/>
          <w:bCs/>
          <w:snapToGrid w:val="0"/>
          <w:spacing w:val="-2"/>
          <w:lang w:val="en-GB" w:eastAsia="en-GB" w:bidi="en-US"/>
        </w:rPr>
        <w:t>evidenced by alternating erosional and depositional sectors along its</w:t>
      </w:r>
      <w:r w:rsidRPr="00637E02">
        <w:rPr>
          <w:rFonts w:ascii="Times New Roman" w:hAnsi="Times New Roman" w:cs="Times New Roman"/>
          <w:snapToGrid w:val="0"/>
          <w:spacing w:val="-2"/>
          <w:lang w:val="en-GB" w:eastAsia="en-GB" w:bidi="en-US"/>
        </w:rPr>
        <w:t xml:space="preserve"> longitudinal profile. Lithological variability, particularly the presence of friable formations interbedded with more resistant strata, plays a decisive role in channel evolution and slope stability.</w:t>
      </w:r>
    </w:p>
    <w:p w14:paraId="3EB32465" w14:textId="798807E9" w:rsidR="00574170" w:rsidRPr="007A3382" w:rsidRDefault="00574170" w:rsidP="007A3382">
      <w:pPr>
        <w:spacing w:after="0" w:line="240" w:lineRule="auto"/>
        <w:ind w:firstLine="284"/>
        <w:jc w:val="both"/>
        <w:rPr>
          <w:rFonts w:ascii="Times New Roman" w:hAnsi="Times New Roman" w:cs="Times New Roman"/>
          <w:bCs/>
          <w:snapToGrid w:val="0"/>
          <w:lang w:val="en-GB" w:eastAsia="en-GB" w:bidi="en-US"/>
        </w:rPr>
      </w:pPr>
      <w:r w:rsidRPr="007A3382">
        <w:rPr>
          <w:rFonts w:ascii="Times New Roman" w:hAnsi="Times New Roman" w:cs="Times New Roman"/>
          <w:snapToGrid w:val="0"/>
          <w:lang w:val="en-GB" w:eastAsia="en-GB" w:bidi="en-US"/>
        </w:rPr>
        <w:t>Steep gradients and structural relief contribute to increased stream power, which enhances lateral erosion in confined valleys and promotes sediment redistribution in downstream sectors. These conditions explain the observed tendency toward channel adjustment and localized instability, particularly in subcarpathian transition zones. Similar behaviours have been documented in other Carpathian catchments, where structural and lithological controls dominate fluvial dynamics (Posea, 2005; Zăvoianu, 2006).</w:t>
      </w:r>
    </w:p>
    <w:p w14:paraId="31E45F5C" w14:textId="31E9371E" w:rsidR="0081513B" w:rsidRPr="00F305A4" w:rsidRDefault="0081513B" w:rsidP="00BF4930">
      <w:pPr>
        <w:pStyle w:val="Rn2"/>
        <w:rPr>
          <w:lang w:val="en-GB"/>
        </w:rPr>
      </w:pPr>
      <w:r w:rsidRPr="00F305A4">
        <w:rPr>
          <w:lang w:val="en-GB"/>
        </w:rPr>
        <w:t>4.2. Engineering interventions</w:t>
      </w:r>
    </w:p>
    <w:p w14:paraId="7DDF68D3" w14:textId="77777777" w:rsidR="007040AD" w:rsidRPr="00F305A4" w:rsidRDefault="007040AD" w:rsidP="008800A0">
      <w:pPr>
        <w:pStyle w:val="NormalnyWeb"/>
        <w:spacing w:before="0" w:beforeAutospacing="0" w:after="0" w:afterAutospacing="0"/>
        <w:ind w:firstLine="284"/>
        <w:jc w:val="both"/>
        <w:rPr>
          <w:sz w:val="22"/>
          <w:szCs w:val="22"/>
        </w:rPr>
      </w:pPr>
      <w:r w:rsidRPr="00F305A4">
        <w:rPr>
          <w:sz w:val="22"/>
          <w:szCs w:val="22"/>
        </w:rPr>
        <w:t>To mitigate lateral erosion, channel migration, and bank instability, several engineering solutions were evaluated, each with distinct mechanical and hydraulic performance characteristics.</w:t>
      </w:r>
    </w:p>
    <w:p w14:paraId="581969CF" w14:textId="77777777" w:rsidR="007040AD" w:rsidRPr="00F305A4" w:rsidRDefault="007040AD" w:rsidP="00F204E2">
      <w:pPr>
        <w:pStyle w:val="NormalnyWeb"/>
        <w:numPr>
          <w:ilvl w:val="0"/>
          <w:numId w:val="33"/>
        </w:numPr>
        <w:spacing w:before="120" w:beforeAutospacing="0" w:after="0" w:afterAutospacing="0"/>
        <w:ind w:left="284" w:hanging="284"/>
        <w:jc w:val="both"/>
        <w:rPr>
          <w:rStyle w:val="Pogrubienie"/>
          <w:b w:val="0"/>
          <w:bCs w:val="0"/>
          <w:sz w:val="22"/>
          <w:szCs w:val="22"/>
          <w:u w:val="single"/>
        </w:rPr>
      </w:pPr>
      <w:r w:rsidRPr="00F305A4">
        <w:rPr>
          <w:rStyle w:val="Pogrubienie"/>
          <w:b w:val="0"/>
          <w:bCs w:val="0"/>
          <w:sz w:val="22"/>
          <w:szCs w:val="22"/>
          <w:u w:val="single"/>
        </w:rPr>
        <w:t>Gabions</w:t>
      </w:r>
    </w:p>
    <w:p w14:paraId="57FC7B60" w14:textId="4C963658" w:rsidR="007040AD" w:rsidRPr="00F305A4" w:rsidRDefault="007040AD" w:rsidP="008800A0">
      <w:pPr>
        <w:pStyle w:val="NormalnyWeb"/>
        <w:spacing w:before="0" w:beforeAutospacing="0" w:after="0" w:afterAutospacing="0"/>
        <w:ind w:firstLine="284"/>
        <w:jc w:val="both"/>
        <w:rPr>
          <w:sz w:val="22"/>
          <w:szCs w:val="22"/>
        </w:rPr>
      </w:pPr>
      <w:r w:rsidRPr="00F305A4">
        <w:rPr>
          <w:sz w:val="22"/>
          <w:szCs w:val="22"/>
        </w:rPr>
        <w:t xml:space="preserve">Gabions are flexible, permeable wire-mesh structures filled with rock material, used for bank protection and slope stabilization. Their deformable behavior allows </w:t>
      </w:r>
      <w:r w:rsidR="007A3382">
        <w:rPr>
          <w:sz w:val="22"/>
          <w:szCs w:val="22"/>
        </w:rPr>
        <w:t>them to adapt to differential settlements, making them suitable for clay-rich,</w:t>
      </w:r>
      <w:r w:rsidRPr="00F305A4">
        <w:rPr>
          <w:sz w:val="22"/>
          <w:szCs w:val="22"/>
        </w:rPr>
        <w:t xml:space="preserve"> unstable substrates typical of the Bălăneasa Basin. The use of local lithological materials (sandstones and conglomerates) reduces transport requirements and construction costs, while ensuring long-term structural stability with minimal maintenance demand.</w:t>
      </w:r>
      <w:r w:rsidR="00B231C7" w:rsidRPr="00F305A4">
        <w:rPr>
          <w:sz w:val="22"/>
          <w:szCs w:val="22"/>
        </w:rPr>
        <w:t xml:space="preserve"> Despite their advantages, gabion systems may be affected over time by wire-mesh corrosion and abrasion caused by coarse bedload transport, particularly in high-energy mountain rivers.</w:t>
      </w:r>
    </w:p>
    <w:p w14:paraId="015314D2" w14:textId="05EB6828" w:rsidR="007040AD" w:rsidRPr="00F305A4" w:rsidRDefault="007040AD" w:rsidP="00F204E2">
      <w:pPr>
        <w:pStyle w:val="NormalnyWeb"/>
        <w:numPr>
          <w:ilvl w:val="0"/>
          <w:numId w:val="33"/>
        </w:numPr>
        <w:spacing w:before="120" w:beforeAutospacing="0" w:after="0" w:afterAutospacing="0"/>
        <w:ind w:left="284" w:hanging="284"/>
        <w:jc w:val="both"/>
        <w:rPr>
          <w:b/>
          <w:bCs/>
          <w:sz w:val="22"/>
          <w:szCs w:val="22"/>
          <w:u w:val="single"/>
        </w:rPr>
      </w:pPr>
      <w:r w:rsidRPr="00F305A4">
        <w:rPr>
          <w:rStyle w:val="Pogrubienie"/>
          <w:b w:val="0"/>
          <w:bCs w:val="0"/>
          <w:sz w:val="22"/>
          <w:szCs w:val="22"/>
          <w:u w:val="single"/>
        </w:rPr>
        <w:t>Stone revetments</w:t>
      </w:r>
    </w:p>
    <w:p w14:paraId="4DC8541F" w14:textId="119E4806" w:rsidR="00C437DC" w:rsidRPr="00F305A4" w:rsidRDefault="007040AD" w:rsidP="00230903">
      <w:pPr>
        <w:pStyle w:val="NormalnyWeb"/>
        <w:spacing w:before="0" w:beforeAutospacing="0" w:after="0" w:afterAutospacing="0"/>
        <w:ind w:firstLine="284"/>
        <w:jc w:val="both"/>
        <w:rPr>
          <w:sz w:val="22"/>
          <w:szCs w:val="22"/>
        </w:rPr>
      </w:pPr>
      <w:r w:rsidRPr="00F305A4">
        <w:rPr>
          <w:sz w:val="22"/>
          <w:szCs w:val="22"/>
        </w:rPr>
        <w:t>Stone revetments dissipate flow energy effectively but require frost-resistant and mechanically durable lithologies. In the basin, the presence of friable formations (marls and clays) limits material availability, increasing dependency on external supply chains. Their performance is moderate to high but strongly site-dependent.</w:t>
      </w:r>
    </w:p>
    <w:p w14:paraId="605331AE" w14:textId="72A5D851" w:rsidR="007040AD" w:rsidRPr="00F305A4" w:rsidRDefault="007040AD" w:rsidP="00F204E2">
      <w:pPr>
        <w:pStyle w:val="NormalnyWeb"/>
        <w:numPr>
          <w:ilvl w:val="0"/>
          <w:numId w:val="33"/>
        </w:numPr>
        <w:spacing w:before="120" w:beforeAutospacing="0" w:after="0" w:afterAutospacing="0"/>
        <w:ind w:left="284" w:hanging="284"/>
        <w:jc w:val="both"/>
        <w:rPr>
          <w:b/>
          <w:bCs/>
          <w:sz w:val="22"/>
          <w:szCs w:val="22"/>
          <w:u w:val="single"/>
        </w:rPr>
      </w:pPr>
      <w:r w:rsidRPr="00F305A4">
        <w:rPr>
          <w:rStyle w:val="Pogrubienie"/>
          <w:b w:val="0"/>
          <w:bCs w:val="0"/>
          <w:sz w:val="22"/>
          <w:szCs w:val="22"/>
          <w:u w:val="single"/>
        </w:rPr>
        <w:t>Riprap</w:t>
      </w:r>
    </w:p>
    <w:p w14:paraId="432858D0" w14:textId="66297AA6" w:rsidR="007040AD" w:rsidRPr="00F305A4" w:rsidRDefault="007040AD" w:rsidP="008800A0">
      <w:pPr>
        <w:pStyle w:val="NormalnyWeb"/>
        <w:spacing w:before="0" w:beforeAutospacing="0" w:after="0" w:afterAutospacing="0"/>
        <w:ind w:firstLine="284"/>
        <w:jc w:val="both"/>
        <w:rPr>
          <w:sz w:val="22"/>
          <w:szCs w:val="22"/>
        </w:rPr>
      </w:pPr>
      <w:r w:rsidRPr="00F305A4">
        <w:rPr>
          <w:sz w:val="22"/>
          <w:szCs w:val="22"/>
        </w:rPr>
        <w:t>Riprap provides robust erosion protection in high-energy sectors; however, it requires stable foundation conditions and significant material volumes. Logistic constraints related to limited accessibility in forested and steep terrain increase implementation costs and reduce applicability in confined valley sectors.</w:t>
      </w:r>
    </w:p>
    <w:p w14:paraId="35EF5784" w14:textId="39FD232B" w:rsidR="007040AD" w:rsidRPr="00F305A4" w:rsidRDefault="007040AD" w:rsidP="00F204E2">
      <w:pPr>
        <w:pStyle w:val="NormalnyWeb"/>
        <w:numPr>
          <w:ilvl w:val="0"/>
          <w:numId w:val="33"/>
        </w:numPr>
        <w:spacing w:before="120" w:beforeAutospacing="0" w:after="0" w:afterAutospacing="0"/>
        <w:ind w:left="284" w:hanging="284"/>
        <w:jc w:val="both"/>
        <w:rPr>
          <w:b/>
          <w:bCs/>
          <w:sz w:val="22"/>
          <w:szCs w:val="22"/>
          <w:u w:val="single"/>
        </w:rPr>
      </w:pPr>
      <w:r w:rsidRPr="00F305A4">
        <w:rPr>
          <w:rStyle w:val="Pogrubienie"/>
          <w:b w:val="0"/>
          <w:bCs w:val="0"/>
          <w:sz w:val="22"/>
          <w:szCs w:val="22"/>
          <w:u w:val="single"/>
        </w:rPr>
        <w:t>Retaining walls</w:t>
      </w:r>
    </w:p>
    <w:p w14:paraId="27E0FECB" w14:textId="12EDA88F" w:rsidR="00477352" w:rsidRPr="00F305A4" w:rsidRDefault="007040AD" w:rsidP="008800A0">
      <w:pPr>
        <w:pStyle w:val="NormalnyWeb"/>
        <w:spacing w:before="0" w:beforeAutospacing="0" w:after="0" w:afterAutospacing="0"/>
        <w:ind w:firstLine="284"/>
        <w:jc w:val="both"/>
        <w:rPr>
          <w:sz w:val="22"/>
          <w:szCs w:val="22"/>
        </w:rPr>
      </w:pPr>
      <w:r w:rsidRPr="00F305A4">
        <w:rPr>
          <w:sz w:val="22"/>
          <w:szCs w:val="22"/>
        </w:rPr>
        <w:t>Retaining walls offer high structural resistance but are rigid systems with limited adaptability to active fluvial environments. In the Bălăneasa Basin, their efficiency is constrained by slope instability and channel mobility. High construction and maintenance costs further limit their use to localized critical points.</w:t>
      </w:r>
    </w:p>
    <w:p w14:paraId="084C7E81" w14:textId="799DD8D3" w:rsidR="007040AD" w:rsidRPr="00F305A4" w:rsidRDefault="007040AD" w:rsidP="00F204E2">
      <w:pPr>
        <w:pStyle w:val="NormalnyWeb"/>
        <w:numPr>
          <w:ilvl w:val="0"/>
          <w:numId w:val="33"/>
        </w:numPr>
        <w:spacing w:before="120" w:beforeAutospacing="0" w:after="0" w:afterAutospacing="0"/>
        <w:ind w:left="284" w:hanging="284"/>
        <w:jc w:val="both"/>
        <w:rPr>
          <w:rStyle w:val="Pogrubienie"/>
          <w:b w:val="0"/>
          <w:bCs w:val="0"/>
          <w:sz w:val="22"/>
          <w:szCs w:val="22"/>
          <w:u w:val="single"/>
        </w:rPr>
      </w:pPr>
      <w:r w:rsidRPr="00F305A4">
        <w:rPr>
          <w:rStyle w:val="Pogrubienie"/>
          <w:b w:val="0"/>
          <w:bCs w:val="0"/>
          <w:sz w:val="22"/>
          <w:szCs w:val="22"/>
          <w:u w:val="single"/>
        </w:rPr>
        <w:t>Flood spillways</w:t>
      </w:r>
    </w:p>
    <w:p w14:paraId="2AB4C89B" w14:textId="4F45CDA5" w:rsidR="00666236" w:rsidRPr="00F305A4" w:rsidRDefault="007040AD" w:rsidP="008800A0">
      <w:pPr>
        <w:pStyle w:val="NormalnyWeb"/>
        <w:spacing w:before="0" w:beforeAutospacing="0" w:after="0" w:afterAutospacing="0"/>
        <w:ind w:firstLine="284"/>
        <w:jc w:val="both"/>
        <w:rPr>
          <w:sz w:val="22"/>
          <w:szCs w:val="22"/>
        </w:rPr>
      </w:pPr>
      <w:r w:rsidRPr="00F305A4">
        <w:rPr>
          <w:sz w:val="22"/>
          <w:szCs w:val="22"/>
        </w:rPr>
        <w:t>Flood spillways are hydraulic control structures designed to manage peak discharges rather than stabilize banks. They are effective in specific sectors prone to rapid discharge increase</w:t>
      </w:r>
      <w:r w:rsidR="007A3382">
        <w:rPr>
          <w:sz w:val="22"/>
          <w:szCs w:val="22"/>
        </w:rPr>
        <w:t>s (e.g., Pârscov, Cozieni), but serve</w:t>
      </w:r>
      <w:r w:rsidRPr="00F305A4">
        <w:rPr>
          <w:sz w:val="22"/>
          <w:szCs w:val="22"/>
        </w:rPr>
        <w:t xml:space="preserve"> only as complementary measures within integrated river management systems.</w:t>
      </w:r>
    </w:p>
    <w:p w14:paraId="69555F21" w14:textId="352B0E1F" w:rsidR="00BF4930" w:rsidRDefault="00BF4930" w:rsidP="008800A0">
      <w:pPr>
        <w:pStyle w:val="NormalnyWeb"/>
        <w:spacing w:before="0" w:beforeAutospacing="0" w:after="0" w:afterAutospacing="0"/>
        <w:ind w:firstLine="284"/>
        <w:jc w:val="both"/>
        <w:rPr>
          <w:sz w:val="22"/>
          <w:szCs w:val="22"/>
        </w:rPr>
      </w:pPr>
    </w:p>
    <w:p w14:paraId="01C62B01" w14:textId="77777777" w:rsidR="007A3382" w:rsidRPr="00F305A4" w:rsidRDefault="007A3382" w:rsidP="007A3382">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Considering the geomorphological and hydrological characteristics of the Bălăneasa Basin, including the alternation of erosional and depositional sectors, the presence of friable lithologies (clays and marls), variable slope gradients, and the pronounced mobility of the river channel evidenced by changes in sinuosity over the analyzed periods, gabion structures were identified as a suitable engineering solution for bank stabilization and energy dissipation. Based on this assessment, a gabion handling device was designed to support the implementation of such stabilization works. Consequently, recent global paradigms in river engineering shift toward hybrid eco-engineered frameworks; integrating classic gabion basements with </w:t>
      </w:r>
      <w:r w:rsidRPr="00F305A4">
        <w:rPr>
          <w:rFonts w:ascii="Times New Roman" w:hAnsi="Times New Roman" w:cs="Times New Roman"/>
          <w:lang w:val="en-GB"/>
        </w:rPr>
        <w:lastRenderedPageBreak/>
        <w:t>vegetation-mat overlays or soft armoring systems yields immediate mechanical stability while fostering self-adjusting riparian ecosystems capable of absorbing extreme peak discharges (Loizeaux et al., 2024).</w:t>
      </w:r>
    </w:p>
    <w:p w14:paraId="4FC98A29" w14:textId="77777777" w:rsidR="007A3382" w:rsidRPr="00F305A4" w:rsidRDefault="007A3382" w:rsidP="008800A0">
      <w:pPr>
        <w:pStyle w:val="NormalnyWeb"/>
        <w:spacing w:before="0" w:beforeAutospacing="0" w:after="0" w:afterAutospacing="0"/>
        <w:ind w:firstLine="284"/>
        <w:jc w:val="both"/>
        <w:rPr>
          <w:sz w:val="22"/>
          <w:szCs w:val="22"/>
        </w:rPr>
      </w:pPr>
    </w:p>
    <w:p w14:paraId="55CCD7C9" w14:textId="49624D0E" w:rsidR="0081513B" w:rsidRPr="00F305A4" w:rsidRDefault="0081513B" w:rsidP="00BF4930">
      <w:pPr>
        <w:pStyle w:val="Rtab"/>
        <w:rPr>
          <w:lang w:val="en-GB"/>
        </w:rPr>
      </w:pPr>
      <w:r w:rsidRPr="00F305A4">
        <w:rPr>
          <w:b/>
          <w:lang w:val="en-GB"/>
        </w:rPr>
        <w:t xml:space="preserve">Table </w:t>
      </w:r>
      <w:r w:rsidR="003B788C" w:rsidRPr="00F305A4">
        <w:rPr>
          <w:b/>
          <w:lang w:val="en-GB"/>
        </w:rPr>
        <w:t>6</w:t>
      </w:r>
      <w:r w:rsidRPr="00F305A4">
        <w:rPr>
          <w:b/>
          <w:lang w:val="en-GB"/>
        </w:rPr>
        <w:t>.</w:t>
      </w:r>
      <w:r w:rsidRPr="00F305A4">
        <w:rPr>
          <w:lang w:val="en-GB"/>
        </w:rPr>
        <w:t xml:space="preserve"> Engineering solutions for the stabilization and management of the </w:t>
      </w:r>
      <w:proofErr w:type="spellStart"/>
      <w:r w:rsidRPr="00F305A4">
        <w:rPr>
          <w:lang w:val="en-GB"/>
        </w:rPr>
        <w:t>Bălăneasa</w:t>
      </w:r>
      <w:proofErr w:type="spellEnd"/>
      <w:r w:rsidRPr="00F305A4">
        <w:rPr>
          <w:lang w:val="en-GB"/>
        </w:rPr>
        <w:t xml:space="preserve"> riverbed</w:t>
      </w:r>
    </w:p>
    <w:tbl>
      <w:tblPr>
        <w:tblStyle w:val="Tabela-Siatka"/>
        <w:tblW w:w="965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357"/>
        <w:gridCol w:w="1322"/>
        <w:gridCol w:w="1513"/>
        <w:gridCol w:w="1364"/>
        <w:gridCol w:w="1266"/>
        <w:gridCol w:w="1327"/>
        <w:gridCol w:w="1505"/>
      </w:tblGrid>
      <w:tr w:rsidR="0081513B" w:rsidRPr="00F305A4" w14:paraId="39FB9800" w14:textId="77777777" w:rsidTr="00F204E2">
        <w:trPr>
          <w:jc w:val="center"/>
        </w:trPr>
        <w:tc>
          <w:tcPr>
            <w:tcW w:w="1356" w:type="dxa"/>
            <w:vAlign w:val="center"/>
            <w:hideMark/>
          </w:tcPr>
          <w:p w14:paraId="2E7F26D1"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Type of Intervention</w:t>
            </w:r>
          </w:p>
        </w:tc>
        <w:tc>
          <w:tcPr>
            <w:tcW w:w="1322" w:type="dxa"/>
            <w:vAlign w:val="center"/>
            <w:hideMark/>
          </w:tcPr>
          <w:p w14:paraId="5F00EFDF"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Technical Efficiency in the Bălăneasa Basin</w:t>
            </w:r>
          </w:p>
        </w:tc>
        <w:tc>
          <w:tcPr>
            <w:tcW w:w="0" w:type="auto"/>
            <w:vAlign w:val="center"/>
            <w:hideMark/>
          </w:tcPr>
          <w:p w14:paraId="41FF36F2" w14:textId="368F303A"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Material &amp;</w:t>
            </w:r>
            <w:r w:rsidR="00637E02">
              <w:rPr>
                <w:rFonts w:ascii="Times New Roman" w:hAnsi="Times New Roman" w:cs="Times New Roman"/>
                <w:sz w:val="20"/>
                <w:szCs w:val="20"/>
                <w:lang w:val="en-GB"/>
              </w:rPr>
              <w:t> </w:t>
            </w:r>
            <w:r w:rsidRPr="00F305A4">
              <w:rPr>
                <w:rFonts w:ascii="Times New Roman" w:hAnsi="Times New Roman" w:cs="Times New Roman"/>
                <w:sz w:val="20"/>
                <w:szCs w:val="20"/>
                <w:lang w:val="en-GB"/>
              </w:rPr>
              <w:t>Execution Costs</w:t>
            </w:r>
          </w:p>
        </w:tc>
        <w:tc>
          <w:tcPr>
            <w:tcW w:w="0" w:type="auto"/>
            <w:vAlign w:val="center"/>
            <w:hideMark/>
          </w:tcPr>
          <w:p w14:paraId="76EBC232"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Transport Requirements</w:t>
            </w:r>
          </w:p>
        </w:tc>
        <w:tc>
          <w:tcPr>
            <w:tcW w:w="0" w:type="auto"/>
            <w:vAlign w:val="center"/>
            <w:hideMark/>
          </w:tcPr>
          <w:p w14:paraId="4D85E1AA"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Adaptability to Local Soils (Clays, Marls, Sandstones)</w:t>
            </w:r>
          </w:p>
        </w:tc>
        <w:tc>
          <w:tcPr>
            <w:tcW w:w="1327" w:type="dxa"/>
            <w:vAlign w:val="center"/>
            <w:hideMark/>
          </w:tcPr>
          <w:p w14:paraId="242F0702"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Durability &amp; Maintenance</w:t>
            </w:r>
          </w:p>
        </w:tc>
        <w:tc>
          <w:tcPr>
            <w:tcW w:w="1505" w:type="dxa"/>
            <w:vAlign w:val="center"/>
            <w:hideMark/>
          </w:tcPr>
          <w:p w14:paraId="3B2C9FCF"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Conclusions for the Bălăneasa Area</w:t>
            </w:r>
          </w:p>
        </w:tc>
      </w:tr>
      <w:tr w:rsidR="0081513B" w:rsidRPr="00F305A4" w14:paraId="67C02CB7" w14:textId="77777777" w:rsidTr="00F204E2">
        <w:trPr>
          <w:jc w:val="center"/>
        </w:trPr>
        <w:tc>
          <w:tcPr>
            <w:tcW w:w="1356" w:type="dxa"/>
            <w:vAlign w:val="center"/>
            <w:hideMark/>
          </w:tcPr>
          <w:p w14:paraId="0402FCA3"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Gabions</w:t>
            </w:r>
          </w:p>
        </w:tc>
        <w:tc>
          <w:tcPr>
            <w:tcW w:w="1322" w:type="dxa"/>
            <w:vAlign w:val="center"/>
            <w:hideMark/>
          </w:tcPr>
          <w:p w14:paraId="01A2BB61" w14:textId="34537E50" w:rsidR="0081513B" w:rsidRPr="00637E02" w:rsidRDefault="0081513B" w:rsidP="00F204E2">
            <w:pPr>
              <w:jc w:val="center"/>
              <w:rPr>
                <w:rFonts w:ascii="Times New Roman" w:eastAsia="Times New Roman" w:hAnsi="Times New Roman" w:cs="Times New Roman"/>
                <w:spacing w:val="-4"/>
                <w:sz w:val="20"/>
                <w:szCs w:val="20"/>
                <w:lang w:val="en-GB" w:eastAsia="en-GB"/>
              </w:rPr>
            </w:pPr>
            <w:r w:rsidRPr="00637E02">
              <w:rPr>
                <w:rFonts w:ascii="Times New Roman" w:hAnsi="Times New Roman" w:cs="Times New Roman"/>
                <w:spacing w:val="-4"/>
                <w:sz w:val="20"/>
                <w:szCs w:val="20"/>
                <w:lang w:val="en-GB"/>
              </w:rPr>
              <w:t xml:space="preserve">Very High </w:t>
            </w:r>
            <w:r w:rsidR="00637E02">
              <w:rPr>
                <w:rFonts w:ascii="Times New Roman" w:hAnsi="Times New Roman" w:cs="Times New Roman"/>
                <w:spacing w:val="-4"/>
                <w:sz w:val="20"/>
                <w:szCs w:val="20"/>
                <w:lang w:val="en-GB"/>
              </w:rPr>
              <w:br/>
            </w:r>
            <w:r w:rsidRPr="00637E02">
              <w:rPr>
                <w:rFonts w:ascii="Times New Roman" w:hAnsi="Times New Roman" w:cs="Times New Roman"/>
                <w:spacing w:val="-4"/>
                <w:sz w:val="20"/>
                <w:szCs w:val="20"/>
                <w:lang w:val="en-GB"/>
              </w:rPr>
              <w:t>– Flexible, permeable structure; adapts well to erosion and settlement.</w:t>
            </w:r>
          </w:p>
        </w:tc>
        <w:tc>
          <w:tcPr>
            <w:tcW w:w="0" w:type="auto"/>
            <w:vAlign w:val="center"/>
            <w:hideMark/>
          </w:tcPr>
          <w:p w14:paraId="5AFB3AA0"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Moderate – Fill material can be sourced from local sandstones and conglomerates.</w:t>
            </w:r>
          </w:p>
        </w:tc>
        <w:tc>
          <w:tcPr>
            <w:tcW w:w="0" w:type="auto"/>
            <w:vAlign w:val="center"/>
            <w:hideMark/>
          </w:tcPr>
          <w:p w14:paraId="7304E36A" w14:textId="019B0D22"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 xml:space="preserve">Low </w:t>
            </w:r>
            <w:r w:rsidR="00637E02">
              <w:rPr>
                <w:rFonts w:ascii="Times New Roman" w:hAnsi="Times New Roman" w:cs="Times New Roman"/>
                <w:sz w:val="20"/>
                <w:szCs w:val="20"/>
                <w:lang w:val="en-GB"/>
              </w:rPr>
              <w:br/>
            </w:r>
            <w:r w:rsidRPr="00F305A4">
              <w:rPr>
                <w:rFonts w:ascii="Times New Roman" w:hAnsi="Times New Roman" w:cs="Times New Roman"/>
                <w:sz w:val="20"/>
                <w:szCs w:val="20"/>
                <w:lang w:val="en-GB"/>
              </w:rPr>
              <w:t>– Requires minimal transport of fill material.</w:t>
            </w:r>
          </w:p>
        </w:tc>
        <w:tc>
          <w:tcPr>
            <w:tcW w:w="0" w:type="auto"/>
            <w:vAlign w:val="center"/>
            <w:hideMark/>
          </w:tcPr>
          <w:p w14:paraId="1D955644" w14:textId="022183C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 xml:space="preserve">Very Good </w:t>
            </w:r>
            <w:r w:rsidR="00637E02">
              <w:rPr>
                <w:rFonts w:ascii="Times New Roman" w:hAnsi="Times New Roman" w:cs="Times New Roman"/>
                <w:sz w:val="20"/>
                <w:szCs w:val="20"/>
                <w:lang w:val="en-GB"/>
              </w:rPr>
              <w:br/>
            </w:r>
            <w:r w:rsidRPr="00F305A4">
              <w:rPr>
                <w:rFonts w:ascii="Times New Roman" w:hAnsi="Times New Roman" w:cs="Times New Roman"/>
                <w:sz w:val="20"/>
                <w:szCs w:val="20"/>
                <w:lang w:val="en-GB"/>
              </w:rPr>
              <w:t>– Performs well on unstable and variable soils.</w:t>
            </w:r>
          </w:p>
        </w:tc>
        <w:tc>
          <w:tcPr>
            <w:tcW w:w="1327" w:type="dxa"/>
            <w:vAlign w:val="center"/>
            <w:hideMark/>
          </w:tcPr>
          <w:p w14:paraId="051B32D1"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High, with low maintenance requirements.</w:t>
            </w:r>
          </w:p>
        </w:tc>
        <w:tc>
          <w:tcPr>
            <w:tcW w:w="1505" w:type="dxa"/>
            <w:vAlign w:val="center"/>
            <w:hideMark/>
          </w:tcPr>
          <w:p w14:paraId="7F7933AB" w14:textId="1B810ACD" w:rsidR="0081513B" w:rsidRPr="00F305A4" w:rsidRDefault="001F2E61"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Represent a</w:t>
            </w:r>
            <w:r w:rsidR="00637E02">
              <w:rPr>
                <w:rFonts w:ascii="Times New Roman" w:hAnsi="Times New Roman" w:cs="Times New Roman"/>
                <w:sz w:val="20"/>
                <w:szCs w:val="20"/>
                <w:lang w:val="en-GB"/>
              </w:rPr>
              <w:t> </w:t>
            </w:r>
            <w:r w:rsidRPr="00F305A4">
              <w:rPr>
                <w:rFonts w:ascii="Times New Roman" w:hAnsi="Times New Roman" w:cs="Times New Roman"/>
                <w:sz w:val="20"/>
                <w:szCs w:val="20"/>
                <w:lang w:val="en-GB"/>
              </w:rPr>
              <w:t>highly suitable solution under the studied conditions</w:t>
            </w:r>
            <w:r w:rsidR="0081513B" w:rsidRPr="00F305A4">
              <w:rPr>
                <w:rFonts w:ascii="Times New Roman" w:hAnsi="Times New Roman" w:cs="Times New Roman"/>
                <w:sz w:val="20"/>
                <w:szCs w:val="20"/>
                <w:lang w:val="en-GB"/>
              </w:rPr>
              <w:t>.</w:t>
            </w:r>
          </w:p>
        </w:tc>
      </w:tr>
      <w:tr w:rsidR="0081513B" w:rsidRPr="00F305A4" w14:paraId="2D1CD5FE" w14:textId="77777777" w:rsidTr="00637E02">
        <w:trPr>
          <w:trHeight w:val="1204"/>
          <w:jc w:val="center"/>
        </w:trPr>
        <w:tc>
          <w:tcPr>
            <w:tcW w:w="1356" w:type="dxa"/>
            <w:vAlign w:val="center"/>
            <w:hideMark/>
          </w:tcPr>
          <w:p w14:paraId="52806396"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Stone Pitching</w:t>
            </w:r>
          </w:p>
        </w:tc>
        <w:tc>
          <w:tcPr>
            <w:tcW w:w="1322" w:type="dxa"/>
            <w:vAlign w:val="center"/>
            <w:hideMark/>
          </w:tcPr>
          <w:p w14:paraId="22795C0B"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Good, but dependent on stone quality.</w:t>
            </w:r>
          </w:p>
        </w:tc>
        <w:tc>
          <w:tcPr>
            <w:tcW w:w="0" w:type="auto"/>
            <w:vAlign w:val="center"/>
            <w:hideMark/>
          </w:tcPr>
          <w:p w14:paraId="24CCD0B7"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Moderate to High</w:t>
            </w:r>
          </w:p>
        </w:tc>
        <w:tc>
          <w:tcPr>
            <w:tcW w:w="0" w:type="auto"/>
            <w:vAlign w:val="center"/>
            <w:hideMark/>
          </w:tcPr>
          <w:p w14:paraId="606FB13A" w14:textId="0002AC5D"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 xml:space="preserve">Moderate </w:t>
            </w:r>
            <w:r w:rsidR="00637E02">
              <w:rPr>
                <w:rFonts w:ascii="Times New Roman" w:hAnsi="Times New Roman" w:cs="Times New Roman"/>
                <w:sz w:val="20"/>
                <w:szCs w:val="20"/>
                <w:lang w:val="en-GB"/>
              </w:rPr>
              <w:br/>
            </w:r>
            <w:r w:rsidRPr="00F305A4">
              <w:rPr>
                <w:rFonts w:ascii="Times New Roman" w:hAnsi="Times New Roman" w:cs="Times New Roman"/>
                <w:sz w:val="20"/>
                <w:szCs w:val="20"/>
                <w:lang w:val="en-GB"/>
              </w:rPr>
              <w:t>– Requires calibrated stone.</w:t>
            </w:r>
          </w:p>
        </w:tc>
        <w:tc>
          <w:tcPr>
            <w:tcW w:w="0" w:type="auto"/>
            <w:vAlign w:val="center"/>
            <w:hideMark/>
          </w:tcPr>
          <w:p w14:paraId="37EEF97A"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Moderate – Sensitive to friable soils.</w:t>
            </w:r>
          </w:p>
        </w:tc>
        <w:tc>
          <w:tcPr>
            <w:tcW w:w="1327" w:type="dxa"/>
            <w:vAlign w:val="center"/>
            <w:hideMark/>
          </w:tcPr>
          <w:p w14:paraId="65E59D60"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Average</w:t>
            </w:r>
          </w:p>
        </w:tc>
        <w:tc>
          <w:tcPr>
            <w:tcW w:w="1505" w:type="dxa"/>
            <w:vAlign w:val="center"/>
            <w:hideMark/>
          </w:tcPr>
          <w:p w14:paraId="34D366D5"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Effective for specific sites, but costs may rise without suitable stone.</w:t>
            </w:r>
          </w:p>
        </w:tc>
      </w:tr>
      <w:tr w:rsidR="0081513B" w:rsidRPr="00F305A4" w14:paraId="5B481129" w14:textId="77777777" w:rsidTr="00637E02">
        <w:trPr>
          <w:trHeight w:val="1245"/>
          <w:jc w:val="center"/>
        </w:trPr>
        <w:tc>
          <w:tcPr>
            <w:tcW w:w="1356" w:type="dxa"/>
            <w:vAlign w:val="center"/>
            <w:hideMark/>
          </w:tcPr>
          <w:p w14:paraId="464A383B"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Rockfill</w:t>
            </w:r>
          </w:p>
        </w:tc>
        <w:tc>
          <w:tcPr>
            <w:tcW w:w="1322" w:type="dxa"/>
            <w:vAlign w:val="center"/>
            <w:hideMark/>
          </w:tcPr>
          <w:p w14:paraId="285C09CD" w14:textId="413DD5E9"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High, but requires a</w:t>
            </w:r>
            <w:r w:rsidR="00637E02">
              <w:rPr>
                <w:rFonts w:ascii="Times New Roman" w:hAnsi="Times New Roman" w:cs="Times New Roman"/>
                <w:sz w:val="20"/>
                <w:szCs w:val="20"/>
                <w:lang w:val="en-GB"/>
              </w:rPr>
              <w:t> </w:t>
            </w:r>
            <w:r w:rsidRPr="00F305A4">
              <w:rPr>
                <w:rFonts w:ascii="Times New Roman" w:hAnsi="Times New Roman" w:cs="Times New Roman"/>
                <w:sz w:val="20"/>
                <w:szCs w:val="20"/>
                <w:lang w:val="en-GB"/>
              </w:rPr>
              <w:t>stable foundation.</w:t>
            </w:r>
          </w:p>
        </w:tc>
        <w:tc>
          <w:tcPr>
            <w:tcW w:w="0" w:type="auto"/>
            <w:vAlign w:val="center"/>
            <w:hideMark/>
          </w:tcPr>
          <w:p w14:paraId="6DF0B332"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High – Large volume of material.</w:t>
            </w:r>
          </w:p>
        </w:tc>
        <w:tc>
          <w:tcPr>
            <w:tcW w:w="0" w:type="auto"/>
            <w:vAlign w:val="center"/>
            <w:hideMark/>
          </w:tcPr>
          <w:p w14:paraId="46176812" w14:textId="371A1E21"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 xml:space="preserve">High </w:t>
            </w:r>
            <w:r w:rsidR="00637E02">
              <w:rPr>
                <w:rFonts w:ascii="Times New Roman" w:hAnsi="Times New Roman" w:cs="Times New Roman"/>
                <w:sz w:val="20"/>
                <w:szCs w:val="20"/>
                <w:lang w:val="en-GB"/>
              </w:rPr>
              <w:br/>
            </w:r>
            <w:r w:rsidRPr="00F305A4">
              <w:rPr>
                <w:rFonts w:ascii="Times New Roman" w:hAnsi="Times New Roman" w:cs="Times New Roman"/>
                <w:sz w:val="20"/>
                <w:szCs w:val="20"/>
                <w:lang w:val="en-GB"/>
              </w:rPr>
              <w:t>– Difficult transport in limited access areas.</w:t>
            </w:r>
          </w:p>
        </w:tc>
        <w:tc>
          <w:tcPr>
            <w:tcW w:w="0" w:type="auto"/>
            <w:vAlign w:val="center"/>
            <w:hideMark/>
          </w:tcPr>
          <w:p w14:paraId="0B004B64"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Moderate</w:t>
            </w:r>
          </w:p>
        </w:tc>
        <w:tc>
          <w:tcPr>
            <w:tcW w:w="1327" w:type="dxa"/>
            <w:vAlign w:val="center"/>
            <w:hideMark/>
          </w:tcPr>
          <w:p w14:paraId="2558EE6E"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High, but difficult to maintain.</w:t>
            </w:r>
          </w:p>
        </w:tc>
        <w:tc>
          <w:tcPr>
            <w:tcW w:w="1505" w:type="dxa"/>
            <w:vAlign w:val="center"/>
            <w:hideMark/>
          </w:tcPr>
          <w:p w14:paraId="5FBFC727" w14:textId="7DE21D5A"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Suitable for specific points; not reco</w:t>
            </w:r>
            <w:r w:rsidR="00637E02">
              <w:rPr>
                <w:rFonts w:ascii="Times New Roman" w:hAnsi="Times New Roman" w:cs="Times New Roman"/>
                <w:sz w:val="20"/>
                <w:szCs w:val="20"/>
                <w:lang w:val="en-GB"/>
              </w:rPr>
              <w:t>-</w:t>
            </w:r>
            <w:r w:rsidRPr="00F305A4">
              <w:rPr>
                <w:rFonts w:ascii="Times New Roman" w:hAnsi="Times New Roman" w:cs="Times New Roman"/>
                <w:sz w:val="20"/>
                <w:szCs w:val="20"/>
                <w:lang w:val="en-GB"/>
              </w:rPr>
              <w:t>mmended for large-scale use.</w:t>
            </w:r>
          </w:p>
        </w:tc>
      </w:tr>
      <w:tr w:rsidR="0081513B" w:rsidRPr="00F305A4" w14:paraId="787F3097" w14:textId="77777777" w:rsidTr="00637E02">
        <w:trPr>
          <w:trHeight w:val="1470"/>
          <w:jc w:val="center"/>
        </w:trPr>
        <w:tc>
          <w:tcPr>
            <w:tcW w:w="1356" w:type="dxa"/>
            <w:vAlign w:val="center"/>
            <w:hideMark/>
          </w:tcPr>
          <w:p w14:paraId="76C7449B"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Retaining Walls</w:t>
            </w:r>
          </w:p>
        </w:tc>
        <w:tc>
          <w:tcPr>
            <w:tcW w:w="1322" w:type="dxa"/>
            <w:vAlign w:val="center"/>
            <w:hideMark/>
          </w:tcPr>
          <w:p w14:paraId="559FF208"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Very High in stable areas.</w:t>
            </w:r>
          </w:p>
        </w:tc>
        <w:tc>
          <w:tcPr>
            <w:tcW w:w="0" w:type="auto"/>
            <w:vAlign w:val="center"/>
            <w:hideMark/>
          </w:tcPr>
          <w:p w14:paraId="74150355" w14:textId="41961E6D"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 xml:space="preserve">Very High </w:t>
            </w:r>
            <w:r w:rsidR="00637E02">
              <w:rPr>
                <w:rFonts w:ascii="Times New Roman" w:hAnsi="Times New Roman" w:cs="Times New Roman"/>
                <w:sz w:val="20"/>
                <w:szCs w:val="20"/>
                <w:lang w:val="en-GB"/>
              </w:rPr>
              <w:br/>
            </w:r>
            <w:r w:rsidRPr="00F305A4">
              <w:rPr>
                <w:rFonts w:ascii="Times New Roman" w:hAnsi="Times New Roman" w:cs="Times New Roman"/>
                <w:sz w:val="20"/>
                <w:szCs w:val="20"/>
                <w:lang w:val="en-GB"/>
              </w:rPr>
              <w:t>– Complex execution.</w:t>
            </w:r>
          </w:p>
        </w:tc>
        <w:tc>
          <w:tcPr>
            <w:tcW w:w="0" w:type="auto"/>
            <w:vAlign w:val="center"/>
            <w:hideMark/>
          </w:tcPr>
          <w:p w14:paraId="652DB954"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Moderate</w:t>
            </w:r>
          </w:p>
        </w:tc>
        <w:tc>
          <w:tcPr>
            <w:tcW w:w="0" w:type="auto"/>
            <w:vAlign w:val="center"/>
            <w:hideMark/>
          </w:tcPr>
          <w:p w14:paraId="262BC99F"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Low on clayey and unstable soils.</w:t>
            </w:r>
          </w:p>
        </w:tc>
        <w:tc>
          <w:tcPr>
            <w:tcW w:w="1327" w:type="dxa"/>
            <w:vAlign w:val="center"/>
            <w:hideMark/>
          </w:tcPr>
          <w:p w14:paraId="78E2A722"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High, but costly.</w:t>
            </w:r>
          </w:p>
        </w:tc>
        <w:tc>
          <w:tcPr>
            <w:tcW w:w="1505" w:type="dxa"/>
            <w:vAlign w:val="center"/>
            <w:hideMark/>
          </w:tcPr>
          <w:p w14:paraId="2A32C368" w14:textId="64635325" w:rsidR="0081513B" w:rsidRPr="00637E02" w:rsidRDefault="0081513B" w:rsidP="00F204E2">
            <w:pPr>
              <w:jc w:val="center"/>
              <w:rPr>
                <w:rFonts w:ascii="Times New Roman" w:eastAsia="Times New Roman" w:hAnsi="Times New Roman" w:cs="Times New Roman"/>
                <w:spacing w:val="-4"/>
                <w:sz w:val="20"/>
                <w:szCs w:val="20"/>
                <w:lang w:val="en-GB" w:eastAsia="en-GB"/>
              </w:rPr>
            </w:pPr>
            <w:r w:rsidRPr="00637E02">
              <w:rPr>
                <w:rFonts w:ascii="Times New Roman" w:hAnsi="Times New Roman" w:cs="Times New Roman"/>
                <w:spacing w:val="-4"/>
                <w:sz w:val="20"/>
                <w:szCs w:val="20"/>
                <w:lang w:val="en-GB"/>
              </w:rPr>
              <w:t xml:space="preserve">Inadequate </w:t>
            </w:r>
            <w:r w:rsidR="00637E02">
              <w:rPr>
                <w:rFonts w:ascii="Times New Roman" w:hAnsi="Times New Roman" w:cs="Times New Roman"/>
                <w:spacing w:val="-4"/>
                <w:sz w:val="20"/>
                <w:szCs w:val="20"/>
                <w:lang w:val="en-GB"/>
              </w:rPr>
              <w:br/>
            </w:r>
            <w:r w:rsidRPr="00637E02">
              <w:rPr>
                <w:rFonts w:ascii="Times New Roman" w:hAnsi="Times New Roman" w:cs="Times New Roman"/>
                <w:spacing w:val="-4"/>
                <w:sz w:val="20"/>
                <w:szCs w:val="20"/>
                <w:lang w:val="en-GB"/>
              </w:rPr>
              <w:t xml:space="preserve">for mobile riverbeds; </w:t>
            </w:r>
            <w:r w:rsidR="00637E02">
              <w:rPr>
                <w:rFonts w:ascii="Times New Roman" w:hAnsi="Times New Roman" w:cs="Times New Roman"/>
                <w:spacing w:val="-4"/>
                <w:sz w:val="20"/>
                <w:szCs w:val="20"/>
                <w:lang w:val="en-GB"/>
              </w:rPr>
              <w:br/>
            </w:r>
            <w:r w:rsidRPr="00637E02">
              <w:rPr>
                <w:rFonts w:ascii="Times New Roman" w:hAnsi="Times New Roman" w:cs="Times New Roman"/>
                <w:spacing w:val="-4"/>
                <w:sz w:val="20"/>
                <w:szCs w:val="20"/>
                <w:lang w:val="en-GB"/>
              </w:rPr>
              <w:t xml:space="preserve">useful only </w:t>
            </w:r>
            <w:r w:rsidR="00637E02">
              <w:rPr>
                <w:rFonts w:ascii="Times New Roman" w:hAnsi="Times New Roman" w:cs="Times New Roman"/>
                <w:spacing w:val="-4"/>
                <w:sz w:val="20"/>
                <w:szCs w:val="20"/>
                <w:lang w:val="en-GB"/>
              </w:rPr>
              <w:br/>
            </w:r>
            <w:r w:rsidRPr="00637E02">
              <w:rPr>
                <w:rFonts w:ascii="Times New Roman" w:hAnsi="Times New Roman" w:cs="Times New Roman"/>
                <w:spacing w:val="-4"/>
                <w:sz w:val="20"/>
                <w:szCs w:val="20"/>
                <w:lang w:val="en-GB"/>
              </w:rPr>
              <w:t>for localized applications.</w:t>
            </w:r>
          </w:p>
        </w:tc>
      </w:tr>
      <w:tr w:rsidR="0081513B" w:rsidRPr="00F305A4" w14:paraId="708FBE0F" w14:textId="77777777" w:rsidTr="00F8497E">
        <w:trPr>
          <w:trHeight w:val="1106"/>
          <w:jc w:val="center"/>
        </w:trPr>
        <w:tc>
          <w:tcPr>
            <w:tcW w:w="1356" w:type="dxa"/>
            <w:vAlign w:val="center"/>
            <w:hideMark/>
          </w:tcPr>
          <w:p w14:paraId="4277F975"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Flood Spillways</w:t>
            </w:r>
          </w:p>
        </w:tc>
        <w:tc>
          <w:tcPr>
            <w:tcW w:w="1322" w:type="dxa"/>
            <w:vAlign w:val="center"/>
            <w:hideMark/>
          </w:tcPr>
          <w:p w14:paraId="0FA9C6DD" w14:textId="2A6C6C41" w:rsidR="0081513B" w:rsidRPr="00637E02" w:rsidRDefault="0081513B" w:rsidP="00F8497E">
            <w:pPr>
              <w:ind w:left="-182"/>
              <w:jc w:val="center"/>
              <w:rPr>
                <w:rFonts w:ascii="Times New Roman" w:eastAsia="Times New Roman" w:hAnsi="Times New Roman" w:cs="Times New Roman"/>
                <w:spacing w:val="-4"/>
                <w:sz w:val="20"/>
                <w:szCs w:val="20"/>
                <w:lang w:val="en-GB" w:eastAsia="en-GB"/>
              </w:rPr>
            </w:pPr>
            <w:r w:rsidRPr="00637E02">
              <w:rPr>
                <w:rFonts w:ascii="Times New Roman" w:hAnsi="Times New Roman" w:cs="Times New Roman"/>
                <w:spacing w:val="-4"/>
                <w:sz w:val="20"/>
                <w:szCs w:val="20"/>
                <w:lang w:val="en-GB"/>
              </w:rPr>
              <w:t>Effective only hydraulically for managing peak discharge.</w:t>
            </w:r>
          </w:p>
        </w:tc>
        <w:tc>
          <w:tcPr>
            <w:tcW w:w="0" w:type="auto"/>
            <w:vAlign w:val="center"/>
            <w:hideMark/>
          </w:tcPr>
          <w:p w14:paraId="7F3EB917"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Moderate</w:t>
            </w:r>
          </w:p>
        </w:tc>
        <w:tc>
          <w:tcPr>
            <w:tcW w:w="0" w:type="auto"/>
            <w:vAlign w:val="center"/>
            <w:hideMark/>
          </w:tcPr>
          <w:p w14:paraId="244F9906"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Moderate</w:t>
            </w:r>
          </w:p>
        </w:tc>
        <w:tc>
          <w:tcPr>
            <w:tcW w:w="0" w:type="auto"/>
            <w:vAlign w:val="center"/>
            <w:hideMark/>
          </w:tcPr>
          <w:p w14:paraId="1CAE43CA"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N/A</w:t>
            </w:r>
          </w:p>
        </w:tc>
        <w:tc>
          <w:tcPr>
            <w:tcW w:w="1327" w:type="dxa"/>
            <w:vAlign w:val="center"/>
            <w:hideMark/>
          </w:tcPr>
          <w:p w14:paraId="646B503B"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High</w:t>
            </w:r>
          </w:p>
        </w:tc>
        <w:tc>
          <w:tcPr>
            <w:tcW w:w="1505" w:type="dxa"/>
            <w:vAlign w:val="center"/>
            <w:hideMark/>
          </w:tcPr>
          <w:p w14:paraId="03F1DBF3" w14:textId="77777777" w:rsidR="0081513B" w:rsidRPr="00F305A4" w:rsidRDefault="0081513B" w:rsidP="00F204E2">
            <w:pPr>
              <w:jc w:val="center"/>
              <w:rPr>
                <w:rFonts w:ascii="Times New Roman" w:eastAsia="Times New Roman" w:hAnsi="Times New Roman" w:cs="Times New Roman"/>
                <w:sz w:val="20"/>
                <w:szCs w:val="20"/>
                <w:lang w:val="en-GB" w:eastAsia="en-GB"/>
              </w:rPr>
            </w:pPr>
            <w:r w:rsidRPr="00F305A4">
              <w:rPr>
                <w:rFonts w:ascii="Times New Roman" w:hAnsi="Times New Roman" w:cs="Times New Roman"/>
                <w:sz w:val="20"/>
                <w:szCs w:val="20"/>
                <w:lang w:val="en-GB"/>
              </w:rPr>
              <w:t>Complementary solution, not for stabilization.</w:t>
            </w:r>
          </w:p>
        </w:tc>
      </w:tr>
    </w:tbl>
    <w:p w14:paraId="5F7A6832" w14:textId="77777777" w:rsidR="00BF4930" w:rsidRPr="00F305A4" w:rsidRDefault="00BF4930" w:rsidP="008800A0">
      <w:pPr>
        <w:spacing w:after="0" w:line="240" w:lineRule="auto"/>
        <w:ind w:firstLine="284"/>
        <w:jc w:val="both"/>
        <w:rPr>
          <w:rFonts w:ascii="Times New Roman" w:hAnsi="Times New Roman" w:cs="Times New Roman"/>
          <w:lang w:val="en-GB"/>
        </w:rPr>
      </w:pPr>
    </w:p>
    <w:p w14:paraId="0D4ABC8C" w14:textId="77777777" w:rsidR="007040AD" w:rsidRPr="00F305A4" w:rsidRDefault="00977264" w:rsidP="00BF4930">
      <w:pPr>
        <w:pStyle w:val="Rn2"/>
        <w:rPr>
          <w:lang w:val="en-GB"/>
        </w:rPr>
      </w:pPr>
      <w:r w:rsidRPr="00F305A4">
        <w:rPr>
          <w:lang w:val="en-GB"/>
        </w:rPr>
        <w:t>4.3. Design and finite element analysis of the device</w:t>
      </w:r>
    </w:p>
    <w:p w14:paraId="5F94BBCD" w14:textId="3C6C1DE3" w:rsidR="001F2E61" w:rsidRPr="00F305A4" w:rsidRDefault="001F2E61" w:rsidP="001F2E61">
      <w:pPr>
        <w:pStyle w:val="NormalnyWeb"/>
        <w:spacing w:before="0" w:beforeAutospacing="0" w:after="0" w:afterAutospacing="0"/>
        <w:ind w:firstLine="284"/>
        <w:jc w:val="both"/>
        <w:rPr>
          <w:rFonts w:eastAsiaTheme="majorEastAsia"/>
          <w:sz w:val="22"/>
          <w:szCs w:val="22"/>
        </w:rPr>
      </w:pPr>
      <w:r w:rsidRPr="00F305A4">
        <w:rPr>
          <w:rFonts w:eastAsiaTheme="majorEastAsia"/>
          <w:sz w:val="22"/>
          <w:szCs w:val="22"/>
        </w:rPr>
        <w:t>These morphodynamic constraints directly justify the deployment of flexible gabion systems over rigid alternatives. However, transporting and positioning these units within the high-gradient, forested sectors of the Bălăneasa River is operationally unfeasible using standard municipal machinery.</w:t>
      </w:r>
    </w:p>
    <w:p w14:paraId="67F581E9" w14:textId="1AC34EFE" w:rsidR="001F2E61" w:rsidRPr="00F305A4" w:rsidRDefault="001F2E61" w:rsidP="001F2E61">
      <w:pPr>
        <w:pStyle w:val="NormalnyWeb"/>
        <w:spacing w:before="0" w:beforeAutospacing="0" w:after="0" w:afterAutospacing="0"/>
        <w:ind w:firstLine="284"/>
        <w:jc w:val="both"/>
        <w:rPr>
          <w:rFonts w:eastAsiaTheme="majorEastAsia"/>
          <w:sz w:val="22"/>
          <w:szCs w:val="22"/>
        </w:rPr>
      </w:pPr>
      <w:r w:rsidRPr="00F305A4">
        <w:rPr>
          <w:rFonts w:eastAsiaTheme="majorEastAsia"/>
          <w:sz w:val="22"/>
          <w:szCs w:val="22"/>
        </w:rPr>
        <w:t>The structural integrity demonstrated by the mechanical simulations addresses this execution bottleneck. Because the framework operates strictly within the elastic limit under peak operational stress, the device guarantees structural predictability during high-precision placement. Consequently, the engineering solution bridges the gap between geomorphic necessity and field logistics, allowing targeted bank stabilization without requiring destructive access-road clearance.</w:t>
      </w:r>
    </w:p>
    <w:p w14:paraId="3894036D" w14:textId="756736A8" w:rsidR="00977264" w:rsidRPr="00F305A4" w:rsidRDefault="00977264" w:rsidP="00BF4930">
      <w:pPr>
        <w:pStyle w:val="Rn2"/>
        <w:rPr>
          <w:lang w:val="en-GB"/>
        </w:rPr>
      </w:pPr>
      <w:r w:rsidRPr="00F305A4">
        <w:rPr>
          <w:lang w:val="en-GB"/>
        </w:rPr>
        <w:t>4.4. Analysis and interpretation of simulation results</w:t>
      </w:r>
    </w:p>
    <w:p w14:paraId="43CAE3C6" w14:textId="77777777" w:rsidR="005D653E" w:rsidRPr="00F305A4" w:rsidRDefault="005D653E"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Finite element analysis produced spatial distributions of stress, displacement, and strain, visualized through color-coded contour maps representing the numerical solution domain.</w:t>
      </w:r>
    </w:p>
    <w:p w14:paraId="5990E8E9" w14:textId="77777777" w:rsidR="005D653E" w:rsidRPr="00F305A4" w:rsidRDefault="005D653E"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simulation converged when residual errors reached 10⁻⁵, ensuring numerical stability and accuracy within the SOLIDWORKS Simulation environment. The resulting outputs allow identification of critical stress zones and validation of structural performance under representative loading conditions.</w:t>
      </w:r>
    </w:p>
    <w:p w14:paraId="27442583" w14:textId="77777777" w:rsidR="005D653E" w:rsidRPr="00F305A4" w:rsidRDefault="005D653E"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stress distribution indicates low global stress levels, with localized concentrations in the central joint region. These values approach but do not exceed the material yield strength, confirming structural safety under operational loads.</w:t>
      </w:r>
    </w:p>
    <w:p w14:paraId="601B472C" w14:textId="7AC51DAA" w:rsidR="00666236" w:rsidRPr="00F305A4" w:rsidRDefault="005D653E"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lastRenderedPageBreak/>
        <w:t xml:space="preserve">Maximum displacements occur at the claw extremities, while the main structural joint remains stable, indicating adequate global stiffness. The results confirm </w:t>
      </w:r>
      <w:r w:rsidR="007A3382">
        <w:rPr>
          <w:rFonts w:ascii="Times New Roman" w:hAnsi="Times New Roman" w:cs="Times New Roman"/>
          <w:lang w:val="en-GB"/>
        </w:rPr>
        <w:t xml:space="preserve">the </w:t>
      </w:r>
      <w:r w:rsidRPr="00F305A4">
        <w:rPr>
          <w:rFonts w:ascii="Times New Roman" w:hAnsi="Times New Roman" w:cs="Times New Roman"/>
          <w:lang w:val="en-GB"/>
        </w:rPr>
        <w:t xml:space="preserve">functional reliability of the design. Local reinforcement of high-stress regions may be considered </w:t>
      </w:r>
      <w:r w:rsidR="007A3382">
        <w:rPr>
          <w:rFonts w:ascii="Times New Roman" w:hAnsi="Times New Roman" w:cs="Times New Roman"/>
          <w:lang w:val="en-GB"/>
        </w:rPr>
        <w:t>to optimize long-term durability</w:t>
      </w:r>
      <w:r w:rsidRPr="00F305A4">
        <w:rPr>
          <w:rFonts w:ascii="Times New Roman" w:hAnsi="Times New Roman" w:cs="Times New Roman"/>
          <w:lang w:val="en-GB"/>
        </w:rPr>
        <w:t>.</w:t>
      </w:r>
    </w:p>
    <w:p w14:paraId="1C76DA07" w14:textId="77777777" w:rsidR="00352049" w:rsidRPr="00F305A4" w:rsidRDefault="00352049" w:rsidP="00352049">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The numerical analysis of the gripping device indicates predominantly low equivalent stress levels across the structure, with localized stress concentrations in the central joint region of the arms. In these zones, stress values approach but do not exceed the material yield strength, confirming structural safety under the applied loading conditions.</w:t>
      </w:r>
    </w:p>
    <w:p w14:paraId="1696F744" w14:textId="1FCDF706" w:rsidR="00352049" w:rsidRPr="00F305A4" w:rsidRDefault="00352049" w:rsidP="00352049">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Maximum displacements are recorded at the claw tips and in the lower arm sections, while the main articulation zone remains largely unaffected, suggesting adequate global stiffness of the system (Fig.</w:t>
      </w:r>
      <w:r w:rsidR="006E21E3">
        <w:rPr>
          <w:rFonts w:ascii="Times New Roman" w:hAnsi="Times New Roman" w:cs="Times New Roman"/>
          <w:lang w:val="en-GB"/>
        </w:rPr>
        <w:t xml:space="preserve"> </w:t>
      </w:r>
      <w:r w:rsidRPr="00F305A4">
        <w:rPr>
          <w:rFonts w:ascii="Times New Roman" w:hAnsi="Times New Roman" w:cs="Times New Roman"/>
          <w:lang w:val="en-GB"/>
        </w:rPr>
        <w:t>14).</w:t>
      </w:r>
    </w:p>
    <w:p w14:paraId="24111FAB" w14:textId="5E1E2771" w:rsidR="00977264" w:rsidRPr="00F305A4" w:rsidRDefault="00977264"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Overall, the results confirm the functional integrity and mechanical reliability of the proposed design. The selected material and structural configuration ensure safe operation under working loads. For long-term performance optimization, targeted reinforcement of the lower arms and central connection area may be considered, provided that the controlled deformation behavior at the gripping extremities is preserved.</w:t>
      </w:r>
    </w:p>
    <w:p w14:paraId="5D317BF8" w14:textId="3B967164" w:rsidR="008878E9" w:rsidRPr="00F305A4" w:rsidRDefault="00266A4F" w:rsidP="006E1BDF">
      <w:pPr>
        <w:pStyle w:val="Rn2"/>
        <w:rPr>
          <w:lang w:val="en-GB"/>
        </w:rPr>
      </w:pPr>
      <w:r w:rsidRPr="00F305A4">
        <w:rPr>
          <w:lang w:val="en-GB"/>
        </w:rPr>
        <w:t xml:space="preserve">4.5. Limitations of </w:t>
      </w:r>
      <w:r w:rsidR="007A3382">
        <w:rPr>
          <w:lang w:val="en-GB"/>
        </w:rPr>
        <w:t xml:space="preserve">the </w:t>
      </w:r>
      <w:r w:rsidRPr="00F305A4">
        <w:rPr>
          <w:lang w:val="en-GB"/>
        </w:rPr>
        <w:t>study</w:t>
      </w:r>
    </w:p>
    <w:p w14:paraId="413E46D9" w14:textId="77777777" w:rsidR="008878E9" w:rsidRPr="00F305A4" w:rsidRDefault="008878E9" w:rsidP="008878E9">
      <w:pPr>
        <w:spacing w:after="0" w:line="240" w:lineRule="auto"/>
        <w:ind w:firstLine="284"/>
        <w:jc w:val="both"/>
        <w:rPr>
          <w:rFonts w:ascii="Times New Roman" w:eastAsiaTheme="majorEastAsia" w:hAnsi="Times New Roman" w:cs="Times New Roman"/>
          <w:lang w:val="en-GB"/>
        </w:rPr>
      </w:pPr>
      <w:r w:rsidRPr="00F305A4">
        <w:rPr>
          <w:rFonts w:ascii="Times New Roman" w:eastAsiaTheme="majorEastAsia" w:hAnsi="Times New Roman" w:cs="Times New Roman"/>
          <w:lang w:val="en-GB"/>
        </w:rPr>
        <w:t>The findings of the present study are subject to several inherent limitations that should be considered when interpreting the overall results:</w:t>
      </w:r>
    </w:p>
    <w:p w14:paraId="32660F7F" w14:textId="194683E2" w:rsidR="008878E9" w:rsidRPr="00F305A4" w:rsidRDefault="008878E9" w:rsidP="00F204E2">
      <w:pPr>
        <w:pStyle w:val="Akapitzlist"/>
        <w:numPr>
          <w:ilvl w:val="0"/>
          <w:numId w:val="44"/>
        </w:numPr>
        <w:spacing w:after="0" w:line="240" w:lineRule="auto"/>
        <w:ind w:left="568" w:hanging="284"/>
        <w:jc w:val="both"/>
        <w:rPr>
          <w:rFonts w:ascii="Times New Roman" w:hAnsi="Times New Roman" w:cs="Times New Roman"/>
          <w:lang w:val="en-GB"/>
        </w:rPr>
      </w:pPr>
      <w:r w:rsidRPr="00F305A4">
        <w:rPr>
          <w:rFonts w:ascii="Times New Roman" w:eastAsiaTheme="majorEastAsia" w:hAnsi="Times New Roman" w:cs="Times New Roman"/>
          <w:lang w:val="en-GB"/>
        </w:rPr>
        <w:t>Geomorphometric and Spatial Constraints: The analysis is inherently constrained by the spatial resolution and vertical accuracy of the available DEM. These factors may introduce minor uncertainties in the precise estimation of slope dynamics and channel parameters along the catchment.</w:t>
      </w:r>
    </w:p>
    <w:p w14:paraId="106D5B46" w14:textId="77777777" w:rsidR="008878E9" w:rsidRPr="00F305A4" w:rsidRDefault="008878E9" w:rsidP="00F204E2">
      <w:pPr>
        <w:pStyle w:val="Nagwek1"/>
        <w:numPr>
          <w:ilvl w:val="0"/>
          <w:numId w:val="43"/>
        </w:numPr>
        <w:spacing w:before="0" w:line="240" w:lineRule="auto"/>
        <w:ind w:left="568" w:hanging="284"/>
        <w:jc w:val="both"/>
        <w:rPr>
          <w:rFonts w:ascii="Times New Roman" w:hAnsi="Times New Roman" w:cs="Times New Roman"/>
          <w:b w:val="0"/>
          <w:bCs w:val="0"/>
          <w:color w:val="auto"/>
          <w:sz w:val="22"/>
          <w:szCs w:val="22"/>
          <w:lang w:val="en-GB"/>
        </w:rPr>
      </w:pPr>
      <w:r w:rsidRPr="00F305A4">
        <w:rPr>
          <w:rFonts w:ascii="Times New Roman" w:hAnsi="Times New Roman" w:cs="Times New Roman"/>
          <w:b w:val="0"/>
          <w:bCs w:val="0"/>
          <w:color w:val="auto"/>
          <w:sz w:val="22"/>
          <w:szCs w:val="22"/>
          <w:lang w:val="en-GB"/>
        </w:rPr>
        <w:t xml:space="preserve">Hydrological and Validation Gaps: The hydrological interpretation of the Bălăneasa River Basin is restricted by the absence of direct, permanent hydrometric observations along the studied sector. Consequently, continuous </w:t>
      </w:r>
      <w:r w:rsidRPr="00F305A4">
        <w:rPr>
          <w:rFonts w:ascii="Times New Roman" w:hAnsi="Times New Roman" w:cs="Times New Roman"/>
          <w:b w:val="0"/>
          <w:bCs w:val="0"/>
          <w:i/>
          <w:iCs/>
          <w:color w:val="auto"/>
          <w:sz w:val="22"/>
          <w:szCs w:val="22"/>
          <w:lang w:val="en-GB"/>
        </w:rPr>
        <w:t>in-situ</w:t>
      </w:r>
      <w:r w:rsidRPr="00F305A4">
        <w:rPr>
          <w:rFonts w:ascii="Times New Roman" w:hAnsi="Times New Roman" w:cs="Times New Roman"/>
          <w:b w:val="0"/>
          <w:bCs w:val="0"/>
          <w:color w:val="auto"/>
          <w:sz w:val="22"/>
          <w:szCs w:val="22"/>
          <w:lang w:val="en-GB"/>
        </w:rPr>
        <w:t xml:space="preserve"> discharge, water level, and sediment transport measurements were unavailable for strict quantitative validation, preventing the direct calibration of the river's hydraulic behavior against field observations. To evaluate the broader regional context, hydrometric data from the nearest downstream gauging station—Măgura station on the Buzău River (Station ID 47, BZ)—were carefully analyzed (noting baseline variations such as the water level reaching 51.0 cm on April 20th relative to the 300, 350, and 400 cm defense thresholds). However, due to its location significantly downstream, these records were strictly used as a contextual reference and could not be integrated into the localized GIS workflow. To mitigate this, the hydrological framework relied on authoritative datasets, incorporating official boundaries and spatial sub-basin layers from the National Administration "Apele Române" (ANAR) and the National Institute of Hydrology and Water Management (INHGA) to ensure baseline technical validation.</w:t>
      </w:r>
    </w:p>
    <w:p w14:paraId="4E5341A1" w14:textId="77777777" w:rsidR="008878E9" w:rsidRPr="00F305A4" w:rsidRDefault="008878E9" w:rsidP="00F204E2">
      <w:pPr>
        <w:pStyle w:val="Nagwek1"/>
        <w:numPr>
          <w:ilvl w:val="0"/>
          <w:numId w:val="43"/>
        </w:numPr>
        <w:spacing w:before="0" w:line="240" w:lineRule="auto"/>
        <w:ind w:left="568" w:hanging="284"/>
        <w:jc w:val="both"/>
        <w:rPr>
          <w:rFonts w:ascii="Times New Roman" w:hAnsi="Times New Roman" w:cs="Times New Roman"/>
          <w:b w:val="0"/>
          <w:bCs w:val="0"/>
          <w:color w:val="auto"/>
          <w:sz w:val="22"/>
          <w:szCs w:val="22"/>
          <w:lang w:val="en-GB"/>
        </w:rPr>
      </w:pPr>
      <w:r w:rsidRPr="00F305A4">
        <w:rPr>
          <w:rFonts w:ascii="Times New Roman" w:hAnsi="Times New Roman" w:cs="Times New Roman"/>
          <w:b w:val="0"/>
          <w:bCs w:val="0"/>
          <w:color w:val="auto"/>
          <w:sz w:val="22"/>
          <w:szCs w:val="22"/>
          <w:lang w:val="en-GB"/>
        </w:rPr>
        <w:t>Climatic Variability: While the basin exhibits a characteristic pluvio-nival hydrological behavior driven by seasonal rainfall and snowmelt, recent climatic fluctuations have induced localized anomalies. This is evidenced by data from the Romanian National Meteorological Administration (ANM), which showed monthly precipitation totals below 10 mm in January 2025, leading to temporary low-flow or near-dry conditions across several secondary tributaries that could not be fully quantified.</w:t>
      </w:r>
    </w:p>
    <w:p w14:paraId="6B0995FA" w14:textId="3FC4B730" w:rsidR="008878E9" w:rsidRPr="00F305A4" w:rsidRDefault="008878E9" w:rsidP="00F204E2">
      <w:pPr>
        <w:pStyle w:val="Nagwek1"/>
        <w:numPr>
          <w:ilvl w:val="0"/>
          <w:numId w:val="43"/>
        </w:numPr>
        <w:spacing w:before="0" w:line="240" w:lineRule="auto"/>
        <w:ind w:left="568" w:hanging="284"/>
        <w:jc w:val="both"/>
        <w:rPr>
          <w:rFonts w:ascii="Times New Roman" w:hAnsi="Times New Roman" w:cs="Times New Roman"/>
          <w:b w:val="0"/>
          <w:bCs w:val="0"/>
          <w:color w:val="auto"/>
          <w:sz w:val="22"/>
          <w:szCs w:val="22"/>
          <w:lang w:val="en-GB"/>
        </w:rPr>
      </w:pPr>
      <w:r w:rsidRPr="00F305A4">
        <w:rPr>
          <w:rFonts w:ascii="Times New Roman" w:hAnsi="Times New Roman" w:cs="Times New Roman"/>
          <w:b w:val="0"/>
          <w:bCs w:val="0"/>
          <w:color w:val="auto"/>
          <w:sz w:val="22"/>
          <w:szCs w:val="22"/>
          <w:lang w:val="en-GB"/>
        </w:rPr>
        <w:t>Structural and Engineering Simplifications: The structural assessment of the proposed gabion</w:t>
      </w:r>
      <w:r w:rsidR="007A3382">
        <w:rPr>
          <w:rFonts w:ascii="Times New Roman" w:hAnsi="Times New Roman" w:cs="Times New Roman"/>
          <w:b w:val="0"/>
          <w:bCs w:val="0"/>
          <w:color w:val="auto"/>
          <w:sz w:val="22"/>
          <w:szCs w:val="22"/>
          <w:lang w:val="en-GB"/>
        </w:rPr>
        <w:t>-handling device relies solely on finite-element simulations,</w:t>
      </w:r>
      <w:r w:rsidRPr="00F305A4">
        <w:rPr>
          <w:rFonts w:ascii="Times New Roman" w:hAnsi="Times New Roman" w:cs="Times New Roman"/>
          <w:b w:val="0"/>
          <w:bCs w:val="0"/>
          <w:color w:val="auto"/>
          <w:sz w:val="22"/>
          <w:szCs w:val="22"/>
          <w:lang w:val="en-GB"/>
        </w:rPr>
        <w:t xml:space="preserve"> without experimental or field-scale validation. Therefore, the structural results should be interpreted as indicative morphodynamic and engineering trends rather than fully deterministic outcomes.</w:t>
      </w:r>
    </w:p>
    <w:p w14:paraId="3FF89998" w14:textId="77777777" w:rsidR="00977264" w:rsidRPr="00F305A4" w:rsidRDefault="00977264" w:rsidP="006E1BDF">
      <w:pPr>
        <w:pStyle w:val="Rn1"/>
        <w:rPr>
          <w:lang w:val="en-GB"/>
        </w:rPr>
      </w:pPr>
      <w:r w:rsidRPr="00F305A4">
        <w:rPr>
          <w:lang w:val="en-GB"/>
        </w:rPr>
        <w:t>5. Conclusions</w:t>
      </w:r>
    </w:p>
    <w:p w14:paraId="6CE5EAE3" w14:textId="42EBC84E" w:rsidR="005D653E" w:rsidRPr="00F305A4" w:rsidRDefault="005D653E"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The Bălăneasa River Basin exhibits strong geomorphological control over channel evolution, driven by lithological heterogeneity, slope variability, and active hydrological processes. These factors </w:t>
      </w:r>
      <w:r w:rsidR="007A3382">
        <w:rPr>
          <w:rFonts w:ascii="Times New Roman" w:hAnsi="Times New Roman" w:cs="Times New Roman"/>
          <w:lang w:val="en-GB"/>
        </w:rPr>
        <w:t>increase susceptibility to lateral erosion and channel migration, particularly in the</w:t>
      </w:r>
      <w:r w:rsidRPr="00F305A4">
        <w:rPr>
          <w:rFonts w:ascii="Times New Roman" w:hAnsi="Times New Roman" w:cs="Times New Roman"/>
          <w:lang w:val="en-GB"/>
        </w:rPr>
        <w:t xml:space="preserve"> Subcarpathian sectors.</w:t>
      </w:r>
    </w:p>
    <w:p w14:paraId="4B70F38F" w14:textId="4B5C718F" w:rsidR="005D653E" w:rsidRPr="00F305A4" w:rsidRDefault="005D653E"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The analysis </w:t>
      </w:r>
      <w:r w:rsidR="00816C8A" w:rsidRPr="00F305A4">
        <w:rPr>
          <w:rFonts w:ascii="Times New Roman" w:hAnsi="Times New Roman" w:cs="Times New Roman"/>
          <w:lang w:val="en-GB"/>
        </w:rPr>
        <w:t xml:space="preserve">suggests </w:t>
      </w:r>
      <w:r w:rsidRPr="00F305A4">
        <w:rPr>
          <w:rFonts w:ascii="Times New Roman" w:hAnsi="Times New Roman" w:cs="Times New Roman"/>
          <w:lang w:val="en-GB"/>
        </w:rPr>
        <w:t>that flexible engineering systems, particularly gabion structures, represent the most suitable solution for stabilizing dynamic riverbanks due to their adaptability to settlement, permeability, and hydraulic efficiency.</w:t>
      </w:r>
    </w:p>
    <w:p w14:paraId="473CA0C5" w14:textId="0ADEAD59" w:rsidR="005D653E" w:rsidRPr="00F305A4" w:rsidRDefault="005D653E"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 xml:space="preserve">The integration of GIS-based morphometric analysis with engineering design and finite element modelling enables a coherent framework for identifying high-risk sectors and implementing targeted stabilization measures. The proposed gabion handling device </w:t>
      </w:r>
      <w:r w:rsidR="00816C8A" w:rsidRPr="00F305A4">
        <w:rPr>
          <w:rFonts w:ascii="Times New Roman" w:hAnsi="Times New Roman" w:cs="Times New Roman"/>
          <w:lang w:val="en-GB"/>
        </w:rPr>
        <w:t>indicates</w:t>
      </w:r>
      <w:r w:rsidRPr="00F305A4">
        <w:rPr>
          <w:rFonts w:ascii="Times New Roman" w:hAnsi="Times New Roman" w:cs="Times New Roman"/>
          <w:lang w:val="en-GB"/>
        </w:rPr>
        <w:t xml:space="preserve"> adequate structural performance under simulated loading conditions and supports efficient field implementation.</w:t>
      </w:r>
    </w:p>
    <w:p w14:paraId="7BF08E03" w14:textId="77777777" w:rsidR="005D653E" w:rsidRPr="00F305A4" w:rsidRDefault="005D653E"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t>Future river management strategies should prioritize continuous geomorphological monitoring and adaptive engineering interventions to ensure long-term stability and reduce erosion-related risks.</w:t>
      </w:r>
    </w:p>
    <w:p w14:paraId="329598F5" w14:textId="6FBA1D91" w:rsidR="00666236" w:rsidRPr="00F305A4" w:rsidRDefault="00DC2DEF" w:rsidP="008800A0">
      <w:pPr>
        <w:spacing w:after="0" w:line="240" w:lineRule="auto"/>
        <w:ind w:firstLine="284"/>
        <w:jc w:val="both"/>
        <w:rPr>
          <w:rFonts w:ascii="Times New Roman" w:hAnsi="Times New Roman" w:cs="Times New Roman"/>
          <w:lang w:val="en-GB"/>
        </w:rPr>
      </w:pPr>
      <w:r w:rsidRPr="00F305A4">
        <w:rPr>
          <w:rFonts w:ascii="Times New Roman" w:hAnsi="Times New Roman" w:cs="Times New Roman"/>
          <w:lang w:val="en-GB"/>
        </w:rPr>
        <w:lastRenderedPageBreak/>
        <w:t>The approach is transferable to other small</w:t>
      </w:r>
      <w:r w:rsidR="007A3382">
        <w:rPr>
          <w:rFonts w:ascii="Times New Roman" w:hAnsi="Times New Roman" w:cs="Times New Roman"/>
          <w:lang w:val="en-GB"/>
        </w:rPr>
        <w:t>, mountainous catchments with</w:t>
      </w:r>
      <w:r w:rsidRPr="00F305A4">
        <w:rPr>
          <w:rFonts w:ascii="Times New Roman" w:hAnsi="Times New Roman" w:cs="Times New Roman"/>
          <w:lang w:val="en-GB"/>
        </w:rPr>
        <w:t xml:space="preserve"> similar morphodynamic behaviour, </w:t>
      </w:r>
      <w:r w:rsidR="005C626B" w:rsidRPr="00F305A4">
        <w:rPr>
          <w:rFonts w:ascii="Times New Roman" w:hAnsi="Times New Roman" w:cs="Times New Roman"/>
          <w:lang w:val="en-GB"/>
        </w:rPr>
        <w:t>although future applications should incorporate local hydraulic calibration and site-specific lithological assessment.</w:t>
      </w:r>
    </w:p>
    <w:p w14:paraId="50D15795" w14:textId="74A263A1" w:rsidR="00977264" w:rsidRPr="00F305A4" w:rsidRDefault="00977264" w:rsidP="006E1BDF">
      <w:pPr>
        <w:pStyle w:val="Rn2"/>
        <w:rPr>
          <w:lang w:val="en-GB"/>
        </w:rPr>
      </w:pPr>
      <w:r w:rsidRPr="00F305A4">
        <w:rPr>
          <w:lang w:val="en-GB"/>
        </w:rPr>
        <w:t>Author Contributions</w:t>
      </w:r>
    </w:p>
    <w:p w14:paraId="72C90928" w14:textId="7430BEE6" w:rsidR="00977264" w:rsidRPr="00F305A4" w:rsidRDefault="00977264" w:rsidP="006E1BDF">
      <w:pPr>
        <w:spacing w:after="0" w:line="240" w:lineRule="auto"/>
        <w:rPr>
          <w:rFonts w:ascii="Times New Roman" w:hAnsi="Times New Roman" w:cs="Times New Roman"/>
          <w:lang w:val="en-GB"/>
        </w:rPr>
      </w:pPr>
      <w:r w:rsidRPr="00F305A4">
        <w:rPr>
          <w:rFonts w:ascii="Times New Roman" w:hAnsi="Times New Roman" w:cs="Times New Roman"/>
          <w:lang w:val="en-GB"/>
        </w:rPr>
        <w:t>A.-M.L.: conceptualization, investigation, data curation, and GIS analysis.</w:t>
      </w:r>
      <w:r w:rsidR="006E1BDF" w:rsidRPr="00F305A4">
        <w:rPr>
          <w:rFonts w:ascii="Times New Roman" w:hAnsi="Times New Roman" w:cs="Times New Roman"/>
          <w:lang w:val="en-GB"/>
        </w:rPr>
        <w:t xml:space="preserve"> </w:t>
      </w:r>
      <w:r w:rsidR="006E1BDF" w:rsidRPr="00F305A4">
        <w:rPr>
          <w:rFonts w:ascii="Times New Roman" w:hAnsi="Times New Roman" w:cs="Times New Roman"/>
          <w:lang w:val="en-GB"/>
        </w:rPr>
        <w:br/>
      </w:r>
      <w:r w:rsidRPr="00F305A4">
        <w:rPr>
          <w:rFonts w:ascii="Times New Roman" w:hAnsi="Times New Roman" w:cs="Times New Roman"/>
          <w:lang w:val="en-GB"/>
        </w:rPr>
        <w:t>C.M.: 3D modeling, methodology, validation, supervision, and writing—original draft preparation, review, and editing.</w:t>
      </w:r>
      <w:r w:rsidR="006E1BDF" w:rsidRPr="00F305A4">
        <w:rPr>
          <w:lang w:val="en-GB"/>
        </w:rPr>
        <w:br/>
      </w:r>
      <w:r w:rsidR="005C626B" w:rsidRPr="00F305A4">
        <w:rPr>
          <w:rFonts w:ascii="Times New Roman" w:hAnsi="Times New Roman" w:cs="Times New Roman"/>
          <w:lang w:val="en-GB"/>
        </w:rPr>
        <w:t>A.N., L.C., R.-R.D., and A.L.I.: manuscript review and final approval.</w:t>
      </w:r>
      <w:r w:rsidR="00C8660C" w:rsidRPr="00F305A4">
        <w:rPr>
          <w:rFonts w:ascii="Times New Roman" w:hAnsi="Times New Roman" w:cs="Times New Roman"/>
          <w:lang w:val="en-GB"/>
        </w:rPr>
        <w:t xml:space="preserve"> </w:t>
      </w:r>
      <w:r w:rsidR="006E1BDF" w:rsidRPr="00F305A4">
        <w:rPr>
          <w:rFonts w:ascii="Times New Roman" w:hAnsi="Times New Roman" w:cs="Times New Roman"/>
          <w:lang w:val="en-GB"/>
        </w:rPr>
        <w:br/>
      </w:r>
      <w:r w:rsidRPr="00F305A4">
        <w:rPr>
          <w:rFonts w:ascii="Times New Roman" w:hAnsi="Times New Roman" w:cs="Times New Roman"/>
          <w:lang w:val="en-GB"/>
        </w:rPr>
        <w:t>All authors have read and agreed to the published version of the manuscript.</w:t>
      </w:r>
    </w:p>
    <w:p w14:paraId="2A4523CC" w14:textId="77777777" w:rsidR="00977264" w:rsidRPr="00F305A4" w:rsidRDefault="00977264" w:rsidP="006E1BDF">
      <w:pPr>
        <w:pStyle w:val="Rn2"/>
        <w:rPr>
          <w:lang w:val="en-GB"/>
        </w:rPr>
      </w:pPr>
      <w:r w:rsidRPr="00F305A4">
        <w:rPr>
          <w:lang w:val="en-GB"/>
        </w:rPr>
        <w:t>Data Availability Statement</w:t>
      </w:r>
    </w:p>
    <w:p w14:paraId="43DBD73E" w14:textId="645A5825" w:rsidR="00977264" w:rsidRPr="00F305A4" w:rsidRDefault="00977264" w:rsidP="006E1BDF">
      <w:pPr>
        <w:spacing w:after="0" w:line="240" w:lineRule="auto"/>
        <w:jc w:val="both"/>
        <w:rPr>
          <w:rFonts w:ascii="Times New Roman" w:hAnsi="Times New Roman" w:cs="Times New Roman"/>
          <w:lang w:val="en-GB"/>
        </w:rPr>
      </w:pPr>
      <w:r w:rsidRPr="00F305A4">
        <w:rPr>
          <w:rFonts w:ascii="Times New Roman" w:hAnsi="Times New Roman" w:cs="Times New Roman"/>
          <w:lang w:val="en-GB"/>
        </w:rPr>
        <w:t>The data presented in this study are available from the corresponding author upon reasonable request.</w:t>
      </w:r>
    </w:p>
    <w:p w14:paraId="63DD41C2" w14:textId="77777777" w:rsidR="00977264" w:rsidRPr="00F305A4" w:rsidRDefault="00977264" w:rsidP="006E1BDF">
      <w:pPr>
        <w:pStyle w:val="Rn2"/>
        <w:rPr>
          <w:lang w:val="en-GB"/>
        </w:rPr>
      </w:pPr>
      <w:r w:rsidRPr="00F305A4">
        <w:rPr>
          <w:lang w:val="en-GB"/>
        </w:rPr>
        <w:t>Acknowledgments</w:t>
      </w:r>
    </w:p>
    <w:p w14:paraId="223126E8" w14:textId="061962EE" w:rsidR="00977264" w:rsidRPr="00F305A4" w:rsidRDefault="00977264" w:rsidP="006E1BDF">
      <w:pPr>
        <w:spacing w:after="0" w:line="240" w:lineRule="auto"/>
        <w:jc w:val="both"/>
        <w:rPr>
          <w:rFonts w:ascii="Times New Roman" w:hAnsi="Times New Roman" w:cs="Times New Roman"/>
          <w:lang w:val="en-GB"/>
        </w:rPr>
      </w:pPr>
      <w:r w:rsidRPr="00F305A4">
        <w:rPr>
          <w:rFonts w:ascii="Times New Roman" w:hAnsi="Times New Roman" w:cs="Times New Roman"/>
          <w:lang w:val="en-GB"/>
        </w:rPr>
        <w:t>During manuscript preparation, an AI-based language editing tool was used solely for grammar and language refinement. The authors reviewed and revised all content and take full responsibility for the scientific accuracy and integrity of the manuscript.</w:t>
      </w:r>
      <w:r w:rsidR="00C8660C" w:rsidRPr="00F305A4">
        <w:rPr>
          <w:rFonts w:ascii="Times New Roman" w:hAnsi="Times New Roman" w:cs="Times New Roman"/>
          <w:lang w:val="en-GB"/>
        </w:rPr>
        <w:t xml:space="preserve"> </w:t>
      </w:r>
      <w:r w:rsidRPr="00F305A4">
        <w:rPr>
          <w:rFonts w:ascii="Times New Roman" w:hAnsi="Times New Roman" w:cs="Times New Roman"/>
          <w:lang w:val="en-GB"/>
        </w:rPr>
        <w:t>The authors acknowledge A.N., L.C., R.R.D., and A.L.I. for their supervision, guidance, and constructive feedback throughout the development of this study.</w:t>
      </w:r>
    </w:p>
    <w:p w14:paraId="52AE606E" w14:textId="77777777" w:rsidR="00977264" w:rsidRPr="00F305A4" w:rsidRDefault="00977264" w:rsidP="006E1BDF">
      <w:pPr>
        <w:pStyle w:val="Rn2"/>
        <w:rPr>
          <w:lang w:val="en-GB"/>
        </w:rPr>
      </w:pPr>
      <w:r w:rsidRPr="00F305A4">
        <w:rPr>
          <w:lang w:val="en-GB"/>
        </w:rPr>
        <w:t>Conflicts of Interest</w:t>
      </w:r>
    </w:p>
    <w:p w14:paraId="084E0A5D" w14:textId="0B3301A6" w:rsidR="00A93F2C" w:rsidRPr="00F305A4" w:rsidRDefault="00977264" w:rsidP="006E1BDF">
      <w:pPr>
        <w:spacing w:after="0" w:line="240" w:lineRule="auto"/>
        <w:jc w:val="both"/>
        <w:rPr>
          <w:rFonts w:ascii="Times New Roman" w:hAnsi="Times New Roman" w:cs="Times New Roman"/>
          <w:lang w:val="en-GB"/>
        </w:rPr>
      </w:pPr>
      <w:r w:rsidRPr="00F305A4">
        <w:rPr>
          <w:rFonts w:ascii="Times New Roman" w:hAnsi="Times New Roman" w:cs="Times New Roman"/>
          <w:lang w:val="en-GB"/>
        </w:rPr>
        <w:t>The authors declare no conflicts of interest.</w:t>
      </w:r>
    </w:p>
    <w:bookmarkEnd w:id="16"/>
    <w:p w14:paraId="24303FB5" w14:textId="7C042597" w:rsidR="003B4868" w:rsidRPr="00F305A4" w:rsidRDefault="003B4868" w:rsidP="006E1BDF">
      <w:pPr>
        <w:pStyle w:val="Rn2"/>
        <w:rPr>
          <w:rFonts w:eastAsiaTheme="minorEastAsia"/>
          <w:lang w:val="en-GB"/>
        </w:rPr>
      </w:pPr>
      <w:r w:rsidRPr="00F305A4">
        <w:rPr>
          <w:lang w:val="en-GB"/>
        </w:rPr>
        <w:t>References</w:t>
      </w:r>
    </w:p>
    <w:p w14:paraId="5270B42F" w14:textId="1F709D94" w:rsidR="00C8660C" w:rsidRPr="00F305A4" w:rsidRDefault="00C8660C" w:rsidP="006E1BDF">
      <w:pPr>
        <w:pStyle w:val="Rlit"/>
        <w:rPr>
          <w:lang w:val="en-GB"/>
        </w:rPr>
      </w:pPr>
      <w:r w:rsidRPr="00F305A4">
        <w:rPr>
          <w:lang w:val="en-GB"/>
        </w:rPr>
        <w:t xml:space="preserve">Badea, L., Dumitrescu, S., &amp; </w:t>
      </w:r>
      <w:proofErr w:type="spellStart"/>
      <w:r w:rsidRPr="00F305A4">
        <w:rPr>
          <w:lang w:val="en-GB"/>
        </w:rPr>
        <w:t>Bălteanu</w:t>
      </w:r>
      <w:proofErr w:type="spellEnd"/>
      <w:r w:rsidRPr="00F305A4">
        <w:rPr>
          <w:lang w:val="en-GB"/>
        </w:rPr>
        <w:t xml:space="preserve">, D. (1977). </w:t>
      </w:r>
      <w:r w:rsidR="000F04AB" w:rsidRPr="00F305A4">
        <w:rPr>
          <w:i/>
          <w:iCs/>
          <w:lang w:val="en-GB"/>
        </w:rPr>
        <w:t xml:space="preserve">The </w:t>
      </w:r>
      <w:proofErr w:type="spellStart"/>
      <w:r w:rsidR="000F04AB" w:rsidRPr="00F305A4">
        <w:rPr>
          <w:i/>
          <w:iCs/>
          <w:lang w:val="en-GB"/>
        </w:rPr>
        <w:t>Buzău</w:t>
      </w:r>
      <w:proofErr w:type="spellEnd"/>
      <w:r w:rsidR="000F04AB" w:rsidRPr="00F305A4">
        <w:rPr>
          <w:i/>
          <w:iCs/>
          <w:lang w:val="en-GB"/>
        </w:rPr>
        <w:t xml:space="preserve"> Valley: A geomorphological study </w:t>
      </w:r>
      <w:r w:rsidRPr="00F305A4">
        <w:rPr>
          <w:lang w:val="en-GB"/>
        </w:rPr>
        <w:t>[</w:t>
      </w:r>
      <w:r w:rsidR="000F04AB" w:rsidRPr="00F305A4">
        <w:rPr>
          <w:i/>
          <w:iCs/>
          <w:lang w:val="en-GB"/>
        </w:rPr>
        <w:t xml:space="preserve">Valea </w:t>
      </w:r>
      <w:proofErr w:type="spellStart"/>
      <w:r w:rsidR="000F04AB" w:rsidRPr="00F305A4">
        <w:rPr>
          <w:i/>
          <w:iCs/>
          <w:lang w:val="en-GB"/>
        </w:rPr>
        <w:t>Buzăului</w:t>
      </w:r>
      <w:proofErr w:type="spellEnd"/>
      <w:r w:rsidR="000F04AB" w:rsidRPr="00F305A4">
        <w:rPr>
          <w:i/>
          <w:iCs/>
          <w:lang w:val="en-GB"/>
        </w:rPr>
        <w:t xml:space="preserve">: </w:t>
      </w:r>
      <w:proofErr w:type="spellStart"/>
      <w:r w:rsidR="000F04AB" w:rsidRPr="00F305A4">
        <w:rPr>
          <w:i/>
          <w:iCs/>
          <w:lang w:val="en-GB"/>
        </w:rPr>
        <w:t>Studiu</w:t>
      </w:r>
      <w:proofErr w:type="spellEnd"/>
      <w:r w:rsidR="000F04AB" w:rsidRPr="00F305A4">
        <w:rPr>
          <w:i/>
          <w:iCs/>
          <w:lang w:val="en-GB"/>
        </w:rPr>
        <w:t xml:space="preserve"> </w:t>
      </w:r>
      <w:proofErr w:type="spellStart"/>
      <w:r w:rsidR="000F04AB" w:rsidRPr="00F305A4">
        <w:rPr>
          <w:i/>
          <w:iCs/>
          <w:lang w:val="en-GB"/>
        </w:rPr>
        <w:t>geomorfologic</w:t>
      </w:r>
      <w:proofErr w:type="spellEnd"/>
      <w:r w:rsidRPr="00F305A4">
        <w:rPr>
          <w:lang w:val="en-GB"/>
        </w:rPr>
        <w:t xml:space="preserve">]. Bucharest, Romania: </w:t>
      </w:r>
      <w:proofErr w:type="spellStart"/>
      <w:r w:rsidRPr="00F305A4">
        <w:rPr>
          <w:lang w:val="en-GB"/>
        </w:rPr>
        <w:t>Editura</w:t>
      </w:r>
      <w:proofErr w:type="spellEnd"/>
      <w:r w:rsidRPr="00F305A4">
        <w:rPr>
          <w:lang w:val="en-GB"/>
        </w:rPr>
        <w:t xml:space="preserve"> </w:t>
      </w:r>
      <w:proofErr w:type="spellStart"/>
      <w:r w:rsidRPr="00F305A4">
        <w:rPr>
          <w:lang w:val="en-GB"/>
        </w:rPr>
        <w:t>Academiei</w:t>
      </w:r>
      <w:proofErr w:type="spellEnd"/>
      <w:r w:rsidRPr="00F305A4">
        <w:rPr>
          <w:lang w:val="en-GB"/>
        </w:rPr>
        <w:t xml:space="preserve"> </w:t>
      </w:r>
      <w:proofErr w:type="spellStart"/>
      <w:r w:rsidRPr="00F305A4">
        <w:rPr>
          <w:lang w:val="en-GB"/>
        </w:rPr>
        <w:t>Republicii</w:t>
      </w:r>
      <w:proofErr w:type="spellEnd"/>
      <w:r w:rsidRPr="00F305A4">
        <w:rPr>
          <w:lang w:val="en-GB"/>
        </w:rPr>
        <w:t xml:space="preserve"> </w:t>
      </w:r>
      <w:proofErr w:type="spellStart"/>
      <w:r w:rsidRPr="00F305A4">
        <w:rPr>
          <w:lang w:val="en-GB"/>
        </w:rPr>
        <w:t>Socialiste</w:t>
      </w:r>
      <w:proofErr w:type="spellEnd"/>
      <w:r w:rsidRPr="00F305A4">
        <w:rPr>
          <w:lang w:val="en-GB"/>
        </w:rPr>
        <w:t xml:space="preserve"> </w:t>
      </w:r>
      <w:proofErr w:type="spellStart"/>
      <w:r w:rsidRPr="00F305A4">
        <w:rPr>
          <w:lang w:val="en-GB"/>
        </w:rPr>
        <w:t>România</w:t>
      </w:r>
      <w:proofErr w:type="spellEnd"/>
      <w:r w:rsidRPr="00F305A4">
        <w:rPr>
          <w:lang w:val="en-GB"/>
        </w:rPr>
        <w:t>.</w:t>
      </w:r>
    </w:p>
    <w:p w14:paraId="48BD4E28" w14:textId="28D00359" w:rsidR="00C8660C" w:rsidRPr="00F305A4" w:rsidRDefault="00C8660C" w:rsidP="006E1BDF">
      <w:pPr>
        <w:pStyle w:val="Rlit"/>
        <w:rPr>
          <w:lang w:val="en-GB"/>
        </w:rPr>
      </w:pPr>
      <w:r w:rsidRPr="00352049">
        <w:rPr>
          <w:spacing w:val="-2"/>
          <w:lang w:val="en-GB"/>
        </w:rPr>
        <w:t xml:space="preserve">Bufe, A., Cook, K.L., Sachse, D., Scherler, D., Turowski, J.M., &amp; Hovius, N. (2021). </w:t>
      </w:r>
      <w:r w:rsidRPr="00352049">
        <w:rPr>
          <w:i/>
          <w:iCs/>
          <w:spacing w:val="-2"/>
          <w:lang w:val="en-GB"/>
        </w:rPr>
        <w:t>Topographic, lithological and climatic controls on sediment transfer in an active orogen.</w:t>
      </w:r>
      <w:r w:rsidRPr="00352049">
        <w:rPr>
          <w:spacing w:val="-2"/>
          <w:lang w:val="en-GB"/>
        </w:rPr>
        <w:t xml:space="preserve"> </w:t>
      </w:r>
      <w:r w:rsidRPr="00352049">
        <w:rPr>
          <w:i/>
          <w:iCs/>
          <w:spacing w:val="-2"/>
          <w:lang w:val="en-GB"/>
        </w:rPr>
        <w:t>Earth Surface Processes and Landforms</w:t>
      </w:r>
      <w:r w:rsidRPr="00352049">
        <w:rPr>
          <w:spacing w:val="-2"/>
          <w:lang w:val="en-GB"/>
        </w:rPr>
        <w:t xml:space="preserve">, </w:t>
      </w:r>
      <w:r w:rsidRPr="00352049">
        <w:rPr>
          <w:i/>
          <w:iCs/>
          <w:spacing w:val="-2"/>
          <w:lang w:val="en-GB"/>
        </w:rPr>
        <w:t>46</w:t>
      </w:r>
      <w:r w:rsidRPr="00352049">
        <w:rPr>
          <w:spacing w:val="-2"/>
          <w:lang w:val="en-GB"/>
        </w:rPr>
        <w:t>(12), 2465–2483.</w:t>
      </w:r>
      <w:r w:rsidRPr="00F305A4">
        <w:rPr>
          <w:lang w:val="en-GB"/>
        </w:rPr>
        <w:t xml:space="preserve"> </w:t>
      </w:r>
      <w:hyperlink r:id="rId29" w:tgtFrame="_blank" w:history="1">
        <w:r w:rsidRPr="00F305A4">
          <w:rPr>
            <w:rStyle w:val="Hipercze"/>
            <w:color w:val="auto"/>
            <w:u w:val="none"/>
            <w:lang w:val="en-GB"/>
          </w:rPr>
          <w:t>https://doi.org/10.1002/esp.5189</w:t>
        </w:r>
      </w:hyperlink>
    </w:p>
    <w:p w14:paraId="216C41A1" w14:textId="2EA272CA" w:rsidR="00C8660C" w:rsidRPr="00F305A4" w:rsidRDefault="00C8660C" w:rsidP="006E1BDF">
      <w:pPr>
        <w:pStyle w:val="Rlit"/>
        <w:rPr>
          <w:lang w:val="en-GB"/>
        </w:rPr>
      </w:pPr>
      <w:r w:rsidRPr="00F305A4">
        <w:rPr>
          <w:lang w:val="en-GB"/>
        </w:rPr>
        <w:t xml:space="preserve">Callister, W.D., &amp; Rethwisch, D.G. (2018). </w:t>
      </w:r>
      <w:r w:rsidRPr="00F305A4">
        <w:rPr>
          <w:i/>
          <w:iCs/>
          <w:lang w:val="en-GB"/>
        </w:rPr>
        <w:t>Materials science and engineering: An introduction</w:t>
      </w:r>
      <w:r w:rsidRPr="00F305A4">
        <w:rPr>
          <w:lang w:val="en-GB"/>
        </w:rPr>
        <w:t xml:space="preserve"> (10th ed.). New York, NY: John Wiley &amp; Sons.</w:t>
      </w:r>
    </w:p>
    <w:p w14:paraId="511E82F2" w14:textId="77777777" w:rsidR="00C8660C" w:rsidRPr="00F305A4" w:rsidRDefault="00C8660C" w:rsidP="006E1BDF">
      <w:pPr>
        <w:pStyle w:val="Rlit"/>
        <w:rPr>
          <w:lang w:val="en-GB"/>
        </w:rPr>
      </w:pPr>
      <w:proofErr w:type="spellStart"/>
      <w:r w:rsidRPr="00F305A4">
        <w:rPr>
          <w:lang w:val="en-GB"/>
        </w:rPr>
        <w:t>Gołąb</w:t>
      </w:r>
      <w:proofErr w:type="spellEnd"/>
      <w:r w:rsidRPr="00F305A4">
        <w:rPr>
          <w:lang w:val="en-GB"/>
        </w:rPr>
        <w:t xml:space="preserve">, A., &amp; Michno, A. (2024). </w:t>
      </w:r>
      <w:r w:rsidRPr="00F305A4">
        <w:rPr>
          <w:i/>
          <w:iCs/>
          <w:lang w:val="en-GB"/>
        </w:rPr>
        <w:t xml:space="preserve">Key changes across valley floors in mountain areas affected by different levels of human impact: a case study of the </w:t>
      </w:r>
      <w:proofErr w:type="spellStart"/>
      <w:r w:rsidRPr="00F305A4">
        <w:rPr>
          <w:i/>
          <w:iCs/>
          <w:lang w:val="en-GB"/>
        </w:rPr>
        <w:t>Ochotnica</w:t>
      </w:r>
      <w:proofErr w:type="spellEnd"/>
      <w:r w:rsidRPr="00F305A4">
        <w:rPr>
          <w:i/>
          <w:iCs/>
          <w:lang w:val="en-GB"/>
        </w:rPr>
        <w:t xml:space="preserve"> river catchment in the Polish Carpathians.</w:t>
      </w:r>
      <w:r w:rsidRPr="00F305A4">
        <w:rPr>
          <w:lang w:val="en-GB"/>
        </w:rPr>
        <w:t xml:space="preserve"> Journal of Mountain Science, </w:t>
      </w:r>
      <w:r w:rsidRPr="00F305A4">
        <w:rPr>
          <w:i/>
          <w:iCs/>
          <w:lang w:val="en-GB"/>
        </w:rPr>
        <w:t>21</w:t>
      </w:r>
      <w:r w:rsidRPr="00F305A4">
        <w:rPr>
          <w:lang w:val="en-GB"/>
        </w:rPr>
        <w:t xml:space="preserve">(3), 850–866. </w:t>
      </w:r>
      <w:hyperlink r:id="rId30" w:tgtFrame="_blank" w:history="1">
        <w:r w:rsidRPr="00F305A4">
          <w:rPr>
            <w:rStyle w:val="Hipercze"/>
            <w:color w:val="auto"/>
            <w:u w:val="none"/>
            <w:lang w:val="en-GB"/>
          </w:rPr>
          <w:t>https://doi.org/10.1007/s11629-023-8124-x</w:t>
        </w:r>
      </w:hyperlink>
    </w:p>
    <w:p w14:paraId="1A92665E" w14:textId="77777777" w:rsidR="00C8660C" w:rsidRPr="00F305A4" w:rsidRDefault="00C8660C" w:rsidP="006E1BDF">
      <w:pPr>
        <w:pStyle w:val="Rlit"/>
        <w:rPr>
          <w:lang w:val="en-GB"/>
        </w:rPr>
      </w:pPr>
      <w:r w:rsidRPr="00F305A4">
        <w:rPr>
          <w:lang w:val="en-GB"/>
        </w:rPr>
        <w:t xml:space="preserve">Gorczyca, E., </w:t>
      </w:r>
      <w:proofErr w:type="spellStart"/>
      <w:r w:rsidRPr="00F305A4">
        <w:rPr>
          <w:lang w:val="en-GB"/>
        </w:rPr>
        <w:t>Krzemień</w:t>
      </w:r>
      <w:proofErr w:type="spellEnd"/>
      <w:r w:rsidRPr="00F305A4">
        <w:rPr>
          <w:lang w:val="en-GB"/>
        </w:rPr>
        <w:t xml:space="preserve">, K., &amp; Jarzyna, K. (2020). </w:t>
      </w:r>
      <w:r w:rsidRPr="00F305A4">
        <w:rPr>
          <w:i/>
          <w:iCs/>
          <w:lang w:val="en-GB"/>
        </w:rPr>
        <w:t>The evolution of gravel-bed rivers during the post-regulation period in the Polish Carpathians.</w:t>
      </w:r>
      <w:r w:rsidRPr="00F305A4">
        <w:rPr>
          <w:lang w:val="en-GB"/>
        </w:rPr>
        <w:t xml:space="preserve"> Water, </w:t>
      </w:r>
      <w:r w:rsidRPr="00F305A4">
        <w:rPr>
          <w:i/>
          <w:iCs/>
          <w:lang w:val="en-GB"/>
        </w:rPr>
        <w:t>12</w:t>
      </w:r>
      <w:r w:rsidRPr="00F305A4">
        <w:rPr>
          <w:lang w:val="en-GB"/>
        </w:rPr>
        <w:t xml:space="preserve">(1), 254. </w:t>
      </w:r>
      <w:hyperlink r:id="rId31" w:tgtFrame="_blank" w:history="1">
        <w:r w:rsidRPr="00F305A4">
          <w:rPr>
            <w:rStyle w:val="Hipercze"/>
            <w:color w:val="auto"/>
            <w:u w:val="none"/>
            <w:lang w:val="en-GB"/>
          </w:rPr>
          <w:t>https://doi.org/10.3390/w12010254</w:t>
        </w:r>
      </w:hyperlink>
    </w:p>
    <w:p w14:paraId="7D6DDF90" w14:textId="58022768" w:rsidR="00C8660C" w:rsidRPr="00F305A4" w:rsidRDefault="00C8660C" w:rsidP="006E1BDF">
      <w:pPr>
        <w:pStyle w:val="Rlit"/>
        <w:rPr>
          <w:lang w:val="en-GB"/>
        </w:rPr>
      </w:pPr>
      <w:r w:rsidRPr="00F305A4">
        <w:rPr>
          <w:lang w:val="en-GB"/>
        </w:rPr>
        <w:t xml:space="preserve">Grecu, F. (1997). </w:t>
      </w:r>
      <w:r w:rsidR="000F04AB" w:rsidRPr="00F305A4">
        <w:rPr>
          <w:lang w:val="en-GB"/>
        </w:rPr>
        <w:t>Dynamics of minor riverbeds</w:t>
      </w:r>
      <w:r w:rsidR="000F04AB" w:rsidRPr="00F305A4">
        <w:rPr>
          <w:i/>
          <w:iCs/>
          <w:lang w:val="en-GB"/>
        </w:rPr>
        <w:t xml:space="preserve"> </w:t>
      </w:r>
      <w:r w:rsidRPr="00F305A4">
        <w:rPr>
          <w:lang w:val="en-GB"/>
        </w:rPr>
        <w:t>[</w:t>
      </w:r>
      <w:proofErr w:type="spellStart"/>
      <w:r w:rsidR="000F04AB" w:rsidRPr="00F305A4">
        <w:rPr>
          <w:i/>
          <w:iCs/>
          <w:lang w:val="en-GB"/>
        </w:rPr>
        <w:t>Dinamica</w:t>
      </w:r>
      <w:proofErr w:type="spellEnd"/>
      <w:r w:rsidR="000F04AB" w:rsidRPr="00F305A4">
        <w:rPr>
          <w:i/>
          <w:iCs/>
          <w:lang w:val="en-GB"/>
        </w:rPr>
        <w:t xml:space="preserve"> </w:t>
      </w:r>
      <w:proofErr w:type="spellStart"/>
      <w:r w:rsidR="000F04AB" w:rsidRPr="00F305A4">
        <w:rPr>
          <w:i/>
          <w:iCs/>
          <w:lang w:val="en-GB"/>
        </w:rPr>
        <w:t>albiilor</w:t>
      </w:r>
      <w:proofErr w:type="spellEnd"/>
      <w:r w:rsidR="000F04AB" w:rsidRPr="00F305A4">
        <w:rPr>
          <w:i/>
          <w:iCs/>
          <w:lang w:val="en-GB"/>
        </w:rPr>
        <w:t xml:space="preserve"> </w:t>
      </w:r>
      <w:proofErr w:type="spellStart"/>
      <w:r w:rsidR="000F04AB" w:rsidRPr="00F305A4">
        <w:rPr>
          <w:i/>
          <w:iCs/>
          <w:lang w:val="en-GB"/>
        </w:rPr>
        <w:t>minore</w:t>
      </w:r>
      <w:proofErr w:type="spellEnd"/>
      <w:r w:rsidRPr="00F305A4">
        <w:rPr>
          <w:lang w:val="en-GB"/>
        </w:rPr>
        <w:t xml:space="preserve">]. Bucharest, Romania: </w:t>
      </w:r>
      <w:proofErr w:type="spellStart"/>
      <w:r w:rsidRPr="00F305A4">
        <w:rPr>
          <w:lang w:val="en-GB"/>
        </w:rPr>
        <w:t>Editura</w:t>
      </w:r>
      <w:proofErr w:type="spellEnd"/>
      <w:r w:rsidRPr="00F305A4">
        <w:rPr>
          <w:lang w:val="en-GB"/>
        </w:rPr>
        <w:t xml:space="preserve"> </w:t>
      </w:r>
      <w:proofErr w:type="spellStart"/>
      <w:r w:rsidRPr="00F305A4">
        <w:rPr>
          <w:lang w:val="en-GB"/>
        </w:rPr>
        <w:t>Universității</w:t>
      </w:r>
      <w:proofErr w:type="spellEnd"/>
      <w:r w:rsidRPr="00F305A4">
        <w:rPr>
          <w:lang w:val="en-GB"/>
        </w:rPr>
        <w:t xml:space="preserve"> din </w:t>
      </w:r>
      <w:proofErr w:type="spellStart"/>
      <w:r w:rsidRPr="00F305A4">
        <w:rPr>
          <w:lang w:val="en-GB"/>
        </w:rPr>
        <w:t>București</w:t>
      </w:r>
      <w:proofErr w:type="spellEnd"/>
      <w:r w:rsidRPr="00F305A4">
        <w:rPr>
          <w:lang w:val="en-GB"/>
        </w:rPr>
        <w:t>.</w:t>
      </w:r>
    </w:p>
    <w:p w14:paraId="7B269916" w14:textId="77777777" w:rsidR="00C8660C" w:rsidRPr="00F305A4" w:rsidRDefault="00C8660C" w:rsidP="006E1BDF">
      <w:pPr>
        <w:pStyle w:val="Rlit"/>
        <w:rPr>
          <w:lang w:val="en-GB"/>
        </w:rPr>
      </w:pPr>
      <w:r w:rsidRPr="00352049">
        <w:rPr>
          <w:spacing w:val="-4"/>
          <w:lang w:val="en-GB"/>
        </w:rPr>
        <w:t xml:space="preserve">Hooke, J. (2019). Extreme processes and structural conditioning in gravel-bed rivers. </w:t>
      </w:r>
      <w:r w:rsidRPr="00352049">
        <w:rPr>
          <w:i/>
          <w:iCs/>
          <w:spacing w:val="-4"/>
          <w:lang w:val="en-GB"/>
        </w:rPr>
        <w:t>Earth-Science Reviews</w:t>
      </w:r>
      <w:r w:rsidRPr="00352049">
        <w:rPr>
          <w:spacing w:val="-4"/>
          <w:lang w:val="en-GB"/>
        </w:rPr>
        <w:t xml:space="preserve">, </w:t>
      </w:r>
      <w:r w:rsidRPr="00352049">
        <w:rPr>
          <w:i/>
          <w:iCs/>
          <w:spacing w:val="-4"/>
          <w:lang w:val="en-GB"/>
        </w:rPr>
        <w:t>192</w:t>
      </w:r>
      <w:r w:rsidRPr="00352049">
        <w:rPr>
          <w:spacing w:val="-4"/>
          <w:lang w:val="en-GB"/>
        </w:rPr>
        <w:t xml:space="preserve">, 401–428. </w:t>
      </w:r>
      <w:hyperlink r:id="rId32" w:tgtFrame="_blank" w:history="1">
        <w:r w:rsidRPr="00F305A4">
          <w:rPr>
            <w:rStyle w:val="Hipercze"/>
            <w:color w:val="auto"/>
            <w:u w:val="none"/>
            <w:lang w:val="en-GB"/>
          </w:rPr>
          <w:t>https://doi.org/10.1016/j.earscirev.2019.03.007</w:t>
        </w:r>
      </w:hyperlink>
    </w:p>
    <w:p w14:paraId="12CBD1EA" w14:textId="47181C84" w:rsidR="00C8660C" w:rsidRPr="00F305A4" w:rsidRDefault="00C8660C" w:rsidP="006E1BDF">
      <w:pPr>
        <w:pStyle w:val="Rlit"/>
        <w:rPr>
          <w:lang w:val="en-GB"/>
        </w:rPr>
      </w:pPr>
      <w:r w:rsidRPr="00F305A4">
        <w:rPr>
          <w:lang w:val="en-GB"/>
        </w:rPr>
        <w:t xml:space="preserve">Ielenicz, M. (1972). </w:t>
      </w:r>
      <w:r w:rsidR="000F04AB" w:rsidRPr="00F305A4">
        <w:rPr>
          <w:i/>
          <w:iCs/>
          <w:lang w:val="en-GB"/>
        </w:rPr>
        <w:t xml:space="preserve">The </w:t>
      </w:r>
      <w:proofErr w:type="spellStart"/>
      <w:r w:rsidR="000F04AB" w:rsidRPr="00F305A4">
        <w:rPr>
          <w:i/>
          <w:iCs/>
          <w:lang w:val="en-GB"/>
        </w:rPr>
        <w:t>Buzău</w:t>
      </w:r>
      <w:proofErr w:type="spellEnd"/>
      <w:r w:rsidR="000F04AB" w:rsidRPr="00F305A4">
        <w:rPr>
          <w:i/>
          <w:iCs/>
          <w:lang w:val="en-GB"/>
        </w:rPr>
        <w:t xml:space="preserve"> Hills: A geomorphological study </w:t>
      </w:r>
      <w:r w:rsidRPr="00F305A4">
        <w:rPr>
          <w:lang w:val="en-GB"/>
        </w:rPr>
        <w:t>[</w:t>
      </w:r>
      <w:proofErr w:type="spellStart"/>
      <w:r w:rsidR="000F04AB" w:rsidRPr="00F305A4">
        <w:rPr>
          <w:i/>
          <w:iCs/>
          <w:lang w:val="en-GB"/>
        </w:rPr>
        <w:t>Dealurile</w:t>
      </w:r>
      <w:proofErr w:type="spellEnd"/>
      <w:r w:rsidR="000F04AB" w:rsidRPr="00F305A4">
        <w:rPr>
          <w:i/>
          <w:iCs/>
          <w:lang w:val="en-GB"/>
        </w:rPr>
        <w:t xml:space="preserve"> </w:t>
      </w:r>
      <w:proofErr w:type="spellStart"/>
      <w:r w:rsidR="000F04AB" w:rsidRPr="00F305A4">
        <w:rPr>
          <w:i/>
          <w:iCs/>
          <w:lang w:val="en-GB"/>
        </w:rPr>
        <w:t>Buzăului</w:t>
      </w:r>
      <w:proofErr w:type="spellEnd"/>
      <w:r w:rsidR="000F04AB" w:rsidRPr="00F305A4">
        <w:rPr>
          <w:i/>
          <w:iCs/>
          <w:lang w:val="en-GB"/>
        </w:rPr>
        <w:t xml:space="preserve">: </w:t>
      </w:r>
      <w:proofErr w:type="spellStart"/>
      <w:r w:rsidR="000F04AB" w:rsidRPr="00F305A4">
        <w:rPr>
          <w:i/>
          <w:iCs/>
          <w:lang w:val="en-GB"/>
        </w:rPr>
        <w:t>Studiu</w:t>
      </w:r>
      <w:proofErr w:type="spellEnd"/>
      <w:r w:rsidR="000F04AB" w:rsidRPr="00F305A4">
        <w:rPr>
          <w:i/>
          <w:iCs/>
          <w:lang w:val="en-GB"/>
        </w:rPr>
        <w:t xml:space="preserve"> </w:t>
      </w:r>
      <w:proofErr w:type="spellStart"/>
      <w:r w:rsidR="000F04AB" w:rsidRPr="00F305A4">
        <w:rPr>
          <w:i/>
          <w:iCs/>
          <w:lang w:val="en-GB"/>
        </w:rPr>
        <w:t>geomorfologic</w:t>
      </w:r>
      <w:proofErr w:type="spellEnd"/>
      <w:r w:rsidRPr="00F305A4">
        <w:rPr>
          <w:lang w:val="en-GB"/>
        </w:rPr>
        <w:t>] (Doctoral dissertation). University of Bucharest, Bucharest, Romania.</w:t>
      </w:r>
    </w:p>
    <w:p w14:paraId="3040A74B" w14:textId="27AD4637" w:rsidR="00C8660C" w:rsidRPr="00F305A4" w:rsidRDefault="00C8660C" w:rsidP="006E1BDF">
      <w:pPr>
        <w:pStyle w:val="Rlit"/>
        <w:rPr>
          <w:lang w:val="en-GB"/>
        </w:rPr>
      </w:pPr>
      <w:r w:rsidRPr="00F305A4">
        <w:rPr>
          <w:lang w:val="en-GB"/>
        </w:rPr>
        <w:t xml:space="preserve">Ielenicz, M. (1973). </w:t>
      </w:r>
      <w:r w:rsidR="000F04AB" w:rsidRPr="00F305A4">
        <w:rPr>
          <w:i/>
          <w:iCs/>
          <w:lang w:val="en-GB"/>
        </w:rPr>
        <w:t xml:space="preserve">The </w:t>
      </w:r>
      <w:proofErr w:type="spellStart"/>
      <w:r w:rsidR="000F04AB" w:rsidRPr="00F305A4">
        <w:rPr>
          <w:i/>
          <w:iCs/>
          <w:lang w:val="en-GB"/>
        </w:rPr>
        <w:t>Buzău</w:t>
      </w:r>
      <w:proofErr w:type="spellEnd"/>
      <w:r w:rsidR="000F04AB" w:rsidRPr="00F305A4">
        <w:rPr>
          <w:i/>
          <w:iCs/>
          <w:lang w:val="en-GB"/>
        </w:rPr>
        <w:t xml:space="preserve"> </w:t>
      </w:r>
      <w:proofErr w:type="spellStart"/>
      <w:r w:rsidR="000F04AB" w:rsidRPr="00F305A4">
        <w:rPr>
          <w:i/>
          <w:iCs/>
          <w:lang w:val="en-GB"/>
        </w:rPr>
        <w:t>Subcarpathians</w:t>
      </w:r>
      <w:proofErr w:type="spellEnd"/>
      <w:r w:rsidR="000F04AB" w:rsidRPr="00F305A4">
        <w:rPr>
          <w:i/>
          <w:iCs/>
          <w:lang w:val="en-GB"/>
        </w:rPr>
        <w:t xml:space="preserve"> — General geomorphological characterization</w:t>
      </w:r>
      <w:r w:rsidR="000F04AB" w:rsidRPr="00F305A4">
        <w:rPr>
          <w:lang w:val="en-GB"/>
        </w:rPr>
        <w:t xml:space="preserve"> </w:t>
      </w:r>
      <w:r w:rsidRPr="00F305A4">
        <w:rPr>
          <w:lang w:val="en-GB"/>
        </w:rPr>
        <w:t>[</w:t>
      </w:r>
      <w:proofErr w:type="spellStart"/>
      <w:r w:rsidR="000F04AB" w:rsidRPr="00F305A4">
        <w:rPr>
          <w:i/>
          <w:iCs/>
          <w:lang w:val="en-GB"/>
        </w:rPr>
        <w:t>Subcarpații</w:t>
      </w:r>
      <w:proofErr w:type="spellEnd"/>
      <w:r w:rsidR="000F04AB" w:rsidRPr="00F305A4">
        <w:rPr>
          <w:i/>
          <w:iCs/>
          <w:lang w:val="en-GB"/>
        </w:rPr>
        <w:t xml:space="preserve"> </w:t>
      </w:r>
      <w:proofErr w:type="spellStart"/>
      <w:r w:rsidR="000F04AB" w:rsidRPr="00F305A4">
        <w:rPr>
          <w:i/>
          <w:iCs/>
          <w:lang w:val="en-GB"/>
        </w:rPr>
        <w:t>Buzăului</w:t>
      </w:r>
      <w:proofErr w:type="spellEnd"/>
      <w:r w:rsidR="000F04AB" w:rsidRPr="00F305A4">
        <w:rPr>
          <w:i/>
          <w:iCs/>
          <w:lang w:val="en-GB"/>
        </w:rPr>
        <w:t xml:space="preserve"> — </w:t>
      </w:r>
      <w:proofErr w:type="spellStart"/>
      <w:r w:rsidR="000F04AB" w:rsidRPr="00F305A4">
        <w:rPr>
          <w:i/>
          <w:iCs/>
          <w:lang w:val="en-GB"/>
        </w:rPr>
        <w:t>Caracterizare</w:t>
      </w:r>
      <w:proofErr w:type="spellEnd"/>
      <w:r w:rsidR="000F04AB" w:rsidRPr="00F305A4">
        <w:rPr>
          <w:i/>
          <w:iCs/>
          <w:lang w:val="en-GB"/>
        </w:rPr>
        <w:t xml:space="preserve"> </w:t>
      </w:r>
      <w:proofErr w:type="spellStart"/>
      <w:r w:rsidR="000F04AB" w:rsidRPr="00F305A4">
        <w:rPr>
          <w:i/>
          <w:iCs/>
          <w:lang w:val="en-GB"/>
        </w:rPr>
        <w:t>geomorfologică</w:t>
      </w:r>
      <w:proofErr w:type="spellEnd"/>
      <w:r w:rsidR="000F04AB" w:rsidRPr="00F305A4">
        <w:rPr>
          <w:i/>
          <w:iCs/>
          <w:lang w:val="en-GB"/>
        </w:rPr>
        <w:t xml:space="preserve"> </w:t>
      </w:r>
      <w:proofErr w:type="spellStart"/>
      <w:r w:rsidR="000F04AB" w:rsidRPr="00F305A4">
        <w:rPr>
          <w:i/>
          <w:iCs/>
          <w:lang w:val="en-GB"/>
        </w:rPr>
        <w:t>generală</w:t>
      </w:r>
      <w:proofErr w:type="spellEnd"/>
      <w:r w:rsidRPr="00F305A4">
        <w:rPr>
          <w:lang w:val="en-GB"/>
        </w:rPr>
        <w:t xml:space="preserve">]. </w:t>
      </w:r>
      <w:proofErr w:type="spellStart"/>
      <w:r w:rsidRPr="00F305A4">
        <w:rPr>
          <w:lang w:val="en-GB"/>
        </w:rPr>
        <w:t>Analele</w:t>
      </w:r>
      <w:proofErr w:type="spellEnd"/>
      <w:r w:rsidRPr="00F305A4">
        <w:rPr>
          <w:lang w:val="en-GB"/>
        </w:rPr>
        <w:t xml:space="preserve"> </w:t>
      </w:r>
      <w:proofErr w:type="spellStart"/>
      <w:r w:rsidRPr="00F305A4">
        <w:rPr>
          <w:lang w:val="en-GB"/>
        </w:rPr>
        <w:t>Universității</w:t>
      </w:r>
      <w:proofErr w:type="spellEnd"/>
      <w:r w:rsidRPr="00F305A4">
        <w:rPr>
          <w:lang w:val="en-GB"/>
        </w:rPr>
        <w:t xml:space="preserve"> din </w:t>
      </w:r>
      <w:proofErr w:type="spellStart"/>
      <w:r w:rsidRPr="00F305A4">
        <w:rPr>
          <w:lang w:val="en-GB"/>
        </w:rPr>
        <w:t>București</w:t>
      </w:r>
      <w:proofErr w:type="spellEnd"/>
      <w:r w:rsidRPr="00F305A4">
        <w:rPr>
          <w:lang w:val="en-GB"/>
        </w:rPr>
        <w:t xml:space="preserve">: </w:t>
      </w:r>
      <w:proofErr w:type="spellStart"/>
      <w:r w:rsidRPr="00F305A4">
        <w:rPr>
          <w:lang w:val="en-GB"/>
        </w:rPr>
        <w:t>Geografie</w:t>
      </w:r>
      <w:proofErr w:type="spellEnd"/>
      <w:r w:rsidRPr="00F305A4">
        <w:rPr>
          <w:lang w:val="en-GB"/>
        </w:rPr>
        <w:t xml:space="preserve"> [Annals of the University of Bucharest: Geography Series], </w:t>
      </w:r>
      <w:r w:rsidRPr="00F305A4">
        <w:rPr>
          <w:i/>
          <w:iCs/>
          <w:lang w:val="en-GB"/>
        </w:rPr>
        <w:t>22</w:t>
      </w:r>
      <w:r w:rsidRPr="00F305A4">
        <w:rPr>
          <w:lang w:val="en-GB"/>
        </w:rPr>
        <w:t>, 45–53.</w:t>
      </w:r>
    </w:p>
    <w:p w14:paraId="3B5EC54F" w14:textId="77777777" w:rsidR="00C8660C" w:rsidRPr="00F305A4" w:rsidRDefault="00C8660C" w:rsidP="006E1BDF">
      <w:pPr>
        <w:pStyle w:val="Rlit"/>
        <w:rPr>
          <w:lang w:val="en-GB"/>
        </w:rPr>
      </w:pPr>
      <w:proofErr w:type="spellStart"/>
      <w:r w:rsidRPr="00F305A4">
        <w:rPr>
          <w:lang w:val="en-GB"/>
        </w:rPr>
        <w:t>Kidová</w:t>
      </w:r>
      <w:proofErr w:type="spellEnd"/>
      <w:r w:rsidRPr="00F305A4">
        <w:rPr>
          <w:lang w:val="en-GB"/>
        </w:rPr>
        <w:t xml:space="preserve">, A., Radecki-Pawlik, A., </w:t>
      </w:r>
      <w:proofErr w:type="spellStart"/>
      <w:r w:rsidRPr="00F305A4">
        <w:rPr>
          <w:lang w:val="en-GB"/>
        </w:rPr>
        <w:t>Rusnák</w:t>
      </w:r>
      <w:proofErr w:type="spellEnd"/>
      <w:r w:rsidRPr="00F305A4">
        <w:rPr>
          <w:lang w:val="en-GB"/>
        </w:rPr>
        <w:t xml:space="preserve">, M., &amp; </w:t>
      </w:r>
      <w:proofErr w:type="spellStart"/>
      <w:r w:rsidRPr="00F305A4">
        <w:rPr>
          <w:lang w:val="en-GB"/>
        </w:rPr>
        <w:t>Plesiński</w:t>
      </w:r>
      <w:proofErr w:type="spellEnd"/>
      <w:r w:rsidRPr="00F305A4">
        <w:rPr>
          <w:lang w:val="en-GB"/>
        </w:rPr>
        <w:t>, K. (2021</w:t>
      </w:r>
      <w:r w:rsidRPr="00F305A4">
        <w:rPr>
          <w:i/>
          <w:iCs/>
          <w:lang w:val="en-GB"/>
        </w:rPr>
        <w:t xml:space="preserve">). </w:t>
      </w:r>
      <w:proofErr w:type="spellStart"/>
      <w:r w:rsidRPr="00352049">
        <w:rPr>
          <w:lang w:val="en-GB"/>
        </w:rPr>
        <w:t>Hydromorphological</w:t>
      </w:r>
      <w:proofErr w:type="spellEnd"/>
      <w:r w:rsidRPr="00352049">
        <w:rPr>
          <w:lang w:val="en-GB"/>
        </w:rPr>
        <w:t xml:space="preserve"> evaluation of the river training impact on a multi-thread river system (</w:t>
      </w:r>
      <w:proofErr w:type="spellStart"/>
      <w:r w:rsidRPr="00352049">
        <w:rPr>
          <w:lang w:val="en-GB"/>
        </w:rPr>
        <w:t>Belá</w:t>
      </w:r>
      <w:proofErr w:type="spellEnd"/>
      <w:r w:rsidRPr="00352049">
        <w:rPr>
          <w:lang w:val="en-GB"/>
        </w:rPr>
        <w:t xml:space="preserve"> River, Carpathians, Slovakia)</w:t>
      </w:r>
      <w:r w:rsidRPr="00F305A4">
        <w:rPr>
          <w:lang w:val="en-GB"/>
        </w:rPr>
        <w:t xml:space="preserve">. </w:t>
      </w:r>
      <w:r w:rsidRPr="00352049">
        <w:rPr>
          <w:i/>
          <w:iCs/>
          <w:lang w:val="en-GB"/>
        </w:rPr>
        <w:t>Scientific Reports</w:t>
      </w:r>
      <w:r w:rsidRPr="00F305A4">
        <w:rPr>
          <w:lang w:val="en-GB"/>
        </w:rPr>
        <w:t xml:space="preserve">, </w:t>
      </w:r>
      <w:r w:rsidRPr="00352049">
        <w:rPr>
          <w:i/>
          <w:iCs/>
          <w:lang w:val="en-GB"/>
        </w:rPr>
        <w:t>11</w:t>
      </w:r>
      <w:r w:rsidRPr="00F305A4">
        <w:rPr>
          <w:lang w:val="en-GB"/>
        </w:rPr>
        <w:t xml:space="preserve">(1), 6289. </w:t>
      </w:r>
      <w:hyperlink r:id="rId33" w:tgtFrame="_blank" w:history="1">
        <w:r w:rsidRPr="00F305A4">
          <w:rPr>
            <w:rStyle w:val="Hipercze"/>
            <w:color w:val="auto"/>
            <w:u w:val="none"/>
            <w:lang w:val="en-GB"/>
          </w:rPr>
          <w:t>https://doi.org/10.1038/s41598-021-85805-2</w:t>
        </w:r>
      </w:hyperlink>
    </w:p>
    <w:p w14:paraId="14C145DA" w14:textId="5A8A7906" w:rsidR="008B2D4B" w:rsidRPr="00F305A4" w:rsidRDefault="008B2D4B" w:rsidP="00352049">
      <w:pPr>
        <w:pStyle w:val="Rlit"/>
        <w:jc w:val="left"/>
        <w:rPr>
          <w:lang w:val="en-GB"/>
        </w:rPr>
      </w:pPr>
      <w:r w:rsidRPr="00F305A4">
        <w:rPr>
          <w:lang w:val="en-GB"/>
        </w:rPr>
        <w:t xml:space="preserve">Loizeaux, D., Hill, J., Patton, M., &amp; Hoilman, J. (2024). Integrating engineered and nature-based solutions for riverbank stabilization. In </w:t>
      </w:r>
      <w:r w:rsidRPr="00F305A4">
        <w:rPr>
          <w:i/>
          <w:iCs/>
          <w:lang w:val="en-GB"/>
        </w:rPr>
        <w:t>Hazard Mitigation and Resilient Infrastructure</w:t>
      </w:r>
      <w:r w:rsidRPr="00F305A4">
        <w:rPr>
          <w:lang w:val="en-GB"/>
        </w:rPr>
        <w:t xml:space="preserve"> (pp. 112–119). Routledge. </w:t>
      </w:r>
      <w:hyperlink r:id="rId34" w:tgtFrame="_blank" w:history="1">
        <w:r w:rsidRPr="00F305A4">
          <w:rPr>
            <w:rStyle w:val="Hipercze"/>
            <w:color w:val="auto"/>
            <w:u w:val="none"/>
            <w:lang w:val="en-GB"/>
          </w:rPr>
          <w:t>https://doi.org/10.1201/9781003386889-21</w:t>
        </w:r>
      </w:hyperlink>
    </w:p>
    <w:p w14:paraId="3DC4321A" w14:textId="16DB9F78" w:rsidR="00C8660C" w:rsidRPr="00F305A4" w:rsidRDefault="00C8660C" w:rsidP="006E1BDF">
      <w:pPr>
        <w:pStyle w:val="Rlit"/>
        <w:rPr>
          <w:lang w:val="en-GB"/>
        </w:rPr>
      </w:pPr>
      <w:proofErr w:type="spellStart"/>
      <w:r w:rsidRPr="00F305A4">
        <w:rPr>
          <w:lang w:val="en-GB"/>
        </w:rPr>
        <w:t>Martonne</w:t>
      </w:r>
      <w:proofErr w:type="spellEnd"/>
      <w:r w:rsidRPr="00F305A4">
        <w:rPr>
          <w:lang w:val="en-GB"/>
        </w:rPr>
        <w:t xml:space="preserve">, E. de. (1904). </w:t>
      </w:r>
      <w:r w:rsidR="000F04AB" w:rsidRPr="00F305A4">
        <w:rPr>
          <w:i/>
          <w:iCs/>
          <w:lang w:val="en-GB"/>
        </w:rPr>
        <w:t xml:space="preserve">The border between mountain and plain in Romania: Lower </w:t>
      </w:r>
      <w:proofErr w:type="spellStart"/>
      <w:r w:rsidR="000F04AB" w:rsidRPr="00F305A4">
        <w:rPr>
          <w:i/>
          <w:iCs/>
          <w:lang w:val="en-GB"/>
        </w:rPr>
        <w:t>Buzău</w:t>
      </w:r>
      <w:proofErr w:type="spellEnd"/>
      <w:r w:rsidR="000F04AB" w:rsidRPr="00F305A4">
        <w:rPr>
          <w:i/>
          <w:iCs/>
          <w:lang w:val="en-GB"/>
        </w:rPr>
        <w:t xml:space="preserve"> and </w:t>
      </w:r>
      <w:proofErr w:type="spellStart"/>
      <w:r w:rsidR="000F04AB" w:rsidRPr="00F305A4">
        <w:rPr>
          <w:i/>
          <w:iCs/>
          <w:lang w:val="en-GB"/>
        </w:rPr>
        <w:t>Călmățui</w:t>
      </w:r>
      <w:proofErr w:type="spellEnd"/>
      <w:r w:rsidRPr="00F305A4">
        <w:rPr>
          <w:lang w:val="en-GB"/>
        </w:rPr>
        <w:t xml:space="preserve">. Annales de </w:t>
      </w:r>
      <w:proofErr w:type="spellStart"/>
      <w:r w:rsidRPr="00F305A4">
        <w:rPr>
          <w:lang w:val="en-GB"/>
        </w:rPr>
        <w:t>Géographie</w:t>
      </w:r>
      <w:proofErr w:type="spellEnd"/>
      <w:r w:rsidRPr="00F305A4">
        <w:rPr>
          <w:lang w:val="en-GB"/>
        </w:rPr>
        <w:t xml:space="preserve">, </w:t>
      </w:r>
      <w:r w:rsidRPr="00352049">
        <w:rPr>
          <w:i/>
          <w:iCs/>
          <w:lang w:val="en-GB"/>
        </w:rPr>
        <w:t>13</w:t>
      </w:r>
      <w:r w:rsidRPr="00F305A4">
        <w:rPr>
          <w:lang w:val="en-GB"/>
        </w:rPr>
        <w:t>(68), 133–143.</w:t>
      </w:r>
    </w:p>
    <w:p w14:paraId="2AC2F773" w14:textId="5E4D2A3D" w:rsidR="00C8660C" w:rsidRPr="00F305A4" w:rsidRDefault="00C8660C" w:rsidP="006E1BDF">
      <w:pPr>
        <w:pStyle w:val="Rlit"/>
        <w:rPr>
          <w:lang w:val="en-GB"/>
        </w:rPr>
      </w:pPr>
      <w:r w:rsidRPr="00F305A4">
        <w:rPr>
          <w:lang w:val="en-GB"/>
        </w:rPr>
        <w:t xml:space="preserve">Mihăilescu, V. (1963). </w:t>
      </w:r>
      <w:r w:rsidR="000F04AB" w:rsidRPr="00F305A4">
        <w:rPr>
          <w:i/>
          <w:iCs/>
          <w:lang w:val="en-GB"/>
        </w:rPr>
        <w:t>The South-Eastern Carpathians on the territory of the R.P.R.: A physical geography study</w:t>
      </w:r>
      <w:r w:rsidR="000F04AB" w:rsidRPr="00F305A4">
        <w:rPr>
          <w:lang w:val="en-GB"/>
        </w:rPr>
        <w:t xml:space="preserve"> </w:t>
      </w:r>
      <w:r w:rsidRPr="00F305A4">
        <w:rPr>
          <w:lang w:val="en-GB"/>
        </w:rPr>
        <w:t>[</w:t>
      </w:r>
      <w:proofErr w:type="spellStart"/>
      <w:r w:rsidR="000F04AB" w:rsidRPr="00F305A4">
        <w:rPr>
          <w:i/>
          <w:iCs/>
          <w:lang w:val="en-GB"/>
        </w:rPr>
        <w:t>Carpații</w:t>
      </w:r>
      <w:proofErr w:type="spellEnd"/>
      <w:r w:rsidR="000F04AB" w:rsidRPr="00F305A4">
        <w:rPr>
          <w:i/>
          <w:iCs/>
          <w:lang w:val="en-GB"/>
        </w:rPr>
        <w:t xml:space="preserve"> Sud-</w:t>
      </w:r>
      <w:proofErr w:type="spellStart"/>
      <w:r w:rsidR="000F04AB" w:rsidRPr="00F305A4">
        <w:rPr>
          <w:i/>
          <w:iCs/>
          <w:lang w:val="en-GB"/>
        </w:rPr>
        <w:t>Estici</w:t>
      </w:r>
      <w:proofErr w:type="spellEnd"/>
      <w:r w:rsidR="000F04AB" w:rsidRPr="00F305A4">
        <w:rPr>
          <w:i/>
          <w:iCs/>
          <w:lang w:val="en-GB"/>
        </w:rPr>
        <w:t xml:space="preserve"> de pe </w:t>
      </w:r>
      <w:proofErr w:type="spellStart"/>
      <w:r w:rsidR="000F04AB" w:rsidRPr="00F305A4">
        <w:rPr>
          <w:i/>
          <w:iCs/>
          <w:lang w:val="en-GB"/>
        </w:rPr>
        <w:t>teritoriul</w:t>
      </w:r>
      <w:proofErr w:type="spellEnd"/>
      <w:r w:rsidR="000F04AB" w:rsidRPr="00F305A4">
        <w:rPr>
          <w:i/>
          <w:iCs/>
          <w:lang w:val="en-GB"/>
        </w:rPr>
        <w:t xml:space="preserve"> R.P.R.: </w:t>
      </w:r>
      <w:proofErr w:type="spellStart"/>
      <w:r w:rsidR="000F04AB" w:rsidRPr="00F305A4">
        <w:rPr>
          <w:i/>
          <w:iCs/>
          <w:lang w:val="en-GB"/>
        </w:rPr>
        <w:t>Studiu</w:t>
      </w:r>
      <w:proofErr w:type="spellEnd"/>
      <w:r w:rsidR="000F04AB" w:rsidRPr="00F305A4">
        <w:rPr>
          <w:i/>
          <w:iCs/>
          <w:lang w:val="en-GB"/>
        </w:rPr>
        <w:t xml:space="preserve"> de </w:t>
      </w:r>
      <w:proofErr w:type="spellStart"/>
      <w:r w:rsidR="000F04AB" w:rsidRPr="00F305A4">
        <w:rPr>
          <w:i/>
          <w:iCs/>
          <w:lang w:val="en-GB"/>
        </w:rPr>
        <w:t>geografie</w:t>
      </w:r>
      <w:proofErr w:type="spellEnd"/>
      <w:r w:rsidR="000F04AB" w:rsidRPr="00F305A4">
        <w:rPr>
          <w:i/>
          <w:iCs/>
          <w:lang w:val="en-GB"/>
        </w:rPr>
        <w:t xml:space="preserve"> </w:t>
      </w:r>
      <w:proofErr w:type="spellStart"/>
      <w:r w:rsidR="000F04AB" w:rsidRPr="00F305A4">
        <w:rPr>
          <w:i/>
          <w:iCs/>
          <w:lang w:val="en-GB"/>
        </w:rPr>
        <w:t>fizic</w:t>
      </w:r>
      <w:proofErr w:type="spellEnd"/>
      <w:r w:rsidRPr="00F305A4">
        <w:rPr>
          <w:lang w:val="en-GB"/>
        </w:rPr>
        <w:t xml:space="preserve">]. Bucharest, Romania: </w:t>
      </w:r>
      <w:proofErr w:type="spellStart"/>
      <w:r w:rsidRPr="00F305A4">
        <w:rPr>
          <w:lang w:val="en-GB"/>
        </w:rPr>
        <w:t>Editura</w:t>
      </w:r>
      <w:proofErr w:type="spellEnd"/>
      <w:r w:rsidRPr="00F305A4">
        <w:rPr>
          <w:lang w:val="en-GB"/>
        </w:rPr>
        <w:t xml:space="preserve"> </w:t>
      </w:r>
      <w:proofErr w:type="spellStart"/>
      <w:r w:rsidRPr="00F305A4">
        <w:rPr>
          <w:lang w:val="en-GB"/>
        </w:rPr>
        <w:t>Științifică</w:t>
      </w:r>
      <w:proofErr w:type="spellEnd"/>
      <w:r w:rsidRPr="00F305A4">
        <w:rPr>
          <w:lang w:val="en-GB"/>
        </w:rPr>
        <w:t>.</w:t>
      </w:r>
    </w:p>
    <w:p w14:paraId="149BAEC0" w14:textId="291A89E6" w:rsidR="00C8660C" w:rsidRPr="00F305A4" w:rsidRDefault="00C8660C" w:rsidP="006E1BDF">
      <w:pPr>
        <w:pStyle w:val="Rlit"/>
        <w:rPr>
          <w:lang w:val="en-GB"/>
        </w:rPr>
      </w:pPr>
      <w:r w:rsidRPr="00F305A4">
        <w:rPr>
          <w:lang w:val="en-GB"/>
        </w:rPr>
        <w:t xml:space="preserve">Minea, I.S. (2011). </w:t>
      </w:r>
      <w:r w:rsidR="000F04AB" w:rsidRPr="00F305A4">
        <w:rPr>
          <w:i/>
          <w:iCs/>
          <w:lang w:val="en-GB"/>
        </w:rPr>
        <w:t xml:space="preserve">Hydrotechnical structures and their environmental impact </w:t>
      </w:r>
      <w:r w:rsidRPr="00F305A4">
        <w:rPr>
          <w:lang w:val="en-GB"/>
        </w:rPr>
        <w:t>[</w:t>
      </w:r>
      <w:proofErr w:type="spellStart"/>
      <w:r w:rsidR="000F04AB" w:rsidRPr="00F305A4">
        <w:rPr>
          <w:i/>
          <w:iCs/>
          <w:lang w:val="en-GB"/>
        </w:rPr>
        <w:t>Amenajări</w:t>
      </w:r>
      <w:proofErr w:type="spellEnd"/>
      <w:r w:rsidR="000F04AB" w:rsidRPr="00F305A4">
        <w:rPr>
          <w:i/>
          <w:iCs/>
          <w:lang w:val="en-GB"/>
        </w:rPr>
        <w:t xml:space="preserve"> </w:t>
      </w:r>
      <w:proofErr w:type="spellStart"/>
      <w:r w:rsidR="000F04AB" w:rsidRPr="00F305A4">
        <w:rPr>
          <w:i/>
          <w:iCs/>
          <w:lang w:val="en-GB"/>
        </w:rPr>
        <w:t>hidrotehnice</w:t>
      </w:r>
      <w:proofErr w:type="spellEnd"/>
      <w:r w:rsidR="000F04AB" w:rsidRPr="00F305A4">
        <w:rPr>
          <w:i/>
          <w:iCs/>
          <w:lang w:val="en-GB"/>
        </w:rPr>
        <w:t xml:space="preserve"> </w:t>
      </w:r>
      <w:proofErr w:type="spellStart"/>
      <w:r w:rsidR="000F04AB" w:rsidRPr="00F305A4">
        <w:rPr>
          <w:i/>
          <w:iCs/>
          <w:lang w:val="en-GB"/>
        </w:rPr>
        <w:t>și</w:t>
      </w:r>
      <w:proofErr w:type="spellEnd"/>
      <w:r w:rsidR="000F04AB" w:rsidRPr="00F305A4">
        <w:rPr>
          <w:i/>
          <w:iCs/>
          <w:lang w:val="en-GB"/>
        </w:rPr>
        <w:t xml:space="preserve"> </w:t>
      </w:r>
      <w:proofErr w:type="spellStart"/>
      <w:r w:rsidR="000F04AB" w:rsidRPr="00F305A4">
        <w:rPr>
          <w:i/>
          <w:iCs/>
          <w:lang w:val="en-GB"/>
        </w:rPr>
        <w:t>impactul</w:t>
      </w:r>
      <w:proofErr w:type="spellEnd"/>
      <w:r w:rsidR="000F04AB" w:rsidRPr="00F305A4">
        <w:rPr>
          <w:i/>
          <w:iCs/>
          <w:lang w:val="en-GB"/>
        </w:rPr>
        <w:t xml:space="preserve"> lor </w:t>
      </w:r>
      <w:proofErr w:type="spellStart"/>
      <w:r w:rsidR="000F04AB" w:rsidRPr="00F305A4">
        <w:rPr>
          <w:i/>
          <w:iCs/>
          <w:lang w:val="en-GB"/>
        </w:rPr>
        <w:t>asupra</w:t>
      </w:r>
      <w:proofErr w:type="spellEnd"/>
      <w:r w:rsidR="000F04AB" w:rsidRPr="00F305A4">
        <w:rPr>
          <w:i/>
          <w:iCs/>
          <w:lang w:val="en-GB"/>
        </w:rPr>
        <w:t xml:space="preserve"> </w:t>
      </w:r>
      <w:proofErr w:type="spellStart"/>
      <w:r w:rsidR="000F04AB" w:rsidRPr="00F305A4">
        <w:rPr>
          <w:i/>
          <w:iCs/>
          <w:lang w:val="en-GB"/>
        </w:rPr>
        <w:t>mediului</w:t>
      </w:r>
      <w:proofErr w:type="spellEnd"/>
      <w:r w:rsidRPr="00F305A4">
        <w:rPr>
          <w:lang w:val="en-GB"/>
        </w:rPr>
        <w:t xml:space="preserve">]. </w:t>
      </w:r>
      <w:proofErr w:type="spellStart"/>
      <w:r w:rsidRPr="00F305A4">
        <w:rPr>
          <w:lang w:val="en-GB"/>
        </w:rPr>
        <w:t>Iași</w:t>
      </w:r>
      <w:proofErr w:type="spellEnd"/>
      <w:r w:rsidRPr="00F305A4">
        <w:rPr>
          <w:lang w:val="en-GB"/>
        </w:rPr>
        <w:t xml:space="preserve">, Romania: </w:t>
      </w:r>
      <w:proofErr w:type="spellStart"/>
      <w:r w:rsidRPr="00F305A4">
        <w:rPr>
          <w:lang w:val="en-GB"/>
        </w:rPr>
        <w:t>Editura</w:t>
      </w:r>
      <w:proofErr w:type="spellEnd"/>
      <w:r w:rsidRPr="00F305A4">
        <w:rPr>
          <w:lang w:val="en-GB"/>
        </w:rPr>
        <w:t xml:space="preserve"> </w:t>
      </w:r>
      <w:proofErr w:type="spellStart"/>
      <w:r w:rsidRPr="00F305A4">
        <w:rPr>
          <w:lang w:val="en-GB"/>
        </w:rPr>
        <w:t>Universității</w:t>
      </w:r>
      <w:proofErr w:type="spellEnd"/>
      <w:r w:rsidRPr="00F305A4">
        <w:rPr>
          <w:lang w:val="en-GB"/>
        </w:rPr>
        <w:t xml:space="preserve"> „Alexandru Ioan Cuza”.</w:t>
      </w:r>
    </w:p>
    <w:p w14:paraId="338BC987" w14:textId="118D0151" w:rsidR="00C8660C" w:rsidRPr="00F305A4" w:rsidRDefault="00C8660C" w:rsidP="006E1BDF">
      <w:pPr>
        <w:pStyle w:val="Rlit"/>
        <w:rPr>
          <w:lang w:val="en-GB"/>
        </w:rPr>
      </w:pPr>
      <w:r w:rsidRPr="00F305A4">
        <w:rPr>
          <w:lang w:val="en-GB"/>
        </w:rPr>
        <w:t xml:space="preserve">Oncescu, N. (1959). </w:t>
      </w:r>
      <w:r w:rsidR="000F04AB" w:rsidRPr="00F305A4">
        <w:rPr>
          <w:lang w:val="en-GB"/>
        </w:rPr>
        <w:t xml:space="preserve">Geology of the Romanian People's Republic </w:t>
      </w:r>
      <w:r w:rsidRPr="00F305A4">
        <w:rPr>
          <w:lang w:val="en-GB"/>
        </w:rPr>
        <w:t>[</w:t>
      </w:r>
      <w:proofErr w:type="spellStart"/>
      <w:r w:rsidR="000F04AB" w:rsidRPr="00F305A4">
        <w:rPr>
          <w:i/>
          <w:iCs/>
          <w:lang w:val="en-GB"/>
        </w:rPr>
        <w:t>Geologia</w:t>
      </w:r>
      <w:proofErr w:type="spellEnd"/>
      <w:r w:rsidR="000F04AB" w:rsidRPr="00F305A4">
        <w:rPr>
          <w:i/>
          <w:iCs/>
          <w:lang w:val="en-GB"/>
        </w:rPr>
        <w:t xml:space="preserve"> </w:t>
      </w:r>
      <w:proofErr w:type="spellStart"/>
      <w:r w:rsidR="000F04AB" w:rsidRPr="00F305A4">
        <w:rPr>
          <w:i/>
          <w:iCs/>
          <w:lang w:val="en-GB"/>
        </w:rPr>
        <w:t>Republicii</w:t>
      </w:r>
      <w:proofErr w:type="spellEnd"/>
      <w:r w:rsidR="000F04AB" w:rsidRPr="00F305A4">
        <w:rPr>
          <w:i/>
          <w:iCs/>
          <w:lang w:val="en-GB"/>
        </w:rPr>
        <w:t xml:space="preserve"> Populare Române</w:t>
      </w:r>
      <w:r w:rsidRPr="00F305A4">
        <w:rPr>
          <w:lang w:val="en-GB"/>
        </w:rPr>
        <w:t xml:space="preserve">]. Bucharest, Romania: </w:t>
      </w:r>
      <w:proofErr w:type="spellStart"/>
      <w:r w:rsidRPr="00F305A4">
        <w:rPr>
          <w:lang w:val="en-GB"/>
        </w:rPr>
        <w:t>Editura</w:t>
      </w:r>
      <w:proofErr w:type="spellEnd"/>
      <w:r w:rsidRPr="00F305A4">
        <w:rPr>
          <w:lang w:val="en-GB"/>
        </w:rPr>
        <w:t xml:space="preserve"> </w:t>
      </w:r>
      <w:proofErr w:type="spellStart"/>
      <w:r w:rsidRPr="00F305A4">
        <w:rPr>
          <w:lang w:val="en-GB"/>
        </w:rPr>
        <w:t>Tehnică</w:t>
      </w:r>
      <w:proofErr w:type="spellEnd"/>
      <w:r w:rsidRPr="00F305A4">
        <w:rPr>
          <w:lang w:val="en-GB"/>
        </w:rPr>
        <w:t>.</w:t>
      </w:r>
    </w:p>
    <w:p w14:paraId="14BF085A" w14:textId="6F3922D7" w:rsidR="00C8660C" w:rsidRPr="00B21F0A" w:rsidRDefault="00C8660C" w:rsidP="006E1BDF">
      <w:pPr>
        <w:pStyle w:val="Rlit"/>
        <w:rPr>
          <w:lang w:val="pl-PL"/>
        </w:rPr>
      </w:pPr>
      <w:proofErr w:type="spellStart"/>
      <w:r w:rsidRPr="00F305A4">
        <w:rPr>
          <w:lang w:val="en-GB"/>
        </w:rPr>
        <w:t>Posea</w:t>
      </w:r>
      <w:proofErr w:type="spellEnd"/>
      <w:r w:rsidRPr="00F305A4">
        <w:rPr>
          <w:lang w:val="en-GB"/>
        </w:rPr>
        <w:t xml:space="preserve">, G. (2005). </w:t>
      </w:r>
      <w:r w:rsidR="000F04AB" w:rsidRPr="00F305A4">
        <w:rPr>
          <w:i/>
          <w:iCs/>
          <w:lang w:val="en-GB"/>
        </w:rPr>
        <w:t xml:space="preserve">Geomorphology of Romania: Relief, types, genesis, evolution, regionalization </w:t>
      </w:r>
      <w:r w:rsidRPr="00F305A4">
        <w:rPr>
          <w:lang w:val="en-GB"/>
        </w:rPr>
        <w:t>[</w:t>
      </w:r>
      <w:proofErr w:type="spellStart"/>
      <w:r w:rsidR="000F04AB" w:rsidRPr="00F305A4">
        <w:rPr>
          <w:i/>
          <w:iCs/>
          <w:lang w:val="en-GB"/>
        </w:rPr>
        <w:t>Geomorfologia</w:t>
      </w:r>
      <w:proofErr w:type="spellEnd"/>
      <w:r w:rsidR="000F04AB" w:rsidRPr="00F305A4">
        <w:rPr>
          <w:i/>
          <w:iCs/>
          <w:lang w:val="en-GB"/>
        </w:rPr>
        <w:t xml:space="preserve"> </w:t>
      </w:r>
      <w:proofErr w:type="spellStart"/>
      <w:r w:rsidR="000F04AB" w:rsidRPr="00F305A4">
        <w:rPr>
          <w:i/>
          <w:iCs/>
          <w:lang w:val="en-GB"/>
        </w:rPr>
        <w:t>României</w:t>
      </w:r>
      <w:proofErr w:type="spellEnd"/>
      <w:r w:rsidR="000F04AB" w:rsidRPr="00F305A4">
        <w:rPr>
          <w:i/>
          <w:iCs/>
          <w:lang w:val="en-GB"/>
        </w:rPr>
        <w:t xml:space="preserve">: Relief, </w:t>
      </w:r>
      <w:proofErr w:type="spellStart"/>
      <w:r w:rsidR="000F04AB" w:rsidRPr="00F305A4">
        <w:rPr>
          <w:i/>
          <w:iCs/>
          <w:lang w:val="en-GB"/>
        </w:rPr>
        <w:t>tipuri</w:t>
      </w:r>
      <w:proofErr w:type="spellEnd"/>
      <w:r w:rsidR="000F04AB" w:rsidRPr="00F305A4">
        <w:rPr>
          <w:i/>
          <w:iCs/>
          <w:lang w:val="en-GB"/>
        </w:rPr>
        <w:t xml:space="preserve">, </w:t>
      </w:r>
      <w:proofErr w:type="spellStart"/>
      <w:r w:rsidR="000F04AB" w:rsidRPr="00F305A4">
        <w:rPr>
          <w:i/>
          <w:iCs/>
          <w:lang w:val="en-GB"/>
        </w:rPr>
        <w:t>geneză</w:t>
      </w:r>
      <w:proofErr w:type="spellEnd"/>
      <w:r w:rsidR="000F04AB" w:rsidRPr="00F305A4">
        <w:rPr>
          <w:i/>
          <w:iCs/>
          <w:lang w:val="en-GB"/>
        </w:rPr>
        <w:t xml:space="preserve">, </w:t>
      </w:r>
      <w:proofErr w:type="spellStart"/>
      <w:r w:rsidR="000F04AB" w:rsidRPr="00F305A4">
        <w:rPr>
          <w:i/>
          <w:iCs/>
          <w:lang w:val="en-GB"/>
        </w:rPr>
        <w:t>evoluție</w:t>
      </w:r>
      <w:proofErr w:type="spellEnd"/>
      <w:r w:rsidR="000F04AB" w:rsidRPr="00F305A4">
        <w:rPr>
          <w:i/>
          <w:iCs/>
          <w:lang w:val="en-GB"/>
        </w:rPr>
        <w:t xml:space="preserve">, </w:t>
      </w:r>
      <w:proofErr w:type="spellStart"/>
      <w:r w:rsidR="000F04AB" w:rsidRPr="00F305A4">
        <w:rPr>
          <w:i/>
          <w:iCs/>
          <w:lang w:val="en-GB"/>
        </w:rPr>
        <w:t>regionare</w:t>
      </w:r>
      <w:proofErr w:type="spellEnd"/>
      <w:r w:rsidRPr="00F305A4">
        <w:rPr>
          <w:lang w:val="en-GB"/>
        </w:rPr>
        <w:t xml:space="preserve">]. </w:t>
      </w:r>
      <w:proofErr w:type="spellStart"/>
      <w:r w:rsidRPr="00B21F0A">
        <w:rPr>
          <w:lang w:val="pl-PL"/>
        </w:rPr>
        <w:t>Bucharest</w:t>
      </w:r>
      <w:proofErr w:type="spellEnd"/>
      <w:r w:rsidRPr="00B21F0A">
        <w:rPr>
          <w:lang w:val="pl-PL"/>
        </w:rPr>
        <w:t xml:space="preserve">, Romania: </w:t>
      </w:r>
      <w:proofErr w:type="spellStart"/>
      <w:r w:rsidRPr="00B21F0A">
        <w:rPr>
          <w:lang w:val="pl-PL"/>
        </w:rPr>
        <w:t>Editura</w:t>
      </w:r>
      <w:proofErr w:type="spellEnd"/>
      <w:r w:rsidRPr="00B21F0A">
        <w:rPr>
          <w:lang w:val="pl-PL"/>
        </w:rPr>
        <w:t xml:space="preserve"> </w:t>
      </w:r>
      <w:proofErr w:type="spellStart"/>
      <w:r w:rsidRPr="00B21F0A">
        <w:rPr>
          <w:lang w:val="pl-PL"/>
        </w:rPr>
        <w:t>Fundației</w:t>
      </w:r>
      <w:proofErr w:type="spellEnd"/>
      <w:r w:rsidRPr="00B21F0A">
        <w:rPr>
          <w:lang w:val="pl-PL"/>
        </w:rPr>
        <w:t xml:space="preserve"> </w:t>
      </w:r>
      <w:proofErr w:type="spellStart"/>
      <w:r w:rsidRPr="00B21F0A">
        <w:rPr>
          <w:lang w:val="pl-PL"/>
        </w:rPr>
        <w:t>România</w:t>
      </w:r>
      <w:proofErr w:type="spellEnd"/>
      <w:r w:rsidRPr="00B21F0A">
        <w:rPr>
          <w:lang w:val="pl-PL"/>
        </w:rPr>
        <w:t xml:space="preserve"> de </w:t>
      </w:r>
      <w:proofErr w:type="spellStart"/>
      <w:r w:rsidRPr="00B21F0A">
        <w:rPr>
          <w:lang w:val="pl-PL"/>
        </w:rPr>
        <w:t>Mâine</w:t>
      </w:r>
      <w:proofErr w:type="spellEnd"/>
      <w:r w:rsidRPr="00B21F0A">
        <w:rPr>
          <w:lang w:val="pl-PL"/>
        </w:rPr>
        <w:t>.</w:t>
      </w:r>
    </w:p>
    <w:p w14:paraId="7FB02308" w14:textId="5B94A9AF" w:rsidR="00C8660C" w:rsidRPr="00F305A4" w:rsidRDefault="00C8660C" w:rsidP="006E1BDF">
      <w:pPr>
        <w:pStyle w:val="Rlit"/>
        <w:rPr>
          <w:lang w:val="en-GB"/>
        </w:rPr>
      </w:pPr>
      <w:proofErr w:type="spellStart"/>
      <w:r w:rsidRPr="00B21F0A">
        <w:rPr>
          <w:lang w:val="pl-PL"/>
        </w:rPr>
        <w:lastRenderedPageBreak/>
        <w:t>Posea</w:t>
      </w:r>
      <w:proofErr w:type="spellEnd"/>
      <w:r w:rsidRPr="00B21F0A">
        <w:rPr>
          <w:lang w:val="pl-PL"/>
        </w:rPr>
        <w:t xml:space="preserve">, G., </w:t>
      </w:r>
      <w:proofErr w:type="spellStart"/>
      <w:r w:rsidRPr="00B21F0A">
        <w:rPr>
          <w:lang w:val="pl-PL"/>
        </w:rPr>
        <w:t>Popescu</w:t>
      </w:r>
      <w:proofErr w:type="spellEnd"/>
      <w:r w:rsidRPr="00B21F0A">
        <w:rPr>
          <w:lang w:val="pl-PL"/>
        </w:rPr>
        <w:t xml:space="preserve">, N., &amp; </w:t>
      </w:r>
      <w:proofErr w:type="spellStart"/>
      <w:r w:rsidRPr="00B21F0A">
        <w:rPr>
          <w:lang w:val="pl-PL"/>
        </w:rPr>
        <w:t>Ielenicz</w:t>
      </w:r>
      <w:proofErr w:type="spellEnd"/>
      <w:r w:rsidRPr="00B21F0A">
        <w:rPr>
          <w:lang w:val="pl-PL"/>
        </w:rPr>
        <w:t xml:space="preserve">, M. (1976). </w:t>
      </w:r>
      <w:r w:rsidR="000F04AB" w:rsidRPr="00F305A4">
        <w:rPr>
          <w:i/>
          <w:iCs/>
          <w:lang w:val="en-GB"/>
        </w:rPr>
        <w:t xml:space="preserve">The relief of Romania </w:t>
      </w:r>
      <w:r w:rsidRPr="00F305A4">
        <w:rPr>
          <w:lang w:val="en-GB"/>
        </w:rPr>
        <w:t>[</w:t>
      </w:r>
      <w:proofErr w:type="spellStart"/>
      <w:r w:rsidR="000F04AB" w:rsidRPr="00F305A4">
        <w:rPr>
          <w:i/>
          <w:iCs/>
          <w:lang w:val="en-GB"/>
        </w:rPr>
        <w:t>Relieful</w:t>
      </w:r>
      <w:proofErr w:type="spellEnd"/>
      <w:r w:rsidR="000F04AB" w:rsidRPr="00F305A4">
        <w:rPr>
          <w:i/>
          <w:iCs/>
          <w:lang w:val="en-GB"/>
        </w:rPr>
        <w:t xml:space="preserve"> </w:t>
      </w:r>
      <w:proofErr w:type="spellStart"/>
      <w:r w:rsidR="000F04AB" w:rsidRPr="00F305A4">
        <w:rPr>
          <w:i/>
          <w:iCs/>
          <w:lang w:val="en-GB"/>
        </w:rPr>
        <w:t>României</w:t>
      </w:r>
      <w:proofErr w:type="spellEnd"/>
      <w:r w:rsidRPr="00F305A4">
        <w:rPr>
          <w:lang w:val="en-GB"/>
        </w:rPr>
        <w:t xml:space="preserve">]. Bucharest, Romania: </w:t>
      </w:r>
      <w:proofErr w:type="spellStart"/>
      <w:r w:rsidRPr="00F305A4">
        <w:rPr>
          <w:lang w:val="en-GB"/>
        </w:rPr>
        <w:t>Editura</w:t>
      </w:r>
      <w:proofErr w:type="spellEnd"/>
      <w:r w:rsidRPr="00F305A4">
        <w:rPr>
          <w:lang w:val="en-GB"/>
        </w:rPr>
        <w:t xml:space="preserve"> </w:t>
      </w:r>
      <w:proofErr w:type="spellStart"/>
      <w:r w:rsidRPr="00F305A4">
        <w:rPr>
          <w:lang w:val="en-GB"/>
        </w:rPr>
        <w:t>Științifică</w:t>
      </w:r>
      <w:proofErr w:type="spellEnd"/>
      <w:r w:rsidRPr="00F305A4">
        <w:rPr>
          <w:lang w:val="en-GB"/>
        </w:rPr>
        <w:t xml:space="preserve"> </w:t>
      </w:r>
      <w:proofErr w:type="spellStart"/>
      <w:r w:rsidRPr="00F305A4">
        <w:rPr>
          <w:lang w:val="en-GB"/>
        </w:rPr>
        <w:t>și</w:t>
      </w:r>
      <w:proofErr w:type="spellEnd"/>
      <w:r w:rsidRPr="00F305A4">
        <w:rPr>
          <w:lang w:val="en-GB"/>
        </w:rPr>
        <w:t xml:space="preserve"> </w:t>
      </w:r>
      <w:proofErr w:type="spellStart"/>
      <w:r w:rsidRPr="00F305A4">
        <w:rPr>
          <w:lang w:val="en-GB"/>
        </w:rPr>
        <w:t>Enciclopedică</w:t>
      </w:r>
      <w:proofErr w:type="spellEnd"/>
      <w:r w:rsidRPr="00F305A4">
        <w:rPr>
          <w:lang w:val="en-GB"/>
        </w:rPr>
        <w:t>.</w:t>
      </w:r>
    </w:p>
    <w:p w14:paraId="233CEEE8" w14:textId="11FA18A6" w:rsidR="00C8660C" w:rsidRPr="00F305A4" w:rsidRDefault="00C8660C" w:rsidP="006E1BDF">
      <w:pPr>
        <w:pStyle w:val="Rlit"/>
        <w:rPr>
          <w:lang w:val="en-GB"/>
        </w:rPr>
      </w:pPr>
      <w:r w:rsidRPr="00F305A4">
        <w:rPr>
          <w:lang w:val="en-GB"/>
        </w:rPr>
        <w:t xml:space="preserve">Surian, N., Rinaldi, M., Pellegrini, L., </w:t>
      </w:r>
      <w:proofErr w:type="spellStart"/>
      <w:r w:rsidRPr="00F305A4">
        <w:rPr>
          <w:lang w:val="en-GB"/>
        </w:rPr>
        <w:t>Audisio</w:t>
      </w:r>
      <w:proofErr w:type="spellEnd"/>
      <w:r w:rsidRPr="00F305A4">
        <w:rPr>
          <w:lang w:val="en-GB"/>
        </w:rPr>
        <w:t xml:space="preserve">, C., Maraga, F., </w:t>
      </w:r>
      <w:proofErr w:type="spellStart"/>
      <w:r w:rsidRPr="00F305A4">
        <w:rPr>
          <w:lang w:val="en-GB"/>
        </w:rPr>
        <w:t>Teruggi</w:t>
      </w:r>
      <w:proofErr w:type="spellEnd"/>
      <w:r w:rsidRPr="00F305A4">
        <w:rPr>
          <w:lang w:val="en-GB"/>
        </w:rPr>
        <w:t xml:space="preserve">, L. B., ... &amp; </w:t>
      </w:r>
      <w:proofErr w:type="spellStart"/>
      <w:r w:rsidRPr="00F305A4">
        <w:rPr>
          <w:lang w:val="en-GB"/>
        </w:rPr>
        <w:t>Ziliani</w:t>
      </w:r>
      <w:proofErr w:type="spellEnd"/>
      <w:r w:rsidRPr="00F305A4">
        <w:rPr>
          <w:lang w:val="en-GB"/>
        </w:rPr>
        <w:t xml:space="preserve">, N. (2009). </w:t>
      </w:r>
      <w:r w:rsidRPr="00352049">
        <w:rPr>
          <w:lang w:val="en-GB"/>
        </w:rPr>
        <w:t>Channel adjustments in northern and central Italy over the past 150 years worldwide context.</w:t>
      </w:r>
      <w:r w:rsidRPr="00F305A4">
        <w:rPr>
          <w:lang w:val="en-GB"/>
        </w:rPr>
        <w:t xml:space="preserve"> </w:t>
      </w:r>
      <w:r w:rsidRPr="00352049">
        <w:rPr>
          <w:i/>
          <w:iCs/>
          <w:lang w:val="en-GB"/>
        </w:rPr>
        <w:t>Geomorphology</w:t>
      </w:r>
      <w:r w:rsidRPr="00F305A4">
        <w:rPr>
          <w:lang w:val="en-GB"/>
        </w:rPr>
        <w:t xml:space="preserve">, </w:t>
      </w:r>
      <w:r w:rsidRPr="00352049">
        <w:rPr>
          <w:i/>
          <w:iCs/>
          <w:lang w:val="en-GB"/>
        </w:rPr>
        <w:t>113</w:t>
      </w:r>
      <w:r w:rsidRPr="00F305A4">
        <w:rPr>
          <w:lang w:val="en-GB"/>
        </w:rPr>
        <w:t>(1</w:t>
      </w:r>
      <w:r w:rsidR="00352049">
        <w:rPr>
          <w:lang w:val="en-GB"/>
        </w:rPr>
        <w:t>–</w:t>
      </w:r>
      <w:r w:rsidRPr="00F305A4">
        <w:rPr>
          <w:lang w:val="en-GB"/>
        </w:rPr>
        <w:t xml:space="preserve">2), 13–24. </w:t>
      </w:r>
      <w:hyperlink r:id="rId35" w:tgtFrame="_blank" w:history="1">
        <w:r w:rsidRPr="00F305A4">
          <w:rPr>
            <w:rStyle w:val="Hipercze"/>
            <w:color w:val="auto"/>
            <w:u w:val="none"/>
            <w:lang w:val="en-GB"/>
          </w:rPr>
          <w:t>https://doi.org/10.1016/j.geomorph.2009.02.011</w:t>
        </w:r>
      </w:hyperlink>
    </w:p>
    <w:p w14:paraId="73A5FDA4" w14:textId="77777777" w:rsidR="00C8660C" w:rsidRPr="00F305A4" w:rsidRDefault="00C8660C" w:rsidP="006E1BDF">
      <w:pPr>
        <w:pStyle w:val="Rlit"/>
        <w:rPr>
          <w:lang w:val="en-GB"/>
        </w:rPr>
      </w:pPr>
      <w:r w:rsidRPr="00F305A4">
        <w:rPr>
          <w:lang w:val="en-GB"/>
        </w:rPr>
        <w:t xml:space="preserve">Tarolli, </w:t>
      </w:r>
      <w:r w:rsidRPr="00352049">
        <w:rPr>
          <w:lang w:val="en-GB"/>
        </w:rPr>
        <w:t>P. (2014). High-resolution topography for understanding Earth surface processes: Opportunities and challenges.</w:t>
      </w:r>
      <w:r w:rsidRPr="00F305A4">
        <w:rPr>
          <w:lang w:val="en-GB"/>
        </w:rPr>
        <w:t xml:space="preserve"> </w:t>
      </w:r>
      <w:r w:rsidRPr="00352049">
        <w:rPr>
          <w:i/>
          <w:iCs/>
          <w:lang w:val="en-GB"/>
        </w:rPr>
        <w:t>Geomorphology</w:t>
      </w:r>
      <w:r w:rsidRPr="00F305A4">
        <w:rPr>
          <w:lang w:val="en-GB"/>
        </w:rPr>
        <w:t xml:space="preserve">, </w:t>
      </w:r>
      <w:r w:rsidRPr="00352049">
        <w:rPr>
          <w:i/>
          <w:iCs/>
          <w:lang w:val="en-GB"/>
        </w:rPr>
        <w:t>216</w:t>
      </w:r>
      <w:r w:rsidRPr="00F305A4">
        <w:rPr>
          <w:lang w:val="en-GB"/>
        </w:rPr>
        <w:t xml:space="preserve">, 295–312. </w:t>
      </w:r>
      <w:hyperlink r:id="rId36" w:tgtFrame="_blank" w:history="1">
        <w:r w:rsidRPr="00F305A4">
          <w:rPr>
            <w:rStyle w:val="Hipercze"/>
            <w:color w:val="auto"/>
            <w:u w:val="none"/>
            <w:lang w:val="en-GB"/>
          </w:rPr>
          <w:t>https://doi.org/10.1016/j.geomorph.2014.03.008</w:t>
        </w:r>
      </w:hyperlink>
    </w:p>
    <w:p w14:paraId="420061BB" w14:textId="77777777" w:rsidR="00C8660C" w:rsidRPr="00F305A4" w:rsidRDefault="00C8660C" w:rsidP="006E1BDF">
      <w:pPr>
        <w:pStyle w:val="Rlit"/>
        <w:rPr>
          <w:lang w:val="en-GB"/>
        </w:rPr>
      </w:pPr>
      <w:r w:rsidRPr="00F305A4">
        <w:rPr>
          <w:lang w:val="en-GB"/>
        </w:rPr>
        <w:t xml:space="preserve">Wohl, E. (2019). </w:t>
      </w:r>
      <w:r w:rsidRPr="00352049">
        <w:rPr>
          <w:lang w:val="en-GB"/>
        </w:rPr>
        <w:t>Forgotten rivers: The values and dynamics of mountain streams</w:t>
      </w:r>
      <w:r w:rsidRPr="00F305A4">
        <w:rPr>
          <w:lang w:val="en-GB"/>
        </w:rPr>
        <w:t xml:space="preserve">. </w:t>
      </w:r>
      <w:r w:rsidRPr="00352049">
        <w:rPr>
          <w:i/>
          <w:iCs/>
          <w:lang w:val="en-GB"/>
        </w:rPr>
        <w:t>Earth-Science Reviews</w:t>
      </w:r>
      <w:r w:rsidRPr="00F305A4">
        <w:rPr>
          <w:lang w:val="en-GB"/>
        </w:rPr>
        <w:t xml:space="preserve">, </w:t>
      </w:r>
      <w:r w:rsidRPr="00352049">
        <w:rPr>
          <w:i/>
          <w:iCs/>
          <w:lang w:val="en-GB"/>
        </w:rPr>
        <w:t>196</w:t>
      </w:r>
      <w:r w:rsidRPr="00F305A4">
        <w:rPr>
          <w:lang w:val="en-GB"/>
        </w:rPr>
        <w:t xml:space="preserve">, 102881. </w:t>
      </w:r>
      <w:hyperlink r:id="rId37" w:tgtFrame="_blank" w:history="1">
        <w:r w:rsidRPr="00F305A4">
          <w:rPr>
            <w:rStyle w:val="Hipercze"/>
            <w:color w:val="auto"/>
            <w:u w:val="none"/>
            <w:lang w:val="en-GB"/>
          </w:rPr>
          <w:t>https://doi.org/10.1016/j.earscirev.2019.06.002</w:t>
        </w:r>
      </w:hyperlink>
    </w:p>
    <w:p w14:paraId="0B2D55AB" w14:textId="5F172CF7" w:rsidR="00833FF6" w:rsidRPr="00F305A4" w:rsidRDefault="00C8660C" w:rsidP="006E1BDF">
      <w:pPr>
        <w:pStyle w:val="Rlit"/>
        <w:rPr>
          <w:lang w:val="en-GB"/>
        </w:rPr>
      </w:pPr>
      <w:r w:rsidRPr="00F305A4">
        <w:rPr>
          <w:lang w:val="en-GB"/>
        </w:rPr>
        <w:t xml:space="preserve">Zăvoianu, I. (2006). </w:t>
      </w:r>
      <w:r w:rsidR="000F04AB" w:rsidRPr="00F305A4">
        <w:rPr>
          <w:i/>
          <w:iCs/>
          <w:lang w:val="en-GB"/>
        </w:rPr>
        <w:t>Hydrology</w:t>
      </w:r>
      <w:r w:rsidR="000F04AB" w:rsidRPr="00F305A4">
        <w:rPr>
          <w:lang w:val="en-GB"/>
        </w:rPr>
        <w:t xml:space="preserve"> </w:t>
      </w:r>
      <w:r w:rsidRPr="00F305A4">
        <w:rPr>
          <w:lang w:val="en-GB"/>
        </w:rPr>
        <w:t>[</w:t>
      </w:r>
      <w:proofErr w:type="spellStart"/>
      <w:r w:rsidRPr="00F305A4">
        <w:rPr>
          <w:i/>
          <w:iCs/>
          <w:lang w:val="en-GB"/>
        </w:rPr>
        <w:t>H</w:t>
      </w:r>
      <w:r w:rsidR="000F04AB" w:rsidRPr="00F305A4">
        <w:rPr>
          <w:i/>
          <w:iCs/>
          <w:lang w:val="en-GB"/>
        </w:rPr>
        <w:t>i</w:t>
      </w:r>
      <w:r w:rsidRPr="00F305A4">
        <w:rPr>
          <w:i/>
          <w:iCs/>
          <w:lang w:val="en-GB"/>
        </w:rPr>
        <w:t>drolog</w:t>
      </w:r>
      <w:r w:rsidR="000F04AB" w:rsidRPr="00F305A4">
        <w:rPr>
          <w:i/>
          <w:iCs/>
          <w:lang w:val="en-GB"/>
        </w:rPr>
        <w:t>ie</w:t>
      </w:r>
      <w:proofErr w:type="spellEnd"/>
      <w:r w:rsidRPr="00F305A4">
        <w:rPr>
          <w:lang w:val="en-GB"/>
        </w:rPr>
        <w:t xml:space="preserve">] (4th ed.). Bucharest, Romania: </w:t>
      </w:r>
      <w:proofErr w:type="spellStart"/>
      <w:r w:rsidRPr="00F305A4">
        <w:rPr>
          <w:lang w:val="en-GB"/>
        </w:rPr>
        <w:t>Editura</w:t>
      </w:r>
      <w:proofErr w:type="spellEnd"/>
      <w:r w:rsidRPr="00F305A4">
        <w:rPr>
          <w:lang w:val="en-GB"/>
        </w:rPr>
        <w:t xml:space="preserve"> </w:t>
      </w:r>
      <w:proofErr w:type="spellStart"/>
      <w:r w:rsidRPr="00F305A4">
        <w:rPr>
          <w:lang w:val="en-GB"/>
        </w:rPr>
        <w:t>Fundației</w:t>
      </w:r>
      <w:proofErr w:type="spellEnd"/>
      <w:r w:rsidRPr="00F305A4">
        <w:rPr>
          <w:lang w:val="en-GB"/>
        </w:rPr>
        <w:t xml:space="preserve"> </w:t>
      </w:r>
      <w:proofErr w:type="spellStart"/>
      <w:r w:rsidRPr="00F305A4">
        <w:rPr>
          <w:lang w:val="en-GB"/>
        </w:rPr>
        <w:t>România</w:t>
      </w:r>
      <w:proofErr w:type="spellEnd"/>
      <w:r w:rsidRPr="00F305A4">
        <w:rPr>
          <w:lang w:val="en-GB"/>
        </w:rPr>
        <w:t xml:space="preserve"> de </w:t>
      </w:r>
      <w:proofErr w:type="spellStart"/>
      <w:r w:rsidRPr="00F305A4">
        <w:rPr>
          <w:lang w:val="en-GB"/>
        </w:rPr>
        <w:t>Mâine</w:t>
      </w:r>
      <w:proofErr w:type="spellEnd"/>
      <w:r w:rsidRPr="00F305A4">
        <w:rPr>
          <w:lang w:val="en-GB"/>
        </w:rPr>
        <w:t>.</w:t>
      </w:r>
    </w:p>
    <w:sectPr w:rsidR="00833FF6" w:rsidRPr="00F305A4" w:rsidSect="00097BD0">
      <w:headerReference w:type="even" r:id="rId38"/>
      <w:headerReference w:type="default" r:id="rId39"/>
      <w:footerReference w:type="first" r:id="rId40"/>
      <w:pgSz w:w="11907" w:h="16840" w:code="9"/>
      <w:pgMar w:top="1134" w:right="1134" w:bottom="1134" w:left="1134" w:header="567" w:footer="567" w:gutter="0"/>
      <w:pgNumType w:start="48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0A103" w14:textId="77777777" w:rsidR="004013B4" w:rsidRPr="000D37EA" w:rsidRDefault="004013B4" w:rsidP="00F94043">
      <w:pPr>
        <w:spacing w:after="0" w:line="240" w:lineRule="auto"/>
      </w:pPr>
      <w:r w:rsidRPr="000D37EA">
        <w:separator/>
      </w:r>
    </w:p>
  </w:endnote>
  <w:endnote w:type="continuationSeparator" w:id="0">
    <w:p w14:paraId="4A2394CA" w14:textId="77777777" w:rsidR="004013B4" w:rsidRPr="000D37EA" w:rsidRDefault="004013B4" w:rsidP="00F94043">
      <w:pPr>
        <w:spacing w:after="0" w:line="240" w:lineRule="auto"/>
      </w:pPr>
      <w:r w:rsidRPr="000D37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BC41AF" w:rsidRPr="000E2187" w14:paraId="155DFF46" w14:textId="77777777" w:rsidTr="00856A3E">
      <w:trPr>
        <w:trHeight w:val="198"/>
      </w:trPr>
      <w:tc>
        <w:tcPr>
          <w:tcW w:w="1384" w:type="dxa"/>
          <w:vAlign w:val="center"/>
        </w:tcPr>
        <w:p w14:paraId="351F8A66" w14:textId="77777777" w:rsidR="00BC41AF" w:rsidRPr="000E2187" w:rsidRDefault="00BC41AF" w:rsidP="00BC41AF">
          <w:pPr>
            <w:spacing w:after="0" w:line="240" w:lineRule="auto"/>
            <w:rPr>
              <w:rFonts w:ascii="Times New Roman" w:hAnsi="Times New Roman" w:cs="Times New Roman"/>
            </w:rPr>
          </w:pPr>
          <w:bookmarkStart w:id="17" w:name="_Hlk104286226"/>
          <w:bookmarkStart w:id="18" w:name="_Hlk104286227"/>
          <w:bookmarkStart w:id="19" w:name="_Hlk154270864"/>
          <w:bookmarkStart w:id="20" w:name="_Hlk154270865"/>
          <w:r w:rsidRPr="000E2187">
            <w:rPr>
              <w:rFonts w:ascii="Times New Roman" w:hAnsi="Times New Roman" w:cs="Times New Roman"/>
            </w:rPr>
            <w:drawing>
              <wp:inline distT="0" distB="0" distL="0" distR="0" wp14:anchorId="50A11EE4" wp14:editId="502B01AB">
                <wp:extent cx="688975" cy="237490"/>
                <wp:effectExtent l="0" t="0" r="0" b="0"/>
                <wp:docPr id="98485305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160D4007" w14:textId="77777777" w:rsidR="00BC41AF" w:rsidRPr="000E2187" w:rsidRDefault="00BC41AF" w:rsidP="00BC41AF">
          <w:pPr>
            <w:suppressAutoHyphens/>
            <w:spacing w:after="0" w:line="240" w:lineRule="auto"/>
            <w:rPr>
              <w:rFonts w:ascii="Times New Roman" w:hAnsi="Times New Roman" w:cs="Times New Roman"/>
              <w:sz w:val="18"/>
              <w:szCs w:val="18"/>
            </w:rPr>
          </w:pPr>
          <w:r w:rsidRPr="000E2187">
            <w:rPr>
              <w:rFonts w:ascii="Times New Roman" w:hAnsi="Times New Roman" w:cs="Times New Roman"/>
              <w:sz w:val="18"/>
              <w:szCs w:val="18"/>
            </w:rPr>
            <w:t>© 2026. Author(s). This work is licensed under a Creative Commons Attribution 4.0 International License (CC BY-SA)</w:t>
          </w:r>
        </w:p>
      </w:tc>
    </w:tr>
    <w:bookmarkEnd w:id="17"/>
    <w:bookmarkEnd w:id="18"/>
    <w:bookmarkEnd w:id="19"/>
    <w:bookmarkEnd w:id="20"/>
  </w:tbl>
  <w:p w14:paraId="5216D2C8" w14:textId="77777777" w:rsidR="00BC41AF" w:rsidRPr="000E2187" w:rsidRDefault="00BC41AF" w:rsidP="00BC41AF">
    <w:pPr>
      <w:pStyle w:val="Stopka"/>
      <w:rPr>
        <w:rFonts w:ascii="Times New Roman" w:hAnsi="Times New Roman" w:cs="Times New Roman"/>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43A96" w14:textId="77777777" w:rsidR="004013B4" w:rsidRPr="000D37EA" w:rsidRDefault="004013B4" w:rsidP="00F94043">
      <w:pPr>
        <w:spacing w:after="0" w:line="240" w:lineRule="auto"/>
      </w:pPr>
      <w:r w:rsidRPr="000D37EA">
        <w:separator/>
      </w:r>
    </w:p>
  </w:footnote>
  <w:footnote w:type="continuationSeparator" w:id="0">
    <w:p w14:paraId="114E70EE" w14:textId="77777777" w:rsidR="004013B4" w:rsidRPr="000D37EA" w:rsidRDefault="004013B4" w:rsidP="00F94043">
      <w:pPr>
        <w:spacing w:after="0" w:line="240" w:lineRule="auto"/>
      </w:pPr>
      <w:r w:rsidRPr="000D37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BC41AF" w:rsidRPr="000E2187" w14:paraId="1F439ECD" w14:textId="77777777" w:rsidTr="00856A3E">
      <w:trPr>
        <w:trHeight w:hRule="exact" w:val="284"/>
      </w:trPr>
      <w:tc>
        <w:tcPr>
          <w:tcW w:w="397" w:type="dxa"/>
          <w:vAlign w:val="center"/>
        </w:tcPr>
        <w:p w14:paraId="2089E83C" w14:textId="77777777" w:rsidR="00BC41AF" w:rsidRPr="000E2187" w:rsidRDefault="00BC41AF" w:rsidP="00BC41AF">
          <w:pPr>
            <w:pStyle w:val="Nagwek"/>
            <w:rPr>
              <w:rFonts w:ascii="Arial" w:hAnsi="Arial" w:cs="Arial"/>
              <w:i/>
              <w:sz w:val="20"/>
              <w:szCs w:val="20"/>
            </w:rPr>
          </w:pPr>
          <w:r w:rsidRPr="000E2187">
            <w:rPr>
              <w:rFonts w:ascii="Arial" w:hAnsi="Arial" w:cs="Arial"/>
              <w:sz w:val="20"/>
              <w:szCs w:val="20"/>
            </w:rPr>
            <w:fldChar w:fldCharType="begin"/>
          </w:r>
          <w:r w:rsidRPr="000E2187">
            <w:rPr>
              <w:rFonts w:ascii="Arial" w:hAnsi="Arial" w:cs="Arial"/>
              <w:sz w:val="20"/>
              <w:szCs w:val="20"/>
            </w:rPr>
            <w:instrText xml:space="preserve"> PAGE   \* MERGEFORMAT </w:instrText>
          </w:r>
          <w:r w:rsidRPr="000E2187">
            <w:rPr>
              <w:rFonts w:ascii="Arial" w:hAnsi="Arial" w:cs="Arial"/>
              <w:sz w:val="20"/>
              <w:szCs w:val="20"/>
            </w:rPr>
            <w:fldChar w:fldCharType="separate"/>
          </w:r>
          <w:r>
            <w:rPr>
              <w:rFonts w:ascii="Arial" w:hAnsi="Arial" w:cs="Arial"/>
              <w:sz w:val="20"/>
              <w:szCs w:val="20"/>
            </w:rPr>
            <w:t>2</w:t>
          </w:r>
          <w:r w:rsidRPr="000E2187">
            <w:rPr>
              <w:rFonts w:ascii="Arial" w:hAnsi="Arial" w:cs="Arial"/>
              <w:sz w:val="20"/>
              <w:szCs w:val="20"/>
            </w:rPr>
            <w:fldChar w:fldCharType="end"/>
          </w:r>
        </w:p>
      </w:tc>
      <w:tc>
        <w:tcPr>
          <w:tcW w:w="9242" w:type="dxa"/>
          <w:vAlign w:val="center"/>
        </w:tcPr>
        <w:p w14:paraId="659EFC58" w14:textId="783FEFD8" w:rsidR="00BC41AF" w:rsidRPr="000E2187" w:rsidRDefault="00BC41AF" w:rsidP="00BC41AF">
          <w:pPr>
            <w:pStyle w:val="Nagwek"/>
            <w:jc w:val="center"/>
            <w:rPr>
              <w:rFonts w:ascii="Arial" w:hAnsi="Arial" w:cs="Arial"/>
              <w:i/>
              <w:sz w:val="20"/>
              <w:szCs w:val="20"/>
            </w:rPr>
          </w:pPr>
          <w:r w:rsidRPr="00BC41AF">
            <w:rPr>
              <w:rFonts w:ascii="Arial" w:hAnsi="Arial" w:cs="Arial"/>
              <w:i/>
              <w:sz w:val="20"/>
              <w:szCs w:val="20"/>
            </w:rPr>
            <w:t>Andreea-Maria Lupșan</w:t>
          </w:r>
          <w:r>
            <w:rPr>
              <w:rFonts w:ascii="Arial" w:hAnsi="Arial" w:cs="Arial"/>
              <w:i/>
              <w:sz w:val="20"/>
              <w:szCs w:val="20"/>
            </w:rPr>
            <w:t xml:space="preserve"> et al.</w:t>
          </w:r>
        </w:p>
      </w:tc>
    </w:tr>
  </w:tbl>
  <w:p w14:paraId="002FE85B" w14:textId="77777777" w:rsidR="00BC41AF" w:rsidRPr="005265A7" w:rsidRDefault="00BC41AF" w:rsidP="00BC41AF">
    <w:pPr>
      <w:pStyle w:val="Nagwek"/>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BC41AF" w:rsidRPr="003337FB" w14:paraId="1DC0067F" w14:textId="77777777" w:rsidTr="00856A3E">
      <w:trPr>
        <w:trHeight w:hRule="exact" w:val="284"/>
        <w:jc w:val="right"/>
      </w:trPr>
      <w:tc>
        <w:tcPr>
          <w:tcW w:w="9243" w:type="dxa"/>
          <w:vAlign w:val="center"/>
        </w:tcPr>
        <w:p w14:paraId="5F11C8EB" w14:textId="10CE456F" w:rsidR="00BC41AF" w:rsidRPr="003337FB" w:rsidRDefault="00B21F0A" w:rsidP="00BC41AF">
          <w:pPr>
            <w:pStyle w:val="Nagwek"/>
            <w:jc w:val="center"/>
            <w:rPr>
              <w:rFonts w:ascii="Arial" w:hAnsi="Arial" w:cs="Arial"/>
              <w:i/>
              <w:sz w:val="20"/>
              <w:szCs w:val="16"/>
              <w:lang w:val="en-GB"/>
            </w:rPr>
          </w:pPr>
          <w:r w:rsidRPr="00B21F0A">
            <w:rPr>
              <w:rFonts w:ascii="Arial" w:hAnsi="Arial" w:cs="Arial"/>
              <w:i/>
              <w:sz w:val="20"/>
              <w:szCs w:val="16"/>
              <w:lang w:val="en-GB"/>
            </w:rPr>
            <w:t>GIS-based Morphodynamic Assessment and Engineering Stabilization</w:t>
          </w:r>
          <w:r>
            <w:rPr>
              <w:rFonts w:ascii="Arial" w:hAnsi="Arial" w:cs="Arial"/>
              <w:i/>
              <w:sz w:val="20"/>
              <w:szCs w:val="16"/>
              <w:lang w:val="en-GB"/>
            </w:rPr>
            <w:t>…</w:t>
          </w:r>
        </w:p>
      </w:tc>
      <w:tc>
        <w:tcPr>
          <w:tcW w:w="397" w:type="dxa"/>
          <w:vAlign w:val="center"/>
        </w:tcPr>
        <w:p w14:paraId="4855C6FF" w14:textId="77777777" w:rsidR="00BC41AF" w:rsidRPr="003337FB" w:rsidRDefault="00BC41AF" w:rsidP="00BC41AF">
          <w:pPr>
            <w:pStyle w:val="Nagwek"/>
            <w:jc w:val="right"/>
            <w:rPr>
              <w:rFonts w:ascii="Arial" w:hAnsi="Arial" w:cs="Arial"/>
              <w:i/>
              <w:sz w:val="20"/>
              <w:szCs w:val="16"/>
            </w:rPr>
          </w:pPr>
          <w:r w:rsidRPr="003337FB">
            <w:rPr>
              <w:rFonts w:ascii="Arial" w:hAnsi="Arial" w:cs="Arial"/>
              <w:sz w:val="20"/>
              <w:szCs w:val="16"/>
            </w:rPr>
            <w:fldChar w:fldCharType="begin"/>
          </w:r>
          <w:r w:rsidRPr="003337FB">
            <w:rPr>
              <w:rFonts w:ascii="Arial" w:hAnsi="Arial" w:cs="Arial"/>
              <w:sz w:val="20"/>
              <w:szCs w:val="16"/>
            </w:rPr>
            <w:instrText xml:space="preserve"> PAGE   \* MERGEFORMAT </w:instrText>
          </w:r>
          <w:r w:rsidRPr="003337FB">
            <w:rPr>
              <w:rFonts w:ascii="Arial" w:hAnsi="Arial" w:cs="Arial"/>
              <w:sz w:val="20"/>
              <w:szCs w:val="16"/>
            </w:rPr>
            <w:fldChar w:fldCharType="separate"/>
          </w:r>
          <w:r>
            <w:rPr>
              <w:rFonts w:ascii="Arial" w:hAnsi="Arial" w:cs="Arial"/>
              <w:sz w:val="20"/>
              <w:szCs w:val="16"/>
            </w:rPr>
            <w:t>3</w:t>
          </w:r>
          <w:r w:rsidRPr="003337FB">
            <w:rPr>
              <w:rFonts w:ascii="Arial" w:hAnsi="Arial" w:cs="Arial"/>
              <w:sz w:val="20"/>
              <w:szCs w:val="16"/>
            </w:rPr>
            <w:fldChar w:fldCharType="end"/>
          </w:r>
        </w:p>
      </w:tc>
    </w:tr>
  </w:tbl>
  <w:p w14:paraId="6AC5F227" w14:textId="77777777" w:rsidR="00BC41AF" w:rsidRPr="003337FB" w:rsidRDefault="00BC41AF" w:rsidP="00BC41AF">
    <w:pPr>
      <w:pStyle w:val="Nagwek"/>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233"/>
        </w:tabs>
        <w:ind w:left="1233"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01433E3"/>
    <w:multiLevelType w:val="multilevel"/>
    <w:tmpl w:val="916C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04C23DC"/>
    <w:multiLevelType w:val="multilevel"/>
    <w:tmpl w:val="F546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5313D2"/>
    <w:multiLevelType w:val="multilevel"/>
    <w:tmpl w:val="4244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1924F4"/>
    <w:multiLevelType w:val="multilevel"/>
    <w:tmpl w:val="D650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5645B5"/>
    <w:multiLevelType w:val="hybridMultilevel"/>
    <w:tmpl w:val="EF8208FA"/>
    <w:lvl w:ilvl="0" w:tplc="277AE2CA">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7C4C45"/>
    <w:multiLevelType w:val="hybridMultilevel"/>
    <w:tmpl w:val="10B0A8E8"/>
    <w:lvl w:ilvl="0" w:tplc="6A06CD42">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B1D5285"/>
    <w:multiLevelType w:val="multilevel"/>
    <w:tmpl w:val="1C32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7A75C9"/>
    <w:multiLevelType w:val="multilevel"/>
    <w:tmpl w:val="DCC6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8" w15:restartNumberingAfterBreak="0">
    <w:nsid w:val="27686C11"/>
    <w:multiLevelType w:val="hybridMultilevel"/>
    <w:tmpl w:val="66B6B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AD45DF"/>
    <w:multiLevelType w:val="hybridMultilevel"/>
    <w:tmpl w:val="8438B612"/>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9F7626"/>
    <w:multiLevelType w:val="hybridMultilevel"/>
    <w:tmpl w:val="291434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7577BC"/>
    <w:multiLevelType w:val="hybridMultilevel"/>
    <w:tmpl w:val="66204320"/>
    <w:lvl w:ilvl="0" w:tplc="847ADE64">
      <w:start w:val="877"/>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3C1356D"/>
    <w:multiLevelType w:val="hybridMultilevel"/>
    <w:tmpl w:val="72E2DF94"/>
    <w:lvl w:ilvl="0" w:tplc="2048BA4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4044263"/>
    <w:multiLevelType w:val="hybridMultilevel"/>
    <w:tmpl w:val="46323C92"/>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4" w15:restartNumberingAfterBreak="0">
    <w:nsid w:val="361F0D4A"/>
    <w:multiLevelType w:val="hybridMultilevel"/>
    <w:tmpl w:val="B7A001DE"/>
    <w:lvl w:ilvl="0" w:tplc="60E0E8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9093E5A"/>
    <w:multiLevelType w:val="hybridMultilevel"/>
    <w:tmpl w:val="7FC41FD4"/>
    <w:lvl w:ilvl="0" w:tplc="827A1B16">
      <w:start w:val="1"/>
      <w:numFmt w:val="lowerLetter"/>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92C106B"/>
    <w:multiLevelType w:val="hybridMultilevel"/>
    <w:tmpl w:val="149ABF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D4B3817"/>
    <w:multiLevelType w:val="multilevel"/>
    <w:tmpl w:val="21A4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E94441"/>
    <w:multiLevelType w:val="hybridMultilevel"/>
    <w:tmpl w:val="320205E6"/>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09796F"/>
    <w:multiLevelType w:val="multilevel"/>
    <w:tmpl w:val="AFE0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B00139"/>
    <w:multiLevelType w:val="multilevel"/>
    <w:tmpl w:val="1B34E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332EE5"/>
    <w:multiLevelType w:val="hybridMultilevel"/>
    <w:tmpl w:val="1CBCB2E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FF795A"/>
    <w:multiLevelType w:val="hybridMultilevel"/>
    <w:tmpl w:val="90C425F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3" w15:restartNumberingAfterBreak="0">
    <w:nsid w:val="5CB842EA"/>
    <w:multiLevelType w:val="multilevel"/>
    <w:tmpl w:val="AFF0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A3550B"/>
    <w:multiLevelType w:val="hybridMultilevel"/>
    <w:tmpl w:val="1D580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842C74"/>
    <w:multiLevelType w:val="multilevel"/>
    <w:tmpl w:val="57EA2B3C"/>
    <w:lvl w:ilvl="0">
      <w:start w:val="1"/>
      <w:numFmt w:val="decimal"/>
      <w:lvlText w:val="%1."/>
      <w:lvlJc w:val="left"/>
      <w:pPr>
        <w:ind w:left="360" w:hanging="360"/>
      </w:pPr>
      <w:rPr>
        <w:rFonts w:hint="default"/>
        <w:b w:val="0"/>
        <w:bCs/>
      </w:rPr>
    </w:lvl>
    <w:lvl w:ilvl="1">
      <w:start w:val="1"/>
      <w:numFmt w:val="decimal"/>
      <w:lvlText w:val="%1.%2."/>
      <w:lvlJc w:val="left"/>
      <w:pPr>
        <w:ind w:left="786"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36" w15:restartNumberingAfterBreak="0">
    <w:nsid w:val="6303259C"/>
    <w:multiLevelType w:val="multilevel"/>
    <w:tmpl w:val="CEAC34AA"/>
    <w:lvl w:ilvl="0">
      <w:start w:val="1"/>
      <w:numFmt w:val="decimal"/>
      <w:lvlText w:val="%1."/>
      <w:lvlJc w:val="left"/>
      <w:pPr>
        <w:ind w:left="360" w:hanging="360"/>
      </w:pPr>
      <w:rPr>
        <w:rFonts w:hint="default"/>
        <w:b w:val="0"/>
        <w:bCs/>
      </w:rPr>
    </w:lvl>
    <w:lvl w:ilvl="1">
      <w:start w:val="1"/>
      <w:numFmt w:val="decimal"/>
      <w:lvlText w:val="%1.%2."/>
      <w:lvlJc w:val="left"/>
      <w:pPr>
        <w:ind w:left="786"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37" w15:restartNumberingAfterBreak="0">
    <w:nsid w:val="64C654A2"/>
    <w:multiLevelType w:val="hybridMultilevel"/>
    <w:tmpl w:val="C1C8CE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7A04179"/>
    <w:multiLevelType w:val="hybridMultilevel"/>
    <w:tmpl w:val="E8CC6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245E55"/>
    <w:multiLevelType w:val="hybridMultilevel"/>
    <w:tmpl w:val="592A2606"/>
    <w:lvl w:ilvl="0" w:tplc="277AE2CA">
      <w:start w:val="1"/>
      <w:numFmt w:val="lowerLetter"/>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0" w15:restartNumberingAfterBreak="0">
    <w:nsid w:val="6C036E18"/>
    <w:multiLevelType w:val="hybridMultilevel"/>
    <w:tmpl w:val="046602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D3A268A"/>
    <w:multiLevelType w:val="hybridMultilevel"/>
    <w:tmpl w:val="0E6E08EC"/>
    <w:lvl w:ilvl="0" w:tplc="BD142F76">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59367B8"/>
    <w:multiLevelType w:val="multilevel"/>
    <w:tmpl w:val="CEAC34AA"/>
    <w:lvl w:ilvl="0">
      <w:start w:val="1"/>
      <w:numFmt w:val="decimal"/>
      <w:lvlText w:val="%1."/>
      <w:lvlJc w:val="left"/>
      <w:pPr>
        <w:ind w:left="360" w:hanging="360"/>
      </w:pPr>
      <w:rPr>
        <w:rFonts w:hint="default"/>
        <w:b w:val="0"/>
        <w:bCs/>
      </w:rPr>
    </w:lvl>
    <w:lvl w:ilvl="1">
      <w:start w:val="1"/>
      <w:numFmt w:val="decimal"/>
      <w:lvlText w:val="%1.%2."/>
      <w:lvlJc w:val="left"/>
      <w:pPr>
        <w:ind w:left="786"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43" w15:restartNumberingAfterBreak="0">
    <w:nsid w:val="79EA4773"/>
    <w:multiLevelType w:val="multilevel"/>
    <w:tmpl w:val="852A2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7915124">
    <w:abstractNumId w:val="8"/>
  </w:num>
  <w:num w:numId="2" w16cid:durableId="1007370038">
    <w:abstractNumId w:val="6"/>
  </w:num>
  <w:num w:numId="3" w16cid:durableId="866791061">
    <w:abstractNumId w:val="5"/>
  </w:num>
  <w:num w:numId="4" w16cid:durableId="1779986295">
    <w:abstractNumId w:val="4"/>
  </w:num>
  <w:num w:numId="5" w16cid:durableId="918830953">
    <w:abstractNumId w:val="7"/>
  </w:num>
  <w:num w:numId="6" w16cid:durableId="2127697778">
    <w:abstractNumId w:val="3"/>
  </w:num>
  <w:num w:numId="7" w16cid:durableId="2079205162">
    <w:abstractNumId w:val="2"/>
  </w:num>
  <w:num w:numId="8" w16cid:durableId="2075657379">
    <w:abstractNumId w:val="1"/>
  </w:num>
  <w:num w:numId="9" w16cid:durableId="641036745">
    <w:abstractNumId w:val="0"/>
  </w:num>
  <w:num w:numId="10" w16cid:durableId="733773193">
    <w:abstractNumId w:val="29"/>
  </w:num>
  <w:num w:numId="11" w16cid:durableId="1283027419">
    <w:abstractNumId w:val="9"/>
  </w:num>
  <w:num w:numId="12" w16cid:durableId="2099448737">
    <w:abstractNumId w:val="20"/>
  </w:num>
  <w:num w:numId="13" w16cid:durableId="1849441411">
    <w:abstractNumId w:val="40"/>
  </w:num>
  <w:num w:numId="14" w16cid:durableId="493689360">
    <w:abstractNumId w:val="31"/>
  </w:num>
  <w:num w:numId="15" w16cid:durableId="1618171235">
    <w:abstractNumId w:val="18"/>
  </w:num>
  <w:num w:numId="16" w16cid:durableId="1515222461">
    <w:abstractNumId w:val="35"/>
  </w:num>
  <w:num w:numId="17" w16cid:durableId="53311406">
    <w:abstractNumId w:val="34"/>
  </w:num>
  <w:num w:numId="18" w16cid:durableId="876043990">
    <w:abstractNumId w:val="24"/>
  </w:num>
  <w:num w:numId="19" w16cid:durableId="1471896841">
    <w:abstractNumId w:val="21"/>
  </w:num>
  <w:num w:numId="20" w16cid:durableId="150220055">
    <w:abstractNumId w:val="37"/>
  </w:num>
  <w:num w:numId="21" w16cid:durableId="1275137019">
    <w:abstractNumId w:val="38"/>
  </w:num>
  <w:num w:numId="22" w16cid:durableId="19752122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519812">
    <w:abstractNumId w:val="27"/>
  </w:num>
  <w:num w:numId="24" w16cid:durableId="1563439988">
    <w:abstractNumId w:val="26"/>
  </w:num>
  <w:num w:numId="25" w16cid:durableId="35009994">
    <w:abstractNumId w:val="14"/>
  </w:num>
  <w:num w:numId="26" w16cid:durableId="683358297">
    <w:abstractNumId w:val="12"/>
  </w:num>
  <w:num w:numId="27" w16cid:durableId="1287079270">
    <w:abstractNumId w:val="10"/>
  </w:num>
  <w:num w:numId="28" w16cid:durableId="1287345823">
    <w:abstractNumId w:val="22"/>
  </w:num>
  <w:num w:numId="29" w16cid:durableId="1592201853">
    <w:abstractNumId w:val="17"/>
  </w:num>
  <w:num w:numId="30" w16cid:durableId="419522911">
    <w:abstractNumId w:val="13"/>
  </w:num>
  <w:num w:numId="31" w16cid:durableId="1724207230">
    <w:abstractNumId w:val="43"/>
  </w:num>
  <w:num w:numId="32" w16cid:durableId="1629777456">
    <w:abstractNumId w:val="39"/>
  </w:num>
  <w:num w:numId="33" w16cid:durableId="1448086323">
    <w:abstractNumId w:val="25"/>
  </w:num>
  <w:num w:numId="34" w16cid:durableId="99497656">
    <w:abstractNumId w:val="33"/>
  </w:num>
  <w:num w:numId="35" w16cid:durableId="1718965302">
    <w:abstractNumId w:val="16"/>
  </w:num>
  <w:num w:numId="36" w16cid:durableId="1003237495">
    <w:abstractNumId w:val="23"/>
  </w:num>
  <w:num w:numId="37" w16cid:durableId="125316056">
    <w:abstractNumId w:val="42"/>
  </w:num>
  <w:num w:numId="38" w16cid:durableId="1021276770">
    <w:abstractNumId w:val="36"/>
  </w:num>
  <w:num w:numId="39" w16cid:durableId="2050109931">
    <w:abstractNumId w:val="28"/>
  </w:num>
  <w:num w:numId="40" w16cid:durableId="1520968149">
    <w:abstractNumId w:val="19"/>
  </w:num>
  <w:num w:numId="41" w16cid:durableId="436487372">
    <w:abstractNumId w:val="30"/>
  </w:num>
  <w:num w:numId="42" w16cid:durableId="1744176271">
    <w:abstractNumId w:val="11"/>
  </w:num>
  <w:num w:numId="43" w16cid:durableId="1331325570">
    <w:abstractNumId w:val="15"/>
  </w:num>
  <w:num w:numId="44" w16cid:durableId="13206097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hideSpellingErrors/>
  <w:hideGrammaticalErrors/>
  <w:proofState w:spelling="clean"/>
  <w:defaultTabStop w:val="720"/>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M3s7A0NLEwMgCxlHSUglOLizPz80AKDGsB8474VSwAAAA="/>
  </w:docVars>
  <w:rsids>
    <w:rsidRoot w:val="00B47730"/>
    <w:rsid w:val="00012D68"/>
    <w:rsid w:val="00023444"/>
    <w:rsid w:val="00024E6A"/>
    <w:rsid w:val="000251D7"/>
    <w:rsid w:val="0002728A"/>
    <w:rsid w:val="00034616"/>
    <w:rsid w:val="00040C93"/>
    <w:rsid w:val="0006063C"/>
    <w:rsid w:val="00064E9E"/>
    <w:rsid w:val="00091381"/>
    <w:rsid w:val="00097BD0"/>
    <w:rsid w:val="000C644D"/>
    <w:rsid w:val="000D37EA"/>
    <w:rsid w:val="000E7B00"/>
    <w:rsid w:val="000F029E"/>
    <w:rsid w:val="000F04AB"/>
    <w:rsid w:val="000F64CE"/>
    <w:rsid w:val="000F64E0"/>
    <w:rsid w:val="001106AF"/>
    <w:rsid w:val="001327BF"/>
    <w:rsid w:val="00142540"/>
    <w:rsid w:val="0015074B"/>
    <w:rsid w:val="00156078"/>
    <w:rsid w:val="001564DD"/>
    <w:rsid w:val="001641FC"/>
    <w:rsid w:val="00164F8B"/>
    <w:rsid w:val="00186608"/>
    <w:rsid w:val="0018720A"/>
    <w:rsid w:val="00192D18"/>
    <w:rsid w:val="001D7860"/>
    <w:rsid w:val="001E0952"/>
    <w:rsid w:val="001E5CA2"/>
    <w:rsid w:val="001F2E61"/>
    <w:rsid w:val="0020489F"/>
    <w:rsid w:val="0021652D"/>
    <w:rsid w:val="00230903"/>
    <w:rsid w:val="00241BB4"/>
    <w:rsid w:val="00265D11"/>
    <w:rsid w:val="00266A4F"/>
    <w:rsid w:val="002676FF"/>
    <w:rsid w:val="0027147C"/>
    <w:rsid w:val="0027333F"/>
    <w:rsid w:val="00280068"/>
    <w:rsid w:val="0029639D"/>
    <w:rsid w:val="002A04C3"/>
    <w:rsid w:val="002B2D6A"/>
    <w:rsid w:val="002B300D"/>
    <w:rsid w:val="002D1EDA"/>
    <w:rsid w:val="002D7862"/>
    <w:rsid w:val="002F1C83"/>
    <w:rsid w:val="00321ACA"/>
    <w:rsid w:val="00326F90"/>
    <w:rsid w:val="00327719"/>
    <w:rsid w:val="00336B11"/>
    <w:rsid w:val="00341C41"/>
    <w:rsid w:val="00352049"/>
    <w:rsid w:val="00357398"/>
    <w:rsid w:val="00371E29"/>
    <w:rsid w:val="00377035"/>
    <w:rsid w:val="0038103C"/>
    <w:rsid w:val="003954AB"/>
    <w:rsid w:val="0039794D"/>
    <w:rsid w:val="003A3C4E"/>
    <w:rsid w:val="003B4868"/>
    <w:rsid w:val="003B4BA8"/>
    <w:rsid w:val="003B788C"/>
    <w:rsid w:val="003C141A"/>
    <w:rsid w:val="003C3D6F"/>
    <w:rsid w:val="003C56C5"/>
    <w:rsid w:val="003D1CD7"/>
    <w:rsid w:val="003D509E"/>
    <w:rsid w:val="003D5930"/>
    <w:rsid w:val="003F1A6C"/>
    <w:rsid w:val="004013B4"/>
    <w:rsid w:val="00432B85"/>
    <w:rsid w:val="004615CE"/>
    <w:rsid w:val="00472C92"/>
    <w:rsid w:val="00477352"/>
    <w:rsid w:val="0049438D"/>
    <w:rsid w:val="004A6606"/>
    <w:rsid w:val="004F0312"/>
    <w:rsid w:val="005047E9"/>
    <w:rsid w:val="005057C2"/>
    <w:rsid w:val="005100B8"/>
    <w:rsid w:val="0052024A"/>
    <w:rsid w:val="00534586"/>
    <w:rsid w:val="00552008"/>
    <w:rsid w:val="005644A9"/>
    <w:rsid w:val="00570430"/>
    <w:rsid w:val="00574170"/>
    <w:rsid w:val="005A0272"/>
    <w:rsid w:val="005B23D9"/>
    <w:rsid w:val="005B6D9B"/>
    <w:rsid w:val="005C01FF"/>
    <w:rsid w:val="005C1410"/>
    <w:rsid w:val="005C1565"/>
    <w:rsid w:val="005C4E70"/>
    <w:rsid w:val="005C626B"/>
    <w:rsid w:val="005C658E"/>
    <w:rsid w:val="005D2E6A"/>
    <w:rsid w:val="005D653E"/>
    <w:rsid w:val="005E3FF1"/>
    <w:rsid w:val="005F17C0"/>
    <w:rsid w:val="00615381"/>
    <w:rsid w:val="006274D7"/>
    <w:rsid w:val="00634947"/>
    <w:rsid w:val="00637E02"/>
    <w:rsid w:val="006401C1"/>
    <w:rsid w:val="00657137"/>
    <w:rsid w:val="00666236"/>
    <w:rsid w:val="0067470A"/>
    <w:rsid w:val="00677F74"/>
    <w:rsid w:val="006C4E0B"/>
    <w:rsid w:val="006D0357"/>
    <w:rsid w:val="006E1BDF"/>
    <w:rsid w:val="006E21E3"/>
    <w:rsid w:val="006F2CDF"/>
    <w:rsid w:val="007040AD"/>
    <w:rsid w:val="00715A9A"/>
    <w:rsid w:val="00735877"/>
    <w:rsid w:val="00766368"/>
    <w:rsid w:val="0077076F"/>
    <w:rsid w:val="00797233"/>
    <w:rsid w:val="007A3382"/>
    <w:rsid w:val="007B7D71"/>
    <w:rsid w:val="007C3C2A"/>
    <w:rsid w:val="007D0BA2"/>
    <w:rsid w:val="007D316F"/>
    <w:rsid w:val="007E1244"/>
    <w:rsid w:val="007E5302"/>
    <w:rsid w:val="007F1AD6"/>
    <w:rsid w:val="00805403"/>
    <w:rsid w:val="0081513B"/>
    <w:rsid w:val="00816C8A"/>
    <w:rsid w:val="008273E8"/>
    <w:rsid w:val="00833FF6"/>
    <w:rsid w:val="00850E62"/>
    <w:rsid w:val="00853AFA"/>
    <w:rsid w:val="00866B1A"/>
    <w:rsid w:val="0087055B"/>
    <w:rsid w:val="008800A0"/>
    <w:rsid w:val="008878E9"/>
    <w:rsid w:val="00895F4F"/>
    <w:rsid w:val="008B2D4B"/>
    <w:rsid w:val="008C1CB6"/>
    <w:rsid w:val="008C2A10"/>
    <w:rsid w:val="008D0248"/>
    <w:rsid w:val="008D67A5"/>
    <w:rsid w:val="008E2A47"/>
    <w:rsid w:val="008E704B"/>
    <w:rsid w:val="008E7841"/>
    <w:rsid w:val="0091007B"/>
    <w:rsid w:val="00923034"/>
    <w:rsid w:val="009248B9"/>
    <w:rsid w:val="00927961"/>
    <w:rsid w:val="00931EEC"/>
    <w:rsid w:val="00955A24"/>
    <w:rsid w:val="0095643F"/>
    <w:rsid w:val="009666EE"/>
    <w:rsid w:val="0097338A"/>
    <w:rsid w:val="00977264"/>
    <w:rsid w:val="009A1723"/>
    <w:rsid w:val="009A3A37"/>
    <w:rsid w:val="009A6D18"/>
    <w:rsid w:val="009B7537"/>
    <w:rsid w:val="009C182B"/>
    <w:rsid w:val="009E058B"/>
    <w:rsid w:val="009E7C61"/>
    <w:rsid w:val="009F20BA"/>
    <w:rsid w:val="00A07E21"/>
    <w:rsid w:val="00A1437C"/>
    <w:rsid w:val="00A42CAC"/>
    <w:rsid w:val="00A473B6"/>
    <w:rsid w:val="00A53D63"/>
    <w:rsid w:val="00A55B19"/>
    <w:rsid w:val="00A621C7"/>
    <w:rsid w:val="00A624D3"/>
    <w:rsid w:val="00A63BC8"/>
    <w:rsid w:val="00A77063"/>
    <w:rsid w:val="00A91CFD"/>
    <w:rsid w:val="00A93950"/>
    <w:rsid w:val="00A93F2C"/>
    <w:rsid w:val="00AA1D8D"/>
    <w:rsid w:val="00AA3A1D"/>
    <w:rsid w:val="00AA57D6"/>
    <w:rsid w:val="00AD338D"/>
    <w:rsid w:val="00AD694A"/>
    <w:rsid w:val="00B159B3"/>
    <w:rsid w:val="00B21F0A"/>
    <w:rsid w:val="00B231C7"/>
    <w:rsid w:val="00B24B0C"/>
    <w:rsid w:val="00B422F0"/>
    <w:rsid w:val="00B46601"/>
    <w:rsid w:val="00B47730"/>
    <w:rsid w:val="00B5613D"/>
    <w:rsid w:val="00B62643"/>
    <w:rsid w:val="00B8619C"/>
    <w:rsid w:val="00B87273"/>
    <w:rsid w:val="00BA0840"/>
    <w:rsid w:val="00BC41AF"/>
    <w:rsid w:val="00BD6F89"/>
    <w:rsid w:val="00BD7760"/>
    <w:rsid w:val="00BE4878"/>
    <w:rsid w:val="00BE5AB1"/>
    <w:rsid w:val="00BE6253"/>
    <w:rsid w:val="00BF4930"/>
    <w:rsid w:val="00BF7972"/>
    <w:rsid w:val="00C15753"/>
    <w:rsid w:val="00C16646"/>
    <w:rsid w:val="00C16B01"/>
    <w:rsid w:val="00C35C0A"/>
    <w:rsid w:val="00C410A7"/>
    <w:rsid w:val="00C41384"/>
    <w:rsid w:val="00C437DC"/>
    <w:rsid w:val="00C43E03"/>
    <w:rsid w:val="00C51C45"/>
    <w:rsid w:val="00C550A1"/>
    <w:rsid w:val="00C565F1"/>
    <w:rsid w:val="00C718A7"/>
    <w:rsid w:val="00C8476C"/>
    <w:rsid w:val="00C8660C"/>
    <w:rsid w:val="00C936B3"/>
    <w:rsid w:val="00CB0664"/>
    <w:rsid w:val="00CB31B1"/>
    <w:rsid w:val="00CC36AC"/>
    <w:rsid w:val="00CE2B49"/>
    <w:rsid w:val="00CE7BAF"/>
    <w:rsid w:val="00CF1791"/>
    <w:rsid w:val="00D10B4D"/>
    <w:rsid w:val="00D15048"/>
    <w:rsid w:val="00D152CF"/>
    <w:rsid w:val="00D22C31"/>
    <w:rsid w:val="00D43B76"/>
    <w:rsid w:val="00D44C6B"/>
    <w:rsid w:val="00D702CF"/>
    <w:rsid w:val="00D90F4F"/>
    <w:rsid w:val="00D94BEA"/>
    <w:rsid w:val="00DC2DEF"/>
    <w:rsid w:val="00DE71E5"/>
    <w:rsid w:val="00DE7BA6"/>
    <w:rsid w:val="00E02BD6"/>
    <w:rsid w:val="00E044A0"/>
    <w:rsid w:val="00E07526"/>
    <w:rsid w:val="00E2275E"/>
    <w:rsid w:val="00E5135E"/>
    <w:rsid w:val="00E53595"/>
    <w:rsid w:val="00E64BB1"/>
    <w:rsid w:val="00E65210"/>
    <w:rsid w:val="00E80A55"/>
    <w:rsid w:val="00E81992"/>
    <w:rsid w:val="00E828BA"/>
    <w:rsid w:val="00EA5B0D"/>
    <w:rsid w:val="00EA6EC0"/>
    <w:rsid w:val="00EA6FA7"/>
    <w:rsid w:val="00EB747F"/>
    <w:rsid w:val="00EC0B65"/>
    <w:rsid w:val="00ED7836"/>
    <w:rsid w:val="00EE0D38"/>
    <w:rsid w:val="00EE10D4"/>
    <w:rsid w:val="00EE2109"/>
    <w:rsid w:val="00EF0F78"/>
    <w:rsid w:val="00EF177C"/>
    <w:rsid w:val="00EF6720"/>
    <w:rsid w:val="00F0021C"/>
    <w:rsid w:val="00F204E2"/>
    <w:rsid w:val="00F305A4"/>
    <w:rsid w:val="00F45AFE"/>
    <w:rsid w:val="00F46823"/>
    <w:rsid w:val="00F8497E"/>
    <w:rsid w:val="00F94043"/>
    <w:rsid w:val="00F97991"/>
    <w:rsid w:val="00FA4503"/>
    <w:rsid w:val="00FC693F"/>
    <w:rsid w:val="00FD13BA"/>
    <w:rsid w:val="00FE163F"/>
    <w:rsid w:val="00FF5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6A362D"/>
  <w15:docId w15:val="{DF953A6E-BFE9-410B-BAD9-13F569A7A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noProof/>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qFormat/>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qFormat/>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link w:val="AkapitzlistZnak"/>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unhideWhenUsed/>
    <w:qFormat/>
    <w:rsid w:val="00FC693F"/>
    <w:pPr>
      <w:outlineLvl w:val="9"/>
    </w:pPr>
  </w:style>
  <w:style w:type="table" w:styleId="Tabela-Siatka">
    <w:name w:val="Table Grid"/>
    <w:basedOn w:val="Standardowy"/>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TML-wstpniesformatowany">
    <w:name w:val="HTML Preformatted"/>
    <w:basedOn w:val="Normalny"/>
    <w:link w:val="HTML-wstpniesformatowanyZnak"/>
    <w:uiPriority w:val="99"/>
    <w:semiHidden/>
    <w:unhideWhenUsed/>
    <w:rsid w:val="00F94043"/>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F94043"/>
    <w:rPr>
      <w:rFonts w:ascii="Consolas" w:hAnsi="Consolas"/>
      <w:sz w:val="20"/>
      <w:szCs w:val="20"/>
    </w:rPr>
  </w:style>
  <w:style w:type="character" w:customStyle="1" w:styleId="Heading15CChar">
    <w:name w:val="Heading 1 5C Char"/>
    <w:basedOn w:val="Nagwek1Znak"/>
    <w:link w:val="Heading15C"/>
    <w:qFormat/>
    <w:rsid w:val="00F94043"/>
    <w:rPr>
      <w:rFonts w:asciiTheme="majorHAnsi" w:eastAsiaTheme="majorEastAsia" w:hAnsiTheme="majorHAnsi" w:cstheme="majorBidi"/>
      <w:b/>
      <w:bCs/>
      <w:color w:val="244061" w:themeColor="accent1" w:themeShade="80"/>
      <w:sz w:val="24"/>
      <w:szCs w:val="28"/>
      <w:lang w:val="fr-FR"/>
    </w:rPr>
  </w:style>
  <w:style w:type="paragraph" w:customStyle="1" w:styleId="Heading15C">
    <w:name w:val="Heading 1 5C"/>
    <w:basedOn w:val="Nagwek1"/>
    <w:link w:val="Heading15CChar"/>
    <w:rsid w:val="00F94043"/>
    <w:pPr>
      <w:suppressAutoHyphens/>
      <w:ind w:left="720"/>
    </w:pPr>
    <w:rPr>
      <w:color w:val="244061" w:themeColor="accent1" w:themeShade="80"/>
      <w:sz w:val="24"/>
      <w:lang w:val="fr-FR"/>
    </w:rPr>
  </w:style>
  <w:style w:type="paragraph" w:styleId="Spistreci1">
    <w:name w:val="toc 1"/>
    <w:basedOn w:val="Normalny"/>
    <w:next w:val="Normalny"/>
    <w:autoRedefine/>
    <w:uiPriority w:val="39"/>
    <w:unhideWhenUsed/>
    <w:rsid w:val="00F94043"/>
    <w:pPr>
      <w:spacing w:after="100"/>
    </w:pPr>
  </w:style>
  <w:style w:type="paragraph" w:styleId="Spistreci2">
    <w:name w:val="toc 2"/>
    <w:basedOn w:val="Normalny"/>
    <w:next w:val="Normalny"/>
    <w:autoRedefine/>
    <w:uiPriority w:val="39"/>
    <w:unhideWhenUsed/>
    <w:rsid w:val="00F94043"/>
    <w:pPr>
      <w:spacing w:after="100"/>
      <w:ind w:left="220"/>
    </w:pPr>
  </w:style>
  <w:style w:type="character" w:styleId="Hipercze">
    <w:name w:val="Hyperlink"/>
    <w:basedOn w:val="Domylnaczcionkaakapitu"/>
    <w:uiPriority w:val="99"/>
    <w:unhideWhenUsed/>
    <w:rsid w:val="00F94043"/>
    <w:rPr>
      <w:color w:val="0000FF" w:themeColor="hyperlink"/>
      <w:u w:val="single"/>
    </w:rPr>
  </w:style>
  <w:style w:type="character" w:customStyle="1" w:styleId="UnresolvedMention1">
    <w:name w:val="Unresolved Mention1"/>
    <w:basedOn w:val="Domylnaczcionkaakapitu"/>
    <w:uiPriority w:val="99"/>
    <w:semiHidden/>
    <w:unhideWhenUsed/>
    <w:rsid w:val="00F94043"/>
    <w:rPr>
      <w:color w:val="605E5C"/>
      <w:shd w:val="clear" w:color="auto" w:fill="E1DFDD"/>
    </w:rPr>
  </w:style>
  <w:style w:type="character" w:customStyle="1" w:styleId="AkapitzlistZnak">
    <w:name w:val="Akapit z listą Znak"/>
    <w:basedOn w:val="Domylnaczcionkaakapitu"/>
    <w:link w:val="Akapitzlist"/>
    <w:uiPriority w:val="34"/>
    <w:qFormat/>
    <w:rsid w:val="00D43B76"/>
  </w:style>
  <w:style w:type="paragraph" w:customStyle="1" w:styleId="Default">
    <w:name w:val="Default"/>
    <w:rsid w:val="000F64CE"/>
    <w:pPr>
      <w:autoSpaceDE w:val="0"/>
      <w:autoSpaceDN w:val="0"/>
      <w:adjustRightInd w:val="0"/>
      <w:spacing w:after="0" w:line="240" w:lineRule="auto"/>
    </w:pPr>
    <w:rPr>
      <w:rFonts w:ascii="Times New Roman" w:hAnsi="Times New Roman" w:cs="Times New Roman"/>
      <w:color w:val="000000"/>
      <w:sz w:val="24"/>
      <w:szCs w:val="24"/>
      <w:lang w:val="en-GB" w:eastAsia="ro-RO"/>
    </w:rPr>
  </w:style>
  <w:style w:type="paragraph" w:styleId="NormalnyWeb">
    <w:name w:val="Normal (Web)"/>
    <w:basedOn w:val="Normalny"/>
    <w:uiPriority w:val="99"/>
    <w:unhideWhenUsed/>
    <w:rsid w:val="00A93F2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1">
    <w:name w:val="Table Grid1"/>
    <w:basedOn w:val="Standardowy"/>
    <w:next w:val="Tabela-Siatka"/>
    <w:uiPriority w:val="39"/>
    <w:rsid w:val="00BE4878"/>
    <w:pPr>
      <w:suppressAutoHyphens/>
      <w:spacing w:after="0" w:line="240" w:lineRule="auto"/>
    </w:pPr>
    <w:rPr>
      <w:rFonts w:ascii="Calibri" w:eastAsia="Calibri" w:hAnsi="Calibri"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rsid w:val="00BE4878"/>
    <w:pPr>
      <w:adjustRightInd w:val="0"/>
      <w:snapToGrid w:val="0"/>
      <w:spacing w:after="0" w:line="280" w:lineRule="atLeast"/>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rsid w:val="0081513B"/>
    <w:pPr>
      <w:adjustRightInd w:val="0"/>
      <w:snapToGrid w:val="0"/>
      <w:spacing w:before="240" w:after="60" w:line="280" w:lineRule="atLeast"/>
      <w:ind w:left="2608"/>
      <w:outlineLvl w:val="0"/>
    </w:pPr>
    <w:rPr>
      <w:rFonts w:ascii="Palatino Linotype" w:eastAsia="Times New Roman" w:hAnsi="Palatino Linotype" w:cs="Times New Roman"/>
      <w:b/>
      <w:snapToGrid w:val="0"/>
      <w:color w:val="000000"/>
      <w:sz w:val="24"/>
      <w:lang w:eastAsia="de-DE" w:bidi="en-US"/>
    </w:rPr>
  </w:style>
  <w:style w:type="character" w:styleId="Nierozpoznanawzmianka">
    <w:name w:val="Unresolved Mention"/>
    <w:basedOn w:val="Domylnaczcionkaakapitu"/>
    <w:uiPriority w:val="99"/>
    <w:semiHidden/>
    <w:unhideWhenUsed/>
    <w:rsid w:val="00B5613D"/>
    <w:rPr>
      <w:color w:val="605E5C"/>
      <w:shd w:val="clear" w:color="auto" w:fill="E1DFDD"/>
    </w:rPr>
  </w:style>
  <w:style w:type="paragraph" w:customStyle="1" w:styleId="Rab1">
    <w:name w:val="R_ab1"/>
    <w:next w:val="Normalny"/>
    <w:autoRedefine/>
    <w:qFormat/>
    <w:rsid w:val="006E1BDF"/>
    <w:pPr>
      <w:suppressAutoHyphens/>
      <w:spacing w:before="120" w:after="0" w:line="240" w:lineRule="auto"/>
      <w:ind w:left="567" w:right="567"/>
      <w:jc w:val="both"/>
    </w:pPr>
    <w:rPr>
      <w:rFonts w:ascii="Times New Roman" w:eastAsia="SimSun" w:hAnsi="Times New Roman" w:cs="Times New Roman"/>
      <w:kern w:val="2"/>
      <w:sz w:val="18"/>
      <w:szCs w:val="20"/>
      <w:lang w:val="en-GB" w:eastAsia="pl-PL"/>
      <w14:ligatures w14:val="standardContextual"/>
    </w:rPr>
  </w:style>
  <w:style w:type="paragraph" w:customStyle="1" w:styleId="Rab2">
    <w:name w:val="R_ab2"/>
    <w:basedOn w:val="Rab1"/>
    <w:next w:val="Normalny"/>
    <w:autoRedefine/>
    <w:qFormat/>
    <w:rsid w:val="006E1BDF"/>
    <w:pPr>
      <w:spacing w:before="60"/>
    </w:pPr>
  </w:style>
  <w:style w:type="paragraph" w:customStyle="1" w:styleId="Rafiliacja">
    <w:name w:val="R_afiliacja"/>
    <w:basedOn w:val="Normalny"/>
    <w:link w:val="RafiliacjaZnak"/>
    <w:qFormat/>
    <w:rsid w:val="006E1BDF"/>
    <w:pPr>
      <w:suppressAutoHyphens/>
      <w:spacing w:after="0" w:line="240" w:lineRule="auto"/>
      <w:jc w:val="center"/>
    </w:pPr>
    <w:rPr>
      <w:rFonts w:ascii="Times New Roman" w:eastAsiaTheme="minorHAnsi" w:hAnsi="Times New Roman" w:cs="Times New Roman"/>
      <w:i/>
      <w:noProof w:val="0"/>
      <w:kern w:val="2"/>
      <w:sz w:val="20"/>
      <w:szCs w:val="28"/>
      <w:lang w:val="pl-PL"/>
      <w14:ligatures w14:val="standardContextual"/>
    </w:rPr>
  </w:style>
  <w:style w:type="character" w:customStyle="1" w:styleId="RafiliacjaZnak">
    <w:name w:val="R_afiliacja Znak"/>
    <w:basedOn w:val="Domylnaczcionkaakapitu"/>
    <w:link w:val="Rafiliacja"/>
    <w:rsid w:val="006E1BDF"/>
    <w:rPr>
      <w:rFonts w:ascii="Times New Roman" w:eastAsiaTheme="minorHAnsi" w:hAnsi="Times New Roman" w:cs="Times New Roman"/>
      <w:i/>
      <w:kern w:val="2"/>
      <w:sz w:val="20"/>
      <w:szCs w:val="28"/>
      <w:lang w:val="pl-PL"/>
      <w14:ligatures w14:val="standardContextual"/>
    </w:rPr>
  </w:style>
  <w:style w:type="paragraph" w:customStyle="1" w:styleId="Rauco">
    <w:name w:val="R_au_co"/>
    <w:basedOn w:val="Rafiliacja"/>
    <w:autoRedefine/>
    <w:qFormat/>
    <w:rsid w:val="00F305A4"/>
    <w:pPr>
      <w:spacing w:before="120"/>
    </w:pPr>
    <w:rPr>
      <w:lang w:val="en-GB"/>
    </w:rPr>
  </w:style>
  <w:style w:type="paragraph" w:customStyle="1" w:styleId="Rn1">
    <w:name w:val="R_n1"/>
    <w:basedOn w:val="Normalny"/>
    <w:link w:val="Rn1Znak"/>
    <w:qFormat/>
    <w:rsid w:val="006E1BDF"/>
    <w:pPr>
      <w:suppressAutoHyphens/>
      <w:spacing w:before="240" w:after="120" w:line="240" w:lineRule="auto"/>
      <w:jc w:val="both"/>
    </w:pPr>
    <w:rPr>
      <w:rFonts w:ascii="Times New Roman" w:eastAsiaTheme="minorHAnsi" w:hAnsi="Times New Roman"/>
      <w:b/>
      <w:noProof w:val="0"/>
      <w:kern w:val="2"/>
      <w:sz w:val="24"/>
      <w:lang w:val="pl-PL"/>
      <w14:ligatures w14:val="standardContextual"/>
    </w:rPr>
  </w:style>
  <w:style w:type="character" w:customStyle="1" w:styleId="Rn1Znak">
    <w:name w:val="R_n1 Znak"/>
    <w:basedOn w:val="Domylnaczcionkaakapitu"/>
    <w:link w:val="Rn1"/>
    <w:rsid w:val="006E1BDF"/>
    <w:rPr>
      <w:rFonts w:ascii="Times New Roman" w:eastAsiaTheme="minorHAnsi" w:hAnsi="Times New Roman"/>
      <w:b/>
      <w:kern w:val="2"/>
      <w:sz w:val="24"/>
      <w:lang w:val="pl-PL"/>
      <w14:ligatures w14:val="standardContextual"/>
    </w:rPr>
  </w:style>
  <w:style w:type="paragraph" w:customStyle="1" w:styleId="Rn2">
    <w:name w:val="R_n2"/>
    <w:basedOn w:val="Rn1"/>
    <w:link w:val="Rn2Znak"/>
    <w:qFormat/>
    <w:rsid w:val="006E1BDF"/>
    <w:pPr>
      <w:spacing w:before="120"/>
      <w:jc w:val="left"/>
    </w:pPr>
    <w:rPr>
      <w:sz w:val="22"/>
    </w:rPr>
  </w:style>
  <w:style w:type="character" w:customStyle="1" w:styleId="Rn2Znak">
    <w:name w:val="R_n2 Znak"/>
    <w:link w:val="Rn2"/>
    <w:rsid w:val="006E1BDF"/>
    <w:rPr>
      <w:rFonts w:ascii="Times New Roman" w:eastAsiaTheme="minorHAnsi" w:hAnsi="Times New Roman"/>
      <w:b/>
      <w:kern w:val="2"/>
      <w:lang w:val="pl-PL"/>
      <w14:ligatures w14:val="standardContextual"/>
    </w:rPr>
  </w:style>
  <w:style w:type="paragraph" w:customStyle="1" w:styleId="Rtytu">
    <w:name w:val="R_tytuł"/>
    <w:basedOn w:val="Rn2"/>
    <w:link w:val="RtytuZnak"/>
    <w:autoRedefine/>
    <w:qFormat/>
    <w:rsid w:val="006E1BDF"/>
    <w:pPr>
      <w:spacing w:before="240" w:after="0"/>
      <w:jc w:val="center"/>
    </w:pPr>
    <w:rPr>
      <w:sz w:val="24"/>
      <w:szCs w:val="28"/>
    </w:rPr>
  </w:style>
  <w:style w:type="character" w:customStyle="1" w:styleId="RtytuZnak">
    <w:name w:val="R_tytuł Znak"/>
    <w:basedOn w:val="Rn2Znak"/>
    <w:link w:val="Rtytu"/>
    <w:rsid w:val="006E1BDF"/>
    <w:rPr>
      <w:rFonts w:ascii="Times New Roman" w:eastAsiaTheme="minorHAnsi" w:hAnsi="Times New Roman"/>
      <w:b/>
      <w:kern w:val="2"/>
      <w:sz w:val="24"/>
      <w:szCs w:val="28"/>
      <w:lang w:val="pl-PL"/>
      <w14:ligatures w14:val="standardContextual"/>
    </w:rPr>
  </w:style>
  <w:style w:type="paragraph" w:customStyle="1" w:styleId="Rautor">
    <w:name w:val="R_autor"/>
    <w:basedOn w:val="Rtytu"/>
    <w:link w:val="RautorZnak"/>
    <w:autoRedefine/>
    <w:qFormat/>
    <w:rsid w:val="006E1BDF"/>
    <w:pPr>
      <w:spacing w:before="120"/>
    </w:pPr>
    <w:rPr>
      <w:rFonts w:eastAsia="Calibri" w:cs="Times New Roman"/>
      <w:b w:val="0"/>
      <w:i/>
    </w:rPr>
  </w:style>
  <w:style w:type="character" w:customStyle="1" w:styleId="RautorZnak">
    <w:name w:val="R_autor Znak"/>
    <w:link w:val="Rautor"/>
    <w:rsid w:val="006E1BDF"/>
    <w:rPr>
      <w:rFonts w:ascii="Times New Roman" w:eastAsia="Calibri" w:hAnsi="Times New Roman" w:cs="Times New Roman"/>
      <w:i/>
      <w:kern w:val="2"/>
      <w:sz w:val="24"/>
      <w:szCs w:val="28"/>
      <w:lang w:val="pl-PL"/>
      <w14:ligatures w14:val="standardContextual"/>
    </w:rPr>
  </w:style>
  <w:style w:type="paragraph" w:customStyle="1" w:styleId="Rlit">
    <w:name w:val="R_lit"/>
    <w:basedOn w:val="Normalny"/>
    <w:link w:val="RlitZnak"/>
    <w:qFormat/>
    <w:rsid w:val="006E1BDF"/>
    <w:pPr>
      <w:spacing w:after="0" w:line="240" w:lineRule="auto"/>
      <w:ind w:left="425" w:hanging="425"/>
      <w:jc w:val="both"/>
    </w:pPr>
    <w:rPr>
      <w:rFonts w:ascii="Times New Roman" w:eastAsia="Times New Roman" w:hAnsi="Times New Roman" w:cs="Times New Roman"/>
      <w:noProof w:val="0"/>
      <w:kern w:val="2"/>
      <w:sz w:val="20"/>
      <w:szCs w:val="20"/>
      <w:lang w:eastAsia="pl-PL"/>
      <w14:ligatures w14:val="standardContextual"/>
    </w:rPr>
  </w:style>
  <w:style w:type="character" w:customStyle="1" w:styleId="RlitZnak">
    <w:name w:val="R_lit Znak"/>
    <w:basedOn w:val="Domylnaczcionkaakapitu"/>
    <w:link w:val="Rlit"/>
    <w:rsid w:val="006E1BDF"/>
    <w:rPr>
      <w:rFonts w:ascii="Times New Roman" w:eastAsia="Times New Roman" w:hAnsi="Times New Roman" w:cs="Times New Roman"/>
      <w:kern w:val="2"/>
      <w:sz w:val="20"/>
      <w:szCs w:val="20"/>
      <w:lang w:eastAsia="pl-PL"/>
      <w14:ligatures w14:val="standardContextual"/>
    </w:rPr>
  </w:style>
  <w:style w:type="paragraph" w:customStyle="1" w:styleId="Rtab">
    <w:name w:val="R_tab"/>
    <w:basedOn w:val="Normalny"/>
    <w:link w:val="RtabZnak"/>
    <w:qFormat/>
    <w:rsid w:val="006E1BDF"/>
    <w:pPr>
      <w:suppressAutoHyphens/>
      <w:spacing w:after="120" w:line="240" w:lineRule="auto"/>
    </w:pPr>
    <w:rPr>
      <w:rFonts w:ascii="Times New Roman" w:eastAsiaTheme="minorHAnsi" w:hAnsi="Times New Roman"/>
      <w:noProof w:val="0"/>
      <w:kern w:val="2"/>
      <w:sz w:val="20"/>
      <w:lang w:val="pl-PL"/>
      <w14:ligatures w14:val="standardContextual"/>
    </w:rPr>
  </w:style>
  <w:style w:type="character" w:customStyle="1" w:styleId="RtabZnak">
    <w:name w:val="R_tab Znak"/>
    <w:basedOn w:val="Domylnaczcionkaakapitu"/>
    <w:link w:val="Rtab"/>
    <w:rsid w:val="006E1BDF"/>
    <w:rPr>
      <w:rFonts w:ascii="Times New Roman" w:eastAsiaTheme="minorHAnsi" w:hAnsi="Times New Roman"/>
      <w:kern w:val="2"/>
      <w:sz w:val="20"/>
      <w:lang w:val="pl-PL"/>
      <w14:ligatures w14:val="standardContextual"/>
    </w:rPr>
  </w:style>
  <w:style w:type="paragraph" w:customStyle="1" w:styleId="Rn3">
    <w:name w:val="R_n3"/>
    <w:basedOn w:val="Rtab"/>
    <w:link w:val="Rn3Znak"/>
    <w:autoRedefine/>
    <w:qFormat/>
    <w:rsid w:val="006E1BDF"/>
    <w:pPr>
      <w:spacing w:before="120"/>
      <w:jc w:val="both"/>
    </w:pPr>
    <w:rPr>
      <w:i/>
    </w:rPr>
  </w:style>
  <w:style w:type="character" w:customStyle="1" w:styleId="Rn3Znak">
    <w:name w:val="R_n3 Znak"/>
    <w:basedOn w:val="RtabZnak"/>
    <w:link w:val="Rn3"/>
    <w:rsid w:val="006E1BDF"/>
    <w:rPr>
      <w:rFonts w:ascii="Times New Roman" w:eastAsiaTheme="minorHAnsi" w:hAnsi="Times New Roman"/>
      <w:i/>
      <w:kern w:val="2"/>
      <w:sz w:val="20"/>
      <w:lang w:val="pl-PL"/>
      <w14:ligatures w14:val="standardContextual"/>
    </w:rPr>
  </w:style>
  <w:style w:type="paragraph" w:customStyle="1" w:styleId="Rrys">
    <w:name w:val="R_rys"/>
    <w:basedOn w:val="Rafiliacja"/>
    <w:link w:val="RrysZnak"/>
    <w:qFormat/>
    <w:rsid w:val="006E1BDF"/>
    <w:pPr>
      <w:spacing w:before="120"/>
      <w:jc w:val="left"/>
    </w:pPr>
    <w:rPr>
      <w:i w:val="0"/>
    </w:rPr>
  </w:style>
  <w:style w:type="character" w:customStyle="1" w:styleId="RrysZnak">
    <w:name w:val="R_rys Znak"/>
    <w:basedOn w:val="RafiliacjaZnak"/>
    <w:link w:val="Rrys"/>
    <w:rsid w:val="006E1BDF"/>
    <w:rPr>
      <w:rFonts w:ascii="Times New Roman" w:eastAsiaTheme="minorHAnsi" w:hAnsi="Times New Roman" w:cs="Times New Roman"/>
      <w:i w:val="0"/>
      <w:kern w:val="2"/>
      <w:sz w:val="20"/>
      <w:szCs w:val="28"/>
      <w:lang w:val="pl-PL"/>
      <w14:ligatures w14:val="standardContextual"/>
    </w:rPr>
  </w:style>
  <w:style w:type="character" w:styleId="Odwoaniedokomentarza">
    <w:name w:val="annotation reference"/>
    <w:basedOn w:val="Domylnaczcionkaakapitu"/>
    <w:uiPriority w:val="99"/>
    <w:semiHidden/>
    <w:unhideWhenUsed/>
    <w:rsid w:val="005C4E70"/>
    <w:rPr>
      <w:sz w:val="16"/>
      <w:szCs w:val="16"/>
    </w:rPr>
  </w:style>
  <w:style w:type="paragraph" w:styleId="Tekstkomentarza">
    <w:name w:val="annotation text"/>
    <w:basedOn w:val="Normalny"/>
    <w:link w:val="TekstkomentarzaZnak"/>
    <w:uiPriority w:val="99"/>
    <w:semiHidden/>
    <w:unhideWhenUsed/>
    <w:rsid w:val="005C4E7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C4E70"/>
    <w:rPr>
      <w:noProof/>
      <w:sz w:val="20"/>
      <w:szCs w:val="20"/>
    </w:rPr>
  </w:style>
  <w:style w:type="paragraph" w:styleId="Tematkomentarza">
    <w:name w:val="annotation subject"/>
    <w:basedOn w:val="Tekstkomentarza"/>
    <w:next w:val="Tekstkomentarza"/>
    <w:link w:val="TematkomentarzaZnak"/>
    <w:uiPriority w:val="99"/>
    <w:semiHidden/>
    <w:unhideWhenUsed/>
    <w:rsid w:val="005C4E70"/>
    <w:rPr>
      <w:b/>
      <w:bCs/>
    </w:rPr>
  </w:style>
  <w:style w:type="character" w:customStyle="1" w:styleId="TematkomentarzaZnak">
    <w:name w:val="Temat komentarza Znak"/>
    <w:basedOn w:val="TekstkomentarzaZnak"/>
    <w:link w:val="Tematkomentarza"/>
    <w:uiPriority w:val="99"/>
    <w:semiHidden/>
    <w:rsid w:val="005C4E70"/>
    <w:rPr>
      <w:b/>
      <w:bCs/>
      <w:noProof/>
      <w:sz w:val="20"/>
      <w:szCs w:val="20"/>
    </w:rPr>
  </w:style>
  <w:style w:type="paragraph" w:styleId="Tekstdymka">
    <w:name w:val="Balloon Text"/>
    <w:basedOn w:val="Normalny"/>
    <w:link w:val="TekstdymkaZnak"/>
    <w:uiPriority w:val="99"/>
    <w:semiHidden/>
    <w:unhideWhenUsed/>
    <w:rsid w:val="005C4E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C4E70"/>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www.google.com/search?q=https://doi.org/10.1201/9781003386889-21"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doi.org/10.1038/s41598-021-85805-2"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doi.org/10.1002/esp.5189"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doi.org/10.1016/j.earscirev.2019.03.007" TargetMode="External"/><Relationship Id="rId37" Type="http://schemas.openxmlformats.org/officeDocument/2006/relationships/hyperlink" Target="https://doi.org/10.1016/j.earscirev.2019.06.002"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doi.org/10.1016/j.geomorph.2014.03.008"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doi.org/10.3390/w12010254" TargetMode="External"/><Relationship Id="rId4" Type="http://schemas.openxmlformats.org/officeDocument/2006/relationships/settings" Target="settings.xml"/><Relationship Id="rId9" Type="http://schemas.openxmlformats.org/officeDocument/2006/relationships/hyperlink" Target="mailto:costinmivu@yahoo.com"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doi.org/10.1007/s11629-023-8124-x" TargetMode="External"/><Relationship Id="rId35" Type="http://schemas.openxmlformats.org/officeDocument/2006/relationships/hyperlink" Target="https://doi.org/10.1016/j.geomorph.2009.02.01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E8444-DF03-4BC7-8A4E-CB2ED5536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17</Pages>
  <Words>6342</Words>
  <Characters>38056</Characters>
  <Application>Microsoft Office Word</Application>
  <DocSecurity>0</DocSecurity>
  <Lines>317</Lines>
  <Paragraphs>88</Paragraphs>
  <ScaleCrop>false</ScaleCrop>
  <HeadingPairs>
    <vt:vector size="8" baseType="variant">
      <vt:variant>
        <vt:lpstr>Tytuł</vt:lpstr>
      </vt:variant>
      <vt:variant>
        <vt:i4>1</vt:i4>
      </vt:variant>
      <vt:variant>
        <vt:lpstr>Title</vt:lpstr>
      </vt:variant>
      <vt:variant>
        <vt:i4>1</vt:i4>
      </vt:variant>
      <vt:variant>
        <vt:lpstr>Titlu</vt:lpstr>
      </vt:variant>
      <vt:variant>
        <vt:i4>1</vt:i4>
      </vt:variant>
      <vt:variant>
        <vt:lpstr>Titluri</vt:lpstr>
      </vt:variant>
      <vt:variant>
        <vt:i4>13</vt:i4>
      </vt:variant>
    </vt:vector>
  </HeadingPairs>
  <TitlesOfParts>
    <vt:vector size="16" baseType="lpstr">
      <vt:lpstr/>
      <vt:lpstr/>
      <vt:lpstr/>
      <vt:lpstr>Introduction</vt:lpstr>
      <vt:lpstr>    1.1. Hypsometric Characteristics</vt:lpstr>
      <vt:lpstr>    1.2. Relief Units</vt:lpstr>
      <vt:lpstr>    1.4. Geology</vt:lpstr>
      <vt:lpstr>    1.5. Soil Types</vt:lpstr>
      <vt:lpstr>    1.6. Landuse</vt:lpstr>
      <vt:lpstr>2. Data and Methods</vt:lpstr>
      <vt:lpstr>3. Results and Discussion</vt:lpstr>
      <vt:lpstr>    3.1. Channel Dynamics of the Bălăneasa River</vt:lpstr>
      <vt:lpstr>    For the year 2025, the parameter values have not changed substantially compared </vt:lpstr>
      <vt:lpstr>    /</vt:lpstr>
      <vt:lpstr>    3.2. Technical-Engineering Solutions for Channel Stabilization and Management</vt:lpstr>
      <vt:lpstr>    3.3. Technical-Engineering Structures</vt:lpstr>
    </vt:vector>
  </TitlesOfParts>
  <Manager/>
  <Company/>
  <LinksUpToDate>false</LinksUpToDate>
  <CharactersWithSpaces>44310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Janusz Dabrowski NA</cp:lastModifiedBy>
  <cp:revision>21</cp:revision>
  <cp:lastPrinted>2026-06-18T12:09:00Z</cp:lastPrinted>
  <dcterms:created xsi:type="dcterms:W3CDTF">2026-06-18T10:20:00Z</dcterms:created>
  <dcterms:modified xsi:type="dcterms:W3CDTF">2026-07-16T06:05:00Z</dcterms:modified>
  <cp:category/>
</cp:coreProperties>
</file>