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B20A34" w:rsidRPr="00B20A34" w14:paraId="41FFEB01" w14:textId="77777777" w:rsidTr="004B7234">
        <w:trPr>
          <w:trHeight w:hRule="exact" w:val="142"/>
        </w:trPr>
        <w:tc>
          <w:tcPr>
            <w:tcW w:w="709" w:type="dxa"/>
            <w:vMerge w:val="restart"/>
            <w:vAlign w:val="center"/>
          </w:tcPr>
          <w:p w14:paraId="1A755C96" w14:textId="77777777" w:rsidR="00B20A34" w:rsidRPr="00B20A34" w:rsidRDefault="00B20A34" w:rsidP="004B7234">
            <w:pPr>
              <w:rPr>
                <w:rFonts w:ascii="Times New Roman" w:hAnsi="Times New Roman" w:cs="Times New Roman"/>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B20A34">
              <w:rPr>
                <w:rFonts w:ascii="Times New Roman" w:hAnsi="Times New Roman" w:cs="Times New Roman"/>
                <w:noProof/>
                <w:lang w:val="en-GB" w:eastAsia="pl-PL"/>
              </w:rPr>
              <w:drawing>
                <wp:anchor distT="0" distB="0" distL="114300" distR="114300" simplePos="0" relativeHeight="251668480" behindDoc="0" locked="0" layoutInCell="1" allowOverlap="1" wp14:anchorId="577E2CCD" wp14:editId="1E89A817">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anchor>
              </w:drawing>
            </w:r>
          </w:p>
        </w:tc>
        <w:tc>
          <w:tcPr>
            <w:tcW w:w="8930" w:type="dxa"/>
            <w:gridSpan w:val="3"/>
            <w:vAlign w:val="center"/>
          </w:tcPr>
          <w:p w14:paraId="236DAFD9" w14:textId="77777777" w:rsidR="00B20A34" w:rsidRPr="00B20A34" w:rsidRDefault="00B20A34" w:rsidP="004B7234">
            <w:pPr>
              <w:jc w:val="center"/>
              <w:rPr>
                <w:rFonts w:ascii="Times New Roman" w:hAnsi="Times New Roman" w:cs="Times New Roman"/>
                <w:lang w:val="en-GB"/>
              </w:rPr>
            </w:pPr>
          </w:p>
        </w:tc>
      </w:tr>
      <w:tr w:rsidR="00B20A34" w:rsidRPr="00B20A34" w14:paraId="303771EA" w14:textId="77777777" w:rsidTr="004B7234">
        <w:trPr>
          <w:trHeight w:hRule="exact" w:val="283"/>
        </w:trPr>
        <w:tc>
          <w:tcPr>
            <w:tcW w:w="709" w:type="dxa"/>
            <w:vMerge/>
          </w:tcPr>
          <w:p w14:paraId="11E750AB" w14:textId="77777777" w:rsidR="00B20A34" w:rsidRPr="00B20A34" w:rsidRDefault="00B20A34" w:rsidP="004B7234">
            <w:pPr>
              <w:jc w:val="center"/>
              <w:rPr>
                <w:rFonts w:ascii="Times New Roman" w:hAnsi="Times New Roman" w:cs="Times New Roman"/>
                <w:lang w:val="en-GB"/>
              </w:rPr>
            </w:pPr>
          </w:p>
        </w:tc>
        <w:tc>
          <w:tcPr>
            <w:tcW w:w="8930" w:type="dxa"/>
            <w:gridSpan w:val="3"/>
            <w:tcBorders>
              <w:bottom w:val="single" w:sz="2" w:space="0" w:color="auto"/>
            </w:tcBorders>
            <w:vAlign w:val="center"/>
          </w:tcPr>
          <w:p w14:paraId="720E78A6" w14:textId="77777777" w:rsidR="00B20A34" w:rsidRPr="00B20A34" w:rsidRDefault="00B20A34" w:rsidP="004B7234">
            <w:pPr>
              <w:jc w:val="center"/>
              <w:rPr>
                <w:rFonts w:ascii="Times New Roman" w:hAnsi="Times New Roman" w:cs="Times New Roman"/>
                <w:lang w:val="en-GB"/>
              </w:rPr>
            </w:pPr>
            <w:proofErr w:type="spellStart"/>
            <w:r w:rsidRPr="00B20A34">
              <w:rPr>
                <w:rFonts w:ascii="Times New Roman" w:hAnsi="Times New Roman" w:cs="Times New Roman"/>
                <w:b/>
                <w:lang w:val="en-GB"/>
              </w:rPr>
              <w:t>Rocznik</w:t>
            </w:r>
            <w:proofErr w:type="spellEnd"/>
            <w:r w:rsidRPr="00B20A34">
              <w:rPr>
                <w:rFonts w:ascii="Times New Roman" w:hAnsi="Times New Roman" w:cs="Times New Roman"/>
                <w:b/>
                <w:lang w:val="en-GB"/>
              </w:rPr>
              <w:t xml:space="preserve"> </w:t>
            </w:r>
            <w:proofErr w:type="spellStart"/>
            <w:r w:rsidRPr="00B20A34">
              <w:rPr>
                <w:rFonts w:ascii="Times New Roman" w:hAnsi="Times New Roman" w:cs="Times New Roman"/>
                <w:b/>
                <w:lang w:val="en-GB"/>
              </w:rPr>
              <w:t>Ochrona</w:t>
            </w:r>
            <w:proofErr w:type="spellEnd"/>
            <w:r w:rsidRPr="00B20A34">
              <w:rPr>
                <w:rFonts w:ascii="Times New Roman" w:hAnsi="Times New Roman" w:cs="Times New Roman"/>
                <w:b/>
                <w:lang w:val="en-GB"/>
              </w:rPr>
              <w:t xml:space="preserve"> </w:t>
            </w:r>
            <w:proofErr w:type="spellStart"/>
            <w:r w:rsidRPr="00B20A34">
              <w:rPr>
                <w:rFonts w:ascii="Times New Roman" w:hAnsi="Times New Roman" w:cs="Times New Roman"/>
                <w:b/>
                <w:lang w:val="en-GB"/>
              </w:rPr>
              <w:t>Środowiska</w:t>
            </w:r>
            <w:proofErr w:type="spellEnd"/>
          </w:p>
        </w:tc>
      </w:tr>
      <w:tr w:rsidR="00B20A34" w:rsidRPr="00B20A34" w14:paraId="4B0BD4F5" w14:textId="77777777" w:rsidTr="004B7234">
        <w:trPr>
          <w:trHeight w:hRule="exact" w:val="283"/>
        </w:trPr>
        <w:tc>
          <w:tcPr>
            <w:tcW w:w="709" w:type="dxa"/>
            <w:vMerge/>
          </w:tcPr>
          <w:p w14:paraId="5A19F05A" w14:textId="77777777" w:rsidR="00B20A34" w:rsidRPr="00B20A34" w:rsidRDefault="00B20A34" w:rsidP="004B7234">
            <w:pPr>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30269E70" w14:textId="77777777" w:rsidR="00B20A34" w:rsidRPr="00B20A34" w:rsidRDefault="00B20A34" w:rsidP="004B7234">
            <w:pPr>
              <w:rPr>
                <w:rFonts w:ascii="Times New Roman" w:hAnsi="Times New Roman" w:cs="Times New Roman"/>
                <w:kern w:val="18"/>
                <w:sz w:val="18"/>
                <w:lang w:val="en-GB"/>
              </w:rPr>
            </w:pPr>
            <w:r w:rsidRPr="00B20A34">
              <w:rPr>
                <w:rFonts w:ascii="Times New Roman" w:hAnsi="Times New Roman" w:cs="Times New Roman"/>
                <w:kern w:val="18"/>
                <w:sz w:val="18"/>
                <w:lang w:val="en-GB"/>
              </w:rPr>
              <w:t>Volume 28</w:t>
            </w:r>
          </w:p>
        </w:tc>
        <w:tc>
          <w:tcPr>
            <w:tcW w:w="6304" w:type="dxa"/>
            <w:tcBorders>
              <w:top w:val="single" w:sz="2" w:space="0" w:color="auto"/>
              <w:bottom w:val="single" w:sz="2" w:space="0" w:color="auto"/>
            </w:tcBorders>
            <w:vAlign w:val="center"/>
          </w:tcPr>
          <w:p w14:paraId="5498FE2F" w14:textId="77777777" w:rsidR="00B20A34" w:rsidRPr="00B20A34" w:rsidRDefault="00B20A34" w:rsidP="004B7234">
            <w:pPr>
              <w:tabs>
                <w:tab w:val="left" w:pos="2973"/>
              </w:tabs>
              <w:rPr>
                <w:rFonts w:ascii="Times New Roman" w:hAnsi="Times New Roman" w:cs="Times New Roman"/>
                <w:kern w:val="18"/>
                <w:sz w:val="18"/>
                <w:lang w:val="en-GB"/>
              </w:rPr>
            </w:pPr>
            <w:r w:rsidRPr="00B20A34">
              <w:rPr>
                <w:rFonts w:ascii="Times New Roman" w:hAnsi="Times New Roman" w:cs="Times New Roman"/>
                <w:kern w:val="18"/>
                <w:sz w:val="18"/>
                <w:lang w:val="en-GB"/>
              </w:rPr>
              <w:t>Year 2026</w:t>
            </w:r>
            <w:r w:rsidRPr="00B20A34">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0C5C4691" w14:textId="0E443A0F" w:rsidR="00B20A34" w:rsidRPr="00B20A34" w:rsidRDefault="00B20A34" w:rsidP="004B7234">
            <w:pPr>
              <w:jc w:val="right"/>
              <w:rPr>
                <w:rFonts w:ascii="Times New Roman" w:hAnsi="Times New Roman" w:cs="Times New Roman"/>
                <w:sz w:val="18"/>
                <w:lang w:val="en-GB"/>
              </w:rPr>
            </w:pPr>
            <w:r w:rsidRPr="00B20A34">
              <w:rPr>
                <w:rFonts w:ascii="Times New Roman" w:hAnsi="Times New Roman" w:cs="Times New Roman"/>
                <w:sz w:val="18"/>
                <w:lang w:val="en-GB"/>
              </w:rPr>
              <w:t xml:space="preserve">pp. </w:t>
            </w:r>
            <w:r w:rsidR="00D50BD6">
              <w:rPr>
                <w:rFonts w:ascii="Times New Roman" w:hAnsi="Times New Roman" w:cs="Times New Roman"/>
                <w:sz w:val="18"/>
                <w:lang w:val="en-GB"/>
              </w:rPr>
              <w:t>437</w:t>
            </w:r>
            <w:r w:rsidRPr="00B20A34">
              <w:rPr>
                <w:rFonts w:ascii="Times New Roman" w:hAnsi="Times New Roman" w:cs="Times New Roman"/>
                <w:sz w:val="18"/>
                <w:lang w:val="en-GB"/>
              </w:rPr>
              <w:t>-</w:t>
            </w:r>
            <w:r w:rsidR="00D50BD6">
              <w:rPr>
                <w:rFonts w:ascii="Times New Roman" w:hAnsi="Times New Roman" w:cs="Times New Roman"/>
                <w:sz w:val="18"/>
                <w:lang w:val="en-GB"/>
              </w:rPr>
              <w:t>449</w:t>
            </w:r>
            <w:r w:rsidRPr="00B20A34">
              <w:rPr>
                <w:rFonts w:ascii="Times New Roman" w:hAnsi="Times New Roman" w:cs="Times New Roman"/>
                <w:sz w:val="18"/>
                <w:lang w:val="en-GB"/>
              </w:rPr>
              <w:t xml:space="preserve"> </w:t>
            </w:r>
          </w:p>
        </w:tc>
      </w:tr>
      <w:tr w:rsidR="00B20A34" w:rsidRPr="00B20A34" w14:paraId="1CEDECE6" w14:textId="77777777" w:rsidTr="004B7234">
        <w:trPr>
          <w:trHeight w:hRule="exact" w:val="283"/>
        </w:trPr>
        <w:tc>
          <w:tcPr>
            <w:tcW w:w="709" w:type="dxa"/>
          </w:tcPr>
          <w:p w14:paraId="1FF5A242" w14:textId="77777777" w:rsidR="00B20A34" w:rsidRPr="00B20A34" w:rsidRDefault="00B20A34" w:rsidP="004B7234">
            <w:pPr>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2D5E7CFE" w14:textId="5D421E60" w:rsidR="00B20A34" w:rsidRPr="00B20A34" w:rsidRDefault="00B20A34" w:rsidP="004B7234">
            <w:pPr>
              <w:tabs>
                <w:tab w:val="right" w:pos="8928"/>
              </w:tabs>
              <w:rPr>
                <w:rFonts w:ascii="Times New Roman" w:hAnsi="Times New Roman" w:cs="Times New Roman"/>
                <w:sz w:val="18"/>
                <w:lang w:val="en-GB"/>
              </w:rPr>
            </w:pPr>
            <w:r w:rsidRPr="00B20A34">
              <w:rPr>
                <w:rFonts w:ascii="Times New Roman" w:hAnsi="Times New Roman" w:cs="Times New Roman"/>
                <w:sz w:val="18"/>
                <w:lang w:val="en-GB"/>
              </w:rPr>
              <w:t>https://doi.org/10.54740/ros.2026.0</w:t>
            </w:r>
            <w:r w:rsidR="00D50BD6">
              <w:rPr>
                <w:rFonts w:ascii="Times New Roman" w:hAnsi="Times New Roman" w:cs="Times New Roman"/>
                <w:sz w:val="18"/>
                <w:lang w:val="en-GB"/>
              </w:rPr>
              <w:t>29</w:t>
            </w:r>
            <w:r w:rsidRPr="00B20A34">
              <w:rPr>
                <w:rFonts w:ascii="Times New Roman" w:hAnsi="Times New Roman" w:cs="Times New Roman"/>
                <w:sz w:val="18"/>
                <w:lang w:val="en-GB"/>
              </w:rPr>
              <w:tab/>
              <w:t>open access</w:t>
            </w:r>
          </w:p>
        </w:tc>
      </w:tr>
      <w:tr w:rsidR="00B20A34" w:rsidRPr="00B20A34" w14:paraId="6F562960" w14:textId="77777777" w:rsidTr="004B7234">
        <w:trPr>
          <w:trHeight w:hRule="exact" w:val="283"/>
        </w:trPr>
        <w:tc>
          <w:tcPr>
            <w:tcW w:w="709" w:type="dxa"/>
          </w:tcPr>
          <w:p w14:paraId="6EA5F81D" w14:textId="77777777" w:rsidR="00B20A34" w:rsidRPr="00B20A34" w:rsidRDefault="00B20A34" w:rsidP="004B7234">
            <w:pPr>
              <w:jc w:val="center"/>
              <w:rPr>
                <w:rFonts w:ascii="Times New Roman" w:hAnsi="Times New Roman" w:cs="Times New Roman"/>
                <w:lang w:val="en-GB"/>
              </w:rPr>
            </w:pPr>
          </w:p>
        </w:tc>
        <w:tc>
          <w:tcPr>
            <w:tcW w:w="8930" w:type="dxa"/>
            <w:gridSpan w:val="3"/>
            <w:tcBorders>
              <w:top w:val="single" w:sz="2" w:space="0" w:color="auto"/>
            </w:tcBorders>
            <w:vAlign w:val="center"/>
          </w:tcPr>
          <w:p w14:paraId="702C5217" w14:textId="4DA9545D" w:rsidR="00B20A34" w:rsidRPr="00B20A34" w:rsidRDefault="00B20A34" w:rsidP="004B7234">
            <w:pPr>
              <w:tabs>
                <w:tab w:val="left" w:pos="3829"/>
                <w:tab w:val="right" w:pos="8928"/>
              </w:tabs>
              <w:rPr>
                <w:rFonts w:ascii="Times New Roman" w:hAnsi="Times New Roman" w:cs="Times New Roman"/>
                <w:sz w:val="18"/>
                <w:lang w:val="en-GB"/>
              </w:rPr>
            </w:pPr>
            <w:r w:rsidRPr="00B20A34">
              <w:rPr>
                <w:rFonts w:ascii="Times New Roman" w:hAnsi="Times New Roman" w:cs="Times New Roman"/>
                <w:sz w:val="18"/>
                <w:lang w:val="en-GB"/>
              </w:rPr>
              <w:t>Received: May 2026</w:t>
            </w:r>
            <w:r w:rsidRPr="00B20A34">
              <w:rPr>
                <w:rFonts w:ascii="Times New Roman" w:hAnsi="Times New Roman" w:cs="Times New Roman"/>
                <w:sz w:val="18"/>
                <w:lang w:val="en-GB"/>
              </w:rPr>
              <w:tab/>
              <w:t>Accepted: June 2026</w:t>
            </w:r>
            <w:r w:rsidRPr="00B20A34">
              <w:rPr>
                <w:rFonts w:ascii="Times New Roman" w:hAnsi="Times New Roman" w:cs="Times New Roman"/>
                <w:sz w:val="18"/>
                <w:lang w:val="en-GB"/>
              </w:rPr>
              <w:tab/>
              <w:t xml:space="preserve">Published: </w:t>
            </w:r>
            <w:r w:rsidR="00D50BD6">
              <w:rPr>
                <w:rFonts w:ascii="Times New Roman" w:hAnsi="Times New Roman" w:cs="Times New Roman"/>
                <w:sz w:val="18"/>
                <w:lang w:val="en-GB"/>
              </w:rPr>
              <w:t>June</w:t>
            </w:r>
            <w:r w:rsidRPr="00B20A34">
              <w:rPr>
                <w:rFonts w:ascii="Times New Roman" w:hAnsi="Times New Roman" w:cs="Times New Roman"/>
                <w:sz w:val="18"/>
                <w:lang w:val="en-GB"/>
              </w:rPr>
              <w:t xml:space="preserve"> 2026</w:t>
            </w:r>
          </w:p>
        </w:tc>
      </w:tr>
    </w:tbl>
    <w:bookmarkEnd w:id="4"/>
    <w:p w14:paraId="5640F169" w14:textId="1C8D8E68" w:rsidR="009462F7" w:rsidRPr="00B20A34" w:rsidRDefault="00BC6A52" w:rsidP="00BC6A52">
      <w:pPr>
        <w:pStyle w:val="Rtytu"/>
        <w:rPr>
          <w:lang w:val="en-GB"/>
        </w:rPr>
      </w:pPr>
      <w:r w:rsidRPr="00B20A34">
        <w:rPr>
          <w:lang w:val="en-GB"/>
        </w:rPr>
        <w:t>Sustainable Smart and Green Housing Investment: Integrating Technology, Energy, Economic and Financial Value</w:t>
      </w:r>
    </w:p>
    <w:p w14:paraId="2CC80D48" w14:textId="767B989E" w:rsidR="009462F7" w:rsidRPr="00B20A34" w:rsidRDefault="00C56864" w:rsidP="00BC6A52">
      <w:pPr>
        <w:pStyle w:val="Rautor"/>
        <w:rPr>
          <w:lang w:val="en-GB"/>
        </w:rPr>
      </w:pPr>
      <w:r w:rsidRPr="00B20A34">
        <w:rPr>
          <w:lang w:val="en-GB"/>
        </w:rPr>
        <w:t>Nurul Mohammad Zayed</w:t>
      </w:r>
      <w:r w:rsidRPr="00B20A34">
        <w:rPr>
          <w:vertAlign w:val="superscript"/>
          <w:lang w:val="en-GB"/>
        </w:rPr>
        <w:t>1</w:t>
      </w:r>
      <w:r w:rsidRPr="00B20A34">
        <w:rPr>
          <w:lang w:val="en-GB"/>
        </w:rPr>
        <w:t>, Meherun Nesa Mitu</w:t>
      </w:r>
      <w:r w:rsidRPr="00B20A34">
        <w:rPr>
          <w:vertAlign w:val="superscript"/>
          <w:lang w:val="en-GB"/>
        </w:rPr>
        <w:t>2</w:t>
      </w:r>
      <w:r w:rsidRPr="00B20A34">
        <w:rPr>
          <w:lang w:val="en-GB"/>
        </w:rPr>
        <w:t>, Vitalii Nitsenko</w:t>
      </w:r>
      <w:r w:rsidRPr="00B20A34">
        <w:rPr>
          <w:vertAlign w:val="superscript"/>
          <w:lang w:val="en-GB"/>
        </w:rPr>
        <w:t>3</w:t>
      </w:r>
      <w:r w:rsidRPr="00B20A34">
        <w:rPr>
          <w:lang w:val="en-GB"/>
        </w:rPr>
        <w:t>, Nataliia Cherkas</w:t>
      </w:r>
      <w:r w:rsidR="00BC6A52" w:rsidRPr="00B20A34">
        <w:rPr>
          <w:vertAlign w:val="superscript"/>
          <w:lang w:val="en-GB"/>
        </w:rPr>
        <w:t>4</w:t>
      </w:r>
      <w:r w:rsidRPr="00B20A34">
        <w:rPr>
          <w:lang w:val="en-GB"/>
        </w:rPr>
        <w:t xml:space="preserve">, </w:t>
      </w:r>
      <w:r w:rsidR="0083080A" w:rsidRPr="00B20A34">
        <w:rPr>
          <w:lang w:val="en-GB"/>
        </w:rPr>
        <w:br/>
      </w:r>
      <w:r w:rsidRPr="00B20A34">
        <w:rPr>
          <w:lang w:val="en-GB"/>
        </w:rPr>
        <w:t>Iryna Kreidych</w:t>
      </w:r>
      <w:r w:rsidR="00BC6A52" w:rsidRPr="00B20A34">
        <w:rPr>
          <w:vertAlign w:val="superscript"/>
          <w:lang w:val="en-GB"/>
        </w:rPr>
        <w:t>5</w:t>
      </w:r>
      <w:r w:rsidRPr="00B20A34">
        <w:rPr>
          <w:lang w:val="en-GB"/>
        </w:rPr>
        <w:t>, Oksana Kazak</w:t>
      </w:r>
      <w:r w:rsidR="00BC6A52" w:rsidRPr="00B20A34">
        <w:rPr>
          <w:vertAlign w:val="superscript"/>
          <w:lang w:val="en-GB"/>
        </w:rPr>
        <w:t>6</w:t>
      </w:r>
      <w:r w:rsidRPr="00B20A34">
        <w:rPr>
          <w:lang w:val="en-GB"/>
        </w:rPr>
        <w:t>, Mariia Plotnikova</w:t>
      </w:r>
      <w:r w:rsidR="00BC6A52" w:rsidRPr="00B20A34">
        <w:rPr>
          <w:vertAlign w:val="superscript"/>
          <w:lang w:val="en-GB"/>
        </w:rPr>
        <w:t>7</w:t>
      </w:r>
      <w:r w:rsidRPr="00B20A34">
        <w:rPr>
          <w:lang w:val="en-GB"/>
        </w:rPr>
        <w:t>, Oleksiy Buluy</w:t>
      </w:r>
      <w:r w:rsidR="00BC6A52" w:rsidRPr="00B20A34">
        <w:rPr>
          <w:vertAlign w:val="superscript"/>
          <w:lang w:val="en-GB"/>
        </w:rPr>
        <w:t>8</w:t>
      </w:r>
    </w:p>
    <w:p w14:paraId="0565540D" w14:textId="1F328D70" w:rsidR="009462F7" w:rsidRPr="00B20A34" w:rsidRDefault="00C56864" w:rsidP="00BC6A52">
      <w:pPr>
        <w:pStyle w:val="Rafiliacja"/>
        <w:rPr>
          <w:lang w:val="en-GB"/>
        </w:rPr>
      </w:pPr>
      <w:r w:rsidRPr="00B20A34">
        <w:rPr>
          <w:vertAlign w:val="superscript"/>
          <w:lang w:val="en-GB"/>
        </w:rPr>
        <w:t>1</w:t>
      </w:r>
      <w:r w:rsidRPr="00B20A34">
        <w:rPr>
          <w:lang w:val="en-GB"/>
        </w:rPr>
        <w:t>Faculty of Business &amp; Communications (FBC)</w:t>
      </w:r>
      <w:r w:rsidR="00BC6A52" w:rsidRPr="00B20A34">
        <w:rPr>
          <w:lang w:val="en-GB"/>
        </w:rPr>
        <w:t xml:space="preserve">, </w:t>
      </w:r>
      <w:r w:rsidRPr="00B20A34">
        <w:rPr>
          <w:lang w:val="en-GB"/>
        </w:rPr>
        <w:t>INTI International University, Nilai, Malaysia</w:t>
      </w:r>
      <w:r w:rsidR="00BC6A52" w:rsidRPr="00B20A34">
        <w:rPr>
          <w:lang w:val="en-GB"/>
        </w:rPr>
        <w:t xml:space="preserve"> </w:t>
      </w:r>
      <w:r w:rsidR="00BC6A52" w:rsidRPr="00B20A34">
        <w:rPr>
          <w:lang w:val="en-GB"/>
        </w:rPr>
        <w:br/>
      </w:r>
      <w:hyperlink r:id="rId9" w:history="1">
        <w:r w:rsidR="009462F7" w:rsidRPr="00B20A34">
          <w:rPr>
            <w:rStyle w:val="Hipercze"/>
            <w:color w:val="auto"/>
            <w:u w:val="none"/>
            <w:lang w:val="en-GB"/>
          </w:rPr>
          <w:t>https://orcid.org/0000-0001-7519-6552</w:t>
        </w:r>
      </w:hyperlink>
    </w:p>
    <w:p w14:paraId="7E057C47" w14:textId="59023928" w:rsidR="009462F7" w:rsidRPr="00B20A34" w:rsidRDefault="00C56864" w:rsidP="00BC6A52">
      <w:pPr>
        <w:pStyle w:val="Rafiliacja"/>
        <w:rPr>
          <w:lang w:val="en-GB"/>
        </w:rPr>
      </w:pPr>
      <w:r w:rsidRPr="00B20A34">
        <w:rPr>
          <w:vertAlign w:val="superscript"/>
          <w:lang w:val="en-GB"/>
        </w:rPr>
        <w:t>2</w:t>
      </w:r>
      <w:r w:rsidRPr="00B20A34">
        <w:rPr>
          <w:lang w:val="en-GB"/>
        </w:rPr>
        <w:t>Department of Business Administration</w:t>
      </w:r>
      <w:r w:rsidR="00BC6A52" w:rsidRPr="00B20A34">
        <w:rPr>
          <w:lang w:val="en-GB"/>
        </w:rPr>
        <w:t xml:space="preserve">, </w:t>
      </w:r>
      <w:r w:rsidRPr="00B20A34">
        <w:rPr>
          <w:lang w:val="en-GB"/>
        </w:rPr>
        <w:t>Daffodil International University, Dhaka, Bangladesh</w:t>
      </w:r>
      <w:r w:rsidR="00BC6A52" w:rsidRPr="00B20A34">
        <w:rPr>
          <w:lang w:val="en-GB"/>
        </w:rPr>
        <w:t xml:space="preserve"> </w:t>
      </w:r>
      <w:r w:rsidR="00BC6A52" w:rsidRPr="00B20A34">
        <w:rPr>
          <w:lang w:val="en-GB"/>
        </w:rPr>
        <w:br/>
      </w:r>
      <w:r w:rsidRPr="00B20A34">
        <w:rPr>
          <w:lang w:val="en-GB"/>
        </w:rPr>
        <w:t>https://orcid.org/0009-0008-0828-3398</w:t>
      </w:r>
    </w:p>
    <w:p w14:paraId="649B0889" w14:textId="120CA739" w:rsidR="009462F7" w:rsidRPr="00B20A34" w:rsidRDefault="00C56864" w:rsidP="00BC6A52">
      <w:pPr>
        <w:pStyle w:val="Rafiliacja"/>
        <w:rPr>
          <w:lang w:val="en-GB"/>
        </w:rPr>
      </w:pPr>
      <w:r w:rsidRPr="00B20A34">
        <w:rPr>
          <w:vertAlign w:val="superscript"/>
          <w:lang w:val="en-GB"/>
        </w:rPr>
        <w:t>3</w:t>
      </w:r>
      <w:r w:rsidRPr="00B20A34">
        <w:rPr>
          <w:lang w:val="en-GB"/>
        </w:rPr>
        <w:t xml:space="preserve">Department of Entrepreneurship and Marketing, Ivano-Frankivsk National Technical Oil </w:t>
      </w:r>
      <w:r w:rsidR="00BC6A52" w:rsidRPr="00B20A34">
        <w:rPr>
          <w:lang w:val="en-GB"/>
        </w:rPr>
        <w:br/>
      </w:r>
      <w:r w:rsidRPr="00B20A34">
        <w:rPr>
          <w:lang w:val="en-GB"/>
        </w:rPr>
        <w:t>and Gas University, Ivano-Frankivsk, Ukraine</w:t>
      </w:r>
      <w:r w:rsidR="00BC6A52" w:rsidRPr="00B20A34">
        <w:rPr>
          <w:lang w:val="en-GB"/>
        </w:rPr>
        <w:t xml:space="preserve">, </w:t>
      </w:r>
      <w:r w:rsidR="00BC6A52" w:rsidRPr="00B20A34">
        <w:rPr>
          <w:lang w:val="en-GB"/>
        </w:rPr>
        <w:br/>
      </w:r>
      <w:r w:rsidRPr="00B20A34">
        <w:rPr>
          <w:lang w:val="en-GB"/>
        </w:rPr>
        <w:t>SCIRE Foundation, Warsaw, Poland</w:t>
      </w:r>
      <w:r w:rsidR="00BC6A52" w:rsidRPr="00B20A34">
        <w:rPr>
          <w:lang w:val="en-GB"/>
        </w:rPr>
        <w:t xml:space="preserve">, </w:t>
      </w:r>
      <w:r w:rsidR="00BC6A52" w:rsidRPr="00B20A34">
        <w:rPr>
          <w:lang w:val="en-GB"/>
        </w:rPr>
        <w:br/>
      </w:r>
      <w:r w:rsidRPr="00B20A34">
        <w:rPr>
          <w:lang w:val="en-GB"/>
        </w:rPr>
        <w:t>INTI International University, Nilai, Malaysia</w:t>
      </w:r>
      <w:r w:rsidR="00BC6A52" w:rsidRPr="00B20A34">
        <w:rPr>
          <w:lang w:val="en-GB"/>
        </w:rPr>
        <w:br/>
      </w:r>
      <w:r w:rsidRPr="00B20A34">
        <w:rPr>
          <w:lang w:val="en-GB"/>
        </w:rPr>
        <w:t>http://orcid.org/0000-0002-2185-0341</w:t>
      </w:r>
    </w:p>
    <w:p w14:paraId="587652DF" w14:textId="078F13DC" w:rsidR="009462F7" w:rsidRPr="00B20A34" w:rsidRDefault="00BC6A52" w:rsidP="00BC6A52">
      <w:pPr>
        <w:pStyle w:val="Rafiliacja"/>
        <w:rPr>
          <w:lang w:val="en-GB"/>
        </w:rPr>
      </w:pPr>
      <w:r w:rsidRPr="00B20A34">
        <w:rPr>
          <w:vertAlign w:val="superscript"/>
          <w:lang w:val="en-GB"/>
        </w:rPr>
        <w:t>4</w:t>
      </w:r>
      <w:r w:rsidR="00C56864" w:rsidRPr="00B20A34">
        <w:rPr>
          <w:lang w:val="en-GB"/>
        </w:rPr>
        <w:t>Frankfurt School of Finance &amp; Management, Frankfurt am Main, Germany</w:t>
      </w:r>
      <w:r w:rsidRPr="00B20A34">
        <w:rPr>
          <w:lang w:val="en-GB"/>
        </w:rPr>
        <w:t xml:space="preserve"> </w:t>
      </w:r>
      <w:r w:rsidRPr="00B20A34">
        <w:rPr>
          <w:lang w:val="en-GB"/>
        </w:rPr>
        <w:br/>
      </w:r>
      <w:r w:rsidR="00C56864" w:rsidRPr="00B20A34">
        <w:rPr>
          <w:lang w:val="en-GB"/>
        </w:rPr>
        <w:t>https://orcid.org/0000-0002-8921-1589</w:t>
      </w:r>
    </w:p>
    <w:p w14:paraId="10EE691E" w14:textId="16F980DE" w:rsidR="009462F7" w:rsidRPr="00B20A34" w:rsidRDefault="00BC6A52" w:rsidP="00BC6A52">
      <w:pPr>
        <w:pStyle w:val="Rafiliacja"/>
        <w:rPr>
          <w:lang w:val="en-GB"/>
        </w:rPr>
      </w:pPr>
      <w:r w:rsidRPr="00B20A34">
        <w:rPr>
          <w:vertAlign w:val="superscript"/>
          <w:lang w:val="en-GB"/>
        </w:rPr>
        <w:t>5</w:t>
      </w:r>
      <w:r w:rsidR="00C56864" w:rsidRPr="00B20A34">
        <w:rPr>
          <w:lang w:val="en-GB"/>
        </w:rPr>
        <w:t>Department of Economics, Finance and Accounting</w:t>
      </w:r>
      <w:r w:rsidRPr="00B20A34">
        <w:rPr>
          <w:lang w:val="en-GB"/>
        </w:rPr>
        <w:t xml:space="preserve">, </w:t>
      </w:r>
      <w:r w:rsidRPr="00B20A34">
        <w:rPr>
          <w:lang w:val="en-GB"/>
        </w:rPr>
        <w:br/>
      </w:r>
      <w:r w:rsidR="00C56864" w:rsidRPr="00B20A34">
        <w:rPr>
          <w:lang w:val="en-GB"/>
        </w:rPr>
        <w:t>Private Higher Education Institution “European University”, Kyiv, Ukraine</w:t>
      </w:r>
      <w:r w:rsidRPr="00B20A34">
        <w:rPr>
          <w:lang w:val="en-GB"/>
        </w:rPr>
        <w:t xml:space="preserve"> </w:t>
      </w:r>
      <w:r w:rsidRPr="00B20A34">
        <w:rPr>
          <w:lang w:val="en-GB"/>
        </w:rPr>
        <w:br/>
      </w:r>
      <w:hyperlink r:id="rId10" w:history="1">
        <w:r w:rsidR="009462F7" w:rsidRPr="00B20A34">
          <w:rPr>
            <w:rStyle w:val="Hipercze"/>
            <w:color w:val="auto"/>
            <w:u w:val="none"/>
            <w:lang w:val="en-GB"/>
          </w:rPr>
          <w:t>https://orcid.org/0000-0002-4594-2160</w:t>
        </w:r>
      </w:hyperlink>
    </w:p>
    <w:p w14:paraId="754FDCA1" w14:textId="7579166F" w:rsidR="00BC6A52" w:rsidRPr="00B20A34" w:rsidRDefault="00BC6A52" w:rsidP="00BC6A52">
      <w:pPr>
        <w:pStyle w:val="Rafiliacja"/>
        <w:rPr>
          <w:lang w:val="en-GB"/>
        </w:rPr>
      </w:pPr>
      <w:r w:rsidRPr="00B20A34">
        <w:rPr>
          <w:vertAlign w:val="superscript"/>
          <w:lang w:val="en-GB"/>
        </w:rPr>
        <w:t>6</w:t>
      </w:r>
      <w:r w:rsidR="00C56864" w:rsidRPr="00B20A34">
        <w:rPr>
          <w:lang w:val="en-GB"/>
        </w:rPr>
        <w:t>Department of Finance</w:t>
      </w:r>
      <w:r w:rsidRPr="00B20A34">
        <w:rPr>
          <w:lang w:val="en-GB"/>
        </w:rPr>
        <w:t xml:space="preserve">, </w:t>
      </w:r>
      <w:r w:rsidR="00C56864" w:rsidRPr="00B20A34">
        <w:rPr>
          <w:lang w:val="en-GB"/>
        </w:rPr>
        <w:t xml:space="preserve">Borys Grinchenko Kyiv Metropolitan University, Kyiv, Ukraine </w:t>
      </w:r>
      <w:r w:rsidRPr="00B20A34">
        <w:rPr>
          <w:lang w:val="en-GB"/>
        </w:rPr>
        <w:br/>
      </w:r>
      <w:r w:rsidR="00C56864" w:rsidRPr="00B20A34">
        <w:rPr>
          <w:lang w:val="en-GB"/>
        </w:rPr>
        <w:t>https://orcid.org/0000-0003-2088-9022</w:t>
      </w:r>
    </w:p>
    <w:p w14:paraId="0E6123EB" w14:textId="675D8C70" w:rsidR="009462F7" w:rsidRPr="00B20A34" w:rsidRDefault="00BC6A52" w:rsidP="00BC6A52">
      <w:pPr>
        <w:pStyle w:val="Rafiliacja"/>
        <w:rPr>
          <w:lang w:val="en-GB"/>
        </w:rPr>
      </w:pPr>
      <w:r w:rsidRPr="00B20A34">
        <w:rPr>
          <w:vertAlign w:val="superscript"/>
          <w:lang w:val="en-GB"/>
        </w:rPr>
        <w:t>7</w:t>
      </w:r>
      <w:r w:rsidR="00C56864" w:rsidRPr="00B20A34">
        <w:rPr>
          <w:lang w:val="en-GB"/>
        </w:rPr>
        <w:t>Department of Economics, Entrepreneurship and Tourism</w:t>
      </w:r>
      <w:r w:rsidRPr="00B20A34">
        <w:rPr>
          <w:lang w:val="en-GB"/>
        </w:rPr>
        <w:t xml:space="preserve">, </w:t>
      </w:r>
      <w:proofErr w:type="spellStart"/>
      <w:r w:rsidR="00C56864" w:rsidRPr="00B20A34">
        <w:rPr>
          <w:lang w:val="en-GB"/>
        </w:rPr>
        <w:t>Polissia</w:t>
      </w:r>
      <w:proofErr w:type="spellEnd"/>
      <w:r w:rsidR="00C56864" w:rsidRPr="00B20A34">
        <w:rPr>
          <w:lang w:val="en-GB"/>
        </w:rPr>
        <w:t xml:space="preserve"> National University, Zhytomyr, Ukraine</w:t>
      </w:r>
      <w:r w:rsidRPr="00B20A34">
        <w:rPr>
          <w:lang w:val="en-GB"/>
        </w:rPr>
        <w:t xml:space="preserve"> </w:t>
      </w:r>
      <w:r w:rsidRPr="00B20A34">
        <w:rPr>
          <w:lang w:val="en-GB"/>
        </w:rPr>
        <w:br/>
      </w:r>
      <w:r w:rsidR="00C56864" w:rsidRPr="00B20A34">
        <w:rPr>
          <w:lang w:val="en-GB"/>
        </w:rPr>
        <w:t>https://orcid.org/0000-0003-2852-3009</w:t>
      </w:r>
    </w:p>
    <w:p w14:paraId="58E01670" w14:textId="62C05523" w:rsidR="009462F7" w:rsidRPr="00B20A34" w:rsidRDefault="00BC6A52" w:rsidP="00BC6A52">
      <w:pPr>
        <w:pStyle w:val="Rafiliacja"/>
        <w:rPr>
          <w:lang w:val="en-GB"/>
        </w:rPr>
      </w:pPr>
      <w:r w:rsidRPr="00B20A34">
        <w:rPr>
          <w:vertAlign w:val="superscript"/>
          <w:lang w:val="en-GB"/>
        </w:rPr>
        <w:t>8</w:t>
      </w:r>
      <w:r w:rsidR="00C56864" w:rsidRPr="00B20A34">
        <w:rPr>
          <w:lang w:val="en-GB"/>
        </w:rPr>
        <w:t>Department of Economics, Entrepreneurship and Tourism</w:t>
      </w:r>
      <w:r w:rsidRPr="00B20A34">
        <w:rPr>
          <w:lang w:val="en-GB"/>
        </w:rPr>
        <w:t xml:space="preserve">, </w:t>
      </w:r>
      <w:proofErr w:type="spellStart"/>
      <w:r w:rsidR="00C56864" w:rsidRPr="00B20A34">
        <w:rPr>
          <w:lang w:val="en-GB"/>
        </w:rPr>
        <w:t>Polissia</w:t>
      </w:r>
      <w:proofErr w:type="spellEnd"/>
      <w:r w:rsidR="00C56864" w:rsidRPr="00B20A34">
        <w:rPr>
          <w:lang w:val="en-GB"/>
        </w:rPr>
        <w:t xml:space="preserve"> National University, Zhytomyr, Ukraine</w:t>
      </w:r>
      <w:r w:rsidRPr="00B20A34">
        <w:rPr>
          <w:lang w:val="en-GB"/>
        </w:rPr>
        <w:t xml:space="preserve"> </w:t>
      </w:r>
      <w:r w:rsidRPr="00B20A34">
        <w:rPr>
          <w:lang w:val="en-GB"/>
        </w:rPr>
        <w:br/>
      </w:r>
      <w:r w:rsidR="00C56864" w:rsidRPr="00B20A34">
        <w:rPr>
          <w:lang w:val="en-GB"/>
        </w:rPr>
        <w:t>https://orcid.org/0000-0003-3368-4835</w:t>
      </w:r>
    </w:p>
    <w:p w14:paraId="7C6B14DC" w14:textId="2FEC0C6B" w:rsidR="009462F7" w:rsidRPr="00B20A34" w:rsidRDefault="00C56864" w:rsidP="00BC6A52">
      <w:pPr>
        <w:pStyle w:val="Rauco"/>
      </w:pPr>
      <w:r w:rsidRPr="00B20A34">
        <w:rPr>
          <w:iCs/>
        </w:rPr>
        <w:t>*</w:t>
      </w:r>
      <w:r w:rsidR="00BC6A52" w:rsidRPr="00B20A34">
        <w:rPr>
          <w:iCs/>
        </w:rPr>
        <w:t>c</w:t>
      </w:r>
      <w:r w:rsidRPr="00B20A34">
        <w:rPr>
          <w:iCs/>
        </w:rPr>
        <w:t>orresponding author</w:t>
      </w:r>
      <w:r w:rsidR="00280F35">
        <w:rPr>
          <w:iCs/>
        </w:rPr>
        <w:t>’</w:t>
      </w:r>
      <w:r w:rsidRPr="00B20A34">
        <w:rPr>
          <w:iCs/>
        </w:rPr>
        <w:t>s e-mail:</w:t>
      </w:r>
      <w:r w:rsidRPr="00B20A34">
        <w:t xml:space="preserve"> </w:t>
      </w:r>
      <w:hyperlink r:id="rId11" w:history="1">
        <w:r w:rsidR="00EC5CE5" w:rsidRPr="00B20A34">
          <w:rPr>
            <w:rStyle w:val="Hipercze"/>
            <w:color w:val="auto"/>
            <w:u w:val="none"/>
          </w:rPr>
          <w:t>vitalii.nitsenko@nung.edu.ua</w:t>
        </w:r>
      </w:hyperlink>
    </w:p>
    <w:p w14:paraId="7604199C" w14:textId="73BFD629" w:rsidR="009462F7" w:rsidRPr="00B20A34" w:rsidRDefault="00C56864" w:rsidP="00BC6A52">
      <w:pPr>
        <w:pStyle w:val="Rab1"/>
      </w:pPr>
      <w:r w:rsidRPr="00B20A34">
        <w:rPr>
          <w:b/>
          <w:bCs/>
        </w:rPr>
        <w:t>Abstract:</w:t>
      </w:r>
      <w:r w:rsidRPr="00B20A34">
        <w:t xml:space="preserve"> The intersection of sustainability demands and digital advancements has led to the rapid emergence of smart-green housing as a paradigm-shifting approach to urban planning and development, contributing directly to UN Sustainable Development Goals for sustainable cities (SDG 11) and clean energy (SDG 7). Nevertheless, the current literature </w:t>
      </w:r>
      <w:r w:rsidR="00280F35">
        <w:t>remains limited in its ability to explain the relationship between technological efficiency and its</w:t>
      </w:r>
      <w:r w:rsidRPr="00B20A34">
        <w:t xml:space="preserve"> financial implications. This paper aims to conduct a comprehensive literature review o</w:t>
      </w:r>
      <w:r w:rsidR="00280F35">
        <w:t>f global trends in smart-green housing investment using the PRISMA 2020 guidelines, identifying</w:t>
      </w:r>
      <w:r w:rsidRPr="00B20A34">
        <w:t xml:space="preserve"> key technological, management, and institutional variables that affect asset performance. </w:t>
      </w:r>
      <w:r w:rsidRPr="00B20A34">
        <w:rPr>
          <w:lang w:bidi="ar"/>
        </w:rPr>
        <w:t>The framework maps how Technological Inputs (</w:t>
      </w:r>
      <m:oMath>
        <m:sSub>
          <m:sSubPr>
            <m:ctrlPr>
              <w:rPr>
                <w:rFonts w:ascii="Cambria Math" w:hAnsi="Cambria Math"/>
                <w:i/>
              </w:rPr>
            </m:ctrlPr>
          </m:sSubPr>
          <m:e>
            <m:r>
              <m:rPr>
                <m:nor/>
              </m:rPr>
              <w:rPr>
                <w:i/>
              </w:rPr>
              <m:t>M</m:t>
            </m:r>
          </m:e>
          <m:sub>
            <m:r>
              <m:rPr>
                <m:nor/>
              </m:rPr>
              <w:rPr>
                <w:i/>
              </w:rPr>
              <m:t>tec</m:t>
            </m:r>
            <m:r>
              <m:rPr>
                <m:nor/>
              </m:rPr>
              <m:t>h</m:t>
            </m:r>
          </m:sub>
        </m:sSub>
      </m:oMath>
      <w:r w:rsidRPr="00B20A34">
        <w:rPr>
          <w:lang w:bidi="ar"/>
        </w:rPr>
        <w:t>) pass through a</w:t>
      </w:r>
      <w:r w:rsidR="00AF5196">
        <w:rPr>
          <w:lang w:bidi="ar"/>
        </w:rPr>
        <w:t> </w:t>
      </w:r>
      <w:r w:rsidRPr="00B20A34">
        <w:rPr>
          <w:lang w:bidi="ar"/>
        </w:rPr>
        <w:t>lifecycle operational channel (</w:t>
      </w:r>
      <m:oMath>
        <m:sSub>
          <m:sSubPr>
            <m:ctrlPr>
              <w:rPr>
                <w:rFonts w:ascii="Cambria Math" w:hAnsi="Cambria Math"/>
                <w:i/>
              </w:rPr>
            </m:ctrlPr>
          </m:sSubPr>
          <m:e>
            <m:r>
              <m:rPr>
                <m:nor/>
              </m:rPr>
              <w:rPr>
                <w:i/>
              </w:rPr>
              <m:t>n</m:t>
            </m:r>
          </m:e>
          <m:sub>
            <m:r>
              <m:rPr>
                <m:nor/>
              </m:rPr>
              <w:rPr>
                <w:i/>
              </w:rPr>
              <m:t>ops</m:t>
            </m:r>
          </m:sub>
        </m:sSub>
      </m:oMath>
      <w:r w:rsidRPr="00B20A34">
        <w:rPr>
          <w:lang w:bidi="ar"/>
        </w:rPr>
        <w:t>), moderated by Institutional Frameworks (</w:t>
      </w:r>
      <m:oMath>
        <m:sSub>
          <m:sSubPr>
            <m:ctrlPr>
              <w:rPr>
                <w:rFonts w:ascii="Cambria Math" w:hAnsi="Cambria Math"/>
                <w:i/>
              </w:rPr>
            </m:ctrlPr>
          </m:sSubPr>
          <m:e>
            <m:r>
              <m:rPr>
                <m:nor/>
              </m:rPr>
              <w:rPr>
                <w:rFonts w:ascii="Cambria Math" w:hAnsi="Cambria Math" w:cs="Cambria Math"/>
              </w:rPr>
              <m:t>∅</m:t>
            </m:r>
          </m:e>
          <m:sub>
            <m:r>
              <m:rPr>
                <m:nor/>
              </m:rPr>
              <w:rPr>
                <w:i/>
              </w:rPr>
              <m:t>inst</m:t>
            </m:r>
          </m:sub>
        </m:sSub>
      </m:oMath>
      <w:r w:rsidRPr="00B20A34">
        <w:rPr>
          <w:lang w:bidi="ar"/>
        </w:rPr>
        <w:t>), to determine Risk-Adjusted Value (</w:t>
      </w:r>
      <m:oMath>
        <m:sSub>
          <m:sSubPr>
            <m:ctrlPr>
              <w:rPr>
                <w:rFonts w:ascii="Cambria Math" w:hAnsi="Cambria Math"/>
                <w:i/>
              </w:rPr>
            </m:ctrlPr>
          </m:sSubPr>
          <m:e>
            <m:r>
              <m:rPr>
                <m:nor/>
              </m:rPr>
              <w:rPr>
                <w:i/>
              </w:rPr>
              <m:t>V</m:t>
            </m:r>
          </m:e>
          <m:sub>
            <m:r>
              <m:rPr>
                <m:nor/>
              </m:rPr>
              <w:rPr>
                <w:i/>
              </w:rPr>
              <m:t>SG</m:t>
            </m:r>
          </m:sub>
        </m:sSub>
      </m:oMath>
      <w:r w:rsidRPr="00B20A34">
        <w:rPr>
          <w:lang w:bidi="ar"/>
        </w:rPr>
        <w:t>) while accounting for value leaks via the 'Performance-Branding Gap'.</w:t>
      </w:r>
      <w:r w:rsidRPr="00B20A34">
        <w:t xml:space="preserve"> The review demonstrates a</w:t>
      </w:r>
      <w:r w:rsidR="00AF5196">
        <w:t> </w:t>
      </w:r>
      <w:r w:rsidRPr="00B20A34">
        <w:t>significant gap between environmental certifications and risk-adjusted financial metrics, also known as the performance-branding divide. To bridge this gap, this study will propose the Smart-Green Asset Valuation (SGAV) model and introduce a new equation for valuing smart-green housing based on technology maturity, adjusted by institutional governance and management effectiveness throughout its life</w:t>
      </w:r>
      <w:r w:rsidR="002C1AAC" w:rsidRPr="00B20A34">
        <w:t xml:space="preserve"> </w:t>
      </w:r>
      <w:r w:rsidRPr="00B20A34">
        <w:t xml:space="preserve">cycle. The article presents </w:t>
      </w:r>
      <w:r w:rsidR="00280F35">
        <w:t>a theoretical understanding of the financial viability of smart-green buildings using the introduced discounted valuation model, providing a data-driven, dynamic approach that facilitates asset value adjustment for property owners, shifting from</w:t>
      </w:r>
      <w:r w:rsidRPr="00B20A34">
        <w:t xml:space="preserve"> mere green marketing to true financial asset valuation.</w:t>
      </w:r>
    </w:p>
    <w:p w14:paraId="16576D69" w14:textId="7D9CDA02" w:rsidR="009462F7" w:rsidRPr="00B20A34" w:rsidRDefault="00C56864" w:rsidP="00BC6A52">
      <w:pPr>
        <w:pStyle w:val="Rab2"/>
      </w:pPr>
      <w:r w:rsidRPr="00B20A34">
        <w:rPr>
          <w:b/>
          <w:bCs/>
        </w:rPr>
        <w:t>Keywords:</w:t>
      </w:r>
      <w:r w:rsidRPr="00B20A34">
        <w:rPr>
          <w:rFonts w:eastAsia="Times New Roman"/>
          <w:lang w:eastAsia="en-US"/>
        </w:rPr>
        <w:t xml:space="preserve"> </w:t>
      </w:r>
      <w:r w:rsidRPr="00B20A34">
        <w:t>Smart-Green Housing, Discounted Valuation, Smart-Green Asset Valuation (SGAV), Technological Maturity, PRISMA 2020 guidelines, SDG 11</w:t>
      </w:r>
    </w:p>
    <w:p w14:paraId="17977BD9" w14:textId="77777777" w:rsidR="009462F7" w:rsidRPr="00B20A34" w:rsidRDefault="00C56864" w:rsidP="00BC6A52">
      <w:pPr>
        <w:pStyle w:val="Rn1"/>
        <w:rPr>
          <w:lang w:val="en-GB"/>
        </w:rPr>
      </w:pPr>
      <w:r w:rsidRPr="00B20A34">
        <w:rPr>
          <w:lang w:val="en-GB"/>
        </w:rPr>
        <w:t>1. Introduction</w:t>
      </w:r>
    </w:p>
    <w:p w14:paraId="2976F5D8" w14:textId="3B8D66B3" w:rsidR="009462F7" w:rsidRPr="00B20A34" w:rsidRDefault="00C56864" w:rsidP="00BC6A52">
      <w:pPr>
        <w:ind w:firstLine="284"/>
        <w:jc w:val="both"/>
        <w:rPr>
          <w:rFonts w:ascii="Times New Roman" w:hAnsi="Times New Roman" w:cs="Times New Roman"/>
          <w:sz w:val="22"/>
          <w:szCs w:val="22"/>
          <w:lang w:val="en-GB"/>
        </w:rPr>
      </w:pPr>
      <w:r w:rsidRPr="00B20A34">
        <w:rPr>
          <w:rFonts w:ascii="Times New Roman" w:eastAsia="SimSun" w:hAnsi="Times New Roman" w:cs="Times New Roman"/>
          <w:sz w:val="22"/>
          <w:szCs w:val="22"/>
          <w:lang w:val="en-GB"/>
        </w:rPr>
        <w:t xml:space="preserve">With escalating environmental pressures </w:t>
      </w:r>
      <w:r w:rsidR="00280F35">
        <w:rPr>
          <w:rFonts w:ascii="Times New Roman" w:eastAsia="SimSun" w:hAnsi="Times New Roman" w:cs="Times New Roman"/>
          <w:sz w:val="22"/>
          <w:szCs w:val="22"/>
          <w:lang w:val="en-GB"/>
        </w:rPr>
        <w:t>from climate change, urbanization, and resource shortages, the development of a sustainable housing system aligned with SDG 11 (Sustainable Cities and Communities) has become increasingly</w:t>
      </w:r>
      <w:r w:rsidRPr="00B20A34">
        <w:rPr>
          <w:rFonts w:ascii="Times New Roman" w:eastAsia="SimSun" w:hAnsi="Times New Roman" w:cs="Times New Roman"/>
          <w:sz w:val="22"/>
          <w:szCs w:val="22"/>
          <w:lang w:val="en-GB"/>
        </w:rPr>
        <w:t xml:space="preserve"> prominent.</w:t>
      </w:r>
      <w:r w:rsidRPr="00B20A34">
        <w:rPr>
          <w:rFonts w:ascii="Times New Roman" w:hAnsi="Times New Roman" w:cs="Times New Roman"/>
          <w:sz w:val="22"/>
          <w:szCs w:val="22"/>
          <w:lang w:val="en-GB"/>
        </w:rPr>
        <w:t xml:space="preserve"> Consequently, the concept of green housing </w:t>
      </w:r>
      <w:r w:rsidR="00280F35">
        <w:rPr>
          <w:rFonts w:ascii="Times New Roman" w:hAnsi="Times New Roman" w:cs="Times New Roman"/>
          <w:sz w:val="22"/>
          <w:szCs w:val="22"/>
          <w:lang w:val="en-GB"/>
        </w:rPr>
        <w:t>emerged and lat</w:t>
      </w:r>
      <w:r w:rsidRPr="00B20A34">
        <w:rPr>
          <w:rFonts w:ascii="Times New Roman" w:hAnsi="Times New Roman" w:cs="Times New Roman"/>
          <w:sz w:val="22"/>
          <w:szCs w:val="22"/>
          <w:lang w:val="en-GB"/>
        </w:rPr>
        <w:t xml:space="preserve">er evolved into smart-green housing in response to emerging challenges. While the earlier concept </w:t>
      </w:r>
      <w:r w:rsidR="00280F35">
        <w:rPr>
          <w:rFonts w:ascii="Times New Roman" w:hAnsi="Times New Roman" w:cs="Times New Roman"/>
          <w:sz w:val="22"/>
          <w:szCs w:val="22"/>
          <w:lang w:val="en-GB"/>
        </w:rPr>
        <w:t>focused on mitigating environmental problems through energy-efficient construction, materials, and operations, the application of digital innovations in building, maintenance, and operations</w:t>
      </w:r>
      <w:r w:rsidRPr="00B20A34">
        <w:rPr>
          <w:rFonts w:ascii="Times New Roman" w:hAnsi="Times New Roman" w:cs="Times New Roman"/>
          <w:sz w:val="22"/>
          <w:szCs w:val="22"/>
          <w:lang w:val="en-GB"/>
        </w:rPr>
        <w:t xml:space="preserve"> has introduced intelligence to the process. </w:t>
      </w:r>
      <w:r w:rsidRPr="00B20A34">
        <w:rPr>
          <w:rFonts w:ascii="Times New Roman" w:eastAsia="SimSun" w:hAnsi="Times New Roman" w:cs="Times New Roman"/>
          <w:sz w:val="22"/>
          <w:szCs w:val="22"/>
          <w:lang w:val="en-GB"/>
        </w:rPr>
        <w:t>Thus, BIM, IoT, and AI technology have enabled residential buildings to be considered sustainable data</w:t>
      </w:r>
      <w:r w:rsidR="00137F69" w:rsidRPr="00B20A34">
        <w:rPr>
          <w:rFonts w:ascii="Times New Roman" w:eastAsia="SimSun" w:hAnsi="Times New Roman" w:cs="Times New Roman"/>
          <w:sz w:val="22"/>
          <w:szCs w:val="22"/>
          <w:lang w:val="en-GB"/>
        </w:rPr>
        <w:t xml:space="preserve"> </w:t>
      </w:r>
      <w:r w:rsidRPr="00B20A34">
        <w:rPr>
          <w:rFonts w:ascii="Times New Roman" w:eastAsia="SimSun" w:hAnsi="Times New Roman" w:cs="Times New Roman"/>
          <w:sz w:val="22"/>
          <w:szCs w:val="22"/>
          <w:lang w:val="en-GB"/>
        </w:rPr>
        <w:t>infrastructure (SDG 9) that can monitor, optimize, and maintain sustainable use of energy and resources over time, supporting energy efficiency optimization targets under SDG 7.</w:t>
      </w:r>
      <w:r w:rsidR="00137F69" w:rsidRPr="00B20A34">
        <w:rPr>
          <w:rFonts w:ascii="Times New Roman" w:eastAsia="SimSun" w:hAnsi="Times New Roman" w:cs="Times New Roman"/>
          <w:sz w:val="22"/>
          <w:szCs w:val="22"/>
          <w:lang w:val="en-GB"/>
        </w:rPr>
        <w:t xml:space="preserve"> </w:t>
      </w:r>
      <w:r w:rsidRPr="00B20A34">
        <w:rPr>
          <w:rFonts w:ascii="Times New Roman" w:hAnsi="Times New Roman" w:cs="Times New Roman"/>
          <w:sz w:val="22"/>
          <w:szCs w:val="22"/>
          <w:lang w:val="en-GB"/>
        </w:rPr>
        <w:t xml:space="preserve">Furthermore, smart-green housing has </w:t>
      </w:r>
      <w:r w:rsidRPr="00B20A34">
        <w:rPr>
          <w:rFonts w:ascii="Times New Roman" w:hAnsi="Times New Roman" w:cs="Times New Roman"/>
          <w:sz w:val="22"/>
          <w:szCs w:val="22"/>
          <w:lang w:val="en-GB"/>
        </w:rPr>
        <w:lastRenderedPageBreak/>
        <w:t xml:space="preserve">been identified as a means to </w:t>
      </w:r>
      <w:r w:rsidR="00280F35">
        <w:rPr>
          <w:rFonts w:ascii="Times New Roman" w:hAnsi="Times New Roman" w:cs="Times New Roman"/>
          <w:sz w:val="22"/>
          <w:szCs w:val="22"/>
          <w:lang w:val="en-GB"/>
        </w:rPr>
        <w:t>generate economic benefits by implementing technological improvements and maximizing operational efficiency</w:t>
      </w:r>
      <w:r w:rsidRPr="00B20A34">
        <w:rPr>
          <w:rFonts w:ascii="Times New Roman" w:hAnsi="Times New Roman" w:cs="Times New Roman"/>
          <w:sz w:val="22"/>
          <w:szCs w:val="22"/>
          <w:lang w:val="en-GB"/>
        </w:rPr>
        <w:t xml:space="preserve">. Despite the rapid proliferation of research in the field, the existing literature lacks coherence and focus, with the body of knowledge fragmented among multiple disciplines, including engineering, environmental studies, real estate finance, urban economics, and information technology. The bulk of current literature addresses technological innovations, certification issues, and investment opportunities </w:t>
      </w:r>
      <w:r w:rsidR="00280F35">
        <w:rPr>
          <w:rFonts w:ascii="Times New Roman" w:hAnsi="Times New Roman" w:cs="Times New Roman"/>
          <w:sz w:val="22"/>
          <w:szCs w:val="22"/>
          <w:lang w:val="en-GB"/>
        </w:rPr>
        <w:t>separately</w:t>
      </w:r>
      <w:r w:rsidRPr="00B20A34">
        <w:rPr>
          <w:rFonts w:ascii="Times New Roman" w:hAnsi="Times New Roman" w:cs="Times New Roman"/>
          <w:sz w:val="22"/>
          <w:szCs w:val="22"/>
          <w:lang w:val="en-GB"/>
        </w:rPr>
        <w:t>. This disjunction has led to a continuing deficiency in explaining the relationship between technological capability and financial performance, especially because there is no conclusive empirical evidence for the “green premium,” which is often subject to context-based considerations such as regulatory frameworks, institutional structures, and efficiency levels. Furthermore, many current methods of valuation are based on static variables like environmental certificates or construction expenses while disregarding the dynamic lifecycle processes of technological maturity, institutional structures, and operational proficiency that collectively determine the financial value of assets</w:t>
      </w:r>
      <w:r w:rsidR="00137F69" w:rsidRPr="00B20A34">
        <w:rPr>
          <w:rFonts w:ascii="Times New Roman" w:hAnsi="Times New Roman" w:cs="Times New Roman"/>
          <w:sz w:val="22"/>
          <w:szCs w:val="22"/>
          <w:lang w:val="en-GB"/>
        </w:rPr>
        <w:t xml:space="preserve"> </w:t>
      </w:r>
      <w:r w:rsidRPr="00B20A34">
        <w:rPr>
          <w:rFonts w:ascii="Times New Roman" w:hAnsi="Times New Roman" w:cs="Times New Roman"/>
          <w:sz w:val="22"/>
          <w:szCs w:val="22"/>
          <w:lang w:val="en-GB"/>
        </w:rPr>
        <w:t xml:space="preserve">(Zayed </w:t>
      </w:r>
      <w:r w:rsidR="009053B3" w:rsidRPr="00B20A34">
        <w:rPr>
          <w:rFonts w:ascii="Times New Roman" w:hAnsi="Times New Roman" w:cs="Times New Roman"/>
          <w:sz w:val="22"/>
          <w:szCs w:val="22"/>
          <w:lang w:val="en-GB"/>
        </w:rPr>
        <w:t>et al</w:t>
      </w:r>
      <w:r w:rsidR="00137F69" w:rsidRPr="00B20A34">
        <w:rPr>
          <w:rFonts w:ascii="Times New Roman" w:hAnsi="Times New Roman" w:cs="Times New Roman"/>
          <w:sz w:val="22"/>
          <w:szCs w:val="22"/>
          <w:lang w:val="en-GB"/>
        </w:rPr>
        <w:t xml:space="preserve">., </w:t>
      </w:r>
      <w:r w:rsidRPr="00B20A34">
        <w:rPr>
          <w:rFonts w:ascii="Times New Roman" w:hAnsi="Times New Roman" w:cs="Times New Roman"/>
          <w:sz w:val="22"/>
          <w:szCs w:val="22"/>
          <w:lang w:val="en-GB"/>
        </w:rPr>
        <w:t xml:space="preserve">2026; </w:t>
      </w:r>
      <w:proofErr w:type="spellStart"/>
      <w:r w:rsidRPr="00B20A34">
        <w:rPr>
          <w:rFonts w:ascii="Times New Roman" w:hAnsi="Times New Roman" w:cs="Times New Roman"/>
          <w:sz w:val="22"/>
          <w:szCs w:val="22"/>
          <w:lang w:val="en-GB"/>
        </w:rPr>
        <w:t>Sadukasovna</w:t>
      </w:r>
      <w:proofErr w:type="spellEnd"/>
      <w:r w:rsidRPr="00B20A34">
        <w:rPr>
          <w:rFonts w:ascii="Times New Roman" w:hAnsi="Times New Roman" w:cs="Times New Roman"/>
          <w:sz w:val="22"/>
          <w:szCs w:val="22"/>
          <w:lang w:val="en-GB"/>
        </w:rPr>
        <w:t xml:space="preserve"> et al.</w:t>
      </w:r>
      <w:r w:rsidR="00137F69" w:rsidRPr="00B20A34">
        <w:rPr>
          <w:rFonts w:ascii="Times New Roman" w:hAnsi="Times New Roman" w:cs="Times New Roman"/>
          <w:sz w:val="22"/>
          <w:szCs w:val="22"/>
          <w:lang w:val="en-GB"/>
        </w:rPr>
        <w:t>,</w:t>
      </w:r>
      <w:r w:rsidRPr="00B20A34">
        <w:rPr>
          <w:rFonts w:ascii="Times New Roman" w:hAnsi="Times New Roman" w:cs="Times New Roman"/>
          <w:sz w:val="22"/>
          <w:szCs w:val="22"/>
          <w:lang w:val="en-GB"/>
        </w:rPr>
        <w:t xml:space="preserve"> 2021; </w:t>
      </w:r>
      <w:proofErr w:type="spellStart"/>
      <w:r w:rsidRPr="00B20A34">
        <w:rPr>
          <w:rStyle w:val="Pogrubienie"/>
          <w:rFonts w:ascii="Times New Roman" w:hAnsi="Times New Roman" w:cs="Times New Roman"/>
          <w:b w:val="0"/>
          <w:bCs w:val="0"/>
          <w:sz w:val="21"/>
          <w:szCs w:val="21"/>
          <w:lang w:val="en-GB"/>
        </w:rPr>
        <w:t>Ebekozien</w:t>
      </w:r>
      <w:proofErr w:type="spellEnd"/>
      <w:r w:rsidRPr="00B20A34">
        <w:rPr>
          <w:rStyle w:val="Pogrubienie"/>
          <w:rFonts w:ascii="Times New Roman" w:hAnsi="Times New Roman" w:cs="Times New Roman"/>
          <w:b w:val="0"/>
          <w:bCs w:val="0"/>
          <w:sz w:val="21"/>
          <w:szCs w:val="21"/>
          <w:lang w:val="en-GB"/>
        </w:rPr>
        <w:t xml:space="preserve"> et al.</w:t>
      </w:r>
      <w:r w:rsidR="00137F69" w:rsidRPr="00B20A34">
        <w:rPr>
          <w:rStyle w:val="Pogrubienie"/>
          <w:rFonts w:ascii="Times New Roman" w:hAnsi="Times New Roman" w:cs="Times New Roman"/>
          <w:b w:val="0"/>
          <w:bCs w:val="0"/>
          <w:sz w:val="21"/>
          <w:szCs w:val="21"/>
          <w:lang w:val="en-GB"/>
        </w:rPr>
        <w:t xml:space="preserve">, </w:t>
      </w:r>
      <w:r w:rsidRPr="00B20A34">
        <w:rPr>
          <w:rStyle w:val="Pogrubienie"/>
          <w:rFonts w:ascii="Times New Roman" w:hAnsi="Times New Roman" w:cs="Times New Roman"/>
          <w:b w:val="0"/>
          <w:bCs w:val="0"/>
          <w:sz w:val="21"/>
          <w:szCs w:val="21"/>
          <w:lang w:val="en-GB"/>
        </w:rPr>
        <w:t>2025; Imran et al.</w:t>
      </w:r>
      <w:r w:rsidR="00137F69" w:rsidRPr="00B20A34">
        <w:rPr>
          <w:rStyle w:val="Pogrubienie"/>
          <w:rFonts w:ascii="Times New Roman" w:hAnsi="Times New Roman" w:cs="Times New Roman"/>
          <w:b w:val="0"/>
          <w:bCs w:val="0"/>
          <w:sz w:val="21"/>
          <w:szCs w:val="21"/>
          <w:lang w:val="en-GB"/>
        </w:rPr>
        <w:t xml:space="preserve">, </w:t>
      </w:r>
      <w:r w:rsidRPr="00B20A34">
        <w:rPr>
          <w:rStyle w:val="Pogrubienie"/>
          <w:rFonts w:ascii="Times New Roman" w:hAnsi="Times New Roman" w:cs="Times New Roman"/>
          <w:b w:val="0"/>
          <w:bCs w:val="0"/>
          <w:sz w:val="21"/>
          <w:szCs w:val="21"/>
          <w:lang w:val="en-GB"/>
        </w:rPr>
        <w:t>2025;</w:t>
      </w:r>
      <w:r w:rsidRPr="00B20A34">
        <w:rPr>
          <w:rStyle w:val="Pogrubienie"/>
          <w:b w:val="0"/>
          <w:bCs w:val="0"/>
          <w:lang w:val="en-GB"/>
        </w:rPr>
        <w:t xml:space="preserve"> </w:t>
      </w:r>
      <w:r w:rsidRPr="00B20A34">
        <w:rPr>
          <w:rFonts w:ascii="Times New Roman" w:hAnsi="Times New Roman" w:cs="Times New Roman"/>
          <w:sz w:val="22"/>
          <w:szCs w:val="22"/>
          <w:lang w:val="en-GB"/>
        </w:rPr>
        <w:t>Bhuiyan et al.</w:t>
      </w:r>
      <w:r w:rsidR="00137F69" w:rsidRPr="00B20A34">
        <w:rPr>
          <w:rFonts w:ascii="Times New Roman" w:hAnsi="Times New Roman" w:cs="Times New Roman"/>
          <w:sz w:val="22"/>
          <w:szCs w:val="22"/>
          <w:lang w:val="en-GB"/>
        </w:rPr>
        <w:t xml:space="preserve">, </w:t>
      </w:r>
      <w:r w:rsidRPr="00B20A34">
        <w:rPr>
          <w:rFonts w:ascii="Times New Roman" w:hAnsi="Times New Roman" w:cs="Times New Roman"/>
          <w:sz w:val="22"/>
          <w:szCs w:val="22"/>
          <w:lang w:val="en-GB"/>
        </w:rPr>
        <w:t xml:space="preserve">2022; </w:t>
      </w:r>
      <w:proofErr w:type="spellStart"/>
      <w:r w:rsidR="007719B5" w:rsidRPr="00B20A34">
        <w:rPr>
          <w:rFonts w:ascii="Times New Roman" w:hAnsi="Times New Roman" w:cs="Times New Roman"/>
          <w:sz w:val="22"/>
          <w:szCs w:val="22"/>
          <w:lang w:val="en-GB"/>
        </w:rPr>
        <w:t>Hmyria</w:t>
      </w:r>
      <w:proofErr w:type="spellEnd"/>
      <w:r w:rsidR="007719B5" w:rsidRPr="00B20A34">
        <w:rPr>
          <w:rFonts w:ascii="Times New Roman" w:hAnsi="Times New Roman" w:cs="Times New Roman"/>
          <w:sz w:val="22"/>
          <w:szCs w:val="22"/>
          <w:lang w:val="en-GB"/>
        </w:rPr>
        <w:t xml:space="preserve"> et al., 2025; </w:t>
      </w:r>
      <w:r w:rsidRPr="00B20A34">
        <w:rPr>
          <w:rFonts w:ascii="Times New Roman" w:hAnsi="Times New Roman" w:cs="Times New Roman"/>
          <w:sz w:val="22"/>
          <w:szCs w:val="22"/>
          <w:lang w:val="en-GB"/>
        </w:rPr>
        <w:t>Eicholtz et al.</w:t>
      </w:r>
      <w:r w:rsidR="00137F69" w:rsidRPr="00B20A34">
        <w:rPr>
          <w:rFonts w:ascii="Times New Roman" w:hAnsi="Times New Roman" w:cs="Times New Roman"/>
          <w:sz w:val="22"/>
          <w:szCs w:val="22"/>
          <w:lang w:val="en-GB"/>
        </w:rPr>
        <w:t>,</w:t>
      </w:r>
      <w:r w:rsidRPr="00B20A34">
        <w:rPr>
          <w:rFonts w:ascii="Times New Roman" w:hAnsi="Times New Roman" w:cs="Times New Roman"/>
          <w:sz w:val="22"/>
          <w:szCs w:val="22"/>
          <w:lang w:val="en-GB"/>
        </w:rPr>
        <w:t xml:space="preserve"> 2010). In this regard, the current study presents a critical synthesis of the literature on the topic </w:t>
      </w:r>
      <w:r w:rsidR="00280F35">
        <w:rPr>
          <w:rFonts w:ascii="Times New Roman" w:hAnsi="Times New Roman" w:cs="Times New Roman"/>
          <w:sz w:val="22"/>
          <w:szCs w:val="22"/>
          <w:lang w:val="en-GB"/>
        </w:rPr>
        <w:t>using the PRISMA 2020 framework. It suggests a comprehensive conceptual framework to elucidate the process by which smart-green technology creates financial value through a transmission mechanism linking technological maturity, the</w:t>
      </w:r>
      <w:r w:rsidRPr="00B20A34">
        <w:rPr>
          <w:rFonts w:ascii="Times New Roman" w:hAnsi="Times New Roman" w:cs="Times New Roman"/>
          <w:sz w:val="22"/>
          <w:szCs w:val="22"/>
          <w:lang w:val="en-GB"/>
        </w:rPr>
        <w:t xml:space="preserve"> institutional framework, and operational efficiency.</w:t>
      </w:r>
    </w:p>
    <w:p w14:paraId="53C23A48" w14:textId="1B16D7F9" w:rsidR="009462F7" w:rsidRPr="00B20A34" w:rsidRDefault="00C56864" w:rsidP="00BC6A52">
      <w:pPr>
        <w:ind w:firstLine="284"/>
        <w:jc w:val="both"/>
        <w:rPr>
          <w:rFonts w:ascii="Times New Roman" w:hAnsi="Times New Roman" w:cs="Times New Roman"/>
          <w:sz w:val="22"/>
          <w:szCs w:val="22"/>
          <w:lang w:val="en-GB"/>
        </w:rPr>
      </w:pPr>
      <w:r w:rsidRPr="00B20A34">
        <w:rPr>
          <w:rFonts w:ascii="Times New Roman" w:hAnsi="Times New Roman" w:cs="Times New Roman"/>
          <w:sz w:val="22"/>
          <w:szCs w:val="22"/>
          <w:lang w:val="en-GB"/>
        </w:rPr>
        <w:t xml:space="preserve">In extending the discussion along these lines, the research proposes a Smart-Green Asset Valuation (SGAV) formula which conceptualizes the value of smart-green housing as a dynamic process that depends on technological maturity and is influenced by institutional governance and efficient operation. The contribution of the paper lies in its effort to integrate all these factors into </w:t>
      </w:r>
      <w:r w:rsidR="00280F35">
        <w:rPr>
          <w:rFonts w:ascii="Times New Roman" w:hAnsi="Times New Roman" w:cs="Times New Roman"/>
          <w:sz w:val="22"/>
          <w:szCs w:val="22"/>
          <w:lang w:val="en-GB"/>
        </w:rPr>
        <w:t>a single framework, enabling a holistic approach to the topic</w:t>
      </w:r>
      <w:r w:rsidRPr="00B20A34">
        <w:rPr>
          <w:rFonts w:ascii="Times New Roman" w:hAnsi="Times New Roman" w:cs="Times New Roman"/>
          <w:sz w:val="22"/>
          <w:szCs w:val="22"/>
          <w:lang w:val="en-GB"/>
        </w:rPr>
        <w:t xml:space="preserve"> in the future. The study makes an important contribution to the literature </w:t>
      </w:r>
      <w:r w:rsidR="00280F35">
        <w:rPr>
          <w:rFonts w:ascii="Times New Roman" w:hAnsi="Times New Roman" w:cs="Times New Roman"/>
          <w:sz w:val="22"/>
          <w:szCs w:val="22"/>
          <w:lang w:val="en-GB"/>
        </w:rPr>
        <w:t>by moving from fragmented sustainability and technology assessment to a new paradigm in which smart-green housing is</w:t>
      </w:r>
      <w:r w:rsidRPr="00B20A34">
        <w:rPr>
          <w:rFonts w:ascii="Times New Roman" w:hAnsi="Times New Roman" w:cs="Times New Roman"/>
          <w:sz w:val="22"/>
          <w:szCs w:val="22"/>
          <w:lang w:val="en-GB"/>
        </w:rPr>
        <w:t xml:space="preserve"> treated as a legitimate financial asset with data-driven value and economic viability.</w:t>
      </w:r>
    </w:p>
    <w:p w14:paraId="5D42BBB0" w14:textId="77777777" w:rsidR="009462F7" w:rsidRPr="00B20A34" w:rsidRDefault="00C56864" w:rsidP="00BC6A52">
      <w:pPr>
        <w:pStyle w:val="Rn1"/>
        <w:rPr>
          <w:lang w:val="en-GB"/>
        </w:rPr>
      </w:pPr>
      <w:r w:rsidRPr="00B20A34">
        <w:rPr>
          <w:lang w:val="en-GB"/>
        </w:rPr>
        <w:t>2. Literature Review</w:t>
      </w:r>
    </w:p>
    <w:p w14:paraId="64273F7A" w14:textId="56681E68"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Modern urban development processes need to combine digital technological progress with environmental conservation needs</w:t>
      </w:r>
      <w:r w:rsidR="008A751F" w:rsidRPr="00B20A34">
        <w:rPr>
          <w:rFonts w:ascii="Times New Roman" w:eastAsia="Helvetica" w:hAnsi="Times New Roman" w:cs="Times New Roman"/>
          <w:sz w:val="22"/>
          <w:szCs w:val="22"/>
          <w:shd w:val="clear" w:color="auto" w:fill="FFFFFF"/>
          <w:lang w:val="en-GB"/>
        </w:rPr>
        <w:t xml:space="preserve"> (</w:t>
      </w:r>
      <w:proofErr w:type="spellStart"/>
      <w:r w:rsidR="008A751F" w:rsidRPr="00B20A34">
        <w:rPr>
          <w:rFonts w:ascii="Times New Roman" w:eastAsia="Helvetica" w:hAnsi="Times New Roman" w:cs="Times New Roman"/>
          <w:sz w:val="22"/>
          <w:szCs w:val="22"/>
          <w:shd w:val="clear" w:color="auto" w:fill="FFFFFF"/>
          <w:lang w:val="en-GB"/>
        </w:rPr>
        <w:t>Boussakra</w:t>
      </w:r>
      <w:proofErr w:type="spellEnd"/>
      <w:r w:rsidR="008A751F" w:rsidRPr="00B20A34">
        <w:rPr>
          <w:rFonts w:ascii="Times New Roman" w:eastAsia="Helvetica" w:hAnsi="Times New Roman" w:cs="Times New Roman"/>
          <w:sz w:val="22"/>
          <w:szCs w:val="22"/>
          <w:shd w:val="clear" w:color="auto" w:fill="FFFFFF"/>
          <w:lang w:val="en-GB"/>
        </w:rPr>
        <w:t xml:space="preserve"> et al., 2025)</w:t>
      </w:r>
      <w:r w:rsidRPr="00B20A34">
        <w:rPr>
          <w:rFonts w:ascii="Times New Roman" w:eastAsia="Helvetica" w:hAnsi="Times New Roman" w:cs="Times New Roman"/>
          <w:sz w:val="22"/>
          <w:szCs w:val="22"/>
          <w:shd w:val="clear" w:color="auto" w:fill="FFFFFF"/>
          <w:lang w:val="en-GB"/>
        </w:rPr>
        <w:t>. Zaidan (2023)</w:t>
      </w:r>
      <w:r w:rsidR="003219D1" w:rsidRPr="00B20A34">
        <w:rPr>
          <w:rFonts w:ascii="Times New Roman" w:eastAsia="Helvetica" w:hAnsi="Times New Roman" w:cs="Times New Roman"/>
          <w:sz w:val="22"/>
          <w:szCs w:val="22"/>
          <w:shd w:val="clear" w:color="auto" w:fill="FFFFFF"/>
          <w:lang w:val="en-GB"/>
        </w:rPr>
        <w:t xml:space="preserve"> and </w:t>
      </w:r>
      <w:proofErr w:type="spellStart"/>
      <w:r w:rsidR="003219D1" w:rsidRPr="00B20A34">
        <w:rPr>
          <w:rFonts w:ascii="Times New Roman" w:eastAsia="Helvetica" w:hAnsi="Times New Roman" w:cs="Times New Roman"/>
          <w:sz w:val="22"/>
          <w:szCs w:val="22"/>
          <w:shd w:val="clear" w:color="auto" w:fill="FFFFFF"/>
          <w:lang w:val="en-GB"/>
        </w:rPr>
        <w:t>Granà</w:t>
      </w:r>
      <w:proofErr w:type="spellEnd"/>
      <w:r w:rsidR="003219D1" w:rsidRPr="00B20A34">
        <w:rPr>
          <w:rFonts w:ascii="Times New Roman" w:eastAsia="Helvetica" w:hAnsi="Times New Roman" w:cs="Times New Roman"/>
          <w:sz w:val="22"/>
          <w:szCs w:val="22"/>
          <w:shd w:val="clear" w:color="auto" w:fill="FFFFFF"/>
          <w:lang w:val="en-GB"/>
        </w:rPr>
        <w:t xml:space="preserve"> et al. (2025)</w:t>
      </w:r>
      <w:r w:rsidRPr="00B20A34">
        <w:rPr>
          <w:rFonts w:ascii="Times New Roman" w:eastAsia="Helvetica" w:hAnsi="Times New Roman" w:cs="Times New Roman"/>
          <w:sz w:val="22"/>
          <w:szCs w:val="22"/>
          <w:shd w:val="clear" w:color="auto" w:fill="FFFFFF"/>
          <w:lang w:val="en-GB"/>
        </w:rPr>
        <w:t xml:space="preserve"> establish that a Smart Sustainable City (SSC) framework following UN-Habitat standards provides an essential foundation for developing regional resilience. The empirical applications of these models show that demographic growth and economic vitality develop through a process </w:t>
      </w:r>
      <w:r w:rsidR="00137F69" w:rsidRPr="00B20A34">
        <w:rPr>
          <w:rFonts w:ascii="Times New Roman" w:eastAsia="Helvetica" w:hAnsi="Times New Roman" w:cs="Times New Roman"/>
          <w:sz w:val="22"/>
          <w:szCs w:val="22"/>
          <w:shd w:val="clear" w:color="auto" w:fill="FFFFFF"/>
          <w:lang w:val="en-GB"/>
        </w:rPr>
        <w:t xml:space="preserve">that </w:t>
      </w:r>
      <w:r w:rsidRPr="00B20A34">
        <w:rPr>
          <w:rFonts w:ascii="Times New Roman" w:eastAsia="Helvetica" w:hAnsi="Times New Roman" w:cs="Times New Roman"/>
          <w:sz w:val="22"/>
          <w:szCs w:val="22"/>
          <w:shd w:val="clear" w:color="auto" w:fill="FFFFFF"/>
          <w:lang w:val="en-GB"/>
        </w:rPr>
        <w:t>creates separate paths. The Smart City Mission in India creates an internal contradiction</w:t>
      </w:r>
      <w:r w:rsidR="000C6F75"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 xml:space="preserve"> according to Khan et al. </w:t>
      </w:r>
      <w:r w:rsidR="000C6F75"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2024</w:t>
      </w:r>
      <w:r w:rsidR="000C6F75"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 xml:space="preserve"> because its implementation led to urban migration yet failed to produce matching economic growth. </w:t>
      </w:r>
      <w:proofErr w:type="spellStart"/>
      <w:r w:rsidRPr="00B20A34">
        <w:rPr>
          <w:rFonts w:ascii="Times New Roman" w:eastAsia="Helvetica" w:hAnsi="Times New Roman" w:cs="Times New Roman"/>
          <w:sz w:val="22"/>
          <w:szCs w:val="22"/>
          <w:shd w:val="clear" w:color="auto" w:fill="FFFFFF"/>
          <w:lang w:val="en-GB"/>
        </w:rPr>
        <w:t>Appio</w:t>
      </w:r>
      <w:proofErr w:type="spellEnd"/>
      <w:r w:rsidRPr="00B20A34">
        <w:rPr>
          <w:rFonts w:ascii="Times New Roman" w:eastAsia="Helvetica" w:hAnsi="Times New Roman" w:cs="Times New Roman"/>
          <w:sz w:val="22"/>
          <w:szCs w:val="22"/>
          <w:shd w:val="clear" w:color="auto" w:fill="FFFFFF"/>
          <w:lang w:val="en-GB"/>
        </w:rPr>
        <w:t xml:space="preserve"> et al. (2019)</w:t>
      </w:r>
      <w:r w:rsidR="003219D1" w:rsidRPr="00B20A34">
        <w:rPr>
          <w:rFonts w:ascii="Times New Roman" w:eastAsia="Helvetica" w:hAnsi="Times New Roman" w:cs="Times New Roman"/>
          <w:sz w:val="22"/>
          <w:szCs w:val="22"/>
          <w:shd w:val="clear" w:color="auto" w:fill="FFFFFF"/>
          <w:lang w:val="en-GB"/>
        </w:rPr>
        <w:t xml:space="preserve"> and </w:t>
      </w:r>
      <w:proofErr w:type="spellStart"/>
      <w:r w:rsidR="003219D1" w:rsidRPr="00B20A34">
        <w:rPr>
          <w:rFonts w:ascii="Times New Roman" w:eastAsia="Helvetica" w:hAnsi="Times New Roman" w:cs="Times New Roman"/>
          <w:sz w:val="22"/>
          <w:szCs w:val="22"/>
          <w:shd w:val="clear" w:color="auto" w:fill="FFFFFF"/>
          <w:lang w:val="en-GB"/>
        </w:rPr>
        <w:t>Kuzior</w:t>
      </w:r>
      <w:proofErr w:type="spellEnd"/>
      <w:r w:rsidR="003219D1" w:rsidRPr="00B20A34">
        <w:rPr>
          <w:rFonts w:ascii="Times New Roman" w:eastAsia="Helvetica" w:hAnsi="Times New Roman" w:cs="Times New Roman"/>
          <w:sz w:val="22"/>
          <w:szCs w:val="22"/>
          <w:shd w:val="clear" w:color="auto" w:fill="FFFFFF"/>
          <w:lang w:val="en-GB"/>
        </w:rPr>
        <w:t xml:space="preserve"> et al. (2026)</w:t>
      </w:r>
      <w:r w:rsidRPr="00B20A34">
        <w:rPr>
          <w:rFonts w:ascii="Times New Roman" w:eastAsia="Helvetica" w:hAnsi="Times New Roman" w:cs="Times New Roman"/>
          <w:sz w:val="22"/>
          <w:szCs w:val="22"/>
          <w:shd w:val="clear" w:color="auto" w:fill="FFFFFF"/>
          <w:lang w:val="en-GB"/>
        </w:rPr>
        <w:t xml:space="preserve"> assert that global cities require integrated systems to manage technological advances alongside social and political complexities. </w:t>
      </w:r>
      <w:r w:rsidRPr="00D50BD6">
        <w:rPr>
          <w:rFonts w:ascii="Times New Roman" w:eastAsia="Helvetica" w:hAnsi="Times New Roman" w:cs="Times New Roman"/>
          <w:spacing w:val="-2"/>
          <w:sz w:val="22"/>
          <w:szCs w:val="22"/>
          <w:shd w:val="clear" w:color="auto" w:fill="FFFFFF"/>
          <w:lang w:val="en-GB"/>
        </w:rPr>
        <w:t xml:space="preserve">Janicke (2012) explains that worldwide green growth trends depend on organizations </w:t>
      </w:r>
      <w:r w:rsidR="000C6F75" w:rsidRPr="00D50BD6">
        <w:rPr>
          <w:rFonts w:ascii="Times New Roman" w:eastAsia="Helvetica" w:hAnsi="Times New Roman" w:cs="Times New Roman"/>
          <w:spacing w:val="-2"/>
          <w:sz w:val="22"/>
          <w:szCs w:val="22"/>
          <w:shd w:val="clear" w:color="auto" w:fill="FFFFFF"/>
          <w:lang w:val="en-GB"/>
        </w:rPr>
        <w:t xml:space="preserve">that </w:t>
      </w:r>
      <w:r w:rsidRPr="00D50BD6">
        <w:rPr>
          <w:rFonts w:ascii="Times New Roman" w:eastAsia="Helvetica" w:hAnsi="Times New Roman" w:cs="Times New Roman"/>
          <w:spacing w:val="-2"/>
          <w:sz w:val="22"/>
          <w:szCs w:val="22"/>
          <w:shd w:val="clear" w:color="auto" w:fill="FFFFFF"/>
          <w:lang w:val="en-GB"/>
        </w:rPr>
        <w:t>combine eco-innovation with resource-efficient technologies for their efforts to reduce environmental damage.</w:t>
      </w:r>
    </w:p>
    <w:p w14:paraId="50BB24C7" w14:textId="61383AF4" w:rsidR="009462F7" w:rsidRPr="00B20A34" w:rsidRDefault="00C56864" w:rsidP="00BC6A52">
      <w:pPr>
        <w:pStyle w:val="NormalnyWeb"/>
        <w:spacing w:beforeAutospacing="0" w:afterAutospacing="0"/>
        <w:ind w:firstLine="284"/>
        <w:jc w:val="both"/>
        <w:rPr>
          <w:rFonts w:eastAsia="Helvetica"/>
          <w:sz w:val="22"/>
          <w:szCs w:val="22"/>
          <w:shd w:val="clear" w:color="auto" w:fill="FFFFFF"/>
          <w:lang w:val="en-GB"/>
        </w:rPr>
      </w:pPr>
      <w:r w:rsidRPr="00B20A34">
        <w:rPr>
          <w:rFonts w:eastAsia="Helvetica"/>
          <w:sz w:val="22"/>
          <w:szCs w:val="22"/>
          <w:shd w:val="clear" w:color="auto" w:fill="FFFFFF"/>
          <w:lang w:val="en-GB"/>
        </w:rPr>
        <w:t xml:space="preserve">The combined application of Building Information </w:t>
      </w:r>
      <w:proofErr w:type="spellStart"/>
      <w:r w:rsidRPr="00B20A34">
        <w:rPr>
          <w:rFonts w:eastAsia="Helvetica"/>
          <w:sz w:val="22"/>
          <w:szCs w:val="22"/>
          <w:shd w:val="clear" w:color="auto" w:fill="FFFFFF"/>
          <w:lang w:val="en-GB"/>
        </w:rPr>
        <w:t>Modeling</w:t>
      </w:r>
      <w:proofErr w:type="spellEnd"/>
      <w:r w:rsidRPr="00B20A34">
        <w:rPr>
          <w:rFonts w:eastAsia="Helvetica"/>
          <w:sz w:val="22"/>
          <w:szCs w:val="22"/>
          <w:shd w:val="clear" w:color="auto" w:fill="FFFFFF"/>
          <w:lang w:val="en-GB"/>
        </w:rPr>
        <w:t xml:space="preserve"> (BIM) and Internet of Things (IoT) technologies </w:t>
      </w:r>
      <w:r w:rsidR="00C222BF" w:rsidRPr="00B20A34">
        <w:rPr>
          <w:rFonts w:eastAsia="Helvetica"/>
          <w:sz w:val="22"/>
          <w:szCs w:val="22"/>
          <w:shd w:val="clear" w:color="auto" w:fill="FFFFFF"/>
          <w:lang w:val="en-GB"/>
        </w:rPr>
        <w:t>establish</w:t>
      </w:r>
      <w:r w:rsidR="00280F35">
        <w:rPr>
          <w:rFonts w:eastAsia="Helvetica"/>
          <w:sz w:val="22"/>
          <w:szCs w:val="22"/>
          <w:shd w:val="clear" w:color="auto" w:fill="FFFFFF"/>
          <w:lang w:val="en-GB"/>
        </w:rPr>
        <w:t>es</w:t>
      </w:r>
      <w:r w:rsidRPr="00B20A34">
        <w:rPr>
          <w:rFonts w:eastAsia="Helvetica"/>
          <w:sz w:val="22"/>
          <w:szCs w:val="22"/>
          <w:shd w:val="clear" w:color="auto" w:fill="FFFFFF"/>
          <w:lang w:val="en-GB"/>
        </w:rPr>
        <w:t xml:space="preserve"> the foundation for SSC framework implementation. The systems create multiple sustainable benefits b</w:t>
      </w:r>
      <w:r w:rsidR="00280F35">
        <w:rPr>
          <w:rFonts w:eastAsia="Helvetica"/>
          <w:sz w:val="22"/>
          <w:szCs w:val="22"/>
          <w:shd w:val="clear" w:color="auto" w:fill="FFFFFF"/>
          <w:lang w:val="en-GB"/>
        </w:rPr>
        <w:t>y providing real-time data, enabling better resource management, reducing costs, and decreasing material wast</w:t>
      </w:r>
      <w:r w:rsidRPr="00B20A34">
        <w:rPr>
          <w:rFonts w:eastAsia="Helvetica"/>
          <w:sz w:val="22"/>
          <w:szCs w:val="22"/>
          <w:shd w:val="clear" w:color="auto" w:fill="FFFFFF"/>
          <w:lang w:val="en-GB"/>
        </w:rPr>
        <w:t>e (Lawal et al., 2024; Gottmann et al., 2024). Architectural project management approaches that combine Internet of Things technology with renewable energy sources and green building certifications create stronger systems while achieving better energy performance (</w:t>
      </w:r>
      <w:proofErr w:type="spellStart"/>
      <w:r w:rsidRPr="00B20A34">
        <w:rPr>
          <w:rFonts w:eastAsia="Helvetica"/>
          <w:sz w:val="22"/>
          <w:szCs w:val="22"/>
          <w:shd w:val="clear" w:color="auto" w:fill="FFFFFF"/>
          <w:lang w:val="en-GB"/>
        </w:rPr>
        <w:t>Odebode</w:t>
      </w:r>
      <w:proofErr w:type="spellEnd"/>
      <w:r w:rsidRPr="00B20A34">
        <w:rPr>
          <w:rFonts w:eastAsia="Helvetica"/>
          <w:sz w:val="22"/>
          <w:szCs w:val="22"/>
          <w:shd w:val="clear" w:color="auto" w:fill="FFFFFF"/>
          <w:lang w:val="en-GB"/>
        </w:rPr>
        <w:t xml:space="preserve">, 2025; Lewandowski, 2025). The recent introduction of Artificial Intelligence (AI) and Smart City Incubators uses Industry 4.0 and 5.0 technologies to enhance strategic planning and stakeholder engagement processes (Peng et al., 2024; </w:t>
      </w:r>
      <w:proofErr w:type="spellStart"/>
      <w:r w:rsidRPr="00B20A34">
        <w:rPr>
          <w:rFonts w:eastAsia="Helvetica"/>
          <w:sz w:val="22"/>
          <w:szCs w:val="22"/>
          <w:shd w:val="clear" w:color="auto" w:fill="FFFFFF"/>
          <w:lang w:val="en-GB"/>
        </w:rPr>
        <w:t>Myslik</w:t>
      </w:r>
      <w:proofErr w:type="spellEnd"/>
      <w:r w:rsidRPr="00B20A34">
        <w:rPr>
          <w:rFonts w:eastAsia="Helvetica"/>
          <w:sz w:val="22"/>
          <w:szCs w:val="22"/>
          <w:shd w:val="clear" w:color="auto" w:fill="FFFFFF"/>
          <w:lang w:val="en-GB"/>
        </w:rPr>
        <w:t xml:space="preserve">, 2025; </w:t>
      </w:r>
      <w:proofErr w:type="spellStart"/>
      <w:r w:rsidRPr="00B20A34">
        <w:rPr>
          <w:rFonts w:eastAsia="Helvetica"/>
          <w:sz w:val="22"/>
          <w:szCs w:val="22"/>
          <w:shd w:val="clear" w:color="auto" w:fill="FFFFFF"/>
          <w:lang w:val="en-GB"/>
        </w:rPr>
        <w:t>Berniak-Woźny</w:t>
      </w:r>
      <w:proofErr w:type="spellEnd"/>
      <w:r w:rsidRPr="00B20A34">
        <w:rPr>
          <w:rFonts w:eastAsia="Helvetica"/>
          <w:sz w:val="22"/>
          <w:szCs w:val="22"/>
          <w:shd w:val="clear" w:color="auto" w:fill="FFFFFF"/>
          <w:lang w:val="en-GB"/>
        </w:rPr>
        <w:t xml:space="preserve"> et al., 2025; </w:t>
      </w:r>
      <w:proofErr w:type="spellStart"/>
      <w:r w:rsidRPr="00B20A34">
        <w:rPr>
          <w:rFonts w:eastAsia="Helvetica"/>
          <w:sz w:val="22"/>
          <w:szCs w:val="22"/>
          <w:shd w:val="clear" w:color="auto" w:fill="FFFFFF"/>
          <w:lang w:val="en-GB"/>
        </w:rPr>
        <w:t>Yaremenko</w:t>
      </w:r>
      <w:proofErr w:type="spellEnd"/>
      <w:r w:rsidRPr="00B20A34">
        <w:rPr>
          <w:rFonts w:eastAsia="Helvetica"/>
          <w:sz w:val="22"/>
          <w:szCs w:val="22"/>
          <w:shd w:val="clear" w:color="auto" w:fill="FFFFFF"/>
          <w:lang w:val="en-GB"/>
        </w:rPr>
        <w:t>, 2025). The two main obstacles organizations face when implementing these technologies for net-zero design</w:t>
      </w:r>
      <w:r w:rsidR="008F2CB5" w:rsidRPr="00B20A34">
        <w:rPr>
          <w:rFonts w:eastAsia="Helvetica"/>
          <w:sz w:val="22"/>
          <w:szCs w:val="22"/>
          <w:shd w:val="clear" w:color="auto" w:fill="FFFFFF"/>
          <w:lang w:val="en-GB"/>
        </w:rPr>
        <w:t>,</w:t>
      </w:r>
      <w:r w:rsidRPr="00B20A34">
        <w:rPr>
          <w:rFonts w:eastAsia="Helvetica"/>
          <w:sz w:val="22"/>
          <w:szCs w:val="22"/>
          <w:shd w:val="clear" w:color="auto" w:fill="FFFFFF"/>
          <w:lang w:val="en-GB"/>
        </w:rPr>
        <w:t xml:space="preserve"> according to Das (2025)</w:t>
      </w:r>
      <w:r w:rsidR="00280F35">
        <w:rPr>
          <w:rFonts w:eastAsia="Helvetica"/>
          <w:sz w:val="22"/>
          <w:szCs w:val="22"/>
          <w:shd w:val="clear" w:color="auto" w:fill="FFFFFF"/>
          <w:lang w:val="en-GB"/>
        </w:rPr>
        <w:t>, include the high cost of</w:t>
      </w:r>
      <w:r w:rsidRPr="00B20A34">
        <w:rPr>
          <w:rFonts w:eastAsia="Helvetica"/>
          <w:sz w:val="22"/>
          <w:szCs w:val="22"/>
          <w:shd w:val="clear" w:color="auto" w:fill="FFFFFF"/>
          <w:lang w:val="en-GB"/>
        </w:rPr>
        <w:t xml:space="preserve"> data processing and challenges related to system implementation at larger scales. Building-level smart-green housing uses Home Energy Management Systems (HEMS) and smart grid technology as essential components for its operational functionality. </w:t>
      </w:r>
      <w:r w:rsidR="00280F35">
        <w:rPr>
          <w:rFonts w:eastAsia="Helvetica"/>
          <w:sz w:val="22"/>
          <w:szCs w:val="22"/>
          <w:shd w:val="clear" w:color="auto" w:fill="FFFFFF"/>
          <w:lang w:val="en-GB"/>
        </w:rPr>
        <w:t xml:space="preserve">Research by Zhou et al. (2016) and </w:t>
      </w:r>
      <w:proofErr w:type="spellStart"/>
      <w:r w:rsidR="00280F35">
        <w:rPr>
          <w:rFonts w:eastAsia="Helvetica"/>
          <w:sz w:val="22"/>
          <w:szCs w:val="22"/>
          <w:shd w:val="clear" w:color="auto" w:fill="FFFFFF"/>
          <w:lang w:val="en-GB"/>
        </w:rPr>
        <w:t>Nagaj</w:t>
      </w:r>
      <w:proofErr w:type="spellEnd"/>
      <w:r w:rsidR="00280F35">
        <w:rPr>
          <w:rFonts w:eastAsia="Helvetica"/>
          <w:sz w:val="22"/>
          <w:szCs w:val="22"/>
          <w:shd w:val="clear" w:color="auto" w:fill="FFFFFF"/>
          <w:lang w:val="en-GB"/>
        </w:rPr>
        <w:t xml:space="preserve"> et al. (2025) shows that these systems enable energy conversion through advanced metering and demand response functions, thereby providing</w:t>
      </w:r>
      <w:r w:rsidRPr="00B20A34">
        <w:rPr>
          <w:rFonts w:eastAsia="Helvetica"/>
          <w:sz w:val="22"/>
          <w:szCs w:val="22"/>
          <w:shd w:val="clear" w:color="auto" w:fill="FFFFFF"/>
          <w:lang w:val="en-GB"/>
        </w:rPr>
        <w:t xml:space="preserve"> </w:t>
      </w:r>
      <w:r w:rsidR="008F2CB5" w:rsidRPr="00B20A34">
        <w:rPr>
          <w:rFonts w:eastAsia="Helvetica"/>
          <w:sz w:val="22"/>
          <w:szCs w:val="22"/>
          <w:shd w:val="clear" w:color="auto" w:fill="FFFFFF"/>
          <w:lang w:val="en-GB"/>
        </w:rPr>
        <w:t xml:space="preserve">a </w:t>
      </w:r>
      <w:r w:rsidRPr="00B20A34">
        <w:rPr>
          <w:rFonts w:eastAsia="Helvetica"/>
          <w:sz w:val="22"/>
          <w:szCs w:val="22"/>
          <w:shd w:val="clear" w:color="auto" w:fill="FFFFFF"/>
          <w:lang w:val="en-GB"/>
        </w:rPr>
        <w:t xml:space="preserve">dependable energy supply. Research findings from Mediterranean and Indian studies demonstrate that </w:t>
      </w:r>
      <w:r w:rsidR="00280F35">
        <w:rPr>
          <w:rFonts w:eastAsia="Helvetica"/>
          <w:sz w:val="22"/>
          <w:szCs w:val="22"/>
          <w:shd w:val="clear" w:color="auto" w:fill="FFFFFF"/>
          <w:lang w:val="en-GB"/>
        </w:rPr>
        <w:t>combining IoT-enabled HEMS with solar energy systems results in</w:t>
      </w:r>
      <w:r w:rsidRPr="00B20A34">
        <w:rPr>
          <w:rFonts w:eastAsia="Helvetica"/>
          <w:sz w:val="22"/>
          <w:szCs w:val="22"/>
          <w:shd w:val="clear" w:color="auto" w:fill="FFFFFF"/>
          <w:lang w:val="en-GB"/>
        </w:rPr>
        <w:t xml:space="preserve"> significant reductions in CO</w:t>
      </w:r>
      <w:r w:rsidRPr="00B20A34">
        <w:rPr>
          <w:rFonts w:eastAsia="Helvetica"/>
          <w:sz w:val="22"/>
          <w:szCs w:val="22"/>
          <w:shd w:val="clear" w:color="auto" w:fill="FFFFFF"/>
          <w:vertAlign w:val="subscript"/>
          <w:lang w:val="en-GB"/>
        </w:rPr>
        <w:t>2</w:t>
      </w:r>
      <w:r w:rsidRPr="00B20A34">
        <w:rPr>
          <w:rFonts w:eastAsia="Helvetica"/>
          <w:sz w:val="22"/>
          <w:szCs w:val="22"/>
          <w:shd w:val="clear" w:color="auto" w:fill="FFFFFF"/>
          <w:lang w:val="en-GB"/>
        </w:rPr>
        <w:t xml:space="preserve"> emissions while improving load</w:t>
      </w:r>
      <w:r w:rsidR="009053B3" w:rsidRPr="00B20A34">
        <w:rPr>
          <w:rFonts w:eastAsia="Helvetica"/>
          <w:sz w:val="22"/>
          <w:szCs w:val="22"/>
          <w:shd w:val="clear" w:color="auto" w:fill="FFFFFF"/>
          <w:lang w:val="en-GB"/>
        </w:rPr>
        <w:t xml:space="preserve"> scheduling performance (George </w:t>
      </w:r>
      <w:r w:rsidR="008F2CB5" w:rsidRPr="00B20A34">
        <w:rPr>
          <w:rFonts w:eastAsia="Helvetica"/>
          <w:sz w:val="22"/>
          <w:szCs w:val="22"/>
          <w:shd w:val="clear" w:color="auto" w:fill="FFFFFF"/>
          <w:lang w:val="en-GB"/>
        </w:rPr>
        <w:t xml:space="preserve">&amp; </w:t>
      </w:r>
      <w:r w:rsidRPr="00B20A34">
        <w:rPr>
          <w:rFonts w:eastAsia="Helvetica"/>
          <w:sz w:val="22"/>
          <w:szCs w:val="22"/>
          <w:shd w:val="clear" w:color="auto" w:fill="FFFFFF"/>
          <w:lang w:val="en-GB"/>
        </w:rPr>
        <w:t xml:space="preserve">Selvakumar, 2024; </w:t>
      </w:r>
      <w:proofErr w:type="spellStart"/>
      <w:r w:rsidRPr="00B20A34">
        <w:rPr>
          <w:rFonts w:eastAsia="Helvetica"/>
          <w:sz w:val="22"/>
          <w:szCs w:val="22"/>
          <w:shd w:val="clear" w:color="auto" w:fill="FFFFFF"/>
          <w:lang w:val="en-GB"/>
        </w:rPr>
        <w:t>Vurusan</w:t>
      </w:r>
      <w:proofErr w:type="spellEnd"/>
      <w:r w:rsidRPr="00B20A34">
        <w:rPr>
          <w:rFonts w:eastAsia="Helvetica"/>
          <w:sz w:val="22"/>
          <w:szCs w:val="22"/>
          <w:shd w:val="clear" w:color="auto" w:fill="FFFFFF"/>
          <w:lang w:val="en-GB"/>
        </w:rPr>
        <w:t xml:space="preserve"> </w:t>
      </w:r>
      <w:r w:rsidR="008F2CB5" w:rsidRPr="00B20A34">
        <w:rPr>
          <w:rFonts w:eastAsia="Helvetica"/>
          <w:sz w:val="22"/>
          <w:szCs w:val="22"/>
          <w:shd w:val="clear" w:color="auto" w:fill="FFFFFF"/>
          <w:lang w:val="en-GB"/>
        </w:rPr>
        <w:t xml:space="preserve">&amp; </w:t>
      </w:r>
      <w:r w:rsidRPr="00B20A34">
        <w:rPr>
          <w:rFonts w:eastAsia="Helvetica"/>
          <w:sz w:val="22"/>
          <w:szCs w:val="22"/>
          <w:shd w:val="clear" w:color="auto" w:fill="FFFFFF"/>
          <w:lang w:val="en-GB"/>
        </w:rPr>
        <w:t xml:space="preserve">Nafa, 2026). The active involvement of local residents </w:t>
      </w:r>
      <w:r w:rsidR="00280F35">
        <w:rPr>
          <w:rFonts w:eastAsia="Helvetica"/>
          <w:sz w:val="22"/>
          <w:szCs w:val="22"/>
          <w:shd w:val="clear" w:color="auto" w:fill="FFFFFF"/>
          <w:lang w:val="en-GB"/>
        </w:rPr>
        <w:t xml:space="preserve">is a fundamental requirement, as </w:t>
      </w:r>
      <w:proofErr w:type="spellStart"/>
      <w:r w:rsidR="00280F35">
        <w:rPr>
          <w:rFonts w:eastAsia="Helvetica"/>
          <w:sz w:val="22"/>
          <w:szCs w:val="22"/>
          <w:shd w:val="clear" w:color="auto" w:fill="FFFFFF"/>
          <w:lang w:val="en-GB"/>
        </w:rPr>
        <w:t>Radziejowska</w:t>
      </w:r>
      <w:proofErr w:type="spellEnd"/>
      <w:r w:rsidR="00280F35">
        <w:rPr>
          <w:rFonts w:eastAsia="Helvetica"/>
          <w:sz w:val="22"/>
          <w:szCs w:val="22"/>
          <w:shd w:val="clear" w:color="auto" w:fill="FFFFFF"/>
          <w:lang w:val="en-GB"/>
        </w:rPr>
        <w:t xml:space="preserve"> &amp; Sobotka (2021) demonstrate that residents must use these systems to enable advanced sustainable technologies</w:t>
      </w:r>
      <w:r w:rsidRPr="00B20A34">
        <w:rPr>
          <w:rFonts w:eastAsia="Helvetica"/>
          <w:sz w:val="22"/>
          <w:szCs w:val="22"/>
          <w:shd w:val="clear" w:color="auto" w:fill="FFFFFF"/>
          <w:lang w:val="en-GB"/>
        </w:rPr>
        <w:t xml:space="preserve"> to function effectively. Organizations achieve efficiency advantages through their operational activities</w:t>
      </w:r>
      <w:r w:rsidR="008F2CB5" w:rsidRPr="00B20A34">
        <w:rPr>
          <w:rFonts w:eastAsia="Helvetica"/>
          <w:sz w:val="22"/>
          <w:szCs w:val="22"/>
          <w:shd w:val="clear" w:color="auto" w:fill="FFFFFF"/>
          <w:lang w:val="en-GB"/>
        </w:rPr>
        <w:t>,</w:t>
      </w:r>
      <w:r w:rsidRPr="00B20A34">
        <w:rPr>
          <w:rFonts w:eastAsia="Helvetica"/>
          <w:sz w:val="22"/>
          <w:szCs w:val="22"/>
          <w:shd w:val="clear" w:color="auto" w:fill="FFFFFF"/>
          <w:lang w:val="en-GB"/>
        </w:rPr>
        <w:t xml:space="preserve"> which </w:t>
      </w:r>
      <w:r w:rsidRPr="00B20A34">
        <w:rPr>
          <w:rFonts w:eastAsia="Helvetica"/>
          <w:sz w:val="22"/>
          <w:szCs w:val="22"/>
          <w:shd w:val="clear" w:color="auto" w:fill="FFFFFF"/>
          <w:lang w:val="en-GB"/>
        </w:rPr>
        <w:lastRenderedPageBreak/>
        <w:t>save resources while enhancing occupant well-being and decreasing expenses (Meena et al., 2022; Liu et al., 2022</w:t>
      </w:r>
      <w:r w:rsidR="003219D1" w:rsidRPr="00B20A34">
        <w:rPr>
          <w:rFonts w:eastAsia="Helvetica"/>
          <w:sz w:val="22"/>
          <w:szCs w:val="22"/>
          <w:shd w:val="clear" w:color="auto" w:fill="FFFFFF"/>
          <w:lang w:val="en-GB"/>
        </w:rPr>
        <w:t xml:space="preserve">; </w:t>
      </w:r>
      <w:proofErr w:type="spellStart"/>
      <w:r w:rsidR="003219D1" w:rsidRPr="00B20A34">
        <w:rPr>
          <w:rFonts w:eastAsia="Helvetica"/>
          <w:sz w:val="22"/>
          <w:szCs w:val="22"/>
          <w:shd w:val="clear" w:color="auto" w:fill="FFFFFF"/>
          <w:lang w:val="en-GB"/>
        </w:rPr>
        <w:t>Andriushchenko</w:t>
      </w:r>
      <w:proofErr w:type="spellEnd"/>
      <w:r w:rsidR="003219D1" w:rsidRPr="00B20A34">
        <w:rPr>
          <w:rFonts w:eastAsia="Helvetica"/>
          <w:sz w:val="22"/>
          <w:szCs w:val="22"/>
          <w:shd w:val="clear" w:color="auto" w:fill="FFFFFF"/>
          <w:lang w:val="en-GB"/>
        </w:rPr>
        <w:t xml:space="preserve"> et al., 2024</w:t>
      </w:r>
      <w:r w:rsidRPr="00B20A34">
        <w:rPr>
          <w:rFonts w:eastAsia="Helvetica"/>
          <w:sz w:val="22"/>
          <w:szCs w:val="22"/>
          <w:shd w:val="clear" w:color="auto" w:fill="FFFFFF"/>
          <w:lang w:val="en-GB"/>
        </w:rPr>
        <w:t>).</w:t>
      </w:r>
    </w:p>
    <w:p w14:paraId="367ED0FE" w14:textId="330F65E1" w:rsidR="009462F7" w:rsidRPr="005358DE" w:rsidRDefault="00C56864" w:rsidP="00BC6A52">
      <w:pPr>
        <w:pStyle w:val="NormalnyWeb"/>
        <w:spacing w:beforeAutospacing="0" w:afterAutospacing="0"/>
        <w:ind w:firstLine="284"/>
        <w:jc w:val="both"/>
        <w:rPr>
          <w:rFonts w:eastAsia="Helvetica"/>
          <w:spacing w:val="-2"/>
          <w:sz w:val="22"/>
          <w:szCs w:val="22"/>
          <w:shd w:val="clear" w:color="auto" w:fill="FFFFFF"/>
          <w:lang w:val="en-GB"/>
        </w:rPr>
      </w:pPr>
      <w:r w:rsidRPr="005358DE">
        <w:rPr>
          <w:rFonts w:eastAsia="Helvetica"/>
          <w:spacing w:val="-2"/>
          <w:sz w:val="22"/>
          <w:szCs w:val="22"/>
          <w:shd w:val="clear" w:color="auto" w:fill="FFFFFF"/>
          <w:lang w:val="en-GB"/>
        </w:rPr>
        <w:t xml:space="preserve">The </w:t>
      </w:r>
      <w:r w:rsidR="00280F35" w:rsidRPr="005358DE">
        <w:rPr>
          <w:rFonts w:eastAsia="Helvetica"/>
          <w:spacing w:val="-2"/>
          <w:sz w:val="22"/>
          <w:szCs w:val="22"/>
          <w:shd w:val="clear" w:color="auto" w:fill="FFFFFF"/>
          <w:lang w:val="en-GB"/>
        </w:rPr>
        <w:t>current economic conditions create major obstacles to the execution of large-scale environmentally friendly investment initiatives (</w:t>
      </w:r>
      <w:proofErr w:type="spellStart"/>
      <w:r w:rsidR="00280F35" w:rsidRPr="005358DE">
        <w:rPr>
          <w:rFonts w:eastAsia="Helvetica"/>
          <w:spacing w:val="-2"/>
          <w:sz w:val="22"/>
          <w:szCs w:val="22"/>
          <w:shd w:val="clear" w:color="auto" w:fill="FFFFFF"/>
          <w:lang w:val="en-GB"/>
        </w:rPr>
        <w:t>Klymash</w:t>
      </w:r>
      <w:proofErr w:type="spellEnd"/>
      <w:r w:rsidR="00280F35" w:rsidRPr="005358DE">
        <w:rPr>
          <w:rFonts w:eastAsia="Helvetica"/>
          <w:spacing w:val="-2"/>
          <w:sz w:val="22"/>
          <w:szCs w:val="22"/>
          <w:shd w:val="clear" w:color="auto" w:fill="FFFFFF"/>
          <w:lang w:val="en-GB"/>
        </w:rPr>
        <w:t xml:space="preserve"> et al., 2026). Green buildings provide their owners with greater rental and asset value benefits,</w:t>
      </w:r>
      <w:r w:rsidRPr="005358DE">
        <w:rPr>
          <w:rFonts w:eastAsia="Helvetica"/>
          <w:spacing w:val="-2"/>
          <w:sz w:val="22"/>
          <w:szCs w:val="22"/>
          <w:shd w:val="clear" w:color="auto" w:fill="FFFFFF"/>
          <w:lang w:val="en-GB"/>
        </w:rPr>
        <w:t xml:space="preserve"> according to the research findings of Eichholtz et al. (2013)</w:t>
      </w:r>
      <w:r w:rsidR="00C222BF" w:rsidRPr="005358DE">
        <w:rPr>
          <w:rFonts w:eastAsia="Helvetica"/>
          <w:spacing w:val="-2"/>
          <w:sz w:val="22"/>
          <w:szCs w:val="22"/>
          <w:shd w:val="clear" w:color="auto" w:fill="FFFFFF"/>
          <w:lang w:val="en-GB"/>
        </w:rPr>
        <w:t xml:space="preserve"> and Böcskei et al. (2025)</w:t>
      </w:r>
      <w:r w:rsidRPr="005358DE">
        <w:rPr>
          <w:rFonts w:eastAsia="Helvetica"/>
          <w:spacing w:val="-2"/>
          <w:sz w:val="22"/>
          <w:szCs w:val="22"/>
          <w:shd w:val="clear" w:color="auto" w:fill="FFFFFF"/>
          <w:lang w:val="en-GB"/>
        </w:rPr>
        <w:t>. Financial and institutional constraints restrict upgrades to contemporary large facilities according to Bardhan and Kroll</w:t>
      </w:r>
      <w:r w:rsidR="008F2CB5" w:rsidRPr="005358DE">
        <w:rPr>
          <w:rFonts w:eastAsia="Helvetica"/>
          <w:spacing w:val="-2"/>
          <w:sz w:val="22"/>
          <w:szCs w:val="22"/>
          <w:shd w:val="clear" w:color="auto" w:fill="FFFFFF"/>
          <w:lang w:val="en-GB"/>
        </w:rPr>
        <w:t xml:space="preserve"> </w:t>
      </w:r>
      <w:r w:rsidRPr="005358DE">
        <w:rPr>
          <w:rFonts w:eastAsia="Helvetica"/>
          <w:spacing w:val="-2"/>
          <w:sz w:val="22"/>
          <w:szCs w:val="22"/>
          <w:shd w:val="clear" w:color="auto" w:fill="FFFFFF"/>
          <w:lang w:val="en-GB"/>
        </w:rPr>
        <w:t>(2011). Active investor participation is essential for global green finance systems to achieve their objectives</w:t>
      </w:r>
      <w:r w:rsidR="00280F35"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according to </w:t>
      </w:r>
      <w:proofErr w:type="spellStart"/>
      <w:r w:rsidRPr="005358DE">
        <w:rPr>
          <w:rFonts w:eastAsia="Helvetica"/>
          <w:spacing w:val="-2"/>
          <w:sz w:val="22"/>
          <w:szCs w:val="22"/>
          <w:shd w:val="clear" w:color="auto" w:fill="FFFFFF"/>
          <w:lang w:val="en-GB"/>
        </w:rPr>
        <w:t>Ozili</w:t>
      </w:r>
      <w:proofErr w:type="spellEnd"/>
      <w:r w:rsidRPr="005358DE">
        <w:rPr>
          <w:rFonts w:eastAsia="Helvetica"/>
          <w:spacing w:val="-2"/>
          <w:sz w:val="22"/>
          <w:szCs w:val="22"/>
          <w:shd w:val="clear" w:color="auto" w:fill="FFFFFF"/>
          <w:lang w:val="en-GB"/>
        </w:rPr>
        <w:t xml:space="preserve"> &amp; </w:t>
      </w:r>
      <w:proofErr w:type="spellStart"/>
      <w:r w:rsidRPr="005358DE">
        <w:rPr>
          <w:rFonts w:eastAsia="Helvetica"/>
          <w:spacing w:val="-2"/>
          <w:sz w:val="22"/>
          <w:szCs w:val="22"/>
          <w:shd w:val="clear" w:color="auto" w:fill="FFFFFF"/>
          <w:lang w:val="en-GB"/>
        </w:rPr>
        <w:t>Kaklauskas</w:t>
      </w:r>
      <w:proofErr w:type="spellEnd"/>
      <w:r w:rsidRPr="005358DE">
        <w:rPr>
          <w:rFonts w:eastAsia="Helvetica"/>
          <w:spacing w:val="-2"/>
          <w:sz w:val="22"/>
          <w:szCs w:val="22"/>
          <w:shd w:val="clear" w:color="auto" w:fill="FFFFFF"/>
          <w:lang w:val="en-GB"/>
        </w:rPr>
        <w:t xml:space="preserve"> (2022). The public-private partnership system in India</w:t>
      </w:r>
      <w:r w:rsidR="008F2CB5"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together with the European Union</w:t>
      </w:r>
      <w:r w:rsidR="00280F35" w:rsidRPr="005358DE">
        <w:rPr>
          <w:rFonts w:eastAsia="Helvetica"/>
          <w:spacing w:val="-2"/>
          <w:sz w:val="22"/>
          <w:szCs w:val="22"/>
          <w:shd w:val="clear" w:color="auto" w:fill="FFFFFF"/>
          <w:lang w:val="en-GB"/>
        </w:rPr>
        <w:t>'s energy efficiency funding programs, demonstrates successful approaches to addressing financial and institutional challenges,</w:t>
      </w:r>
      <w:r w:rsidRPr="005358DE">
        <w:rPr>
          <w:rFonts w:eastAsia="Helvetica"/>
          <w:spacing w:val="-2"/>
          <w:sz w:val="22"/>
          <w:szCs w:val="22"/>
          <w:shd w:val="clear" w:color="auto" w:fill="FFFFFF"/>
          <w:lang w:val="en-GB"/>
        </w:rPr>
        <w:t xml:space="preserve"> according to </w:t>
      </w:r>
      <w:proofErr w:type="spellStart"/>
      <w:r w:rsidRPr="005358DE">
        <w:rPr>
          <w:rFonts w:eastAsia="Helvetica"/>
          <w:spacing w:val="-2"/>
          <w:sz w:val="22"/>
          <w:szCs w:val="22"/>
          <w:shd w:val="clear" w:color="auto" w:fill="FFFFFF"/>
          <w:lang w:val="en-GB"/>
        </w:rPr>
        <w:t>Vadgama</w:t>
      </w:r>
      <w:proofErr w:type="spellEnd"/>
      <w:r w:rsidRPr="005358DE">
        <w:rPr>
          <w:rFonts w:eastAsia="Helvetica"/>
          <w:spacing w:val="-2"/>
          <w:sz w:val="22"/>
          <w:szCs w:val="22"/>
          <w:shd w:val="clear" w:color="auto" w:fill="FFFFFF"/>
          <w:lang w:val="en-GB"/>
        </w:rPr>
        <w:t xml:space="preserve"> et al.</w:t>
      </w:r>
      <w:r w:rsidR="00C222BF" w:rsidRPr="005358DE">
        <w:rPr>
          <w:rFonts w:eastAsia="Helvetica"/>
          <w:spacing w:val="-2"/>
          <w:sz w:val="22"/>
          <w:szCs w:val="22"/>
          <w:shd w:val="clear" w:color="auto" w:fill="FFFFFF"/>
          <w:lang w:val="en-GB"/>
        </w:rPr>
        <w:t xml:space="preserve"> </w:t>
      </w:r>
      <w:r w:rsidRPr="005358DE">
        <w:rPr>
          <w:rFonts w:eastAsia="Helvetica"/>
          <w:spacing w:val="-2"/>
          <w:sz w:val="22"/>
          <w:szCs w:val="22"/>
          <w:shd w:val="clear" w:color="auto" w:fill="FFFFFF"/>
          <w:lang w:val="en-GB"/>
        </w:rPr>
        <w:t>(2015)</w:t>
      </w:r>
      <w:r w:rsidR="00284523" w:rsidRPr="005358DE">
        <w:rPr>
          <w:rFonts w:eastAsia="Helvetica"/>
          <w:spacing w:val="-2"/>
          <w:sz w:val="22"/>
          <w:szCs w:val="22"/>
          <w:shd w:val="clear" w:color="auto" w:fill="FFFFFF"/>
          <w:lang w:val="en-GB"/>
        </w:rPr>
        <w:t xml:space="preserve"> and </w:t>
      </w:r>
      <w:proofErr w:type="spellStart"/>
      <w:r w:rsidR="00284523" w:rsidRPr="005358DE">
        <w:rPr>
          <w:rFonts w:eastAsia="Helvetica"/>
          <w:spacing w:val="-2"/>
          <w:sz w:val="22"/>
          <w:szCs w:val="22"/>
          <w:shd w:val="clear" w:color="auto" w:fill="FFFFFF"/>
          <w:lang w:val="en-GB"/>
        </w:rPr>
        <w:t>Svyrydenko</w:t>
      </w:r>
      <w:proofErr w:type="spellEnd"/>
      <w:r w:rsidR="00284523" w:rsidRPr="005358DE">
        <w:rPr>
          <w:rFonts w:eastAsia="Helvetica"/>
          <w:spacing w:val="-2"/>
          <w:sz w:val="22"/>
          <w:szCs w:val="22"/>
          <w:shd w:val="clear" w:color="auto" w:fill="FFFFFF"/>
          <w:lang w:val="en-GB"/>
        </w:rPr>
        <w:t xml:space="preserve"> and Revin (2024)</w:t>
      </w:r>
      <w:r w:rsidRPr="005358DE">
        <w:rPr>
          <w:rFonts w:eastAsia="Helvetica"/>
          <w:spacing w:val="-2"/>
          <w:sz w:val="22"/>
          <w:szCs w:val="22"/>
          <w:shd w:val="clear" w:color="auto" w:fill="FFFFFF"/>
          <w:lang w:val="en-GB"/>
        </w:rPr>
        <w:t>. Blockchain technology improves operational transparency and efficiency</w:t>
      </w:r>
      <w:r w:rsidR="008F2CB5"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but its implementation suffers from insufficient regional expertise</w:t>
      </w:r>
      <w:r w:rsidR="008F2CB5"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according to Baptista et al.</w:t>
      </w:r>
      <w:r w:rsidR="00C222BF" w:rsidRPr="005358DE">
        <w:rPr>
          <w:rFonts w:eastAsia="Helvetica"/>
          <w:spacing w:val="-2"/>
          <w:sz w:val="22"/>
          <w:szCs w:val="22"/>
          <w:shd w:val="clear" w:color="auto" w:fill="FFFFFF"/>
          <w:lang w:val="en-GB"/>
        </w:rPr>
        <w:t xml:space="preserve"> </w:t>
      </w:r>
      <w:r w:rsidRPr="005358DE">
        <w:rPr>
          <w:rFonts w:eastAsia="Helvetica"/>
          <w:spacing w:val="-2"/>
          <w:sz w:val="22"/>
          <w:szCs w:val="22"/>
          <w:shd w:val="clear" w:color="auto" w:fill="FFFFFF"/>
          <w:lang w:val="en-GB"/>
        </w:rPr>
        <w:t>(2023). The organizations face resource and expertise deficiencies</w:t>
      </w:r>
      <w:r w:rsidR="00280F35" w:rsidRPr="005358DE">
        <w:rPr>
          <w:rFonts w:eastAsia="Helvetica"/>
          <w:spacing w:val="-2"/>
          <w:sz w:val="22"/>
          <w:szCs w:val="22"/>
          <w:shd w:val="clear" w:color="auto" w:fill="FFFFFF"/>
          <w:lang w:val="en-GB"/>
        </w:rPr>
        <w:t xml:space="preserve"> that prevent them from realizing the full</w:t>
      </w:r>
      <w:r w:rsidRPr="005358DE">
        <w:rPr>
          <w:rFonts w:eastAsia="Helvetica"/>
          <w:spacing w:val="-2"/>
          <w:sz w:val="22"/>
          <w:szCs w:val="22"/>
          <w:shd w:val="clear" w:color="auto" w:fill="FFFFFF"/>
          <w:lang w:val="en-GB"/>
        </w:rPr>
        <w:t xml:space="preserve"> benefits of sustainable building practices. Institutional support </w:t>
      </w:r>
      <w:r w:rsidR="005358DE" w:rsidRPr="005358DE">
        <w:rPr>
          <w:rFonts w:eastAsia="Helvetica"/>
          <w:spacing w:val="-2"/>
          <w:sz w:val="22"/>
          <w:szCs w:val="22"/>
          <w:shd w:val="clear" w:color="auto" w:fill="FFFFFF"/>
          <w:lang w:val="en-GB"/>
        </w:rPr>
        <w:t>is the primary driver of</w:t>
      </w:r>
      <w:r w:rsidRPr="005358DE">
        <w:rPr>
          <w:rFonts w:eastAsia="Helvetica"/>
          <w:spacing w:val="-2"/>
          <w:sz w:val="22"/>
          <w:szCs w:val="22"/>
          <w:shd w:val="clear" w:color="auto" w:fill="FFFFFF"/>
          <w:lang w:val="en-GB"/>
        </w:rPr>
        <w:t xml:space="preserve"> green technology adoption. Green building practices in various countries</w:t>
      </w:r>
      <w:r w:rsidR="008F2CB5"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including Ghana, China</w:t>
      </w:r>
      <w:r w:rsidR="008F2CB5"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and the United States, depend on three main factors</w:t>
      </w:r>
      <w:r w:rsidR="005358DE"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government policies</w:t>
      </w:r>
      <w:r w:rsidR="008F2CB5" w:rsidRPr="005358DE">
        <w:rPr>
          <w:rFonts w:eastAsia="Helvetica"/>
          <w:spacing w:val="-2"/>
          <w:sz w:val="22"/>
          <w:szCs w:val="22"/>
          <w:shd w:val="clear" w:color="auto" w:fill="FFFFFF"/>
          <w:lang w:val="en-GB"/>
        </w:rPr>
        <w:t>,</w:t>
      </w:r>
      <w:r w:rsidR="009053B3" w:rsidRPr="005358DE">
        <w:rPr>
          <w:rFonts w:eastAsia="Helvetica"/>
          <w:spacing w:val="-2"/>
          <w:sz w:val="22"/>
          <w:szCs w:val="22"/>
          <w:shd w:val="clear" w:color="auto" w:fill="FFFFFF"/>
          <w:lang w:val="en-GB"/>
        </w:rPr>
        <w:t xml:space="preserve"> </w:t>
      </w:r>
      <w:r w:rsidRPr="005358DE">
        <w:rPr>
          <w:rFonts w:eastAsia="Helvetica"/>
          <w:spacing w:val="-2"/>
          <w:sz w:val="22"/>
          <w:szCs w:val="22"/>
          <w:shd w:val="clear" w:color="auto" w:fill="FFFFFF"/>
          <w:lang w:val="en-GB"/>
        </w:rPr>
        <w:t>financial incentives</w:t>
      </w:r>
      <w:r w:rsidR="00E558CB" w:rsidRPr="005358DE">
        <w:rPr>
          <w:rFonts w:eastAsia="Helvetica"/>
          <w:spacing w:val="-2"/>
          <w:sz w:val="22"/>
          <w:szCs w:val="22"/>
          <w:shd w:val="clear" w:color="auto" w:fill="FFFFFF"/>
          <w:lang w:val="en-GB"/>
        </w:rPr>
        <w:t>,</w:t>
      </w:r>
      <w:r w:rsidRPr="005358DE">
        <w:rPr>
          <w:rFonts w:eastAsia="Helvetica"/>
          <w:spacing w:val="-2"/>
          <w:sz w:val="22"/>
          <w:szCs w:val="22"/>
          <w:shd w:val="clear" w:color="auto" w:fill="FFFFFF"/>
          <w:lang w:val="en-GB"/>
        </w:rPr>
        <w:t xml:space="preserve"> and environmental regulations (Darko, 2019; Zhang &amp; Khaskheli, 2025). The UK regulatory framework and financial incentives help stakeholders </w:t>
      </w:r>
      <w:r w:rsidR="005358DE" w:rsidRPr="005358DE">
        <w:rPr>
          <w:rFonts w:eastAsia="Helvetica"/>
          <w:spacing w:val="-2"/>
          <w:sz w:val="22"/>
          <w:szCs w:val="22"/>
          <w:shd w:val="clear" w:color="auto" w:fill="FFFFFF"/>
          <w:lang w:val="en-GB"/>
        </w:rPr>
        <w:t>address their financial problems (Akin &amp; Akin, 2025; Anderson, 2025), whereas</w:t>
      </w:r>
      <w:r w:rsidRPr="005358DE">
        <w:rPr>
          <w:rFonts w:eastAsia="Helvetica"/>
          <w:spacing w:val="-2"/>
          <w:sz w:val="22"/>
          <w:szCs w:val="22"/>
          <w:shd w:val="clear" w:color="auto" w:fill="FFFFFF"/>
          <w:lang w:val="en-GB"/>
        </w:rPr>
        <w:t xml:space="preserve"> South Korea requires its market to follow strict regulatory standards. The research </w:t>
      </w:r>
      <w:r w:rsidR="005358DE" w:rsidRPr="005358DE">
        <w:rPr>
          <w:rFonts w:eastAsia="Helvetica"/>
          <w:spacing w:val="-2"/>
          <w:sz w:val="22"/>
          <w:szCs w:val="22"/>
          <w:shd w:val="clear" w:color="auto" w:fill="FFFFFF"/>
          <w:lang w:val="en-GB"/>
        </w:rPr>
        <w:t>on Korean "ubiquitous-eco" (u-eco) cities examines whether these systems demonstrate genuine sustainable urbanism or serve</w:t>
      </w:r>
      <w:r w:rsidRPr="005358DE">
        <w:rPr>
          <w:rFonts w:eastAsia="Helvetica"/>
          <w:spacing w:val="-2"/>
          <w:sz w:val="22"/>
          <w:szCs w:val="22"/>
          <w:shd w:val="clear" w:color="auto" w:fill="FFFFFF"/>
          <w:lang w:val="en-GB"/>
        </w:rPr>
        <w:t xml:space="preserve"> as marketing instruments (</w:t>
      </w:r>
      <w:proofErr w:type="spellStart"/>
      <w:r w:rsidRPr="005358DE">
        <w:rPr>
          <w:rFonts w:eastAsia="Helvetica"/>
          <w:spacing w:val="-2"/>
          <w:sz w:val="22"/>
          <w:szCs w:val="22"/>
          <w:shd w:val="clear" w:color="auto" w:fill="FFFFFF"/>
          <w:lang w:val="en-GB"/>
        </w:rPr>
        <w:t>Yigitcanlar</w:t>
      </w:r>
      <w:proofErr w:type="spellEnd"/>
      <w:r w:rsidRPr="005358DE">
        <w:rPr>
          <w:rFonts w:eastAsia="Helvetica"/>
          <w:spacing w:val="-2"/>
          <w:sz w:val="22"/>
          <w:szCs w:val="22"/>
          <w:shd w:val="clear" w:color="auto" w:fill="FFFFFF"/>
          <w:lang w:val="en-GB"/>
        </w:rPr>
        <w:t xml:space="preserve"> &amp; Lee, 2014).</w:t>
      </w:r>
    </w:p>
    <w:p w14:paraId="3A246CED" w14:textId="37E41C44" w:rsidR="009462F7" w:rsidRPr="00B20A34" w:rsidRDefault="005358DE" w:rsidP="00BC6A52">
      <w:pPr>
        <w:pStyle w:val="NormalnyWeb"/>
        <w:spacing w:beforeAutospacing="0" w:afterAutospacing="0"/>
        <w:ind w:firstLine="284"/>
        <w:jc w:val="both"/>
        <w:rPr>
          <w:rFonts w:eastAsia="Helvetica"/>
          <w:sz w:val="22"/>
          <w:szCs w:val="22"/>
          <w:shd w:val="clear" w:color="auto" w:fill="FFFFFF"/>
          <w:lang w:val="en-GB"/>
        </w:rPr>
      </w:pPr>
      <w:r>
        <w:rPr>
          <w:rFonts w:eastAsia="Helvetica"/>
          <w:sz w:val="22"/>
          <w:szCs w:val="22"/>
          <w:shd w:val="clear" w:color="auto" w:fill="FFFFFF"/>
          <w:lang w:val="en-GB"/>
        </w:rPr>
        <w:t>Academic research has established dedicated frameworks that enable researchers to examine how sustainable home construction has evolved over</w:t>
      </w:r>
      <w:r w:rsidR="00C56864" w:rsidRPr="00B20A34">
        <w:rPr>
          <w:rFonts w:eastAsia="Helvetica"/>
          <w:sz w:val="22"/>
          <w:szCs w:val="22"/>
          <w:shd w:val="clear" w:color="auto" w:fill="FFFFFF"/>
          <w:lang w:val="en-GB"/>
        </w:rPr>
        <w:t xml:space="preserve"> time. The research study examined 38 Scopus-indexed publications </w:t>
      </w:r>
      <w:r>
        <w:rPr>
          <w:rFonts w:eastAsia="Helvetica"/>
          <w:sz w:val="22"/>
          <w:szCs w:val="22"/>
          <w:shd w:val="clear" w:color="auto" w:fill="FFFFFF"/>
          <w:lang w:val="en-GB"/>
        </w:rPr>
        <w:t>published between 2014 and 2025 to identify that low-carbon architectural design and systematic building renovation are</w:t>
      </w:r>
      <w:r w:rsidR="00C56864" w:rsidRPr="00B20A34">
        <w:rPr>
          <w:rFonts w:eastAsia="Helvetica"/>
          <w:sz w:val="22"/>
          <w:szCs w:val="22"/>
          <w:shd w:val="clear" w:color="auto" w:fill="FFFFFF"/>
          <w:lang w:val="en-GB"/>
        </w:rPr>
        <w:t xml:space="preserve"> the primary research focus of the study. The organizations involved face operational difficulties because they maintain separate budget systems while the government enforces rigid policies (</w:t>
      </w:r>
      <w:proofErr w:type="spellStart"/>
      <w:r w:rsidR="00C56864" w:rsidRPr="00B20A34">
        <w:rPr>
          <w:rFonts w:eastAsia="Helvetica"/>
          <w:sz w:val="22"/>
          <w:szCs w:val="22"/>
          <w:shd w:val="clear" w:color="auto" w:fill="FFFFFF"/>
          <w:lang w:val="en-GB"/>
        </w:rPr>
        <w:t>Mpambane</w:t>
      </w:r>
      <w:proofErr w:type="spellEnd"/>
      <w:r w:rsidR="00C56864" w:rsidRPr="00B20A34">
        <w:rPr>
          <w:rFonts w:eastAsia="Helvetica"/>
          <w:sz w:val="22"/>
          <w:szCs w:val="22"/>
          <w:shd w:val="clear" w:color="auto" w:fill="FFFFFF"/>
          <w:lang w:val="en-GB"/>
        </w:rPr>
        <w:t xml:space="preserve"> et al., 2025). The urban expansion process in Mexico</w:t>
      </w:r>
      <w:r w:rsidR="00E558CB" w:rsidRPr="00B20A34">
        <w:rPr>
          <w:rFonts w:eastAsia="Helvetica"/>
          <w:sz w:val="22"/>
          <w:szCs w:val="22"/>
          <w:shd w:val="clear" w:color="auto" w:fill="FFFFFF"/>
          <w:lang w:val="en-GB"/>
        </w:rPr>
        <w:t>,</w:t>
      </w:r>
      <w:r w:rsidR="00C56864" w:rsidRPr="00B20A34">
        <w:rPr>
          <w:rFonts w:eastAsia="Helvetica"/>
          <w:sz w:val="22"/>
          <w:szCs w:val="22"/>
          <w:shd w:val="clear" w:color="auto" w:fill="FFFFFF"/>
          <w:lang w:val="en-GB"/>
        </w:rPr>
        <w:t xml:space="preserve"> </w:t>
      </w:r>
      <w:r>
        <w:rPr>
          <w:rFonts w:eastAsia="Helvetica"/>
          <w:sz w:val="22"/>
          <w:szCs w:val="22"/>
          <w:shd w:val="clear" w:color="auto" w:fill="FFFFFF"/>
          <w:lang w:val="en-GB"/>
        </w:rPr>
        <w:t>as an emerging economy, demonstrates how cities undergo complete transformation as they seek</w:t>
      </w:r>
      <w:r w:rsidR="00C56864" w:rsidRPr="00B20A34">
        <w:rPr>
          <w:rFonts w:eastAsia="Helvetica"/>
          <w:sz w:val="22"/>
          <w:szCs w:val="22"/>
          <w:shd w:val="clear" w:color="auto" w:fill="FFFFFF"/>
          <w:lang w:val="en-GB"/>
        </w:rPr>
        <w:t xml:space="preserve"> to implement renewable energy solutions and participate in global green finance initiatives to reduce their environmental impact (Raihan et al., 2023). </w:t>
      </w:r>
      <w:proofErr w:type="spellStart"/>
      <w:r w:rsidR="00C56864" w:rsidRPr="00B20A34">
        <w:rPr>
          <w:rFonts w:eastAsia="Helvetica"/>
          <w:sz w:val="22"/>
          <w:szCs w:val="22"/>
          <w:shd w:val="clear" w:color="auto" w:fill="FFFFFF"/>
          <w:lang w:val="en-GB"/>
        </w:rPr>
        <w:t>Apanaviciene</w:t>
      </w:r>
      <w:proofErr w:type="spellEnd"/>
      <w:r w:rsidR="00C56864" w:rsidRPr="00B20A34">
        <w:rPr>
          <w:rFonts w:eastAsia="Helvetica"/>
          <w:sz w:val="22"/>
          <w:szCs w:val="22"/>
          <w:shd w:val="clear" w:color="auto" w:fill="FFFFFF"/>
          <w:lang w:val="en-GB"/>
        </w:rPr>
        <w:t xml:space="preserve"> &amp;</w:t>
      </w:r>
      <w:r w:rsidR="00D50BD6">
        <w:rPr>
          <w:rFonts w:eastAsia="Helvetica"/>
          <w:sz w:val="22"/>
          <w:szCs w:val="22"/>
          <w:shd w:val="clear" w:color="auto" w:fill="FFFFFF"/>
          <w:lang w:val="en-GB"/>
        </w:rPr>
        <w:t> </w:t>
      </w:r>
      <w:proofErr w:type="spellStart"/>
      <w:r w:rsidR="00C56864" w:rsidRPr="00B20A34">
        <w:rPr>
          <w:rFonts w:eastAsia="Helvetica"/>
          <w:sz w:val="22"/>
          <w:szCs w:val="22"/>
          <w:shd w:val="clear" w:color="auto" w:fill="FFFFFF"/>
          <w:lang w:val="en-GB"/>
        </w:rPr>
        <w:t>Shahrabani</w:t>
      </w:r>
      <w:proofErr w:type="spellEnd"/>
      <w:r w:rsidR="00C56864" w:rsidRPr="00B20A34">
        <w:rPr>
          <w:rFonts w:eastAsia="Helvetica"/>
          <w:sz w:val="22"/>
          <w:szCs w:val="22"/>
          <w:shd w:val="clear" w:color="auto" w:fill="FFFFFF"/>
          <w:lang w:val="en-GB"/>
        </w:rPr>
        <w:t xml:space="preserve"> (2023) </w:t>
      </w:r>
      <w:r>
        <w:rPr>
          <w:rFonts w:eastAsia="Helvetica"/>
          <w:sz w:val="22"/>
          <w:szCs w:val="22"/>
          <w:shd w:val="clear" w:color="auto" w:fill="FFFFFF"/>
          <w:lang w:val="en-GB"/>
        </w:rPr>
        <w:t>developed a classification system comprising 26 essential technological needs for smart buildings</w:t>
      </w:r>
      <w:r w:rsidR="00C56864" w:rsidRPr="00B20A34">
        <w:rPr>
          <w:rFonts w:eastAsia="Helvetica"/>
          <w:sz w:val="22"/>
          <w:szCs w:val="22"/>
          <w:shd w:val="clear" w:color="auto" w:fill="FFFFFF"/>
          <w:lang w:val="en-GB"/>
        </w:rPr>
        <w:t xml:space="preserve"> to function properly. Market-based approaches, </w:t>
      </w:r>
      <w:r>
        <w:rPr>
          <w:rFonts w:eastAsia="Helvetica"/>
          <w:sz w:val="22"/>
          <w:szCs w:val="22"/>
          <w:shd w:val="clear" w:color="auto" w:fill="FFFFFF"/>
          <w:lang w:val="en-GB"/>
        </w:rPr>
        <w:t>however, tend to focus on technology implementation rather than citizen engagement, thereby failing to enhance</w:t>
      </w:r>
      <w:r w:rsidR="00C56864" w:rsidRPr="00B20A34">
        <w:rPr>
          <w:rFonts w:eastAsia="Helvetica"/>
          <w:sz w:val="22"/>
          <w:szCs w:val="22"/>
          <w:shd w:val="clear" w:color="auto" w:fill="FFFFFF"/>
          <w:lang w:val="en-GB"/>
        </w:rPr>
        <w:t xml:space="preserve"> environmental adaptability </w:t>
      </w:r>
      <w:r w:rsidR="00E558CB" w:rsidRPr="00B20A34">
        <w:rPr>
          <w:rFonts w:eastAsia="Helvetica"/>
          <w:sz w:val="22"/>
          <w:szCs w:val="22"/>
          <w:shd w:val="clear" w:color="auto" w:fill="FFFFFF"/>
          <w:lang w:val="en-GB"/>
        </w:rPr>
        <w:t>(</w:t>
      </w:r>
      <w:r w:rsidR="00C56864" w:rsidRPr="00B20A34">
        <w:rPr>
          <w:rFonts w:eastAsia="Helvetica"/>
          <w:sz w:val="22"/>
          <w:szCs w:val="22"/>
          <w:shd w:val="clear" w:color="auto" w:fill="FFFFFF"/>
          <w:lang w:val="en-GB"/>
        </w:rPr>
        <w:t>Viitanen &amp; Kingston</w:t>
      </w:r>
      <w:r w:rsidR="00E558CB" w:rsidRPr="00B20A34">
        <w:rPr>
          <w:rFonts w:eastAsia="Helvetica"/>
          <w:sz w:val="22"/>
          <w:szCs w:val="22"/>
          <w:shd w:val="clear" w:color="auto" w:fill="FFFFFF"/>
          <w:lang w:val="en-GB"/>
        </w:rPr>
        <w:t>,</w:t>
      </w:r>
      <w:r w:rsidR="00C56864" w:rsidRPr="00B20A34">
        <w:rPr>
          <w:rFonts w:eastAsia="Helvetica"/>
          <w:sz w:val="22"/>
          <w:szCs w:val="22"/>
          <w:shd w:val="clear" w:color="auto" w:fill="FFFFFF"/>
          <w:lang w:val="en-GB"/>
        </w:rPr>
        <w:t xml:space="preserve"> 2014). </w:t>
      </w:r>
      <w:r>
        <w:rPr>
          <w:rFonts w:eastAsia="Helvetica"/>
          <w:sz w:val="22"/>
          <w:szCs w:val="22"/>
          <w:shd w:val="clear" w:color="auto" w:fill="FFFFFF"/>
          <w:lang w:val="en-GB"/>
        </w:rPr>
        <w:t>To empirically demonstrate this process, sophisticated theoretical models can use highly connected,</w:t>
      </w:r>
      <w:r w:rsidR="00C56864" w:rsidRPr="00B20A34">
        <w:rPr>
          <w:rFonts w:eastAsia="Helvetica"/>
          <w:sz w:val="22"/>
          <w:szCs w:val="22"/>
          <w:shd w:val="clear" w:color="auto" w:fill="FFFFFF"/>
          <w:lang w:val="en-GB"/>
        </w:rPr>
        <w:t xml:space="preserve"> technology-based urban real estate markets like Seoul as an excellent example. Applying this </w:t>
      </w:r>
      <w:r>
        <w:rPr>
          <w:rFonts w:eastAsia="Helvetica"/>
          <w:sz w:val="22"/>
          <w:szCs w:val="22"/>
          <w:shd w:val="clear" w:color="auto" w:fill="FFFFFF"/>
          <w:lang w:val="en-GB"/>
        </w:rPr>
        <w:t>model enables scientists to establish a clear link between risk-adjusted performance and operational effectiveness at</w:t>
      </w:r>
      <w:r w:rsidR="00D50BD6">
        <w:rPr>
          <w:rFonts w:eastAsia="Helvetica"/>
          <w:sz w:val="22"/>
          <w:szCs w:val="22"/>
          <w:shd w:val="clear" w:color="auto" w:fill="FFFFFF"/>
          <w:lang w:val="en-GB"/>
        </w:rPr>
        <w:t> </w:t>
      </w:r>
      <w:r>
        <w:rPr>
          <w:rFonts w:eastAsia="Helvetica"/>
          <w:sz w:val="22"/>
          <w:szCs w:val="22"/>
          <w:shd w:val="clear" w:color="auto" w:fill="FFFFFF"/>
          <w:lang w:val="en-GB"/>
        </w:rPr>
        <w:t>various points in their life cycles, addressing the socio-technical issues</w:t>
      </w:r>
      <w:r w:rsidR="00C56864" w:rsidRPr="00B20A34">
        <w:rPr>
          <w:rFonts w:eastAsia="Helvetica"/>
          <w:sz w:val="22"/>
          <w:szCs w:val="22"/>
          <w:shd w:val="clear" w:color="auto" w:fill="FFFFFF"/>
          <w:lang w:val="en-GB"/>
        </w:rPr>
        <w:t xml:space="preserve"> between elements of both social and technical infrastructures. Optimization is necessary for urban energy systems</w:t>
      </w:r>
      <w:r>
        <w:rPr>
          <w:rFonts w:eastAsia="Helvetica"/>
          <w:sz w:val="22"/>
          <w:szCs w:val="22"/>
          <w:shd w:val="clear" w:color="auto" w:fill="FFFFFF"/>
          <w:lang w:val="en-GB"/>
        </w:rPr>
        <w:t>, as it is crucial to</w:t>
      </w:r>
      <w:r w:rsidR="00C56864" w:rsidRPr="00B20A34">
        <w:rPr>
          <w:rFonts w:eastAsia="Helvetica"/>
          <w:sz w:val="22"/>
          <w:szCs w:val="22"/>
          <w:shd w:val="clear" w:color="auto" w:fill="FFFFFF"/>
          <w:lang w:val="en-GB"/>
        </w:rPr>
        <w:t xml:space="preserve"> sustainable development. It has been demonstrated by Mishra &amp; Singh (2023) that the concept of a smart city requires three key elements</w:t>
      </w:r>
      <w:r w:rsidR="00C124E0" w:rsidRPr="00B20A34">
        <w:rPr>
          <w:rFonts w:eastAsia="Helvetica"/>
          <w:sz w:val="22"/>
          <w:szCs w:val="22"/>
          <w:shd w:val="clear" w:color="auto" w:fill="FFFFFF"/>
          <w:lang w:val="en-GB"/>
        </w:rPr>
        <w:t>:</w:t>
      </w:r>
      <w:r w:rsidR="00C56864" w:rsidRPr="00B20A34">
        <w:rPr>
          <w:rFonts w:eastAsia="Helvetica"/>
          <w:sz w:val="22"/>
          <w:szCs w:val="22"/>
          <w:shd w:val="clear" w:color="auto" w:fill="FFFFFF"/>
          <w:lang w:val="en-GB"/>
        </w:rPr>
        <w:t xml:space="preserve"> scheduling optimization </w:t>
      </w:r>
      <w:r>
        <w:rPr>
          <w:rFonts w:eastAsia="Helvetica"/>
          <w:sz w:val="22"/>
          <w:szCs w:val="22"/>
          <w:shd w:val="clear" w:color="auto" w:fill="FFFFFF"/>
          <w:lang w:val="en-GB"/>
        </w:rPr>
        <w:t xml:space="preserve">of </w:t>
      </w:r>
      <w:r w:rsidR="00C56864" w:rsidRPr="00B20A34">
        <w:rPr>
          <w:rFonts w:eastAsia="Helvetica"/>
          <w:sz w:val="22"/>
          <w:szCs w:val="22"/>
          <w:shd w:val="clear" w:color="auto" w:fill="FFFFFF"/>
          <w:lang w:val="en-GB"/>
        </w:rPr>
        <w:t>microgrids</w:t>
      </w:r>
      <w:r w:rsidR="00C124E0" w:rsidRPr="00B20A34">
        <w:rPr>
          <w:rFonts w:eastAsia="Helvetica"/>
          <w:sz w:val="22"/>
          <w:szCs w:val="22"/>
          <w:shd w:val="clear" w:color="auto" w:fill="FFFFFF"/>
          <w:lang w:val="en-GB"/>
        </w:rPr>
        <w:t>,</w:t>
      </w:r>
      <w:r w:rsidR="00C56864" w:rsidRPr="00B20A34">
        <w:rPr>
          <w:rFonts w:eastAsia="Helvetica"/>
          <w:sz w:val="22"/>
          <w:szCs w:val="22"/>
          <w:shd w:val="clear" w:color="auto" w:fill="FFFFFF"/>
          <w:lang w:val="en-GB"/>
        </w:rPr>
        <w:t xml:space="preserve"> and energy harvesting to develop efficient energy management using IoE technology. </w:t>
      </w:r>
      <w:r w:rsidR="00C56864" w:rsidRPr="00B20A34">
        <w:rPr>
          <w:sz w:val="22"/>
          <w:szCs w:val="22"/>
          <w:lang w:val="en-GB"/>
        </w:rPr>
        <w:t>Patil et al.</w:t>
      </w:r>
      <w:r w:rsidR="00C124E0" w:rsidRPr="00B20A34">
        <w:rPr>
          <w:sz w:val="22"/>
          <w:szCs w:val="22"/>
          <w:lang w:val="en-GB"/>
        </w:rPr>
        <w:t xml:space="preserve"> </w:t>
      </w:r>
      <w:r w:rsidR="00C56864" w:rsidRPr="00B20A34">
        <w:rPr>
          <w:sz w:val="22"/>
          <w:szCs w:val="22"/>
          <w:lang w:val="en-GB"/>
        </w:rPr>
        <w:t>(2022) provide a comprehensive evaluation of smart green building technologies—including BIM, IoT data systems, and ontology-driven energy controls—alongside sustainable, waste-derived, and sensor-responsive smart materials optimized for structural efficiency and localized sustainable urbanization goals.</w:t>
      </w:r>
      <w:r w:rsidR="00C56864" w:rsidRPr="00B20A34">
        <w:rPr>
          <w:rFonts w:eastAsia="Helvetica"/>
          <w:sz w:val="22"/>
          <w:szCs w:val="22"/>
          <w:shd w:val="clear" w:color="auto" w:fill="FFFFFF"/>
          <w:lang w:val="en-GB"/>
        </w:rPr>
        <w:t xml:space="preserve"> The researchers </w:t>
      </w:r>
      <w:proofErr w:type="spellStart"/>
      <w:r w:rsidR="00C56864" w:rsidRPr="00B20A34">
        <w:rPr>
          <w:rFonts w:eastAsia="Helvetica"/>
          <w:sz w:val="22"/>
          <w:szCs w:val="22"/>
          <w:shd w:val="clear" w:color="auto" w:fill="FFFFFF"/>
          <w:lang w:val="en-GB"/>
        </w:rPr>
        <w:t>Almihat</w:t>
      </w:r>
      <w:proofErr w:type="spellEnd"/>
      <w:r w:rsidR="00C56864" w:rsidRPr="00B20A34">
        <w:rPr>
          <w:rFonts w:eastAsia="Helvetica"/>
          <w:sz w:val="22"/>
          <w:szCs w:val="22"/>
          <w:shd w:val="clear" w:color="auto" w:fill="FFFFFF"/>
          <w:lang w:val="en-GB"/>
        </w:rPr>
        <w:t xml:space="preserve"> et al. (2024) </w:t>
      </w:r>
      <w:r>
        <w:rPr>
          <w:rFonts w:eastAsia="Helvetica"/>
          <w:sz w:val="22"/>
          <w:szCs w:val="22"/>
          <w:shd w:val="clear" w:color="auto" w:fill="FFFFFF"/>
          <w:lang w:val="en-GB"/>
        </w:rPr>
        <w:t>argue that sustainable development requires energy production systems to be integrated with advanced storage technologies and essential infrastructure</w:t>
      </w:r>
      <w:r w:rsidR="00C56864" w:rsidRPr="00B20A34">
        <w:rPr>
          <w:rFonts w:eastAsia="Helvetica"/>
          <w:sz w:val="22"/>
          <w:szCs w:val="22"/>
          <w:shd w:val="clear" w:color="auto" w:fill="FFFFFF"/>
          <w:lang w:val="en-GB"/>
        </w:rPr>
        <w:t xml:space="preserve">. The intersection of diverse technological systems with multiple infrastructural elements creates a strong foundation </w:t>
      </w:r>
      <w:r>
        <w:rPr>
          <w:rFonts w:eastAsia="Helvetica"/>
          <w:sz w:val="22"/>
          <w:szCs w:val="22"/>
          <w:shd w:val="clear" w:color="auto" w:fill="FFFFFF"/>
          <w:lang w:val="en-GB"/>
        </w:rPr>
        <w:t>that</w:t>
      </w:r>
      <w:r w:rsidR="00C56864" w:rsidRPr="00B20A34">
        <w:rPr>
          <w:rFonts w:eastAsia="Helvetica"/>
          <w:sz w:val="22"/>
          <w:szCs w:val="22"/>
          <w:shd w:val="clear" w:color="auto" w:fill="FFFFFF"/>
          <w:lang w:val="en-GB"/>
        </w:rPr>
        <w:t xml:space="preserve"> allows researchers to evaluate how smart-green building initiatives will perform over time in terms of sustainability and financial profitability.</w:t>
      </w:r>
    </w:p>
    <w:p w14:paraId="227392F8" w14:textId="6A467EE2"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The literature shows that sustainable urban development </w:t>
      </w:r>
      <w:r w:rsidR="005358DE">
        <w:rPr>
          <w:rFonts w:ascii="Times New Roman" w:eastAsia="Helvetica" w:hAnsi="Times New Roman" w:cs="Times New Roman"/>
          <w:sz w:val="22"/>
          <w:szCs w:val="22"/>
          <w:shd w:val="clear" w:color="auto" w:fill="FFFFFF"/>
          <w:lang w:val="en-GB"/>
        </w:rPr>
        <w:t>requires technological innovation, policy frameworks,</w:t>
      </w:r>
      <w:r w:rsidRPr="00B20A34">
        <w:rPr>
          <w:rFonts w:ascii="Times New Roman" w:eastAsia="Helvetica" w:hAnsi="Times New Roman" w:cs="Times New Roman"/>
          <w:sz w:val="22"/>
          <w:szCs w:val="22"/>
          <w:shd w:val="clear" w:color="auto" w:fill="FFFFFF"/>
          <w:lang w:val="en-GB"/>
        </w:rPr>
        <w:t xml:space="preserve"> financial mechanisms</w:t>
      </w:r>
      <w:r w:rsidR="00C94D8D"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 xml:space="preserve"> and community engagement for successful progress. The existing researc</w:t>
      </w:r>
      <w:r w:rsidR="009053B3" w:rsidRPr="00B20A34">
        <w:rPr>
          <w:rFonts w:ascii="Times New Roman" w:eastAsia="Helvetica" w:hAnsi="Times New Roman" w:cs="Times New Roman"/>
          <w:sz w:val="22"/>
          <w:szCs w:val="22"/>
          <w:shd w:val="clear" w:color="auto" w:fill="FFFFFF"/>
          <w:lang w:val="en-GB"/>
        </w:rPr>
        <w:t>h gaps in resource availability</w:t>
      </w:r>
      <w:r w:rsidR="005358DE">
        <w:rPr>
          <w:rFonts w:ascii="Times New Roman" w:eastAsia="Helvetica" w:hAnsi="Times New Roman" w:cs="Times New Roman"/>
          <w:sz w:val="22"/>
          <w:szCs w:val="22"/>
          <w:shd w:val="clear" w:color="auto" w:fill="FFFFFF"/>
          <w:lang w:val="en-GB"/>
        </w:rPr>
        <w:t>, institutional backing, and knowledge sharing create a demand for research studies to be conducted in Seoul to assess smart-green building projects that</w:t>
      </w:r>
      <w:r w:rsidRPr="00B20A34">
        <w:rPr>
          <w:rFonts w:ascii="Times New Roman" w:eastAsia="Helvetica" w:hAnsi="Times New Roman" w:cs="Times New Roman"/>
          <w:sz w:val="22"/>
          <w:szCs w:val="22"/>
          <w:shd w:val="clear" w:color="auto" w:fill="FFFFFF"/>
          <w:lang w:val="en-GB"/>
        </w:rPr>
        <w:t xml:space="preserve"> connect operational performance with financial results and environmental sustainability.</w:t>
      </w:r>
    </w:p>
    <w:p w14:paraId="46DA09E3" w14:textId="34847342" w:rsidR="009462F7" w:rsidRPr="00B20A34" w:rsidRDefault="00C56864" w:rsidP="00BC6A52">
      <w:pPr>
        <w:pStyle w:val="Rn2"/>
        <w:rPr>
          <w:rStyle w:val="Pogrubienie"/>
          <w:b/>
          <w:bCs w:val="0"/>
          <w:lang w:val="en-GB"/>
        </w:rPr>
      </w:pPr>
      <w:r w:rsidRPr="00B20A34">
        <w:rPr>
          <w:rStyle w:val="Pogrubienie"/>
          <w:b/>
          <w:lang w:val="en-GB"/>
        </w:rPr>
        <w:t>2.1</w:t>
      </w:r>
      <w:r w:rsidR="00BC6A52" w:rsidRPr="00B20A34">
        <w:rPr>
          <w:rStyle w:val="Pogrubienie"/>
          <w:b/>
          <w:bCs w:val="0"/>
          <w:lang w:val="en-GB"/>
        </w:rPr>
        <w:t>.</w:t>
      </w:r>
      <w:r w:rsidRPr="00B20A34">
        <w:rPr>
          <w:rStyle w:val="Pogrubienie"/>
          <w:b/>
          <w:lang w:val="en-GB"/>
        </w:rPr>
        <w:t xml:space="preserve"> Research Gap</w:t>
      </w:r>
    </w:p>
    <w:p w14:paraId="35BA227B" w14:textId="6C588E30" w:rsidR="009462F7" w:rsidRPr="00B20A34" w:rsidRDefault="00C56864" w:rsidP="00BC6A52">
      <w:pPr>
        <w:pStyle w:val="Nagwek3"/>
        <w:spacing w:beforeAutospacing="0" w:afterAutospacing="0"/>
        <w:ind w:firstLine="284"/>
        <w:jc w:val="both"/>
        <w:rPr>
          <w:rFonts w:ascii="Times New Roman" w:hAnsi="Times New Roman" w:hint="default"/>
          <w:b w:val="0"/>
          <w:bCs w:val="0"/>
          <w:sz w:val="22"/>
          <w:szCs w:val="22"/>
          <w:lang w:val="en-GB"/>
        </w:rPr>
      </w:pPr>
      <w:r w:rsidRPr="00B20A34">
        <w:rPr>
          <w:rFonts w:ascii="Times New Roman" w:hAnsi="Times New Roman" w:hint="default"/>
          <w:b w:val="0"/>
          <w:bCs w:val="0"/>
          <w:sz w:val="22"/>
          <w:szCs w:val="22"/>
          <w:lang w:val="en-GB"/>
        </w:rPr>
        <w:t xml:space="preserve">Despite advances in BIM and IoT, </w:t>
      </w:r>
      <w:r w:rsidR="00C94D8D" w:rsidRPr="00B20A34">
        <w:rPr>
          <w:rFonts w:ascii="Times New Roman" w:hAnsi="Times New Roman" w:hint="default"/>
          <w:b w:val="0"/>
          <w:bCs w:val="0"/>
          <w:sz w:val="22"/>
          <w:szCs w:val="22"/>
          <w:lang w:val="en-GB"/>
        </w:rPr>
        <w:t xml:space="preserve">the </w:t>
      </w:r>
      <w:r w:rsidRPr="00B20A34">
        <w:rPr>
          <w:rFonts w:ascii="Times New Roman" w:hAnsi="Times New Roman" w:hint="default"/>
          <w:b w:val="0"/>
          <w:bCs w:val="0"/>
          <w:sz w:val="22"/>
          <w:szCs w:val="22"/>
          <w:lang w:val="en-GB"/>
        </w:rPr>
        <w:t xml:space="preserve">current literature remains fragmented </w:t>
      </w:r>
      <w:r w:rsidR="005358DE">
        <w:rPr>
          <w:rFonts w:ascii="Times New Roman" w:hAnsi="Times New Roman" w:hint="default"/>
          <w:b w:val="0"/>
          <w:bCs w:val="0"/>
          <w:sz w:val="22"/>
          <w:szCs w:val="22"/>
          <w:lang w:val="en-GB"/>
        </w:rPr>
        <w:t>in its risk-adjusted financial validation of smart assets, creating a “performance gap” in which</w:t>
      </w:r>
      <w:r w:rsidRPr="00B20A34">
        <w:rPr>
          <w:rFonts w:ascii="Times New Roman" w:hAnsi="Times New Roman" w:hint="default"/>
          <w:b w:val="0"/>
          <w:bCs w:val="0"/>
          <w:sz w:val="22"/>
          <w:szCs w:val="22"/>
          <w:lang w:val="en-GB"/>
        </w:rPr>
        <w:t xml:space="preserve"> marketing claims fail to align with verified lifecycle outcomes. Existing studies often treat sustainable interventions as monolithic and overlook </w:t>
      </w:r>
      <w:r w:rsidRPr="00B20A34">
        <w:rPr>
          <w:rStyle w:val="Pogrubienie"/>
          <w:rFonts w:ascii="Times New Roman" w:hAnsi="Times New Roman" w:hint="default"/>
          <w:sz w:val="22"/>
          <w:szCs w:val="22"/>
          <w:lang w:val="en-GB"/>
        </w:rPr>
        <w:t>contextual heterogeneity</w:t>
      </w:r>
      <w:r w:rsidRPr="00B20A34">
        <w:rPr>
          <w:rFonts w:ascii="Times New Roman" w:hAnsi="Times New Roman" w:hint="default"/>
          <w:b w:val="0"/>
          <w:bCs w:val="0"/>
          <w:sz w:val="22"/>
          <w:szCs w:val="22"/>
          <w:lang w:val="en-GB"/>
        </w:rPr>
        <w:t xml:space="preserve"> – such as building age and district-level differences – which drives variation in Net Pre</w:t>
      </w:r>
      <w:r w:rsidRPr="00B20A34">
        <w:rPr>
          <w:rFonts w:ascii="Times New Roman" w:hAnsi="Times New Roman" w:hint="default"/>
          <w:b w:val="0"/>
          <w:bCs w:val="0"/>
          <w:sz w:val="22"/>
          <w:szCs w:val="22"/>
          <w:lang w:val="en-GB"/>
        </w:rPr>
        <w:lastRenderedPageBreak/>
        <w:t xml:space="preserve">sent Value (NPV). Consequently, there is a lack of </w:t>
      </w:r>
      <w:r w:rsidRPr="00B20A34">
        <w:rPr>
          <w:rStyle w:val="Pogrubienie"/>
          <w:rFonts w:ascii="Times New Roman" w:hAnsi="Times New Roman" w:hint="default"/>
          <w:sz w:val="22"/>
          <w:szCs w:val="22"/>
          <w:lang w:val="en-GB"/>
        </w:rPr>
        <w:t>mechanism-based understanding</w:t>
      </w:r>
      <w:r w:rsidRPr="00B20A34">
        <w:rPr>
          <w:rFonts w:ascii="Times New Roman" w:hAnsi="Times New Roman" w:hint="default"/>
          <w:b w:val="0"/>
          <w:bCs w:val="0"/>
          <w:sz w:val="22"/>
          <w:szCs w:val="22"/>
          <w:lang w:val="en-GB"/>
        </w:rPr>
        <w:t xml:space="preserve"> of how localized structural and environmental factors translate green design into financial alpha.</w:t>
      </w:r>
    </w:p>
    <w:p w14:paraId="40C99A6E" w14:textId="7C01BCC3" w:rsidR="009462F7" w:rsidRPr="00B20A34" w:rsidRDefault="00C56864" w:rsidP="00BC6A52">
      <w:pPr>
        <w:pStyle w:val="Rn2"/>
        <w:rPr>
          <w:rStyle w:val="Pogrubienie"/>
          <w:b/>
          <w:bCs w:val="0"/>
          <w:lang w:val="en-GB"/>
        </w:rPr>
      </w:pPr>
      <w:r w:rsidRPr="00B20A34">
        <w:rPr>
          <w:rStyle w:val="Pogrubienie"/>
          <w:b/>
          <w:lang w:val="en-GB"/>
        </w:rPr>
        <w:t>2.2</w:t>
      </w:r>
      <w:r w:rsidR="00BC6A52" w:rsidRPr="00B20A34">
        <w:rPr>
          <w:rStyle w:val="Pogrubienie"/>
          <w:b/>
          <w:bCs w:val="0"/>
          <w:lang w:val="en-GB"/>
        </w:rPr>
        <w:t>.</w:t>
      </w:r>
      <w:r w:rsidRPr="00B20A34">
        <w:rPr>
          <w:rStyle w:val="Pogrubienie"/>
          <w:b/>
          <w:lang w:val="en-GB"/>
        </w:rPr>
        <w:t xml:space="preserve"> Research Objectives</w:t>
      </w:r>
    </w:p>
    <w:p w14:paraId="11364E52" w14:textId="13F65AEF" w:rsidR="009462F7" w:rsidRPr="00B20A34" w:rsidRDefault="00C56864" w:rsidP="00BC6A52">
      <w:pPr>
        <w:pStyle w:val="Nagwek3"/>
        <w:spacing w:beforeAutospacing="0" w:afterAutospacing="0"/>
        <w:ind w:firstLine="284"/>
        <w:jc w:val="both"/>
        <w:rPr>
          <w:rFonts w:ascii="Times New Roman" w:hAnsi="Times New Roman" w:hint="default"/>
          <w:b w:val="0"/>
          <w:bCs w:val="0"/>
          <w:sz w:val="22"/>
          <w:szCs w:val="22"/>
          <w:lang w:val="en-GB"/>
        </w:rPr>
      </w:pPr>
      <w:r w:rsidRPr="00B20A34">
        <w:rPr>
          <w:rStyle w:val="Pogrubienie"/>
          <w:rFonts w:ascii="Times New Roman" w:hAnsi="Times New Roman" w:hint="default"/>
          <w:sz w:val="22"/>
          <w:szCs w:val="22"/>
          <w:lang w:val="en-GB"/>
        </w:rPr>
        <w:t xml:space="preserve">The purpose of this systematic review is to </w:t>
      </w:r>
      <w:proofErr w:type="spellStart"/>
      <w:r w:rsidRPr="00B20A34">
        <w:rPr>
          <w:rStyle w:val="Pogrubienie"/>
          <w:rFonts w:ascii="Times New Roman" w:hAnsi="Times New Roman" w:hint="default"/>
          <w:sz w:val="22"/>
          <w:szCs w:val="22"/>
          <w:lang w:val="en-GB"/>
        </w:rPr>
        <w:t>analyze</w:t>
      </w:r>
      <w:proofErr w:type="spellEnd"/>
      <w:r w:rsidRPr="00B20A34">
        <w:rPr>
          <w:rStyle w:val="Pogrubienie"/>
          <w:rFonts w:ascii="Times New Roman" w:hAnsi="Times New Roman" w:hint="default"/>
          <w:sz w:val="22"/>
          <w:szCs w:val="22"/>
          <w:lang w:val="en-GB"/>
        </w:rPr>
        <w:t xml:space="preserve"> the existing global evidence on the linkages between sustainable technological development and </w:t>
      </w:r>
      <w:r w:rsidR="004A5FE1" w:rsidRPr="00B20A34">
        <w:rPr>
          <w:rStyle w:val="Pogrubienie"/>
          <w:rFonts w:ascii="Times New Roman" w:hAnsi="Times New Roman" w:hint="default"/>
          <w:sz w:val="22"/>
          <w:szCs w:val="22"/>
          <w:lang w:val="en-GB"/>
        </w:rPr>
        <w:t xml:space="preserve">the </w:t>
      </w:r>
      <w:r w:rsidRPr="00B20A34">
        <w:rPr>
          <w:rStyle w:val="Pogrubienie"/>
          <w:rFonts w:ascii="Times New Roman" w:hAnsi="Times New Roman" w:hint="default"/>
          <w:sz w:val="22"/>
          <w:szCs w:val="22"/>
          <w:lang w:val="en-GB"/>
        </w:rPr>
        <w:t xml:space="preserve">performance of real estate firms. Based on PRISMA (Preferred Reporting Items for Systematic Reviews and Meta-Analyses), this paper will systematically explore existing literature to study three specific areas: the strategic effects that green-savvy technologies exert on property valuation, operational benefits </w:t>
      </w:r>
      <w:r w:rsidR="005358DE">
        <w:rPr>
          <w:rStyle w:val="Pogrubienie"/>
          <w:rFonts w:ascii="Times New Roman" w:hAnsi="Times New Roman" w:hint="default"/>
          <w:sz w:val="22"/>
          <w:szCs w:val="22"/>
          <w:lang w:val="en-GB"/>
        </w:rPr>
        <w:t>that</w:t>
      </w:r>
      <w:r w:rsidRPr="00B20A34">
        <w:rPr>
          <w:rStyle w:val="Pogrubienie"/>
          <w:rFonts w:ascii="Times New Roman" w:hAnsi="Times New Roman" w:hint="default"/>
          <w:sz w:val="22"/>
          <w:szCs w:val="22"/>
          <w:lang w:val="en-GB"/>
        </w:rPr>
        <w:t xml:space="preserve"> impact financial indicators such as ROI and rentability, as well as context-specific conditions arising from regulation and properties' uniqueness. Thematic mapping analysis method will also be used to </w:t>
      </w:r>
      <w:proofErr w:type="spellStart"/>
      <w:r w:rsidRPr="00B20A34">
        <w:rPr>
          <w:rStyle w:val="Pogrubienie"/>
          <w:rFonts w:ascii="Times New Roman" w:hAnsi="Times New Roman" w:hint="default"/>
          <w:sz w:val="22"/>
          <w:szCs w:val="22"/>
          <w:lang w:val="en-GB"/>
        </w:rPr>
        <w:t>analyze</w:t>
      </w:r>
      <w:proofErr w:type="spellEnd"/>
      <w:r w:rsidRPr="00B20A34">
        <w:rPr>
          <w:rStyle w:val="Pogrubienie"/>
          <w:rFonts w:ascii="Times New Roman" w:hAnsi="Times New Roman" w:hint="default"/>
          <w:sz w:val="22"/>
          <w:szCs w:val="22"/>
          <w:lang w:val="en-GB"/>
        </w:rPr>
        <w:t xml:space="preserve"> the intellectual structure and research trends in the area. Overall, the goal is to formulate a conceptual model for the link between digital and green technology maturity and real estate value creation.</w:t>
      </w:r>
    </w:p>
    <w:p w14:paraId="6B6769E4" w14:textId="2082B250" w:rsidR="009462F7" w:rsidRPr="00B20A34" w:rsidRDefault="00C56864" w:rsidP="00BC6A52">
      <w:pPr>
        <w:pStyle w:val="Rn2"/>
        <w:rPr>
          <w:lang w:val="en-GB"/>
        </w:rPr>
      </w:pPr>
      <w:r w:rsidRPr="00B20A34">
        <w:rPr>
          <w:lang w:val="en-GB"/>
        </w:rPr>
        <w:t>2.3</w:t>
      </w:r>
      <w:r w:rsidR="00BC6A52" w:rsidRPr="00B20A34">
        <w:rPr>
          <w:lang w:val="en-GB"/>
        </w:rPr>
        <w:t>.</w:t>
      </w:r>
      <w:r w:rsidRPr="00B20A34">
        <w:rPr>
          <w:lang w:val="en-GB"/>
        </w:rPr>
        <w:t xml:space="preserve"> Research Questions</w:t>
      </w:r>
    </w:p>
    <w:p w14:paraId="79564251" w14:textId="1997297D"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1.</w:t>
      </w:r>
      <w:r w:rsidR="004A5FE1" w:rsidRPr="00B20A34">
        <w:rPr>
          <w:sz w:val="22"/>
          <w:szCs w:val="22"/>
          <w:lang w:val="en-GB"/>
        </w:rPr>
        <w:t xml:space="preserve"> </w:t>
      </w:r>
      <w:r w:rsidRPr="00B20A34">
        <w:rPr>
          <w:sz w:val="22"/>
          <w:szCs w:val="22"/>
          <w:lang w:val="en-GB"/>
        </w:rPr>
        <w:t>To what extent is the green premium resulting from the maturity of smart-green technology similar throughout the world's real estate marketplaces, and how do institutional settings affect this green premium effect?</w:t>
      </w:r>
    </w:p>
    <w:p w14:paraId="7D3B0C3E" w14:textId="2F7E9199"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2.</w:t>
      </w:r>
      <w:r w:rsidR="004A5FE1" w:rsidRPr="00B20A34">
        <w:rPr>
          <w:sz w:val="22"/>
          <w:szCs w:val="22"/>
          <w:lang w:val="en-GB"/>
        </w:rPr>
        <w:t xml:space="preserve"> </w:t>
      </w:r>
      <w:r w:rsidRPr="00B20A34">
        <w:rPr>
          <w:sz w:val="22"/>
          <w:szCs w:val="22"/>
          <w:lang w:val="en-GB"/>
        </w:rPr>
        <w:t>Why does lifecycle efficiency created by such technologies like BIM and IoT lead to improved financial performance, in terms of ROI and rental yields, based on what empirical evidence?</w:t>
      </w:r>
    </w:p>
    <w:p w14:paraId="5D51993D" w14:textId="67FAF01F"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3.</w:t>
      </w:r>
      <w:r w:rsidR="004A5FE1" w:rsidRPr="00B20A34">
        <w:rPr>
          <w:sz w:val="22"/>
          <w:szCs w:val="22"/>
          <w:lang w:val="en-GB"/>
        </w:rPr>
        <w:t xml:space="preserve"> </w:t>
      </w:r>
      <w:r w:rsidRPr="00B20A34">
        <w:rPr>
          <w:sz w:val="22"/>
          <w:szCs w:val="22"/>
          <w:lang w:val="en-GB"/>
        </w:rPr>
        <w:t>In what ways do specific property-related factors like the age of the building and regulations create contextual differences that result in varied financial performance of sustainable urban developments?</w:t>
      </w:r>
    </w:p>
    <w:p w14:paraId="1E709699" w14:textId="25A45D92"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4.</w:t>
      </w:r>
      <w:r w:rsidR="004A5FE1" w:rsidRPr="00B20A34">
        <w:rPr>
          <w:sz w:val="22"/>
          <w:szCs w:val="22"/>
          <w:lang w:val="en-GB"/>
        </w:rPr>
        <w:t xml:space="preserve"> </w:t>
      </w:r>
      <w:r w:rsidRPr="00B20A34">
        <w:rPr>
          <w:sz w:val="22"/>
          <w:szCs w:val="22"/>
          <w:lang w:val="en-GB"/>
        </w:rPr>
        <w:t>What is the reason for an observable performance difference between brand positioning and the lifecycle financial performance of smart-green properties?</w:t>
      </w:r>
    </w:p>
    <w:p w14:paraId="604E3276" w14:textId="524974E3" w:rsidR="009462F7" w:rsidRPr="00B20A34" w:rsidRDefault="00C56864" w:rsidP="00BC6A52">
      <w:pPr>
        <w:pStyle w:val="Rn2"/>
        <w:rPr>
          <w:shd w:val="clear" w:color="auto" w:fill="FFFFFF"/>
          <w:lang w:val="en-GB"/>
        </w:rPr>
      </w:pPr>
      <w:r w:rsidRPr="00B20A34">
        <w:rPr>
          <w:shd w:val="clear" w:color="auto" w:fill="FFFFFF"/>
          <w:lang w:val="en-GB"/>
        </w:rPr>
        <w:t>2.4</w:t>
      </w:r>
      <w:r w:rsidR="00BC6A52" w:rsidRPr="00B20A34">
        <w:rPr>
          <w:shd w:val="clear" w:color="auto" w:fill="FFFFFF"/>
          <w:lang w:val="en-GB"/>
        </w:rPr>
        <w:t>.</w:t>
      </w:r>
      <w:r w:rsidRPr="00B20A34">
        <w:rPr>
          <w:shd w:val="clear" w:color="auto" w:fill="FFFFFF"/>
          <w:lang w:val="en-GB"/>
        </w:rPr>
        <w:t xml:space="preserve"> Proposed Theoretical Framework</w:t>
      </w:r>
    </w:p>
    <w:p w14:paraId="32F2D2A0" w14:textId="493BE522" w:rsidR="009462F7" w:rsidRDefault="00C56864" w:rsidP="00BC6A52">
      <w:pPr>
        <w:pStyle w:val="NormalnyWeb"/>
        <w:spacing w:beforeAutospacing="0" w:afterAutospacing="0"/>
        <w:ind w:firstLine="284"/>
        <w:jc w:val="both"/>
        <w:rPr>
          <w:sz w:val="22"/>
          <w:szCs w:val="22"/>
          <w:lang w:val="en-GB"/>
        </w:rPr>
      </w:pPr>
      <w:r w:rsidRPr="00B20A34">
        <w:rPr>
          <w:sz w:val="22"/>
          <w:szCs w:val="22"/>
          <w:lang w:val="en-GB"/>
        </w:rPr>
        <w:t xml:space="preserve">Using the literature review, we develop a conceptual framework that identifies the transmission channel from the implementation of the smart-green technologies to the creation of value for the real estate assets. In the previous work, these areas are </w:t>
      </w:r>
      <w:proofErr w:type="spellStart"/>
      <w:r w:rsidRPr="00B20A34">
        <w:rPr>
          <w:sz w:val="22"/>
          <w:szCs w:val="22"/>
          <w:lang w:val="en-GB"/>
        </w:rPr>
        <w:t>analyzed</w:t>
      </w:r>
      <w:proofErr w:type="spellEnd"/>
      <w:r w:rsidRPr="00B20A34">
        <w:rPr>
          <w:sz w:val="22"/>
          <w:szCs w:val="22"/>
          <w:lang w:val="en-GB"/>
        </w:rPr>
        <w:t xml:space="preserve"> independently. The current Figure 1 shows how </w:t>
      </w:r>
      <w:r w:rsidR="005358DE">
        <w:rPr>
          <w:sz w:val="22"/>
          <w:szCs w:val="22"/>
          <w:lang w:val="en-GB"/>
        </w:rPr>
        <w:t>these different lenses can be unified</w:t>
      </w:r>
      <w:r w:rsidRPr="00B20A34">
        <w:rPr>
          <w:sz w:val="22"/>
          <w:szCs w:val="22"/>
          <w:lang w:val="en-GB"/>
        </w:rPr>
        <w:t xml:space="preserve">. According to the improved version of Figure 1, our theoretical framework </w:t>
      </w:r>
      <w:r w:rsidR="005358DE">
        <w:rPr>
          <w:sz w:val="22"/>
          <w:szCs w:val="22"/>
          <w:lang w:val="en-GB"/>
        </w:rPr>
        <w:t>accounts for the multi</w:t>
      </w:r>
      <w:r w:rsidRPr="00B20A34">
        <w:rPr>
          <w:sz w:val="22"/>
          <w:szCs w:val="22"/>
          <w:lang w:val="en-GB"/>
        </w:rPr>
        <w:t xml:space="preserve">variable transmission channel in the core mathematical model. Instead of considering a linear shift from technology to financial performance, it is proven that there should be Technological Inputs </w:t>
      </w:r>
      <m:oMath>
        <m:sSub>
          <m:sSubPr>
            <m:ctrlPr>
              <w:rPr>
                <w:rFonts w:ascii="Cambria Math" w:hAnsi="Cambria Math"/>
                <w:i/>
                <w:sz w:val="22"/>
                <w:szCs w:val="22"/>
                <w:lang w:val="en-GB"/>
              </w:rPr>
            </m:ctrlPr>
          </m:sSubPr>
          <m:e>
            <m:r>
              <w:rPr>
                <w:rFonts w:ascii="Cambria Math" w:hAnsi="Cambria Math"/>
                <w:sz w:val="22"/>
                <w:szCs w:val="22"/>
                <w:lang w:val="en-GB"/>
              </w:rPr>
              <m:t>M</m:t>
            </m:r>
          </m:e>
          <m:sub>
            <m:r>
              <w:rPr>
                <w:rFonts w:ascii="Cambria Math" w:hAnsi="Cambria Math"/>
                <w:sz w:val="22"/>
                <w:szCs w:val="22"/>
                <w:lang w:val="en-GB"/>
              </w:rPr>
              <m:t>tech</m:t>
            </m:r>
          </m:sub>
        </m:sSub>
      </m:oMath>
      <w:r w:rsidRPr="00B20A34">
        <w:rPr>
          <w:sz w:val="22"/>
          <w:szCs w:val="22"/>
          <w:lang w:val="en-GB"/>
        </w:rPr>
        <w:t xml:space="preserve">, followed by Lifecycle Operational Integrity </w:t>
      </w:r>
      <m:oMath>
        <m:sSub>
          <m:sSubPr>
            <m:ctrlPr>
              <w:rPr>
                <w:rFonts w:ascii="Cambria Math" w:hAnsi="Cambria Math"/>
                <w:i/>
                <w:sz w:val="22"/>
                <w:szCs w:val="22"/>
                <w:lang w:val="en-GB"/>
              </w:rPr>
            </m:ctrlPr>
          </m:sSubPr>
          <m:e>
            <m:r>
              <w:rPr>
                <w:rFonts w:ascii="Cambria Math" w:hAnsi="Cambria Math"/>
                <w:sz w:val="22"/>
                <w:szCs w:val="22"/>
                <w:lang w:val="en-GB"/>
              </w:rPr>
              <m:t>n</m:t>
            </m:r>
          </m:e>
          <m:sub>
            <m:r>
              <w:rPr>
                <w:rFonts w:ascii="Cambria Math" w:hAnsi="Cambria Math"/>
                <w:sz w:val="22"/>
                <w:szCs w:val="22"/>
                <w:lang w:val="en-GB"/>
              </w:rPr>
              <m:t>ops</m:t>
            </m:r>
          </m:sub>
        </m:sSub>
      </m:oMath>
      <w:r w:rsidRPr="00B20A34">
        <w:rPr>
          <w:rFonts w:hAnsi="Cambria Math"/>
          <w:sz w:val="22"/>
          <w:szCs w:val="22"/>
          <w:lang w:val="en-GB"/>
        </w:rPr>
        <w:t>,</w:t>
      </w:r>
      <w:r w:rsidRPr="00B20A34">
        <w:rPr>
          <w:sz w:val="22"/>
          <w:szCs w:val="22"/>
          <w:lang w:val="en-GB"/>
        </w:rPr>
        <w:t xml:space="preserve"> which leads to Risk-Adjusted Financial Performance (</w:t>
      </w:r>
      <m:oMath>
        <m:sSub>
          <m:sSubPr>
            <m:ctrlPr>
              <w:rPr>
                <w:rFonts w:ascii="Cambria Math" w:hAnsi="Cambria Math"/>
                <w:i/>
                <w:sz w:val="22"/>
                <w:szCs w:val="22"/>
                <w:lang w:val="en-GB"/>
              </w:rPr>
            </m:ctrlPr>
          </m:sSubPr>
          <m:e>
            <m:r>
              <w:rPr>
                <w:rFonts w:ascii="Cambria Math" w:hAnsi="Cambria Math"/>
                <w:sz w:val="22"/>
                <w:szCs w:val="22"/>
                <w:lang w:val="en-GB"/>
              </w:rPr>
              <m:t>V</m:t>
            </m:r>
          </m:e>
          <m:sub>
            <m:r>
              <w:rPr>
                <w:rFonts w:ascii="Cambria Math" w:hAnsi="Cambria Math"/>
                <w:sz w:val="22"/>
                <w:szCs w:val="22"/>
                <w:lang w:val="en-GB"/>
              </w:rPr>
              <m:t>SG</m:t>
            </m:r>
          </m:sub>
        </m:sSub>
      </m:oMath>
      <w:r w:rsidRPr="00B20A34">
        <w:rPr>
          <w:sz w:val="22"/>
          <w:szCs w:val="22"/>
          <w:lang w:val="en-GB"/>
        </w:rPr>
        <w:t>/r).</w:t>
      </w:r>
    </w:p>
    <w:p w14:paraId="0FDD1277" w14:textId="77777777" w:rsidR="00050320" w:rsidRPr="00B20A34" w:rsidRDefault="00050320" w:rsidP="00BC6A52">
      <w:pPr>
        <w:pStyle w:val="NormalnyWeb"/>
        <w:spacing w:beforeAutospacing="0" w:afterAutospacing="0"/>
        <w:ind w:firstLine="284"/>
        <w:jc w:val="both"/>
        <w:rPr>
          <w:sz w:val="22"/>
          <w:szCs w:val="22"/>
          <w:lang w:val="en-GB"/>
        </w:rPr>
      </w:pPr>
    </w:p>
    <w:p w14:paraId="6389B368" w14:textId="735A907E" w:rsidR="009462F7" w:rsidRPr="00B20A34" w:rsidRDefault="00050320" w:rsidP="00050320">
      <w:pPr>
        <w:pStyle w:val="NormalnyWeb"/>
        <w:spacing w:beforeAutospacing="0" w:afterAutospacing="0"/>
        <w:jc w:val="center"/>
        <w:rPr>
          <w:b/>
          <w:bCs/>
          <w:sz w:val="22"/>
          <w:szCs w:val="22"/>
          <w:shd w:val="clear" w:color="auto" w:fill="FFFFFF"/>
          <w:lang w:val="en-GB"/>
        </w:rPr>
      </w:pPr>
      <w:r w:rsidRPr="00B20A34">
        <w:rPr>
          <w:noProof/>
          <w:sz w:val="22"/>
          <w:szCs w:val="22"/>
          <w:lang w:val="en-GB" w:eastAsia="en-US"/>
        </w:rPr>
        <w:drawing>
          <wp:inline distT="0" distB="0" distL="0" distR="0" wp14:anchorId="1E18333A" wp14:editId="61D073D0">
            <wp:extent cx="5087776" cy="2529444"/>
            <wp:effectExtent l="0" t="0" r="0" b="4445"/>
            <wp:docPr id="6" name="Picture 6" descr="Pri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_page-0001"/>
                    <pic:cNvPicPr>
                      <a:picLocks noChangeAspect="1"/>
                    </pic:cNvPicPr>
                  </pic:nvPicPr>
                  <pic:blipFill>
                    <a:blip r:embed="rId12">
                      <a:extLst>
                        <a:ext uri="{28A0092B-C50C-407E-A947-70E740481C1C}">
                          <a14:useLocalDpi xmlns:a14="http://schemas.microsoft.com/office/drawing/2010/main" val="0"/>
                        </a:ext>
                      </a:extLst>
                    </a:blip>
                    <a:srcRect t="4106" b="4386"/>
                    <a:stretch>
                      <a:fillRect/>
                    </a:stretch>
                  </pic:blipFill>
                  <pic:spPr>
                    <a:xfrm>
                      <a:off x="0" y="0"/>
                      <a:ext cx="5101383" cy="2536209"/>
                    </a:xfrm>
                    <a:prstGeom prst="rect">
                      <a:avLst/>
                    </a:prstGeom>
                  </pic:spPr>
                </pic:pic>
              </a:graphicData>
            </a:graphic>
          </wp:inline>
        </w:drawing>
      </w:r>
    </w:p>
    <w:p w14:paraId="34B49784" w14:textId="77777777" w:rsidR="009462F7" w:rsidRPr="00B20A34" w:rsidRDefault="00C56864" w:rsidP="00BC6A52">
      <w:pPr>
        <w:pStyle w:val="Rrys"/>
        <w:rPr>
          <w:shd w:val="clear" w:color="auto" w:fill="FFFFFF"/>
          <w:lang w:val="en-GB"/>
        </w:rPr>
      </w:pPr>
      <w:r w:rsidRPr="00B20A34">
        <w:rPr>
          <w:b/>
          <w:bCs/>
          <w:shd w:val="clear" w:color="auto" w:fill="FFFFFF"/>
          <w:lang w:val="en-GB"/>
        </w:rPr>
        <w:t>Fig. 1.</w:t>
      </w:r>
      <w:r w:rsidRPr="00B20A34">
        <w:rPr>
          <w:shd w:val="clear" w:color="auto" w:fill="FFFFFF"/>
          <w:lang w:val="en-GB"/>
        </w:rPr>
        <w:t xml:space="preserve"> Theoretical Framework</w:t>
      </w:r>
    </w:p>
    <w:p w14:paraId="0F256AAA" w14:textId="05196F78" w:rsidR="009462F7" w:rsidRPr="00B20A34" w:rsidRDefault="00C56864" w:rsidP="00BC6A52">
      <w:pPr>
        <w:pStyle w:val="Rrys"/>
        <w:spacing w:before="0"/>
        <w:rPr>
          <w:rFonts w:eastAsia="Helvetica"/>
          <w:szCs w:val="20"/>
          <w:shd w:val="clear" w:color="auto" w:fill="FFFFFF"/>
          <w:lang w:val="en-GB"/>
        </w:rPr>
      </w:pPr>
      <w:r w:rsidRPr="00B20A34">
        <w:rPr>
          <w:rFonts w:eastAsia="Helvetica"/>
          <w:szCs w:val="20"/>
          <w:shd w:val="clear" w:color="auto" w:fill="FFFFFF"/>
          <w:lang w:val="en-GB"/>
        </w:rPr>
        <w:t>Source: Author’s Compilation by La</w:t>
      </w:r>
      <w:r w:rsidR="005358DE">
        <w:rPr>
          <w:rFonts w:eastAsia="Helvetica"/>
          <w:szCs w:val="20"/>
          <w:shd w:val="clear" w:color="auto" w:fill="FFFFFF"/>
          <w:lang w:val="en-GB"/>
        </w:rPr>
        <w:t>TeX</w:t>
      </w:r>
    </w:p>
    <w:p w14:paraId="2B9D377F" w14:textId="77777777" w:rsidR="005358DE" w:rsidRDefault="005358DE" w:rsidP="00BC6A52">
      <w:pPr>
        <w:pStyle w:val="NormalnyWeb"/>
        <w:spacing w:beforeAutospacing="0" w:afterAutospacing="0"/>
        <w:ind w:firstLine="284"/>
        <w:jc w:val="both"/>
        <w:rPr>
          <w:sz w:val="22"/>
          <w:szCs w:val="22"/>
          <w:lang w:val="en-GB"/>
        </w:rPr>
      </w:pPr>
    </w:p>
    <w:p w14:paraId="2979A8B7" w14:textId="19D215DB"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To facilitate future empirical validation, the relationship is synthesized into the following Smart-Green Asset Valuation (SGAV) Equation:</w:t>
      </w:r>
    </w:p>
    <w:p w14:paraId="3B4A4DB8" w14:textId="132FF984" w:rsidR="009462F7" w:rsidRPr="00B20A34" w:rsidRDefault="00000000" w:rsidP="00BC6A52">
      <w:pPr>
        <w:pStyle w:val="NormalnyWeb"/>
        <w:tabs>
          <w:tab w:val="right" w:pos="9638"/>
        </w:tabs>
        <w:spacing w:before="120" w:beforeAutospacing="0" w:after="120" w:afterAutospacing="0"/>
        <w:ind w:firstLine="3402"/>
        <w:jc w:val="both"/>
        <w:rPr>
          <w:i/>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V</m:t>
            </m:r>
          </m:e>
          <m:sub>
            <m:r>
              <w:rPr>
                <w:rFonts w:ascii="Cambria Math" w:hAnsi="Cambria Math"/>
                <w:sz w:val="22"/>
                <w:szCs w:val="22"/>
                <w:lang w:val="en-GB"/>
              </w:rPr>
              <m:t>SG</m:t>
            </m:r>
          </m:sub>
        </m:sSub>
      </m:oMath>
      <w:r w:rsidR="00C56864" w:rsidRPr="00B20A34">
        <w:rPr>
          <w:i/>
          <w:sz w:val="22"/>
          <w:szCs w:val="22"/>
          <w:lang w:val="en-GB"/>
        </w:rPr>
        <w:t>=</w:t>
      </w:r>
      <m:oMath>
        <m:sSubSup>
          <m:sSubSupPr>
            <m:ctrlPr>
              <w:rPr>
                <w:rFonts w:ascii="Cambria Math" w:hAnsi="Cambria Math"/>
                <w:i/>
                <w:sz w:val="22"/>
                <w:szCs w:val="22"/>
                <w:lang w:val="en-GB"/>
              </w:rPr>
            </m:ctrlPr>
          </m:sSubSupPr>
          <m:e>
            <m:r>
              <w:rPr>
                <w:rFonts w:ascii="Cambria Math" w:hAnsi="Cambria Math"/>
                <w:sz w:val="22"/>
                <w:szCs w:val="22"/>
                <w:lang w:val="en-GB"/>
              </w:rPr>
              <m:t>∑</m:t>
            </m:r>
          </m:e>
          <m:sub>
            <m:r>
              <w:rPr>
                <w:rFonts w:ascii="Cambria Math" w:hAnsi="Cambria Math"/>
                <w:sz w:val="22"/>
                <w:szCs w:val="22"/>
                <w:lang w:val="en-GB"/>
              </w:rPr>
              <m:t>t=1</m:t>
            </m:r>
          </m:sub>
          <m:sup>
            <m:r>
              <w:rPr>
                <w:rFonts w:ascii="Cambria Math" w:hAnsi="Cambria Math"/>
                <w:sz w:val="22"/>
                <w:szCs w:val="22"/>
                <w:lang w:val="en-GB"/>
              </w:rPr>
              <m:t>n</m:t>
            </m:r>
          </m:sup>
        </m:sSubSup>
      </m:oMath>
      <w:r w:rsidR="00C56864" w:rsidRPr="00B20A34">
        <w:rPr>
          <w:i/>
          <w:sz w:val="22"/>
          <w:szCs w:val="22"/>
          <w:lang w:val="en-GB"/>
        </w:rPr>
        <w:t xml:space="preserve"> </w:t>
      </w:r>
      <m:oMath>
        <m:f>
          <m:fPr>
            <m:ctrlPr>
              <w:rPr>
                <w:rFonts w:ascii="Cambria Math" w:hAnsi="Cambria Math"/>
                <w:i/>
                <w:sz w:val="22"/>
                <w:szCs w:val="22"/>
                <w:lang w:val="en-GB"/>
              </w:rPr>
            </m:ctrlPr>
          </m:fPr>
          <m:num>
            <m:sSub>
              <m:sSubPr>
                <m:ctrlPr>
                  <w:rPr>
                    <w:rFonts w:ascii="Cambria Math" w:hAnsi="Cambria Math"/>
                    <w:i/>
                    <w:sz w:val="22"/>
                    <w:szCs w:val="22"/>
                    <w:lang w:val="en-GB"/>
                  </w:rPr>
                </m:ctrlPr>
              </m:sSubPr>
              <m:e>
                <m:r>
                  <w:rPr>
                    <w:rFonts w:ascii="Cambria Math" w:hAnsi="Cambria Math"/>
                    <w:sz w:val="22"/>
                    <w:szCs w:val="22"/>
                    <w:lang w:val="en-GB"/>
                  </w:rPr>
                  <m:t>(M</m:t>
                </m:r>
              </m:e>
              <m:sub>
                <m:r>
                  <w:rPr>
                    <w:rFonts w:ascii="Cambria Math" w:hAnsi="Cambria Math"/>
                    <w:sz w:val="22"/>
                    <w:szCs w:val="22"/>
                    <w:lang w:val="en-GB"/>
                  </w:rPr>
                  <m:t>tech ×</m:t>
                </m:r>
              </m:sub>
            </m:sSub>
            <m:sSub>
              <m:sSubPr>
                <m:ctrlPr>
                  <w:rPr>
                    <w:rFonts w:ascii="Cambria Math" w:hAnsi="Cambria Math"/>
                    <w:i/>
                    <w:sz w:val="22"/>
                    <w:szCs w:val="22"/>
                    <w:lang w:val="en-GB"/>
                  </w:rPr>
                </m:ctrlPr>
              </m:sSubPr>
              <m:e>
                <m:r>
                  <w:rPr>
                    <w:rFonts w:ascii="Cambria Math" w:hAnsi="Cambria Math"/>
                    <w:sz w:val="22"/>
                    <w:szCs w:val="22"/>
                    <w:lang w:val="en-GB"/>
                  </w:rPr>
                  <m:t>∅</m:t>
                </m:r>
              </m:e>
              <m:sub>
                <m:r>
                  <w:rPr>
                    <w:rFonts w:ascii="Cambria Math" w:hAnsi="Cambria Math"/>
                    <w:sz w:val="22"/>
                    <w:szCs w:val="22"/>
                    <w:lang w:val="en-GB"/>
                  </w:rPr>
                  <m:t>inst</m:t>
                </m:r>
              </m:sub>
            </m:sSub>
            <m:r>
              <w:rPr>
                <w:rFonts w:ascii="Cambria Math" w:hAnsi="Cambria Math"/>
                <w:sz w:val="22"/>
                <w:szCs w:val="22"/>
                <w:lang w:val="en-GB"/>
              </w:rPr>
              <m:t xml:space="preserve">× </m:t>
            </m:r>
            <m:sSub>
              <m:sSubPr>
                <m:ctrlPr>
                  <w:rPr>
                    <w:rFonts w:ascii="Cambria Math" w:hAnsi="Cambria Math"/>
                    <w:i/>
                    <w:sz w:val="22"/>
                    <w:szCs w:val="22"/>
                    <w:lang w:val="en-GB"/>
                  </w:rPr>
                </m:ctrlPr>
              </m:sSubPr>
              <m:e>
                <m:r>
                  <w:rPr>
                    <w:rFonts w:ascii="Cambria Math" w:hAnsi="Cambria Math"/>
                    <w:sz w:val="22"/>
                    <w:szCs w:val="22"/>
                    <w:lang w:val="en-GB"/>
                  </w:rPr>
                  <m:t>n</m:t>
                </m:r>
              </m:e>
              <m:sub>
                <m:r>
                  <w:rPr>
                    <w:rFonts w:ascii="Cambria Math" w:hAnsi="Cambria Math"/>
                    <w:sz w:val="22"/>
                    <w:szCs w:val="22"/>
                    <w:lang w:val="en-GB"/>
                  </w:rPr>
                  <m:t>ops</m:t>
                </m:r>
              </m:sub>
            </m:sSub>
            <m:r>
              <w:rPr>
                <w:rFonts w:ascii="Cambria Math" w:hAnsi="Cambria Math"/>
                <w:sz w:val="22"/>
                <w:szCs w:val="22"/>
                <w:lang w:val="en-GB"/>
              </w:rPr>
              <m:t xml:space="preserve"> )t </m:t>
            </m:r>
          </m:num>
          <m:den>
            <m:sSup>
              <m:sSupPr>
                <m:ctrlPr>
                  <w:rPr>
                    <w:rFonts w:ascii="Cambria Math" w:hAnsi="Cambria Math"/>
                    <w:i/>
                    <w:sz w:val="22"/>
                    <w:szCs w:val="22"/>
                    <w:lang w:val="en-GB"/>
                  </w:rPr>
                </m:ctrlPr>
              </m:sSupPr>
              <m:e>
                <m:d>
                  <m:dPr>
                    <m:ctrlPr>
                      <w:rPr>
                        <w:rFonts w:ascii="Cambria Math" w:hAnsi="Cambria Math"/>
                        <w:i/>
                        <w:sz w:val="22"/>
                        <w:szCs w:val="22"/>
                        <w:lang w:val="en-GB"/>
                      </w:rPr>
                    </m:ctrlPr>
                  </m:dPr>
                  <m:e>
                    <m:r>
                      <w:rPr>
                        <w:rFonts w:ascii="Cambria Math" w:hAnsi="Cambria Math"/>
                        <w:sz w:val="22"/>
                        <w:szCs w:val="22"/>
                        <w:lang w:val="en-GB"/>
                      </w:rPr>
                      <m:t>1+r</m:t>
                    </m:r>
                  </m:e>
                </m:d>
              </m:e>
              <m:sup>
                <m:r>
                  <w:rPr>
                    <w:rFonts w:ascii="Cambria Math" w:hAnsi="Cambria Math"/>
                    <w:sz w:val="22"/>
                    <w:szCs w:val="22"/>
                    <w:lang w:val="en-GB"/>
                  </w:rPr>
                  <m:t>t</m:t>
                </m:r>
              </m:sup>
            </m:sSup>
          </m:den>
        </m:f>
        <m:r>
          <w:rPr>
            <w:rFonts w:ascii="Cambria Math" w:hAnsi="Cambria Math"/>
            <w:sz w:val="22"/>
            <w:szCs w:val="22"/>
            <w:lang w:val="en-GB"/>
          </w:rPr>
          <m:t xml:space="preserve">   </m:t>
        </m:r>
      </m:oMath>
      <w:r w:rsidR="00C56864" w:rsidRPr="00B20A34">
        <w:rPr>
          <w:rFonts w:hAnsi="Cambria Math"/>
          <w:i/>
          <w:sz w:val="22"/>
          <w:szCs w:val="22"/>
          <w:lang w:val="en-GB"/>
        </w:rPr>
        <w:t xml:space="preserve"> </w:t>
      </w:r>
      <w:r w:rsidR="00BC6A52" w:rsidRPr="00B20A34">
        <w:rPr>
          <w:rFonts w:hAnsi="Cambria Math"/>
          <w:i/>
          <w:sz w:val="22"/>
          <w:szCs w:val="22"/>
          <w:lang w:val="en-GB"/>
        </w:rPr>
        <w:tab/>
      </w:r>
      <w:r w:rsidR="00C56864" w:rsidRPr="00B20A34">
        <w:rPr>
          <w:iCs/>
          <w:sz w:val="22"/>
          <w:szCs w:val="22"/>
          <w:lang w:val="en-GB"/>
        </w:rPr>
        <w:t>(1)</w:t>
      </w:r>
    </w:p>
    <w:p w14:paraId="2C94727F" w14:textId="160FF624" w:rsidR="009462F7" w:rsidRPr="00B20A34" w:rsidRDefault="00C56864" w:rsidP="00BC6A52">
      <w:pPr>
        <w:pStyle w:val="NormalnyWeb"/>
        <w:spacing w:beforeAutospacing="0" w:afterAutospacing="0"/>
        <w:jc w:val="both"/>
        <w:rPr>
          <w:sz w:val="22"/>
          <w:szCs w:val="22"/>
          <w:lang w:val="en-GB"/>
        </w:rPr>
      </w:pPr>
      <w:r w:rsidRPr="00B20A34">
        <w:rPr>
          <w:sz w:val="22"/>
          <w:szCs w:val="22"/>
          <w:lang w:val="en-GB"/>
        </w:rPr>
        <w:lastRenderedPageBreak/>
        <w:t>where</w:t>
      </w:r>
      <w:r w:rsidR="00BC6A52" w:rsidRPr="00B20A34">
        <w:rPr>
          <w:sz w:val="22"/>
          <w:szCs w:val="22"/>
          <w:lang w:val="en-GB"/>
        </w:rPr>
        <w:t>:</w:t>
      </w:r>
    </w:p>
    <w:p w14:paraId="55F94621" w14:textId="7B3D4916" w:rsidR="009462F7" w:rsidRPr="00B20A34" w:rsidRDefault="00000000" w:rsidP="00BC6A52">
      <w:pPr>
        <w:pStyle w:val="NormalnyWeb"/>
        <w:spacing w:beforeAutospacing="0" w:afterAutospacing="0"/>
        <w:ind w:firstLine="284"/>
        <w:jc w:val="both"/>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V</m:t>
            </m:r>
          </m:e>
          <m:sub>
            <m:r>
              <w:rPr>
                <w:rFonts w:ascii="Cambria Math" w:hAnsi="Cambria Math"/>
                <w:sz w:val="22"/>
                <w:szCs w:val="22"/>
                <w:lang w:val="en-GB"/>
              </w:rPr>
              <m:t>SG</m:t>
            </m:r>
          </m:sub>
        </m:sSub>
      </m:oMath>
      <w:r w:rsidR="00BC6A52" w:rsidRPr="00B20A34">
        <w:rPr>
          <w:sz w:val="22"/>
          <w:szCs w:val="22"/>
          <w:lang w:val="en-GB"/>
        </w:rPr>
        <w:t xml:space="preserve"> – </w:t>
      </w:r>
      <w:r w:rsidR="00C56864" w:rsidRPr="00B20A34">
        <w:rPr>
          <w:sz w:val="22"/>
          <w:szCs w:val="22"/>
          <w:lang w:val="en-GB"/>
        </w:rPr>
        <w:t>Total Smart-Green Asset Value (the realized financial alpha).</w:t>
      </w:r>
    </w:p>
    <w:p w14:paraId="57045194" w14:textId="2FE6B26D" w:rsidR="009462F7" w:rsidRPr="00B20A34" w:rsidRDefault="00000000" w:rsidP="00BC6A52">
      <w:pPr>
        <w:pStyle w:val="NormalnyWeb"/>
        <w:spacing w:beforeAutospacing="0" w:afterAutospacing="0"/>
        <w:ind w:firstLine="284"/>
        <w:jc w:val="both"/>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M</m:t>
            </m:r>
          </m:e>
          <m:sub>
            <m:r>
              <w:rPr>
                <w:rFonts w:ascii="Cambria Math" w:hAnsi="Cambria Math"/>
                <w:sz w:val="22"/>
                <w:szCs w:val="22"/>
                <w:lang w:val="en-GB"/>
              </w:rPr>
              <m:t>tech</m:t>
            </m:r>
          </m:sub>
        </m:sSub>
      </m:oMath>
      <w:r w:rsidR="00527404" w:rsidRPr="00B20A34">
        <w:rPr>
          <w:sz w:val="22"/>
          <w:szCs w:val="22"/>
          <w:lang w:val="en-GB"/>
        </w:rPr>
        <w:t xml:space="preserve"> – </w:t>
      </w:r>
      <w:r w:rsidR="00C56864" w:rsidRPr="00B20A34">
        <w:rPr>
          <w:sz w:val="22"/>
          <w:szCs w:val="22"/>
          <w:lang w:val="en-GB"/>
        </w:rPr>
        <w:t>Technological Maturity (the baseline efficiency potential of BIM, IoT, and AI systems).</w:t>
      </w:r>
    </w:p>
    <w:p w14:paraId="5BBA82B1" w14:textId="01AD219C" w:rsidR="009462F7" w:rsidRPr="00B20A34" w:rsidRDefault="00000000" w:rsidP="00BC6A52">
      <w:pPr>
        <w:pStyle w:val="NormalnyWeb"/>
        <w:spacing w:beforeAutospacing="0" w:afterAutospacing="0"/>
        <w:ind w:firstLine="284"/>
        <w:jc w:val="both"/>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m:t>
            </m:r>
          </m:e>
          <m:sub>
            <m:r>
              <w:rPr>
                <w:rFonts w:ascii="Cambria Math" w:hAnsi="Cambria Math"/>
                <w:sz w:val="22"/>
                <w:szCs w:val="22"/>
                <w:lang w:val="en-GB"/>
              </w:rPr>
              <m:t>inst</m:t>
            </m:r>
          </m:sub>
        </m:sSub>
      </m:oMath>
      <w:r w:rsidR="00527404" w:rsidRPr="00B20A34">
        <w:rPr>
          <w:sz w:val="22"/>
          <w:szCs w:val="22"/>
          <w:lang w:val="en-GB"/>
        </w:rPr>
        <w:t xml:space="preserve"> – </w:t>
      </w:r>
      <w:r w:rsidR="00C56864" w:rsidRPr="00B20A34">
        <w:rPr>
          <w:sz w:val="22"/>
          <w:szCs w:val="22"/>
          <w:lang w:val="en-GB"/>
        </w:rPr>
        <w:t>Institutional Framework Factor (the moderating effect of regional regulations and green policies).</w:t>
      </w:r>
    </w:p>
    <w:p w14:paraId="1D3497AB" w14:textId="64978904" w:rsidR="009462F7" w:rsidRPr="00B20A34" w:rsidRDefault="00000000" w:rsidP="00BC6A52">
      <w:pPr>
        <w:pStyle w:val="NormalnyWeb"/>
        <w:spacing w:beforeAutospacing="0" w:afterAutospacing="0"/>
        <w:ind w:firstLine="284"/>
        <w:jc w:val="both"/>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n</m:t>
            </m:r>
          </m:e>
          <m:sub>
            <m:r>
              <w:rPr>
                <w:rFonts w:ascii="Cambria Math" w:hAnsi="Cambria Math"/>
                <w:sz w:val="22"/>
                <w:szCs w:val="22"/>
                <w:lang w:val="en-GB"/>
              </w:rPr>
              <m:t>ops</m:t>
            </m:r>
          </m:sub>
        </m:sSub>
      </m:oMath>
      <w:r w:rsidR="00527404" w:rsidRPr="00B20A34">
        <w:rPr>
          <w:sz w:val="22"/>
          <w:szCs w:val="22"/>
          <w:lang w:val="en-GB"/>
        </w:rPr>
        <w:t xml:space="preserve"> – </w:t>
      </w:r>
      <w:r w:rsidR="00C56864" w:rsidRPr="00B20A34">
        <w:rPr>
          <w:sz w:val="22"/>
          <w:szCs w:val="22"/>
          <w:lang w:val="en-GB"/>
        </w:rPr>
        <w:t>Lifecycle Operational Integrity (the management efficiency and resident engagement).</w:t>
      </w:r>
    </w:p>
    <w:p w14:paraId="05AB4D06" w14:textId="37CFC5B5" w:rsidR="009462F7" w:rsidRPr="00B20A34" w:rsidRDefault="00527404" w:rsidP="00BC6A52">
      <w:pPr>
        <w:pStyle w:val="NormalnyWeb"/>
        <w:spacing w:beforeAutospacing="0" w:afterAutospacing="0"/>
        <w:ind w:firstLine="284"/>
        <w:jc w:val="both"/>
        <w:rPr>
          <w:sz w:val="22"/>
          <w:szCs w:val="22"/>
          <w:lang w:val="en-GB"/>
        </w:rPr>
      </w:pPr>
      <w:r w:rsidRPr="00B20A34">
        <w:rPr>
          <w:i/>
          <w:iCs/>
          <w:sz w:val="22"/>
          <w:szCs w:val="22"/>
          <w:lang w:val="en-GB"/>
        </w:rPr>
        <w:t>R</w:t>
      </w:r>
      <w:r w:rsidRPr="00B20A34">
        <w:rPr>
          <w:sz w:val="22"/>
          <w:szCs w:val="22"/>
          <w:lang w:val="en-GB"/>
        </w:rPr>
        <w:t xml:space="preserve"> – </w:t>
      </w:r>
      <w:r w:rsidR="00C56864" w:rsidRPr="00B20A34">
        <w:rPr>
          <w:sz w:val="22"/>
          <w:szCs w:val="22"/>
          <w:lang w:val="en-GB"/>
        </w:rPr>
        <w:t>Risk-Adjusted Discount Rate (accounting for the enhanced stability of high-performance assets).</w:t>
      </w:r>
    </w:p>
    <w:p w14:paraId="17B680C0" w14:textId="38E08ECA" w:rsidR="009462F7" w:rsidRPr="00B20A34" w:rsidRDefault="00C56864" w:rsidP="00527404">
      <w:pPr>
        <w:pStyle w:val="Rn2"/>
        <w:rPr>
          <w:lang w:val="en-GB"/>
        </w:rPr>
      </w:pPr>
      <w:r w:rsidRPr="00B20A34">
        <w:rPr>
          <w:lang w:val="en-GB"/>
        </w:rPr>
        <w:t>2.5</w:t>
      </w:r>
      <w:r w:rsidR="00527404" w:rsidRPr="00B20A34">
        <w:rPr>
          <w:lang w:val="en-GB"/>
        </w:rPr>
        <w:t>.</w:t>
      </w:r>
      <w:r w:rsidRPr="00B20A34">
        <w:rPr>
          <w:lang w:val="en-GB"/>
        </w:rPr>
        <w:t xml:space="preserve"> Framework Dynamics</w:t>
      </w:r>
    </w:p>
    <w:p w14:paraId="4F76079D" w14:textId="2DF7AC8A"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 xml:space="preserve">The suggested conceptual model (Figure 1) demonstrates how the technology integration effect can affect the financial result through the risk variable. Importantly, as shown through the  model framework, the institutional framework </w:t>
      </w:r>
      <m:oMath>
        <m:sSub>
          <m:sSubPr>
            <m:ctrlPr>
              <w:rPr>
                <w:rFonts w:ascii="Cambria Math" w:hAnsi="Cambria Math"/>
                <w:i/>
                <w:sz w:val="22"/>
                <w:szCs w:val="22"/>
                <w:lang w:val="en-GB"/>
              </w:rPr>
            </m:ctrlPr>
          </m:sSubPr>
          <m:e>
            <m:r>
              <w:rPr>
                <w:rFonts w:ascii="Cambria Math" w:hAnsi="Cambria Math"/>
                <w:sz w:val="22"/>
                <w:szCs w:val="22"/>
                <w:lang w:val="en-GB"/>
              </w:rPr>
              <m:t>∅</m:t>
            </m:r>
          </m:e>
          <m:sub>
            <m:r>
              <w:rPr>
                <w:rFonts w:ascii="Cambria Math" w:hAnsi="Cambria Math"/>
                <w:sz w:val="22"/>
                <w:szCs w:val="22"/>
                <w:lang w:val="en-GB"/>
              </w:rPr>
              <m:t>inst</m:t>
            </m:r>
          </m:sub>
        </m:sSub>
      </m:oMath>
      <w:r w:rsidRPr="00B20A34">
        <w:rPr>
          <w:sz w:val="22"/>
          <w:szCs w:val="22"/>
          <w:lang w:val="en-GB"/>
        </w:rPr>
        <w:t xml:space="preserve"> does not create any direct value in the form of cash flow; it acts as an intermediate filter on the main channel of transmission of the effect. Geographical differences, the age of buildings, and green policies </w:t>
      </w:r>
      <w:r w:rsidR="005358DE">
        <w:rPr>
          <w:sz w:val="22"/>
          <w:szCs w:val="22"/>
          <w:lang w:val="en-GB"/>
        </w:rPr>
        <w:t>across regions affect how efficiently technological inputs are transformed into output, thereby shap</w:t>
      </w:r>
      <w:r w:rsidRPr="00B20A34">
        <w:rPr>
          <w:sz w:val="22"/>
          <w:szCs w:val="22"/>
          <w:lang w:val="en-GB"/>
        </w:rPr>
        <w:t>ing the size of the Performance-Branding Gap. This study is not just aimed at providing an explanation model but also at constructing the formula for calculating the 'Green Premium'.</w:t>
      </w:r>
    </w:p>
    <w:p w14:paraId="7E0EDEE8" w14:textId="77777777" w:rsidR="009462F7" w:rsidRPr="00B20A34" w:rsidRDefault="00C56864" w:rsidP="00527404">
      <w:pPr>
        <w:pStyle w:val="Rn1"/>
        <w:rPr>
          <w:lang w:val="en-GB"/>
        </w:rPr>
      </w:pPr>
      <w:r w:rsidRPr="00B20A34">
        <w:rPr>
          <w:lang w:val="en-GB"/>
        </w:rPr>
        <w:t>3. Methods</w:t>
      </w:r>
    </w:p>
    <w:p w14:paraId="1B8A786C" w14:textId="5097E6ED" w:rsidR="009462F7" w:rsidRPr="00B20A34" w:rsidRDefault="00C56864" w:rsidP="00BC6A52">
      <w:pPr>
        <w:pStyle w:val="NormalnyWeb"/>
        <w:spacing w:beforeAutospacing="0" w:afterAutospacing="0"/>
        <w:ind w:firstLine="284"/>
        <w:jc w:val="both"/>
        <w:rPr>
          <w:sz w:val="22"/>
          <w:szCs w:val="22"/>
          <w:lang w:val="en-GB"/>
        </w:rPr>
      </w:pPr>
      <w:r w:rsidRPr="00B20A34">
        <w:rPr>
          <w:sz w:val="22"/>
          <w:szCs w:val="22"/>
          <w:lang w:val="en-GB"/>
        </w:rPr>
        <w:t>The current study uses a Systematic Literature Review (SLR) methodology</w:t>
      </w:r>
      <w:r w:rsidR="005358DE">
        <w:rPr>
          <w:sz w:val="22"/>
          <w:szCs w:val="22"/>
          <w:lang w:val="en-GB"/>
        </w:rPr>
        <w:t xml:space="preserve"> that strictly adheres to the PRISMA 2020 framework to ensure</w:t>
      </w:r>
      <w:r w:rsidRPr="00B20A34">
        <w:rPr>
          <w:sz w:val="22"/>
          <w:szCs w:val="22"/>
          <w:lang w:val="en-GB"/>
        </w:rPr>
        <w:t xml:space="preserve"> a structured and impartial approach. An extensive literature search </w:t>
      </w:r>
      <w:r w:rsidR="005358DE">
        <w:rPr>
          <w:sz w:val="22"/>
          <w:szCs w:val="22"/>
          <w:lang w:val="en-GB"/>
        </w:rPr>
        <w:t>across databases such as Scopus, Google Scholar, and ResearchGate identified</w:t>
      </w:r>
      <w:r w:rsidRPr="00B20A34">
        <w:rPr>
          <w:sz w:val="22"/>
          <w:szCs w:val="22"/>
          <w:lang w:val="en-GB"/>
        </w:rPr>
        <w:t xml:space="preserve"> 195 articles. Using </w:t>
      </w:r>
      <w:r w:rsidR="005358DE">
        <w:rPr>
          <w:sz w:val="22"/>
          <w:szCs w:val="22"/>
          <w:lang w:val="en-GB"/>
        </w:rPr>
        <w:t>a stringent inclusion criterion based on empirical data on smart-green technologies and their financial implications, a</w:t>
      </w:r>
      <w:r w:rsidR="00D50BD6">
        <w:rPr>
          <w:sz w:val="22"/>
          <w:szCs w:val="22"/>
          <w:lang w:val="en-GB"/>
        </w:rPr>
        <w:t> </w:t>
      </w:r>
      <w:r w:rsidR="005358DE">
        <w:rPr>
          <w:sz w:val="22"/>
          <w:szCs w:val="22"/>
          <w:lang w:val="en-GB"/>
        </w:rPr>
        <w:t>final sample of 38 articles, indexed in Scopus and published from 2014 to 2025, was selected</w:t>
      </w:r>
      <w:r w:rsidRPr="00B20A34">
        <w:rPr>
          <w:sz w:val="22"/>
          <w:szCs w:val="22"/>
          <w:lang w:val="en-GB"/>
        </w:rPr>
        <w:t xml:space="preserve"> for comprehensive review. Thematic mapping of these articles was performed </w:t>
      </w:r>
      <w:r w:rsidR="005358DE">
        <w:rPr>
          <w:sz w:val="22"/>
          <w:szCs w:val="22"/>
          <w:lang w:val="en-GB"/>
        </w:rPr>
        <w:t>in Microsoft Excel, with themes validated through</w:t>
      </w:r>
      <w:r w:rsidRPr="00B20A34">
        <w:rPr>
          <w:sz w:val="22"/>
          <w:szCs w:val="22"/>
          <w:lang w:val="en-GB"/>
        </w:rPr>
        <w:t xml:space="preserve"> cross-checking for coding reliability. </w:t>
      </w:r>
      <w:r w:rsidRPr="00D50BD6">
        <w:rPr>
          <w:spacing w:val="-2"/>
          <w:sz w:val="22"/>
          <w:szCs w:val="22"/>
          <w:lang w:val="en-GB"/>
        </w:rPr>
        <w:t xml:space="preserve">To highlight the </w:t>
      </w:r>
      <w:r w:rsidR="005358DE" w:rsidRPr="00D50BD6">
        <w:rPr>
          <w:spacing w:val="-2"/>
          <w:sz w:val="22"/>
          <w:szCs w:val="22"/>
          <w:lang w:val="en-GB"/>
        </w:rPr>
        <w:t>evolution of research, results have been classified into three epochs:</w:t>
      </w:r>
      <w:r w:rsidRPr="00D50BD6">
        <w:rPr>
          <w:spacing w:val="-2"/>
          <w:sz w:val="22"/>
          <w:szCs w:val="22"/>
          <w:lang w:val="en-GB"/>
        </w:rPr>
        <w:t xml:space="preserve"> Foundational (2014</w:t>
      </w:r>
      <w:r w:rsidR="00D50BD6" w:rsidRPr="00D50BD6">
        <w:rPr>
          <w:spacing w:val="-2"/>
          <w:sz w:val="22"/>
          <w:szCs w:val="22"/>
          <w:lang w:val="en-GB"/>
        </w:rPr>
        <w:t>–</w:t>
      </w:r>
      <w:r w:rsidRPr="00D50BD6">
        <w:rPr>
          <w:spacing w:val="-2"/>
          <w:sz w:val="22"/>
          <w:szCs w:val="22"/>
          <w:lang w:val="en-GB"/>
        </w:rPr>
        <w:t>2018), Integration (2019</w:t>
      </w:r>
      <w:r w:rsidR="00D50BD6" w:rsidRPr="00D50BD6">
        <w:rPr>
          <w:spacing w:val="-2"/>
          <w:sz w:val="22"/>
          <w:szCs w:val="22"/>
          <w:lang w:val="en-GB"/>
        </w:rPr>
        <w:t>–</w:t>
      </w:r>
      <w:r w:rsidRPr="00D50BD6">
        <w:rPr>
          <w:spacing w:val="-2"/>
          <w:sz w:val="22"/>
          <w:szCs w:val="22"/>
          <w:lang w:val="en-GB"/>
        </w:rPr>
        <w:t>2023), and Validation (2024</w:t>
      </w:r>
      <w:r w:rsidR="00D50BD6" w:rsidRPr="00D50BD6">
        <w:rPr>
          <w:spacing w:val="-2"/>
          <w:sz w:val="22"/>
          <w:szCs w:val="22"/>
          <w:lang w:val="en-GB"/>
        </w:rPr>
        <w:t>–</w:t>
      </w:r>
      <w:r w:rsidRPr="00D50BD6">
        <w:rPr>
          <w:spacing w:val="-2"/>
          <w:sz w:val="22"/>
          <w:szCs w:val="22"/>
          <w:lang w:val="en-GB"/>
        </w:rPr>
        <w:t>2026).</w:t>
      </w:r>
      <w:r w:rsidRPr="00B20A34">
        <w:rPr>
          <w:sz w:val="22"/>
          <w:szCs w:val="22"/>
          <w:lang w:val="en-GB"/>
        </w:rPr>
        <w:t xml:space="preserve"> This systematic review presents a theoretical model, formulated and discussed in LaTeX, that establishes the presence of a "Transmission Mechanism" </w:t>
      </w:r>
      <w:r w:rsidR="005358DE">
        <w:rPr>
          <w:sz w:val="22"/>
          <w:szCs w:val="22"/>
          <w:lang w:val="en-GB"/>
        </w:rPr>
        <w:t>in which technology readiness and institutional environments</w:t>
      </w:r>
      <w:r w:rsidRPr="00B20A34">
        <w:rPr>
          <w:sz w:val="22"/>
          <w:szCs w:val="22"/>
          <w:lang w:val="en-GB"/>
        </w:rPr>
        <w:t xml:space="preserve"> within regions influence lifecycle efficiency and financial alpha verification.</w:t>
      </w:r>
    </w:p>
    <w:p w14:paraId="2A3A90BE" w14:textId="7C8DFB42" w:rsidR="009462F7" w:rsidRPr="00B20A34" w:rsidRDefault="00C56864" w:rsidP="00527404">
      <w:pPr>
        <w:pStyle w:val="Rn1"/>
        <w:rPr>
          <w:sz w:val="22"/>
          <w:lang w:val="en-GB"/>
        </w:rPr>
      </w:pPr>
      <w:r w:rsidRPr="00B20A34">
        <w:rPr>
          <w:lang w:val="en-GB"/>
        </w:rPr>
        <w:t xml:space="preserve">4. Results </w:t>
      </w:r>
      <w:r w:rsidR="009053B3" w:rsidRPr="00B20A34">
        <w:rPr>
          <w:lang w:val="en-GB"/>
        </w:rPr>
        <w:t>and</w:t>
      </w:r>
      <w:r w:rsidRPr="00B20A34">
        <w:rPr>
          <w:lang w:val="en-GB"/>
        </w:rPr>
        <w:t xml:space="preserve"> Discussion</w:t>
      </w:r>
    </w:p>
    <w:p w14:paraId="23CF83C5" w14:textId="5E60C35C" w:rsidR="009462F7" w:rsidRDefault="005358DE" w:rsidP="00BC6A52">
      <w:pPr>
        <w:pStyle w:val="NormalnyWeb"/>
        <w:spacing w:beforeAutospacing="0" w:afterAutospacing="0"/>
        <w:ind w:firstLine="284"/>
        <w:jc w:val="both"/>
        <w:rPr>
          <w:sz w:val="22"/>
          <w:szCs w:val="22"/>
          <w:lang w:val="en-GB"/>
        </w:rPr>
      </w:pPr>
      <w:r>
        <w:rPr>
          <w:sz w:val="22"/>
          <w:szCs w:val="22"/>
          <w:lang w:val="en-GB"/>
        </w:rPr>
        <w:t>To</w:t>
      </w:r>
      <w:r w:rsidR="00C56864" w:rsidRPr="00B20A34">
        <w:rPr>
          <w:sz w:val="22"/>
          <w:szCs w:val="22"/>
          <w:lang w:val="en-GB"/>
        </w:rPr>
        <w:t xml:space="preserve"> maintain </w:t>
      </w:r>
      <w:r w:rsidR="004A5FE1" w:rsidRPr="00B20A34">
        <w:rPr>
          <w:sz w:val="22"/>
          <w:szCs w:val="22"/>
          <w:lang w:val="en-GB"/>
        </w:rPr>
        <w:t xml:space="preserve">methodological </w:t>
      </w:r>
      <w:r w:rsidR="00C56864" w:rsidRPr="00B20A34">
        <w:rPr>
          <w:sz w:val="22"/>
          <w:szCs w:val="22"/>
          <w:lang w:val="en-GB"/>
        </w:rPr>
        <w:t xml:space="preserve">clarity and prevent bias, this paper adopts the </w:t>
      </w:r>
      <w:r>
        <w:rPr>
          <w:sz w:val="22"/>
          <w:szCs w:val="22"/>
          <w:lang w:val="en-GB"/>
        </w:rPr>
        <w:t>PRISMA (Preferred Reporting Items for Systematic Reviews) methodology (Moher et al., 2009) for conducting systematic literature reviews</w:t>
      </w:r>
      <w:r w:rsidR="00C56864" w:rsidRPr="00B20A34">
        <w:rPr>
          <w:sz w:val="22"/>
          <w:szCs w:val="22"/>
          <w:lang w:val="en-GB"/>
        </w:rPr>
        <w:t xml:space="preserve">. The adoption of PRISMA </w:t>
      </w:r>
      <w:r>
        <w:rPr>
          <w:sz w:val="22"/>
          <w:szCs w:val="22"/>
          <w:lang w:val="en-GB"/>
        </w:rPr>
        <w:t>enables us to conduct a precise, replicable search</w:t>
      </w:r>
      <w:r w:rsidR="00C56864" w:rsidRPr="00B20A34">
        <w:rPr>
          <w:sz w:val="22"/>
          <w:szCs w:val="22"/>
          <w:lang w:val="en-GB"/>
        </w:rPr>
        <w:t xml:space="preserve"> to select high-quality evidence from relevant literature. </w:t>
      </w:r>
      <w:r>
        <w:rPr>
          <w:sz w:val="22"/>
          <w:szCs w:val="22"/>
          <w:lang w:val="en-GB"/>
        </w:rPr>
        <w:t>Regarding smart-green housing investments, this paper aims to fill the performance gap by examining sustainable housing investments based on verified financial performance</w:t>
      </w:r>
      <w:r w:rsidR="00C56864" w:rsidRPr="00B20A34">
        <w:rPr>
          <w:sz w:val="22"/>
          <w:szCs w:val="22"/>
          <w:lang w:val="en-GB"/>
        </w:rPr>
        <w:t xml:space="preserve">. Figure 2 shows a step-by-step process </w:t>
      </w:r>
      <w:r>
        <w:rPr>
          <w:sz w:val="22"/>
          <w:szCs w:val="22"/>
          <w:lang w:val="en-GB"/>
        </w:rPr>
        <w:t>for selecting a final sample from an initial collection of 195 sources,</w:t>
      </w:r>
      <w:r w:rsidR="00C56864" w:rsidRPr="00B20A34">
        <w:rPr>
          <w:sz w:val="22"/>
          <w:szCs w:val="22"/>
          <w:lang w:val="en-GB"/>
        </w:rPr>
        <w:t xml:space="preserve"> down to 38 Scopus-indexed studies.</w:t>
      </w:r>
    </w:p>
    <w:p w14:paraId="6F170BD0" w14:textId="704FEBB0" w:rsidR="005358DE" w:rsidRPr="00B20A34" w:rsidRDefault="005358DE" w:rsidP="005358DE">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As per the PRISMA checklist, an initial search resulted in 195 articles, sourced from Google Scholar (n</w:t>
      </w:r>
      <w:r w:rsidR="000B0208">
        <w:rPr>
          <w:rFonts w:ascii="Times New Roman" w:eastAsia="Helvetica" w:hAnsi="Times New Roman" w:cs="Times New Roman"/>
          <w:sz w:val="22"/>
          <w:szCs w:val="22"/>
          <w:shd w:val="clear" w:color="auto" w:fill="FFFFFF"/>
          <w:lang w:val="en-GB"/>
        </w:rPr>
        <w:t> </w:t>
      </w:r>
      <w:r w:rsidRPr="00B20A34">
        <w:rPr>
          <w:rFonts w:ascii="Times New Roman" w:eastAsia="Helvetica" w:hAnsi="Times New Roman" w:cs="Times New Roman"/>
          <w:sz w:val="22"/>
          <w:szCs w:val="22"/>
          <w:shd w:val="clear" w:color="auto" w:fill="FFFFFF"/>
          <w:lang w:val="en-GB"/>
        </w:rPr>
        <w:t>=</w:t>
      </w:r>
      <w:r w:rsidR="000B0208">
        <w:rPr>
          <w:rFonts w:ascii="Times New Roman" w:eastAsia="Helvetica" w:hAnsi="Times New Roman" w:cs="Times New Roman"/>
          <w:sz w:val="22"/>
          <w:szCs w:val="22"/>
          <w:shd w:val="clear" w:color="auto" w:fill="FFFFFF"/>
          <w:lang w:val="en-GB"/>
        </w:rPr>
        <w:t> </w:t>
      </w:r>
      <w:r w:rsidRPr="00B20A34">
        <w:rPr>
          <w:rFonts w:ascii="Times New Roman" w:eastAsia="Helvetica" w:hAnsi="Times New Roman" w:cs="Times New Roman"/>
          <w:sz w:val="22"/>
          <w:szCs w:val="22"/>
          <w:shd w:val="clear" w:color="auto" w:fill="FFFFFF"/>
          <w:lang w:val="en-GB"/>
        </w:rPr>
        <w:t>180) and ResearchGate (n = 15). Duplicates were removed, and the remaining articles were screened based on their relevance to the study using inclusion criteria, namely empirical research on smart-green technology, efficiency, and profitability in real estate, and exclusion criteria, including non-empirical research and non-English language articles. After several rounds of screening, 38 Scopus-indexed articles published between 2014 and 2025 were finally selected for systematic review (see Figure 2).</w:t>
      </w:r>
    </w:p>
    <w:p w14:paraId="41337B89" w14:textId="77777777" w:rsidR="005358DE" w:rsidRPr="00B20A34" w:rsidRDefault="005358DE" w:rsidP="00BC6A52">
      <w:pPr>
        <w:pStyle w:val="NormalnyWeb"/>
        <w:spacing w:beforeAutospacing="0" w:afterAutospacing="0"/>
        <w:ind w:firstLine="284"/>
        <w:jc w:val="both"/>
        <w:rPr>
          <w:sz w:val="22"/>
          <w:szCs w:val="22"/>
          <w:lang w:val="en-GB"/>
        </w:rPr>
      </w:pPr>
    </w:p>
    <w:p w14:paraId="04DBDDBE" w14:textId="77777777" w:rsidR="000B0208" w:rsidRPr="000B0208" w:rsidRDefault="00C56864" w:rsidP="000B0208">
      <w:pPr>
        <w:pStyle w:val="NormalnyWeb"/>
        <w:spacing w:beforeAutospacing="0" w:afterAutospacing="0"/>
        <w:jc w:val="center"/>
        <w:rPr>
          <w:sz w:val="22"/>
          <w:szCs w:val="22"/>
          <w:lang w:val="en-GB"/>
        </w:rPr>
      </w:pPr>
      <w:r w:rsidRPr="000B0208">
        <w:rPr>
          <w:noProof/>
          <w:sz w:val="20"/>
          <w:szCs w:val="20"/>
          <w:lang w:val="en-GB" w:eastAsia="en-US"/>
        </w:rPr>
        <w:lastRenderedPageBreak/>
        <w:drawing>
          <wp:inline distT="0" distB="0" distL="0" distR="0" wp14:anchorId="2D5A2985" wp14:editId="32F25710">
            <wp:extent cx="4484370" cy="3734435"/>
            <wp:effectExtent l="0" t="0" r="0" b="0"/>
            <wp:docPr id="5" name="Picture 5" descr="Pri (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i (1)_page-000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484370" cy="3734435"/>
                    </a:xfrm>
                    <a:prstGeom prst="rect">
                      <a:avLst/>
                    </a:prstGeom>
                  </pic:spPr>
                </pic:pic>
              </a:graphicData>
            </a:graphic>
          </wp:inline>
        </w:drawing>
      </w:r>
    </w:p>
    <w:p w14:paraId="4ED5ECC5" w14:textId="1602CF6A" w:rsidR="009462F7" w:rsidRPr="00AF5196" w:rsidRDefault="00C56864" w:rsidP="000B0208">
      <w:pPr>
        <w:pStyle w:val="Rrys"/>
        <w:rPr>
          <w:shd w:val="clear" w:color="auto" w:fill="FFFFFF"/>
          <w:lang w:val="en-US"/>
        </w:rPr>
      </w:pPr>
      <w:r w:rsidRPr="00AF5196">
        <w:rPr>
          <w:b/>
          <w:bCs/>
          <w:lang w:val="en-US"/>
        </w:rPr>
        <w:t>Fig. 2.</w:t>
      </w:r>
      <w:r w:rsidRPr="00AF5196">
        <w:rPr>
          <w:lang w:val="en-US"/>
        </w:rPr>
        <w:t xml:space="preserve"> </w:t>
      </w:r>
      <w:r w:rsidRPr="00AF5196">
        <w:rPr>
          <w:shd w:val="clear" w:color="auto" w:fill="FFFFFF"/>
          <w:lang w:val="en-US"/>
        </w:rPr>
        <w:t>PRISMA Diagram</w:t>
      </w:r>
    </w:p>
    <w:p w14:paraId="7FE90DEA" w14:textId="75AD1C60" w:rsidR="009462F7" w:rsidRPr="00B20A34" w:rsidRDefault="00C56864" w:rsidP="00527404">
      <w:pPr>
        <w:pStyle w:val="Rrys"/>
        <w:spacing w:before="0"/>
        <w:rPr>
          <w:shd w:val="clear" w:color="auto" w:fill="FFFFFF"/>
          <w:lang w:val="en-GB"/>
        </w:rPr>
      </w:pPr>
      <w:r w:rsidRPr="00B20A34">
        <w:rPr>
          <w:shd w:val="clear" w:color="auto" w:fill="FFFFFF"/>
          <w:lang w:val="en-GB"/>
        </w:rPr>
        <w:t>Source: Author’s Compilation by La</w:t>
      </w:r>
      <w:r w:rsidR="005358DE">
        <w:rPr>
          <w:shd w:val="clear" w:color="auto" w:fill="FFFFFF"/>
          <w:lang w:val="en-GB"/>
        </w:rPr>
        <w:t>TeX</w:t>
      </w:r>
    </w:p>
    <w:p w14:paraId="2AC7CDBC" w14:textId="77777777" w:rsidR="009462F7" w:rsidRPr="00B20A34" w:rsidRDefault="009462F7" w:rsidP="00BC6A52">
      <w:pPr>
        <w:ind w:firstLine="284"/>
        <w:jc w:val="both"/>
        <w:rPr>
          <w:rFonts w:ascii="Times New Roman" w:eastAsia="Helvetica" w:hAnsi="Times New Roman" w:cs="Times New Roman"/>
          <w:sz w:val="22"/>
          <w:szCs w:val="22"/>
          <w:shd w:val="clear" w:color="auto" w:fill="FFFFFF"/>
          <w:lang w:val="en-GB"/>
        </w:rPr>
      </w:pPr>
    </w:p>
    <w:p w14:paraId="18395FE1" w14:textId="74FD4A81"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Adopting the approach suggested</w:t>
      </w:r>
      <w:r w:rsidR="009053B3" w:rsidRPr="00B20A34">
        <w:rPr>
          <w:rFonts w:ascii="Times New Roman" w:eastAsia="Helvetica" w:hAnsi="Times New Roman" w:cs="Times New Roman"/>
          <w:sz w:val="22"/>
          <w:szCs w:val="22"/>
          <w:shd w:val="clear" w:color="auto" w:fill="FFFFFF"/>
          <w:lang w:val="en-GB"/>
        </w:rPr>
        <w:t xml:space="preserve"> by Cobo et al. (2011), Table 1 </w:t>
      </w:r>
      <w:r w:rsidR="00993E85" w:rsidRPr="00B20A34">
        <w:rPr>
          <w:rFonts w:ascii="Times New Roman" w:eastAsia="Helvetica" w:hAnsi="Times New Roman" w:cs="Times New Roman"/>
          <w:sz w:val="22"/>
          <w:szCs w:val="22"/>
          <w:shd w:val="clear" w:color="auto" w:fill="FFFFFF"/>
          <w:lang w:val="en-GB"/>
        </w:rPr>
        <w:t xml:space="preserve">and </w:t>
      </w:r>
      <w:r w:rsidRPr="00B20A34">
        <w:rPr>
          <w:rFonts w:ascii="Times New Roman" w:eastAsia="Helvetica" w:hAnsi="Times New Roman" w:cs="Times New Roman"/>
          <w:sz w:val="22"/>
          <w:szCs w:val="22"/>
          <w:shd w:val="clear" w:color="auto" w:fill="FFFFFF"/>
          <w:lang w:val="en-GB"/>
        </w:rPr>
        <w:t xml:space="preserve">Figure 3 </w:t>
      </w:r>
      <w:r w:rsidR="005358DE">
        <w:rPr>
          <w:rFonts w:ascii="Times New Roman" w:eastAsia="Helvetica" w:hAnsi="Times New Roman" w:cs="Times New Roman"/>
          <w:sz w:val="22"/>
          <w:szCs w:val="22"/>
          <w:shd w:val="clear" w:color="auto" w:fill="FFFFFF"/>
          <w:lang w:val="en-GB"/>
        </w:rPr>
        <w:t>illustrate</w:t>
      </w:r>
      <w:r w:rsidRPr="00B20A34">
        <w:rPr>
          <w:rFonts w:ascii="Times New Roman" w:eastAsia="Helvetica" w:hAnsi="Times New Roman" w:cs="Times New Roman"/>
          <w:sz w:val="22"/>
          <w:szCs w:val="22"/>
          <w:shd w:val="clear" w:color="auto" w:fill="FFFFFF"/>
          <w:lang w:val="en-GB"/>
        </w:rPr>
        <w:t xml:space="preserve"> a thematic map of the knowledge development process in the field. This approach enables the researcher to present quantitative and qualitative </w:t>
      </w:r>
      <w:r w:rsidR="00993E85" w:rsidRPr="00B20A34">
        <w:rPr>
          <w:rFonts w:ascii="Times New Roman" w:eastAsia="Helvetica" w:hAnsi="Times New Roman" w:cs="Times New Roman"/>
          <w:sz w:val="22"/>
          <w:szCs w:val="22"/>
          <w:shd w:val="clear" w:color="auto" w:fill="FFFFFF"/>
          <w:lang w:val="en-GB"/>
        </w:rPr>
        <w:t xml:space="preserve">analyses </w:t>
      </w:r>
      <w:r w:rsidRPr="00B20A34">
        <w:rPr>
          <w:rFonts w:ascii="Times New Roman" w:eastAsia="Helvetica" w:hAnsi="Times New Roman" w:cs="Times New Roman"/>
          <w:sz w:val="22"/>
          <w:szCs w:val="22"/>
          <w:shd w:val="clear" w:color="auto" w:fill="FFFFFF"/>
          <w:lang w:val="en-GB"/>
        </w:rPr>
        <w:t>of the themes under study and identify potential frontiers in the area such as Industry 5.0 and Risk-Adjusted Performance.</w:t>
      </w:r>
    </w:p>
    <w:p w14:paraId="6C1FEBF7" w14:textId="77777777" w:rsidR="009462F7" w:rsidRPr="00B20A34" w:rsidRDefault="009462F7" w:rsidP="00BC6A52">
      <w:pPr>
        <w:ind w:firstLine="284"/>
        <w:jc w:val="both"/>
        <w:rPr>
          <w:rFonts w:ascii="Times New Roman" w:eastAsia="Helvetica" w:hAnsi="Times New Roman" w:cs="Times New Roman"/>
          <w:sz w:val="22"/>
          <w:szCs w:val="22"/>
          <w:shd w:val="clear" w:color="auto" w:fill="FFFFFF"/>
          <w:lang w:val="en-GB"/>
        </w:rPr>
      </w:pPr>
    </w:p>
    <w:p w14:paraId="1FAC4989" w14:textId="77777777" w:rsidR="009462F7" w:rsidRPr="00B20A34" w:rsidRDefault="00C56864" w:rsidP="00527404">
      <w:pPr>
        <w:pStyle w:val="Rtab"/>
        <w:rPr>
          <w:shd w:val="clear" w:color="auto" w:fill="FFFFFF"/>
          <w:lang w:val="en-GB"/>
        </w:rPr>
      </w:pPr>
      <w:r w:rsidRPr="00B20A34">
        <w:rPr>
          <w:b/>
          <w:bCs/>
          <w:shd w:val="clear" w:color="auto" w:fill="FFFFFF"/>
          <w:lang w:val="en-GB"/>
        </w:rPr>
        <w:t>Table 1.</w:t>
      </w:r>
      <w:r w:rsidRPr="00B20A34">
        <w:rPr>
          <w:lang w:val="en-GB"/>
        </w:rPr>
        <w:t xml:space="preserve"> </w:t>
      </w:r>
      <w:r w:rsidRPr="00B20A34">
        <w:rPr>
          <w:shd w:val="clear" w:color="auto" w:fill="FFFFFF"/>
          <w:lang w:val="en-GB"/>
        </w:rPr>
        <w:t>From Green Branding to Financial Alpha: A Systematic Review of the Smart-Green Transmission Mechanism in Global Real Estate</w:t>
      </w:r>
    </w:p>
    <w:tbl>
      <w:tblPr>
        <w:tblStyle w:val="TableGridLight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4"/>
        <w:gridCol w:w="2693"/>
        <w:gridCol w:w="2552"/>
        <w:gridCol w:w="3118"/>
      </w:tblGrid>
      <w:tr w:rsidR="00BC6A52" w:rsidRPr="00B20A34" w14:paraId="56A556DB" w14:textId="77777777" w:rsidTr="000B0208">
        <w:trPr>
          <w:trHeight w:val="397"/>
        </w:trPr>
        <w:tc>
          <w:tcPr>
            <w:tcW w:w="1384" w:type="dxa"/>
            <w:vAlign w:val="center"/>
          </w:tcPr>
          <w:p w14:paraId="2F8DC857" w14:textId="77777777" w:rsidR="009462F7" w:rsidRPr="00B20A34" w:rsidRDefault="00C56864" w:rsidP="00527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Period</w:t>
            </w:r>
          </w:p>
        </w:tc>
        <w:tc>
          <w:tcPr>
            <w:tcW w:w="2693" w:type="dxa"/>
            <w:vAlign w:val="center"/>
          </w:tcPr>
          <w:p w14:paraId="6D4B7497"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Primary Research Focus</w:t>
            </w:r>
          </w:p>
        </w:tc>
        <w:tc>
          <w:tcPr>
            <w:tcW w:w="2552" w:type="dxa"/>
            <w:vAlign w:val="center"/>
          </w:tcPr>
          <w:p w14:paraId="02C4AD89"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Dominant Technology</w:t>
            </w:r>
          </w:p>
        </w:tc>
        <w:tc>
          <w:tcPr>
            <w:tcW w:w="3118" w:type="dxa"/>
            <w:vAlign w:val="center"/>
          </w:tcPr>
          <w:p w14:paraId="4E420ACE"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Key Financial Metrics</w:t>
            </w:r>
          </w:p>
        </w:tc>
      </w:tr>
      <w:tr w:rsidR="00BC6A52" w:rsidRPr="00B20A34" w14:paraId="1820E539" w14:textId="77777777" w:rsidTr="000B0208">
        <w:trPr>
          <w:trHeight w:val="283"/>
        </w:trPr>
        <w:tc>
          <w:tcPr>
            <w:tcW w:w="1384" w:type="dxa"/>
            <w:vAlign w:val="center"/>
          </w:tcPr>
          <w:p w14:paraId="2001EE1F" w14:textId="3737185F" w:rsidR="009462F7" w:rsidRPr="00B20A34" w:rsidRDefault="00C56864" w:rsidP="00527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2012</w:t>
            </w:r>
            <w:r w:rsidR="00527404"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2018</w:t>
            </w:r>
          </w:p>
        </w:tc>
        <w:tc>
          <w:tcPr>
            <w:tcW w:w="2693" w:type="dxa"/>
            <w:vAlign w:val="center"/>
          </w:tcPr>
          <w:p w14:paraId="0518D795"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Eco-innovation Growth</w:t>
            </w:r>
          </w:p>
        </w:tc>
        <w:tc>
          <w:tcPr>
            <w:tcW w:w="2552" w:type="dxa"/>
            <w:vAlign w:val="center"/>
          </w:tcPr>
          <w:p w14:paraId="25132B13"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Basic Entry Retrofits</w:t>
            </w:r>
          </w:p>
        </w:tc>
        <w:tc>
          <w:tcPr>
            <w:tcW w:w="3118" w:type="dxa"/>
            <w:vAlign w:val="center"/>
          </w:tcPr>
          <w:p w14:paraId="6B68375D"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Rental/Asset Value</w:t>
            </w:r>
          </w:p>
        </w:tc>
      </w:tr>
      <w:tr w:rsidR="00BC6A52" w:rsidRPr="00B20A34" w14:paraId="1BDCDC2C" w14:textId="77777777" w:rsidTr="000B0208">
        <w:trPr>
          <w:trHeight w:val="283"/>
        </w:trPr>
        <w:tc>
          <w:tcPr>
            <w:tcW w:w="1384" w:type="dxa"/>
            <w:vAlign w:val="center"/>
          </w:tcPr>
          <w:p w14:paraId="410667B1" w14:textId="645530B9" w:rsidR="009462F7" w:rsidRPr="00B20A34" w:rsidRDefault="00C56864" w:rsidP="00527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2019</w:t>
            </w:r>
            <w:r w:rsidR="00527404"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2023</w:t>
            </w:r>
          </w:p>
        </w:tc>
        <w:tc>
          <w:tcPr>
            <w:tcW w:w="2693" w:type="dxa"/>
            <w:vAlign w:val="center"/>
          </w:tcPr>
          <w:p w14:paraId="2DC4BCAE"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Integrated SSC Framework</w:t>
            </w:r>
          </w:p>
        </w:tc>
        <w:tc>
          <w:tcPr>
            <w:tcW w:w="2552" w:type="dxa"/>
            <w:vAlign w:val="center"/>
          </w:tcPr>
          <w:p w14:paraId="6F872EB5"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BIM, IoT, &amp; Blockchain</w:t>
            </w:r>
          </w:p>
        </w:tc>
        <w:tc>
          <w:tcPr>
            <w:tcW w:w="3118" w:type="dxa"/>
            <w:vAlign w:val="center"/>
          </w:tcPr>
          <w:p w14:paraId="3017CB3E"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Operational Cost Savings</w:t>
            </w:r>
          </w:p>
        </w:tc>
      </w:tr>
      <w:tr w:rsidR="00BC6A52" w:rsidRPr="00B20A34" w14:paraId="63221F87" w14:textId="77777777" w:rsidTr="000B0208">
        <w:trPr>
          <w:trHeight w:val="283"/>
        </w:trPr>
        <w:tc>
          <w:tcPr>
            <w:tcW w:w="1384" w:type="dxa"/>
            <w:vAlign w:val="center"/>
          </w:tcPr>
          <w:p w14:paraId="02F744E0" w14:textId="7EBC1DCE" w:rsidR="009462F7" w:rsidRPr="00B20A34" w:rsidRDefault="00C56864" w:rsidP="00527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2024</w:t>
            </w:r>
            <w:r w:rsidR="00527404"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2026</w:t>
            </w:r>
          </w:p>
        </w:tc>
        <w:tc>
          <w:tcPr>
            <w:tcW w:w="2693" w:type="dxa"/>
            <w:vAlign w:val="center"/>
          </w:tcPr>
          <w:p w14:paraId="631A0463" w14:textId="4FAE9E5F"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Risk</w:t>
            </w:r>
            <w:r w:rsidR="005358DE">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Adjusted Validation</w:t>
            </w:r>
          </w:p>
        </w:tc>
        <w:tc>
          <w:tcPr>
            <w:tcW w:w="2552" w:type="dxa"/>
            <w:vAlign w:val="center"/>
          </w:tcPr>
          <w:p w14:paraId="782740F3" w14:textId="77777777"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AI &amp; Industry 5.0</w:t>
            </w:r>
          </w:p>
        </w:tc>
        <w:tc>
          <w:tcPr>
            <w:tcW w:w="3118" w:type="dxa"/>
            <w:vAlign w:val="center"/>
          </w:tcPr>
          <w:p w14:paraId="14F3AC35" w14:textId="044E3754"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RAAP and Lifecycle AI</w:t>
            </w:r>
          </w:p>
        </w:tc>
      </w:tr>
    </w:tbl>
    <w:p w14:paraId="2F2079AD" w14:textId="77777777" w:rsidR="009462F7" w:rsidRPr="00B20A34" w:rsidRDefault="00C56864" w:rsidP="00527404">
      <w:pPr>
        <w:pStyle w:val="Rrys"/>
        <w:spacing w:before="60"/>
        <w:rPr>
          <w:sz w:val="22"/>
          <w:szCs w:val="22"/>
          <w:shd w:val="clear" w:color="auto" w:fill="FFFFFF"/>
          <w:lang w:val="en-GB"/>
        </w:rPr>
      </w:pPr>
      <w:r w:rsidRPr="00B20A34">
        <w:rPr>
          <w:shd w:val="clear" w:color="auto" w:fill="FFFFFF"/>
          <w:lang w:val="en-GB"/>
        </w:rPr>
        <w:t>Source: Author’s Compilation</w:t>
      </w:r>
    </w:p>
    <w:p w14:paraId="61CE2F9A" w14:textId="77777777" w:rsidR="00527404" w:rsidRPr="00B20A34" w:rsidRDefault="00527404" w:rsidP="00050320">
      <w:pPr>
        <w:ind w:firstLine="284"/>
        <w:jc w:val="both"/>
        <w:rPr>
          <w:rFonts w:ascii="Times New Roman" w:eastAsia="Helvetica" w:hAnsi="Times New Roman" w:cs="Times New Roman"/>
          <w:sz w:val="22"/>
          <w:szCs w:val="22"/>
          <w:shd w:val="clear" w:color="auto" w:fill="FFFFFF"/>
          <w:lang w:val="en-GB"/>
        </w:rPr>
      </w:pPr>
    </w:p>
    <w:p w14:paraId="0BE8B073" w14:textId="3DF45784" w:rsidR="009462F7" w:rsidRPr="00B20A34" w:rsidRDefault="00C56864" w:rsidP="00527404">
      <w:pPr>
        <w:ind w:firstLine="284"/>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noProof/>
          <w:sz w:val="22"/>
          <w:szCs w:val="22"/>
          <w:shd w:val="clear" w:color="auto" w:fill="FFFFFF"/>
          <w:lang w:val="en-GB" w:eastAsia="en-US"/>
        </w:rPr>
        <w:drawing>
          <wp:inline distT="0" distB="0" distL="0" distR="0" wp14:anchorId="15369AAA" wp14:editId="6F778919">
            <wp:extent cx="4179570" cy="2275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79570" cy="2275205"/>
                    </a:xfrm>
                    <a:prstGeom prst="rect">
                      <a:avLst/>
                    </a:prstGeom>
                  </pic:spPr>
                </pic:pic>
              </a:graphicData>
            </a:graphic>
          </wp:inline>
        </w:drawing>
      </w:r>
    </w:p>
    <w:p w14:paraId="78C5F401" w14:textId="77777777" w:rsidR="009462F7" w:rsidRPr="00B20A34" w:rsidRDefault="00C56864" w:rsidP="00527404">
      <w:pPr>
        <w:pStyle w:val="Rrys"/>
        <w:rPr>
          <w:shd w:val="clear" w:color="auto" w:fill="FFFFFF"/>
          <w:lang w:val="en-GB"/>
        </w:rPr>
      </w:pPr>
      <w:r w:rsidRPr="00B20A34">
        <w:rPr>
          <w:b/>
          <w:bCs/>
          <w:shd w:val="clear" w:color="auto" w:fill="FFFFFF"/>
          <w:lang w:val="en-GB"/>
        </w:rPr>
        <w:t>Fig. 3.</w:t>
      </w:r>
      <w:r w:rsidRPr="00B20A34">
        <w:rPr>
          <w:shd w:val="clear" w:color="auto" w:fill="FFFFFF"/>
          <w:lang w:val="en-GB"/>
        </w:rPr>
        <w:t xml:space="preserve"> Thematic Map</w:t>
      </w:r>
    </w:p>
    <w:p w14:paraId="5D2ECE76" w14:textId="77777777" w:rsidR="009462F7" w:rsidRPr="00B20A34" w:rsidRDefault="00C56864" w:rsidP="00527404">
      <w:pPr>
        <w:pStyle w:val="Rrys"/>
        <w:spacing w:before="0"/>
        <w:rPr>
          <w:rFonts w:eastAsia="Helvetica"/>
          <w:szCs w:val="20"/>
          <w:shd w:val="clear" w:color="auto" w:fill="FFFFFF"/>
          <w:lang w:val="en-GB"/>
        </w:rPr>
      </w:pPr>
      <w:r w:rsidRPr="00B20A34">
        <w:rPr>
          <w:rFonts w:eastAsia="Helvetica"/>
          <w:szCs w:val="20"/>
          <w:shd w:val="clear" w:color="auto" w:fill="FFFFFF"/>
          <w:lang w:val="en-GB"/>
        </w:rPr>
        <w:t>Source: Author’s Compilation</w:t>
      </w:r>
    </w:p>
    <w:p w14:paraId="689E07E8" w14:textId="0FD68A8A"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lastRenderedPageBreak/>
        <w:t xml:space="preserve">The findings from Table 1 and the Thematic Map (Figure 3) show a three-phase development of research on smart-green residential buildings. The first phase is called the Foundational Period (2012-2018), which laid the foundation of “u-eco” city planning and </w:t>
      </w:r>
      <w:r w:rsidR="005358DE">
        <w:rPr>
          <w:rFonts w:ascii="Times New Roman" w:eastAsia="Helvetica" w:hAnsi="Times New Roman" w:cs="Times New Roman"/>
          <w:sz w:val="22"/>
          <w:szCs w:val="22"/>
          <w:shd w:val="clear" w:color="auto" w:fill="FFFFFF"/>
          <w:lang w:val="en-GB"/>
        </w:rPr>
        <w:t xml:space="preserve">the </w:t>
      </w:r>
      <w:r w:rsidRPr="00B20A34">
        <w:rPr>
          <w:rFonts w:ascii="Times New Roman" w:eastAsia="Helvetica" w:hAnsi="Times New Roman" w:cs="Times New Roman"/>
          <w:sz w:val="22"/>
          <w:szCs w:val="22"/>
          <w:shd w:val="clear" w:color="auto" w:fill="FFFFFF"/>
          <w:lang w:val="en-GB"/>
        </w:rPr>
        <w:t xml:space="preserve">feasibility study of a smart grid. Then came the Integration Period (2019-2023), which focused on BIM and IoT to ensure transparency and </w:t>
      </w:r>
      <w:r w:rsidR="005358DE">
        <w:rPr>
          <w:rFonts w:ascii="Times New Roman" w:eastAsia="Helvetica" w:hAnsi="Times New Roman" w:cs="Times New Roman"/>
          <w:sz w:val="22"/>
          <w:szCs w:val="22"/>
          <w:shd w:val="clear" w:color="auto" w:fill="FFFFFF"/>
          <w:lang w:val="en-GB"/>
        </w:rPr>
        <w:t>operational efficiency</w:t>
      </w:r>
      <w:r w:rsidRPr="00B20A34">
        <w:rPr>
          <w:rFonts w:ascii="Times New Roman" w:eastAsia="Helvetica" w:hAnsi="Times New Roman" w:cs="Times New Roman"/>
          <w:sz w:val="22"/>
          <w:szCs w:val="22"/>
          <w:shd w:val="clear" w:color="auto" w:fill="FFFFFF"/>
          <w:lang w:val="en-GB"/>
        </w:rPr>
        <w:t xml:space="preserve">. Finally, the third period, known as the Validation Period (2024-2026), uses Industry 5.0 and human-centric design, where digital optimization becomes the leading Motor Theme. While there has been </w:t>
      </w:r>
      <w:r w:rsidR="005358DE">
        <w:rPr>
          <w:rFonts w:ascii="Times New Roman" w:eastAsia="Helvetica" w:hAnsi="Times New Roman" w:cs="Times New Roman"/>
          <w:sz w:val="22"/>
          <w:szCs w:val="22"/>
          <w:shd w:val="clear" w:color="auto" w:fill="FFFFFF"/>
          <w:lang w:val="en-GB"/>
        </w:rPr>
        <w:t>significant technological advancement, it still falls short in terms of long-term financial and environmental valuation</w:t>
      </w:r>
      <w:r w:rsidRPr="00B20A34">
        <w:rPr>
          <w:rFonts w:ascii="Times New Roman" w:eastAsia="Helvetica" w:hAnsi="Times New Roman" w:cs="Times New Roman"/>
          <w:sz w:val="22"/>
          <w:szCs w:val="22"/>
          <w:shd w:val="clear" w:color="auto" w:fill="FFFFFF"/>
          <w:lang w:val="en-GB"/>
        </w:rPr>
        <w:t>.</w:t>
      </w:r>
    </w:p>
    <w:p w14:paraId="34048916" w14:textId="6EC922C9" w:rsidR="005358DE" w:rsidRPr="00B20A34" w:rsidRDefault="005358DE" w:rsidP="005358DE">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The synthetic dataset outlined in Table 2 is divided into global eco-city projects </w:t>
      </w:r>
      <w:r>
        <w:rPr>
          <w:rFonts w:ascii="Times New Roman" w:eastAsia="Helvetica" w:hAnsi="Times New Roman" w:cs="Times New Roman"/>
          <w:sz w:val="22"/>
          <w:szCs w:val="22"/>
          <w:shd w:val="clear" w:color="auto" w:fill="FFFFFF"/>
          <w:lang w:val="en-GB"/>
        </w:rPr>
        <w:t>to account for the contextual diversity discussed in Research Objective 3, thereby</w:t>
      </w:r>
      <w:r w:rsidRPr="00B20A34">
        <w:rPr>
          <w:rFonts w:ascii="Times New Roman" w:eastAsia="Helvetica" w:hAnsi="Times New Roman" w:cs="Times New Roman"/>
          <w:sz w:val="22"/>
          <w:szCs w:val="22"/>
          <w:shd w:val="clear" w:color="auto" w:fill="FFFFFF"/>
          <w:lang w:val="en-GB"/>
        </w:rPr>
        <w:t xml:space="preserve"> creating a sound empirical foundation for addressing the ongoing performance gap between green marketing and actual financial alpha generation. By examining varying institutional frameworks, such as Japan’s national eco-city contests or the World Bank’s Eco2-Cities ventures in Indonesia and Vietnam, the study shows how local regulatory systems and physical attributes, such as structure age and size, can act as critical moderating factors in the proposed Transmission Mechanism. The findings clearly show that</w:t>
      </w:r>
      <w:r>
        <w:rPr>
          <w:rFonts w:ascii="Times New Roman" w:eastAsia="Helvetica" w:hAnsi="Times New Roman" w:cs="Times New Roman"/>
          <w:sz w:val="22"/>
          <w:szCs w:val="22"/>
          <w:shd w:val="clear" w:color="auto" w:fill="FFFFFF"/>
          <w:lang w:val="en-GB"/>
        </w:rPr>
        <w:t xml:space="preserve"> although Smart-Green Technology Maturity is an important and universally applicable variable in this model, its value cannot be directly translated across contexts without regional adapt</w:t>
      </w:r>
      <w:r w:rsidRPr="00B20A34">
        <w:rPr>
          <w:rFonts w:ascii="Times New Roman" w:eastAsia="Helvetica" w:hAnsi="Times New Roman" w:cs="Times New Roman"/>
          <w:sz w:val="22"/>
          <w:szCs w:val="22"/>
          <w:shd w:val="clear" w:color="auto" w:fill="FFFFFF"/>
          <w:lang w:val="en-GB"/>
        </w:rPr>
        <w:t>ation. In fact, both NPV and risk-adjusted returns are heavily dependent on locally defined economic environments, policy incentives, and climatic conditions.</w:t>
      </w:r>
    </w:p>
    <w:p w14:paraId="11A22CDF" w14:textId="77777777" w:rsidR="009462F7" w:rsidRPr="00B20A34" w:rsidRDefault="009462F7" w:rsidP="00BC6A52">
      <w:pPr>
        <w:ind w:firstLine="284"/>
        <w:jc w:val="both"/>
        <w:rPr>
          <w:rFonts w:ascii="Times New Roman" w:eastAsia="Helvetica" w:hAnsi="Times New Roman" w:cs="Times New Roman"/>
          <w:sz w:val="22"/>
          <w:szCs w:val="22"/>
          <w:shd w:val="clear" w:color="auto" w:fill="FFFFFF"/>
          <w:lang w:val="en-GB"/>
        </w:rPr>
      </w:pPr>
    </w:p>
    <w:p w14:paraId="15A01578" w14:textId="77777777" w:rsidR="009462F7" w:rsidRPr="00B20A34" w:rsidRDefault="00C56864" w:rsidP="00527404">
      <w:pPr>
        <w:pStyle w:val="Rtab"/>
        <w:rPr>
          <w:shd w:val="clear" w:color="auto" w:fill="FFFFFF"/>
          <w:lang w:val="en-GB"/>
        </w:rPr>
      </w:pPr>
      <w:r w:rsidRPr="00B20A34">
        <w:rPr>
          <w:b/>
          <w:bCs/>
          <w:shd w:val="clear" w:color="auto" w:fill="FFFFFF"/>
          <w:lang w:val="en-GB"/>
        </w:rPr>
        <w:t>Table 2.</w:t>
      </w:r>
      <w:r w:rsidRPr="00B20A34">
        <w:rPr>
          <w:shd w:val="clear" w:color="auto" w:fill="FFFFFF"/>
          <w:lang w:val="en-GB"/>
        </w:rPr>
        <w:t xml:space="preserve"> Summary of Global Eco-City Initiatives</w:t>
      </w:r>
    </w:p>
    <w:tbl>
      <w:tblPr>
        <w:tblStyle w:val="TableGridLight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67"/>
        <w:gridCol w:w="3685"/>
        <w:gridCol w:w="4484"/>
      </w:tblGrid>
      <w:tr w:rsidR="00BC6A52" w:rsidRPr="00B20A34" w14:paraId="3CB9DC07" w14:textId="77777777" w:rsidTr="00527404">
        <w:trPr>
          <w:trHeight w:val="397"/>
          <w:jc w:val="center"/>
        </w:trPr>
        <w:tc>
          <w:tcPr>
            <w:tcW w:w="1367" w:type="dxa"/>
            <w:vAlign w:val="center"/>
          </w:tcPr>
          <w:p w14:paraId="396467BF"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Country</w:t>
            </w:r>
          </w:p>
        </w:tc>
        <w:tc>
          <w:tcPr>
            <w:tcW w:w="3685" w:type="dxa"/>
            <w:vAlign w:val="center"/>
          </w:tcPr>
          <w:p w14:paraId="5BECEB58"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Program Name</w:t>
            </w:r>
          </w:p>
        </w:tc>
        <w:tc>
          <w:tcPr>
            <w:tcW w:w="4484" w:type="dxa"/>
            <w:vAlign w:val="center"/>
          </w:tcPr>
          <w:p w14:paraId="2B0D6A75"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Specific Cities or Projects Mentioned</w:t>
            </w:r>
          </w:p>
        </w:tc>
      </w:tr>
      <w:tr w:rsidR="00BC6A52" w:rsidRPr="00B20A34" w14:paraId="1639C096" w14:textId="77777777" w:rsidTr="00527404">
        <w:trPr>
          <w:jc w:val="center"/>
        </w:trPr>
        <w:tc>
          <w:tcPr>
            <w:tcW w:w="1367" w:type="dxa"/>
            <w:vAlign w:val="center"/>
          </w:tcPr>
          <w:p w14:paraId="413AC3FF"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China</w:t>
            </w:r>
          </w:p>
        </w:tc>
        <w:tc>
          <w:tcPr>
            <w:tcW w:w="3685" w:type="dxa"/>
            <w:vAlign w:val="center"/>
          </w:tcPr>
          <w:p w14:paraId="067DE41C"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National Eco-City Program</w:t>
            </w:r>
          </w:p>
        </w:tc>
        <w:tc>
          <w:tcPr>
            <w:tcW w:w="4484" w:type="dxa"/>
            <w:vAlign w:val="center"/>
          </w:tcPr>
          <w:p w14:paraId="26A4AAD0" w14:textId="4E42876A"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100+ projects under development; </w:t>
            </w:r>
            <w:r w:rsidR="00527404" w:rsidRPr="00B20A3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259 cities aiming for "Low-Carbon" status</w:t>
            </w:r>
          </w:p>
        </w:tc>
      </w:tr>
      <w:tr w:rsidR="00BC6A52" w:rsidRPr="00B20A34" w14:paraId="71EDFC35" w14:textId="77777777" w:rsidTr="00527404">
        <w:trPr>
          <w:jc w:val="center"/>
        </w:trPr>
        <w:tc>
          <w:tcPr>
            <w:tcW w:w="1367" w:type="dxa"/>
            <w:vAlign w:val="center"/>
          </w:tcPr>
          <w:p w14:paraId="409DF7DC"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South Korea</w:t>
            </w:r>
          </w:p>
        </w:tc>
        <w:tc>
          <w:tcPr>
            <w:tcW w:w="3685" w:type="dxa"/>
            <w:vAlign w:val="center"/>
          </w:tcPr>
          <w:p w14:paraId="073A83B3"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National Urban Policy Program</w:t>
            </w:r>
          </w:p>
        </w:tc>
        <w:tc>
          <w:tcPr>
            <w:tcW w:w="4484" w:type="dxa"/>
            <w:vAlign w:val="center"/>
          </w:tcPr>
          <w:p w14:paraId="6ADB1628" w14:textId="5C6FF623" w:rsidR="009462F7" w:rsidRPr="00B20A34" w:rsidRDefault="00C56864" w:rsidP="00527404">
            <w:pPr>
              <w:rPr>
                <w:rFonts w:ascii="Times New Roman" w:eastAsia="Helvetica" w:hAnsi="Times New Roman" w:cs="Times New Roman"/>
                <w:sz w:val="22"/>
                <w:szCs w:val="22"/>
                <w:shd w:val="clear" w:color="auto" w:fill="FFFFFF"/>
                <w:lang w:val="en-GB"/>
              </w:rPr>
            </w:pPr>
            <w:proofErr w:type="spellStart"/>
            <w:r w:rsidRPr="00B20A34">
              <w:rPr>
                <w:rFonts w:ascii="Times New Roman" w:eastAsia="Helvetica" w:hAnsi="Times New Roman" w:cs="Times New Roman"/>
                <w:sz w:val="22"/>
                <w:szCs w:val="22"/>
                <w:shd w:val="clear" w:color="auto" w:fill="FFFFFF"/>
                <w:lang w:val="en-GB"/>
              </w:rPr>
              <w:t>Gwanggyo</w:t>
            </w:r>
            <w:proofErr w:type="spellEnd"/>
            <w:r w:rsidRPr="00B20A34">
              <w:rPr>
                <w:rFonts w:ascii="Times New Roman" w:eastAsia="Helvetica" w:hAnsi="Times New Roman" w:cs="Times New Roman"/>
                <w:sz w:val="22"/>
                <w:szCs w:val="22"/>
                <w:shd w:val="clear" w:color="auto" w:fill="FFFFFF"/>
                <w:lang w:val="en-GB"/>
              </w:rPr>
              <w:t xml:space="preserve"> </w:t>
            </w:r>
            <w:proofErr w:type="spellStart"/>
            <w:r w:rsidRPr="00B20A34">
              <w:rPr>
                <w:rFonts w:ascii="Times New Roman" w:eastAsia="Helvetica" w:hAnsi="Times New Roman" w:cs="Times New Roman"/>
                <w:sz w:val="22"/>
                <w:szCs w:val="22"/>
                <w:shd w:val="clear" w:color="auto" w:fill="FFFFFF"/>
                <w:lang w:val="en-GB"/>
              </w:rPr>
              <w:t>Ekonhill</w:t>
            </w:r>
            <w:proofErr w:type="spellEnd"/>
            <w:r w:rsidRPr="00B20A34">
              <w:rPr>
                <w:rFonts w:ascii="Times New Roman" w:eastAsia="Helvetica" w:hAnsi="Times New Roman" w:cs="Times New Roman"/>
                <w:sz w:val="22"/>
                <w:szCs w:val="22"/>
                <w:shd w:val="clear" w:color="auto" w:fill="FFFFFF"/>
                <w:lang w:val="en-GB"/>
              </w:rPr>
              <w:t xml:space="preserve">, Incheon Eco-City, </w:t>
            </w:r>
            <w:r w:rsidR="00527404" w:rsidRPr="00B20A34">
              <w:rPr>
                <w:rFonts w:ascii="Times New Roman" w:eastAsia="Helvetica" w:hAnsi="Times New Roman" w:cs="Times New Roman"/>
                <w:sz w:val="22"/>
                <w:szCs w:val="22"/>
                <w:shd w:val="clear" w:color="auto" w:fill="FFFFFF"/>
                <w:lang w:val="en-GB"/>
              </w:rPr>
              <w:br/>
            </w:r>
            <w:proofErr w:type="spellStart"/>
            <w:r w:rsidRPr="00B20A34">
              <w:rPr>
                <w:rFonts w:ascii="Times New Roman" w:eastAsia="Helvetica" w:hAnsi="Times New Roman" w:cs="Times New Roman"/>
                <w:sz w:val="22"/>
                <w:szCs w:val="22"/>
                <w:shd w:val="clear" w:color="auto" w:fill="FFFFFF"/>
                <w:lang w:val="en-GB"/>
              </w:rPr>
              <w:t>Magok</w:t>
            </w:r>
            <w:proofErr w:type="spellEnd"/>
            <w:r w:rsidRPr="00B20A34">
              <w:rPr>
                <w:rFonts w:ascii="Times New Roman" w:eastAsia="Helvetica" w:hAnsi="Times New Roman" w:cs="Times New Roman"/>
                <w:sz w:val="22"/>
                <w:szCs w:val="22"/>
                <w:shd w:val="clear" w:color="auto" w:fill="FFFFFF"/>
                <w:lang w:val="en-GB"/>
              </w:rPr>
              <w:t xml:space="preserve"> (Seoul), Sejong, and Songdo </w:t>
            </w:r>
            <w:r w:rsidR="00527404" w:rsidRPr="00B20A3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International Business District</w:t>
            </w:r>
          </w:p>
        </w:tc>
      </w:tr>
      <w:tr w:rsidR="00BC6A52" w:rsidRPr="00B20A34" w14:paraId="39AFCE7E" w14:textId="77777777" w:rsidTr="00527404">
        <w:trPr>
          <w:jc w:val="center"/>
        </w:trPr>
        <w:tc>
          <w:tcPr>
            <w:tcW w:w="1367" w:type="dxa"/>
            <w:vAlign w:val="center"/>
          </w:tcPr>
          <w:p w14:paraId="51F16AE0"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Japan</w:t>
            </w:r>
          </w:p>
        </w:tc>
        <w:tc>
          <w:tcPr>
            <w:tcW w:w="3685" w:type="dxa"/>
            <w:vAlign w:val="center"/>
          </w:tcPr>
          <w:p w14:paraId="359DE353"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National Eco-City Competition (2009)</w:t>
            </w:r>
          </w:p>
        </w:tc>
        <w:tc>
          <w:tcPr>
            <w:tcW w:w="4484" w:type="dxa"/>
            <w:vAlign w:val="center"/>
          </w:tcPr>
          <w:p w14:paraId="0526B9BA" w14:textId="06CC0888"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Chiyoda, Iida, Kitakyushu, Kyoto, Minamata, Miyakojima, </w:t>
            </w:r>
            <w:proofErr w:type="spellStart"/>
            <w:r w:rsidRPr="00B20A34">
              <w:rPr>
                <w:rFonts w:ascii="Times New Roman" w:eastAsia="Helvetica" w:hAnsi="Times New Roman" w:cs="Times New Roman"/>
                <w:sz w:val="22"/>
                <w:szCs w:val="22"/>
                <w:shd w:val="clear" w:color="auto" w:fill="FFFFFF"/>
                <w:lang w:val="en-GB"/>
              </w:rPr>
              <w:t>Obihiro</w:t>
            </w:r>
            <w:proofErr w:type="spellEnd"/>
            <w:r w:rsidRPr="00B20A34">
              <w:rPr>
                <w:rFonts w:ascii="Times New Roman" w:eastAsia="Helvetica" w:hAnsi="Times New Roman" w:cs="Times New Roman"/>
                <w:sz w:val="22"/>
                <w:szCs w:val="22"/>
                <w:shd w:val="clear" w:color="auto" w:fill="FFFFFF"/>
                <w:lang w:val="en-GB"/>
              </w:rPr>
              <w:t xml:space="preserve">, Sakai, Shimokawa, Toyama, Toyota, Yokohama, and </w:t>
            </w:r>
            <w:proofErr w:type="spellStart"/>
            <w:r w:rsidRPr="00B20A34">
              <w:rPr>
                <w:rFonts w:ascii="Times New Roman" w:eastAsia="Helvetica" w:hAnsi="Times New Roman" w:cs="Times New Roman"/>
                <w:sz w:val="22"/>
                <w:szCs w:val="22"/>
                <w:shd w:val="clear" w:color="auto" w:fill="FFFFFF"/>
                <w:lang w:val="en-GB"/>
              </w:rPr>
              <w:t>Yusuhura</w:t>
            </w:r>
            <w:proofErr w:type="spellEnd"/>
          </w:p>
        </w:tc>
      </w:tr>
      <w:tr w:rsidR="00BC6A52" w:rsidRPr="00B20A34" w14:paraId="53DBCE61" w14:textId="77777777" w:rsidTr="00527404">
        <w:trPr>
          <w:trHeight w:val="167"/>
          <w:jc w:val="center"/>
        </w:trPr>
        <w:tc>
          <w:tcPr>
            <w:tcW w:w="1367" w:type="dxa"/>
            <w:vMerge w:val="restart"/>
            <w:vAlign w:val="center"/>
          </w:tcPr>
          <w:p w14:paraId="28917AE9"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India</w:t>
            </w:r>
          </w:p>
        </w:tc>
        <w:tc>
          <w:tcPr>
            <w:tcW w:w="3685" w:type="dxa"/>
            <w:vAlign w:val="center"/>
          </w:tcPr>
          <w:p w14:paraId="70250CE4"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Pilot Eco-City Projects (2001)</w:t>
            </w:r>
          </w:p>
        </w:tc>
        <w:tc>
          <w:tcPr>
            <w:tcW w:w="4484" w:type="dxa"/>
            <w:vAlign w:val="center"/>
          </w:tcPr>
          <w:p w14:paraId="586C7545" w14:textId="78FE8B8F"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Retrofitting: Kottayam, Puri, Thanjavur, Tirupati, Ujjain, and Vrindavan</w:t>
            </w:r>
          </w:p>
        </w:tc>
      </w:tr>
      <w:tr w:rsidR="00BC6A52" w:rsidRPr="00B20A34" w14:paraId="43049553" w14:textId="77777777" w:rsidTr="00527404">
        <w:trPr>
          <w:trHeight w:val="167"/>
          <w:jc w:val="center"/>
        </w:trPr>
        <w:tc>
          <w:tcPr>
            <w:tcW w:w="1367" w:type="dxa"/>
            <w:vMerge/>
            <w:vAlign w:val="center"/>
          </w:tcPr>
          <w:p w14:paraId="328931CF" w14:textId="77777777" w:rsidR="009462F7" w:rsidRPr="00B20A34" w:rsidRDefault="009462F7" w:rsidP="00527404">
            <w:pPr>
              <w:jc w:val="both"/>
              <w:rPr>
                <w:rFonts w:ascii="Times New Roman" w:eastAsia="Helvetica" w:hAnsi="Times New Roman" w:cs="Times New Roman"/>
                <w:sz w:val="22"/>
                <w:szCs w:val="22"/>
                <w:shd w:val="clear" w:color="auto" w:fill="FFFFFF"/>
                <w:lang w:val="en-GB"/>
              </w:rPr>
            </w:pPr>
          </w:p>
        </w:tc>
        <w:tc>
          <w:tcPr>
            <w:tcW w:w="3685" w:type="dxa"/>
            <w:vAlign w:val="center"/>
          </w:tcPr>
          <w:p w14:paraId="5448B27B"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Delhi-Mumbai Corridor (2010)</w:t>
            </w:r>
          </w:p>
        </w:tc>
        <w:tc>
          <w:tcPr>
            <w:tcW w:w="4484" w:type="dxa"/>
            <w:vAlign w:val="center"/>
          </w:tcPr>
          <w:p w14:paraId="03F40230" w14:textId="5C3450F4" w:rsidR="009462F7" w:rsidRPr="00B20A34" w:rsidRDefault="00C56864" w:rsidP="00527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New-build: </w:t>
            </w:r>
            <w:proofErr w:type="spellStart"/>
            <w:r w:rsidRPr="00B20A34">
              <w:rPr>
                <w:rFonts w:ascii="Times New Roman" w:eastAsia="Helvetica" w:hAnsi="Times New Roman" w:cs="Times New Roman"/>
                <w:sz w:val="22"/>
                <w:szCs w:val="22"/>
                <w:shd w:val="clear" w:color="auto" w:fill="FFFFFF"/>
                <w:lang w:val="en-GB"/>
              </w:rPr>
              <w:t>Changodar</w:t>
            </w:r>
            <w:proofErr w:type="spellEnd"/>
            <w:r w:rsidRPr="00B20A34">
              <w:rPr>
                <w:rFonts w:ascii="Times New Roman" w:eastAsia="Helvetica" w:hAnsi="Times New Roman" w:cs="Times New Roman"/>
                <w:sz w:val="22"/>
                <w:szCs w:val="22"/>
                <w:shd w:val="clear" w:color="auto" w:fill="FFFFFF"/>
                <w:lang w:val="en-GB"/>
              </w:rPr>
              <w:t xml:space="preserve">, </w:t>
            </w:r>
            <w:proofErr w:type="spellStart"/>
            <w:r w:rsidRPr="00B20A34">
              <w:rPr>
                <w:rFonts w:ascii="Times New Roman" w:eastAsia="Helvetica" w:hAnsi="Times New Roman" w:cs="Times New Roman"/>
                <w:sz w:val="22"/>
                <w:szCs w:val="22"/>
                <w:shd w:val="clear" w:color="auto" w:fill="FFFFFF"/>
                <w:lang w:val="en-GB"/>
              </w:rPr>
              <w:t>Dahej</w:t>
            </w:r>
            <w:proofErr w:type="spellEnd"/>
            <w:r w:rsidRPr="00B20A34">
              <w:rPr>
                <w:rFonts w:ascii="Times New Roman" w:eastAsia="Helvetica" w:hAnsi="Times New Roman" w:cs="Times New Roman"/>
                <w:sz w:val="22"/>
                <w:szCs w:val="22"/>
                <w:shd w:val="clear" w:color="auto" w:fill="FFFFFF"/>
                <w:lang w:val="en-GB"/>
              </w:rPr>
              <w:t xml:space="preserve">, Manesar Bawal, and </w:t>
            </w:r>
            <w:proofErr w:type="spellStart"/>
            <w:r w:rsidRPr="00B20A34">
              <w:rPr>
                <w:rFonts w:ascii="Times New Roman" w:eastAsia="Helvetica" w:hAnsi="Times New Roman" w:cs="Times New Roman"/>
                <w:sz w:val="22"/>
                <w:szCs w:val="22"/>
                <w:shd w:val="clear" w:color="auto" w:fill="FFFFFF"/>
                <w:lang w:val="en-GB"/>
              </w:rPr>
              <w:t>Shendra</w:t>
            </w:r>
            <w:proofErr w:type="spellEnd"/>
          </w:p>
        </w:tc>
      </w:tr>
      <w:tr w:rsidR="00BC6A52" w:rsidRPr="00B20A34" w14:paraId="24DE8282" w14:textId="77777777" w:rsidTr="00527404">
        <w:trPr>
          <w:trHeight w:val="167"/>
          <w:jc w:val="center"/>
        </w:trPr>
        <w:tc>
          <w:tcPr>
            <w:tcW w:w="1367" w:type="dxa"/>
            <w:vMerge/>
            <w:vAlign w:val="center"/>
          </w:tcPr>
          <w:p w14:paraId="21E1593C" w14:textId="77777777" w:rsidR="009462F7" w:rsidRPr="00B20A34" w:rsidRDefault="009462F7" w:rsidP="00527404">
            <w:pPr>
              <w:jc w:val="both"/>
              <w:rPr>
                <w:rFonts w:ascii="Times New Roman" w:eastAsia="Helvetica" w:hAnsi="Times New Roman" w:cs="Times New Roman"/>
                <w:sz w:val="22"/>
                <w:szCs w:val="22"/>
                <w:shd w:val="clear" w:color="auto" w:fill="FFFFFF"/>
                <w:lang w:val="en-GB"/>
              </w:rPr>
            </w:pPr>
          </w:p>
        </w:tc>
        <w:tc>
          <w:tcPr>
            <w:tcW w:w="3685" w:type="dxa"/>
            <w:vAlign w:val="center"/>
          </w:tcPr>
          <w:p w14:paraId="5D292298"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National Solar Cities Initiative</w:t>
            </w:r>
          </w:p>
        </w:tc>
        <w:tc>
          <w:tcPr>
            <w:tcW w:w="4484" w:type="dxa"/>
            <w:vAlign w:val="center"/>
          </w:tcPr>
          <w:p w14:paraId="0E210C38" w14:textId="6D652473"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36 pilot initiatives selected</w:t>
            </w:r>
          </w:p>
        </w:tc>
      </w:tr>
      <w:tr w:rsidR="00BC6A52" w:rsidRPr="00B20A34" w14:paraId="60EF3F77" w14:textId="77777777" w:rsidTr="00527404">
        <w:trPr>
          <w:jc w:val="center"/>
        </w:trPr>
        <w:tc>
          <w:tcPr>
            <w:tcW w:w="1367" w:type="dxa"/>
            <w:vAlign w:val="center"/>
          </w:tcPr>
          <w:p w14:paraId="0741779E"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Indonesia</w:t>
            </w:r>
          </w:p>
        </w:tc>
        <w:tc>
          <w:tcPr>
            <w:tcW w:w="3685" w:type="dxa"/>
            <w:vAlign w:val="center"/>
          </w:tcPr>
          <w:p w14:paraId="75969953"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World Bank ‘Eco2-Cities’</w:t>
            </w:r>
          </w:p>
        </w:tc>
        <w:tc>
          <w:tcPr>
            <w:tcW w:w="4484" w:type="dxa"/>
            <w:vAlign w:val="center"/>
          </w:tcPr>
          <w:p w14:paraId="2D84F672" w14:textId="43E2C324"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Balikpapan, Jakarta, Makassar, Palembang, </w:t>
            </w:r>
            <w:r w:rsidR="00527404" w:rsidRPr="00B20A3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and Surabaya</w:t>
            </w:r>
          </w:p>
        </w:tc>
      </w:tr>
      <w:tr w:rsidR="00BC6A52" w:rsidRPr="00B20A34" w14:paraId="28CCBBDF" w14:textId="77777777" w:rsidTr="00527404">
        <w:trPr>
          <w:jc w:val="center"/>
        </w:trPr>
        <w:tc>
          <w:tcPr>
            <w:tcW w:w="1367" w:type="dxa"/>
            <w:vAlign w:val="center"/>
          </w:tcPr>
          <w:p w14:paraId="5562A015"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UAE</w:t>
            </w:r>
          </w:p>
        </w:tc>
        <w:tc>
          <w:tcPr>
            <w:tcW w:w="3685" w:type="dxa"/>
            <w:vAlign w:val="center"/>
          </w:tcPr>
          <w:p w14:paraId="43A41607"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Middle East Regional Initiative</w:t>
            </w:r>
          </w:p>
        </w:tc>
        <w:tc>
          <w:tcPr>
            <w:tcW w:w="4484" w:type="dxa"/>
            <w:vAlign w:val="center"/>
          </w:tcPr>
          <w:p w14:paraId="08EDE090" w14:textId="6170EA8B"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Masdar City</w:t>
            </w:r>
          </w:p>
        </w:tc>
      </w:tr>
      <w:tr w:rsidR="00BC6A52" w:rsidRPr="00B20A34" w14:paraId="058D0782" w14:textId="77777777" w:rsidTr="00527404">
        <w:trPr>
          <w:jc w:val="center"/>
        </w:trPr>
        <w:tc>
          <w:tcPr>
            <w:tcW w:w="1367" w:type="dxa"/>
            <w:vAlign w:val="center"/>
          </w:tcPr>
          <w:p w14:paraId="51501F65"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Philippines</w:t>
            </w:r>
          </w:p>
        </w:tc>
        <w:tc>
          <w:tcPr>
            <w:tcW w:w="3685" w:type="dxa"/>
            <w:vAlign w:val="center"/>
          </w:tcPr>
          <w:p w14:paraId="09D1472D"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World Bank ‘Eco2-Cities’</w:t>
            </w:r>
          </w:p>
        </w:tc>
        <w:tc>
          <w:tcPr>
            <w:tcW w:w="4484" w:type="dxa"/>
            <w:vAlign w:val="center"/>
          </w:tcPr>
          <w:p w14:paraId="3CA448E3"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Initiatives under way</w:t>
            </w:r>
          </w:p>
        </w:tc>
      </w:tr>
      <w:tr w:rsidR="00BC6A52" w:rsidRPr="00B20A34" w14:paraId="10CD4C49" w14:textId="77777777" w:rsidTr="00527404">
        <w:trPr>
          <w:jc w:val="center"/>
        </w:trPr>
        <w:tc>
          <w:tcPr>
            <w:tcW w:w="1367" w:type="dxa"/>
            <w:vAlign w:val="center"/>
          </w:tcPr>
          <w:p w14:paraId="0E65ADF1"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Vietnam</w:t>
            </w:r>
          </w:p>
        </w:tc>
        <w:tc>
          <w:tcPr>
            <w:tcW w:w="3685" w:type="dxa"/>
            <w:vAlign w:val="center"/>
          </w:tcPr>
          <w:p w14:paraId="6DCEB45D"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World Bank ‘Eco2-Cities’</w:t>
            </w:r>
          </w:p>
        </w:tc>
        <w:tc>
          <w:tcPr>
            <w:tcW w:w="4484" w:type="dxa"/>
            <w:vAlign w:val="center"/>
          </w:tcPr>
          <w:p w14:paraId="2DEA4E5F" w14:textId="77777777" w:rsidR="009462F7" w:rsidRPr="00B20A34" w:rsidRDefault="00C56864" w:rsidP="00527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Initiatives under way</w:t>
            </w:r>
          </w:p>
        </w:tc>
      </w:tr>
    </w:tbl>
    <w:p w14:paraId="2EF441B8" w14:textId="77777777" w:rsidR="009462F7" w:rsidRPr="00B20A34" w:rsidRDefault="00C56864" w:rsidP="00527404">
      <w:pPr>
        <w:pStyle w:val="regular"/>
        <w:spacing w:before="60"/>
        <w:ind w:firstLine="0"/>
        <w:rPr>
          <w:color w:val="auto"/>
          <w:sz w:val="20"/>
          <w:szCs w:val="20"/>
          <w:shd w:val="clear" w:color="auto" w:fill="FFFFFF"/>
          <w:lang w:val="en-GB"/>
        </w:rPr>
      </w:pPr>
      <w:r w:rsidRPr="00B20A34">
        <w:rPr>
          <w:color w:val="auto"/>
          <w:sz w:val="20"/>
          <w:szCs w:val="20"/>
          <w:shd w:val="clear" w:color="auto" w:fill="FFFFFF"/>
          <w:lang w:val="en-GB"/>
        </w:rPr>
        <w:t>Source: (</w:t>
      </w:r>
      <w:proofErr w:type="spellStart"/>
      <w:r w:rsidRPr="00B20A34">
        <w:rPr>
          <w:color w:val="auto"/>
          <w:sz w:val="20"/>
          <w:szCs w:val="20"/>
          <w:shd w:val="clear" w:color="auto" w:fill="FFFFFF"/>
          <w:lang w:val="en-GB"/>
        </w:rPr>
        <w:t>Yigitcanlar</w:t>
      </w:r>
      <w:proofErr w:type="spellEnd"/>
      <w:r w:rsidRPr="00B20A34">
        <w:rPr>
          <w:color w:val="auto"/>
          <w:sz w:val="20"/>
          <w:szCs w:val="20"/>
          <w:shd w:val="clear" w:color="auto" w:fill="FFFFFF"/>
          <w:lang w:val="en-GB"/>
        </w:rPr>
        <w:t xml:space="preserve"> and Lee, 2014)</w:t>
      </w:r>
    </w:p>
    <w:p w14:paraId="6B8A0855" w14:textId="77777777" w:rsidR="009462F7" w:rsidRPr="00B20A34" w:rsidRDefault="009462F7" w:rsidP="00BC6A52">
      <w:pPr>
        <w:ind w:firstLine="284"/>
        <w:jc w:val="both"/>
        <w:rPr>
          <w:rFonts w:ascii="Times New Roman" w:eastAsia="Helvetica" w:hAnsi="Times New Roman" w:cs="Times New Roman"/>
          <w:sz w:val="22"/>
          <w:szCs w:val="22"/>
          <w:shd w:val="clear" w:color="auto" w:fill="FFFFFF"/>
          <w:lang w:val="en-GB"/>
        </w:rPr>
      </w:pPr>
    </w:p>
    <w:p w14:paraId="11F9E83F" w14:textId="21E4253A"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Derived from the theoretical perspectives of J</w:t>
      </w:r>
      <w:r w:rsidR="00280F35">
        <w:rPr>
          <w:rFonts w:ascii="Times New Roman" w:eastAsia="Helvetica" w:hAnsi="Times New Roman" w:cs="Times New Roman"/>
          <w:sz w:val="22"/>
          <w:szCs w:val="22"/>
          <w:shd w:val="clear" w:color="auto" w:fill="FFFFFF"/>
          <w:lang w:val="en-GB"/>
        </w:rPr>
        <w:t>a</w:t>
      </w:r>
      <w:r w:rsidRPr="00B20A34">
        <w:rPr>
          <w:rFonts w:ascii="Times New Roman" w:eastAsia="Helvetica" w:hAnsi="Times New Roman" w:cs="Times New Roman"/>
          <w:sz w:val="22"/>
          <w:szCs w:val="22"/>
          <w:shd w:val="clear" w:color="auto" w:fill="FFFFFF"/>
          <w:lang w:val="en-GB"/>
        </w:rPr>
        <w:t xml:space="preserve">nicke (2012), who views green growth as a synergy of policies, innovations, and markets, as well as institutional quality studies related to green finance and technologies, the Green Premium is a mediated impact rather than a homogeneous one. Although the technological maturity threshold </w:t>
      </w:r>
      <w:r w:rsidR="005358DE">
        <w:rPr>
          <w:rFonts w:ascii="Times New Roman" w:eastAsia="Helvetica" w:hAnsi="Times New Roman" w:cs="Times New Roman"/>
          <w:sz w:val="22"/>
          <w:szCs w:val="22"/>
          <w:shd w:val="clear" w:color="auto" w:fill="FFFFFF"/>
          <w:lang w:val="en-GB"/>
        </w:rPr>
        <w:t>serves as a global yardstick, it is translated into asset values through locally distinct processes, including state-led green industrial policy in developing nations and regulatory innovation</w:t>
      </w:r>
      <w:r w:rsidRPr="00B20A34">
        <w:rPr>
          <w:rFonts w:ascii="Times New Roman" w:eastAsia="Helvetica" w:hAnsi="Times New Roman" w:cs="Times New Roman"/>
          <w:sz w:val="22"/>
          <w:szCs w:val="22"/>
          <w:shd w:val="clear" w:color="auto" w:fill="FFFFFF"/>
          <w:lang w:val="en-GB"/>
        </w:rPr>
        <w:t xml:space="preserve"> feedback loops in developed nations.</w:t>
      </w:r>
    </w:p>
    <w:p w14:paraId="3DCD908A" w14:textId="492D9F9F" w:rsidR="005358DE" w:rsidRPr="00B20A34" w:rsidRDefault="005358DE" w:rsidP="005358DE">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Ultimately, the worldwide variation </w:t>
      </w:r>
      <w:r>
        <w:rPr>
          <w:rFonts w:ascii="Times New Roman" w:eastAsia="Helvetica" w:hAnsi="Times New Roman" w:cs="Times New Roman"/>
          <w:sz w:val="22"/>
          <w:szCs w:val="22"/>
          <w:shd w:val="clear" w:color="auto" w:fill="FFFFFF"/>
          <w:lang w:val="en-GB"/>
        </w:rPr>
        <w:t>in the green premium demonstrates that although smart-green technology provides the physical tools for efficiency</w:t>
      </w:r>
      <w:r w:rsidRPr="00B20A34">
        <w:rPr>
          <w:rFonts w:ascii="Times New Roman" w:eastAsia="Helvetica" w:hAnsi="Times New Roman" w:cs="Times New Roman"/>
          <w:sz w:val="22"/>
          <w:szCs w:val="22"/>
          <w:shd w:val="clear" w:color="auto" w:fill="FFFFFF"/>
          <w:lang w:val="en-GB"/>
        </w:rPr>
        <w:t>, it is only the institutional framework that dictates whether efficiency is exploited for productivity enhancement (Germany and Japan), economic strength (South Korea and China), or risk management (UK).</w:t>
      </w:r>
    </w:p>
    <w:p w14:paraId="122EDF9E" w14:textId="218E3B14" w:rsidR="005358DE" w:rsidRPr="00B20A34" w:rsidRDefault="005358DE" w:rsidP="005358DE">
      <w:pPr>
        <w:ind w:firstLine="284"/>
        <w:jc w:val="both"/>
        <w:rPr>
          <w:rFonts w:ascii="Times New Roman" w:hAnsi="Times New Roman" w:cs="Times New Roman"/>
          <w:sz w:val="22"/>
          <w:szCs w:val="22"/>
          <w:lang w:val="en-GB"/>
        </w:rPr>
      </w:pPr>
      <w:r>
        <w:rPr>
          <w:rFonts w:ascii="Times New Roman" w:eastAsia="Helvetica" w:hAnsi="Times New Roman" w:cs="Times New Roman"/>
          <w:sz w:val="22"/>
          <w:szCs w:val="22"/>
          <w:shd w:val="clear" w:color="auto" w:fill="FFFFFF"/>
          <w:lang w:val="en-GB"/>
        </w:rPr>
        <w:t xml:space="preserve">The integration of smart-green technologies, particularly Building Information </w:t>
      </w:r>
      <w:proofErr w:type="spellStart"/>
      <w:r>
        <w:rPr>
          <w:rFonts w:ascii="Times New Roman" w:eastAsia="Helvetica" w:hAnsi="Times New Roman" w:cs="Times New Roman"/>
          <w:sz w:val="22"/>
          <w:szCs w:val="22"/>
          <w:shd w:val="clear" w:color="auto" w:fill="FFFFFF"/>
          <w:lang w:val="en-GB"/>
        </w:rPr>
        <w:t>Modeling</w:t>
      </w:r>
      <w:proofErr w:type="spellEnd"/>
      <w:r>
        <w:rPr>
          <w:rFonts w:ascii="Times New Roman" w:eastAsia="Helvetica" w:hAnsi="Times New Roman" w:cs="Times New Roman"/>
          <w:sz w:val="22"/>
          <w:szCs w:val="22"/>
          <w:shd w:val="clear" w:color="auto" w:fill="FFFFFF"/>
          <w:lang w:val="en-GB"/>
        </w:rPr>
        <w:t xml:space="preserve"> (BIM) and the Internet of Things (IoT), serves as a tool that enables converting</w:t>
      </w:r>
      <w:r w:rsidRPr="00B20A34">
        <w:rPr>
          <w:rFonts w:ascii="Times New Roman" w:eastAsia="Helvetica" w:hAnsi="Times New Roman" w:cs="Times New Roman"/>
          <w:sz w:val="22"/>
          <w:szCs w:val="22"/>
          <w:shd w:val="clear" w:color="auto" w:fill="FFFFFF"/>
          <w:lang w:val="en-GB"/>
        </w:rPr>
        <w:t xml:space="preserve"> efficiency into real money. Data </w:t>
      </w:r>
      <w:r>
        <w:rPr>
          <w:rFonts w:ascii="Times New Roman" w:eastAsia="Helvetica" w:hAnsi="Times New Roman" w:cs="Times New Roman"/>
          <w:sz w:val="22"/>
          <w:szCs w:val="22"/>
          <w:shd w:val="clear" w:color="auto" w:fill="FFFFFF"/>
          <w:lang w:val="en-GB"/>
        </w:rPr>
        <w:t>from high-resolution databases such as CoStar indicate that rental premiums for LEED and Energy Star buildings are about 4–5%, while sales premiums for those properties are</w:t>
      </w:r>
      <w:r w:rsidRPr="00B20A34">
        <w:rPr>
          <w:rFonts w:ascii="Times New Roman" w:eastAsia="Helvetica" w:hAnsi="Times New Roman" w:cs="Times New Roman"/>
          <w:sz w:val="22"/>
          <w:szCs w:val="22"/>
          <w:shd w:val="clear" w:color="auto" w:fill="FFFFFF"/>
          <w:lang w:val="en-GB"/>
        </w:rPr>
        <w:t xml:space="preserve"> about 25–26% (Fuerst &amp; McAllister, 2011). This premium is mostly determined by the capitalization of energy savings</w:t>
      </w:r>
      <w:r>
        <w:rPr>
          <w:rFonts w:ascii="Times New Roman" w:eastAsia="Helvetica" w:hAnsi="Times New Roman" w:cs="Times New Roman"/>
          <w:sz w:val="22"/>
          <w:szCs w:val="22"/>
          <w:shd w:val="clear" w:color="auto" w:fill="FFFFFF"/>
          <w:lang w:val="en-GB"/>
        </w:rPr>
        <w:t xml:space="preserve"> at a rate of $18.32 per dollar of reduction, which yields a</w:t>
      </w:r>
      <w:r w:rsidRPr="00B20A34">
        <w:rPr>
          <w:rFonts w:ascii="Times New Roman" w:eastAsia="Helvetica" w:hAnsi="Times New Roman" w:cs="Times New Roman"/>
          <w:sz w:val="22"/>
          <w:szCs w:val="22"/>
          <w:shd w:val="clear" w:color="auto" w:fill="FFFFFF"/>
          <w:lang w:val="en-GB"/>
        </w:rPr>
        <w:t xml:space="preserve"> capitalization rate of 5.5%. </w:t>
      </w:r>
      <w:r>
        <w:rPr>
          <w:rFonts w:ascii="Times New Roman" w:eastAsia="Helvetica" w:hAnsi="Times New Roman" w:cs="Times New Roman"/>
          <w:sz w:val="22"/>
          <w:szCs w:val="22"/>
          <w:shd w:val="clear" w:color="auto" w:fill="FFFFFF"/>
          <w:lang w:val="en-GB"/>
        </w:rPr>
        <w:t>Even though</w:t>
      </w:r>
      <w:r w:rsidRPr="00B20A34">
        <w:rPr>
          <w:rFonts w:ascii="Times New Roman" w:eastAsia="Helvetica" w:hAnsi="Times New Roman" w:cs="Times New Roman"/>
          <w:sz w:val="22"/>
          <w:szCs w:val="22"/>
          <w:shd w:val="clear" w:color="auto" w:fill="FFFFFF"/>
          <w:lang w:val="en-GB"/>
        </w:rPr>
        <w:t xml:space="preserve"> the use of the aforementioned technologies </w:t>
      </w:r>
      <w:r w:rsidRPr="00B20A34">
        <w:rPr>
          <w:rFonts w:ascii="Times New Roman" w:eastAsia="Helvetica" w:hAnsi="Times New Roman" w:cs="Times New Roman"/>
          <w:sz w:val="22"/>
          <w:szCs w:val="22"/>
          <w:shd w:val="clear" w:color="auto" w:fill="FFFFFF"/>
          <w:lang w:val="en-GB"/>
        </w:rPr>
        <w:lastRenderedPageBreak/>
        <w:t xml:space="preserve">requires a 1–2% premium in capital spending, amounting to $3–5/sq. ft., their lifecycle Net Present Value (NPV) in terms of energy savings </w:t>
      </w:r>
      <w:r>
        <w:rPr>
          <w:rFonts w:ascii="Times New Roman" w:eastAsia="Helvetica" w:hAnsi="Times New Roman" w:cs="Times New Roman"/>
          <w:sz w:val="22"/>
          <w:szCs w:val="22"/>
          <w:shd w:val="clear" w:color="auto" w:fill="FFFFFF"/>
          <w:lang w:val="en-GB"/>
        </w:rPr>
        <w:t xml:space="preserve">over 20 years exceeds $5/sq. </w:t>
      </w:r>
      <w:r w:rsidRPr="00B20A34">
        <w:rPr>
          <w:rFonts w:ascii="Times New Roman" w:eastAsia="Helvetica" w:hAnsi="Times New Roman" w:cs="Times New Roman"/>
          <w:sz w:val="22"/>
          <w:szCs w:val="22"/>
          <w:shd w:val="clear" w:color="auto" w:fill="FFFFFF"/>
          <w:lang w:val="en-GB"/>
        </w:rPr>
        <w:t xml:space="preserve">ft. through reduction in energy consumption by 30%. However, this process depends on the terms of </w:t>
      </w:r>
      <w:r>
        <w:rPr>
          <w:rFonts w:ascii="Times New Roman" w:eastAsia="Helvetica" w:hAnsi="Times New Roman" w:cs="Times New Roman"/>
          <w:sz w:val="22"/>
          <w:szCs w:val="22"/>
          <w:shd w:val="clear" w:color="auto" w:fill="FFFFFF"/>
          <w:lang w:val="en-GB"/>
        </w:rPr>
        <w:t>the lease, meaning that in a triple-net lease the landlord pays all the expenses of the investment, whereas the tenant uses the</w:t>
      </w:r>
      <w:r w:rsidRPr="00B20A34">
        <w:rPr>
          <w:rFonts w:ascii="Times New Roman" w:eastAsia="Helvetica" w:hAnsi="Times New Roman" w:cs="Times New Roman"/>
          <w:sz w:val="22"/>
          <w:szCs w:val="22"/>
          <w:shd w:val="clear" w:color="auto" w:fill="FFFFFF"/>
          <w:lang w:val="en-GB"/>
        </w:rPr>
        <w:t xml:space="preserve"> saved energy, thus creating a performance gap (</w:t>
      </w:r>
      <w:r w:rsidRPr="00B20A34">
        <w:rPr>
          <w:rFonts w:ascii="Times New Roman" w:hAnsi="Times New Roman" w:cs="Times New Roman"/>
          <w:sz w:val="22"/>
          <w:szCs w:val="22"/>
          <w:lang w:val="en-GB"/>
        </w:rPr>
        <w:t>Bardhan &amp; Kroll, 2011).</w:t>
      </w:r>
    </w:p>
    <w:p w14:paraId="3B4F805E" w14:textId="77777777" w:rsidR="009462F7" w:rsidRPr="00B20A34" w:rsidRDefault="009462F7" w:rsidP="00BC6A52">
      <w:pPr>
        <w:ind w:firstLine="284"/>
        <w:jc w:val="both"/>
        <w:rPr>
          <w:rFonts w:ascii="Times New Roman" w:eastAsia="Helvetica" w:hAnsi="Times New Roman" w:cs="Times New Roman"/>
          <w:sz w:val="22"/>
          <w:szCs w:val="22"/>
          <w:shd w:val="clear" w:color="auto" w:fill="FFFFFF"/>
          <w:lang w:val="en-GB"/>
        </w:rPr>
      </w:pPr>
    </w:p>
    <w:p w14:paraId="73FC7AED" w14:textId="77777777" w:rsidR="009462F7" w:rsidRPr="00B20A34" w:rsidRDefault="00C56864" w:rsidP="00487F23">
      <w:pPr>
        <w:pStyle w:val="Rtab"/>
        <w:rPr>
          <w:shd w:val="clear" w:color="auto" w:fill="FFFFFF"/>
          <w:lang w:val="en-GB"/>
        </w:rPr>
      </w:pPr>
      <w:r w:rsidRPr="00B20A34">
        <w:rPr>
          <w:b/>
          <w:bCs/>
          <w:shd w:val="clear" w:color="auto" w:fill="FFFFFF"/>
          <w:lang w:val="en-GB"/>
        </w:rPr>
        <w:t>Table 3.</w:t>
      </w:r>
      <w:r w:rsidRPr="00B20A34">
        <w:rPr>
          <w:shd w:val="clear" w:color="auto" w:fill="FFFFFF"/>
          <w:lang w:val="en-GB"/>
        </w:rPr>
        <w:t xml:space="preserve"> Institutional Drivers and the Global Smart-Green Premium</w:t>
      </w:r>
    </w:p>
    <w:tbl>
      <w:tblPr>
        <w:tblStyle w:val="TableGridLight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04"/>
        <w:gridCol w:w="1763"/>
        <w:gridCol w:w="2016"/>
        <w:gridCol w:w="2355"/>
        <w:gridCol w:w="2474"/>
      </w:tblGrid>
      <w:tr w:rsidR="00BC6A52" w:rsidRPr="00B20A34" w14:paraId="16BE1E82" w14:textId="77777777" w:rsidTr="00050320">
        <w:trPr>
          <w:trHeight w:val="840"/>
          <w:jc w:val="center"/>
        </w:trPr>
        <w:tc>
          <w:tcPr>
            <w:tcW w:w="1204" w:type="dxa"/>
            <w:vAlign w:val="center"/>
          </w:tcPr>
          <w:p w14:paraId="3804BBB4" w14:textId="77777777" w:rsidR="009462F7" w:rsidRPr="00B20A34" w:rsidRDefault="00C56864" w:rsidP="00B94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Region</w:t>
            </w:r>
          </w:p>
        </w:tc>
        <w:tc>
          <w:tcPr>
            <w:tcW w:w="1763" w:type="dxa"/>
            <w:vAlign w:val="center"/>
          </w:tcPr>
          <w:p w14:paraId="28A1A78F" w14:textId="77777777" w:rsidR="009462F7" w:rsidRPr="00B20A34" w:rsidRDefault="00C56864" w:rsidP="00B94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Institutional Driver Type</w:t>
            </w:r>
          </w:p>
        </w:tc>
        <w:tc>
          <w:tcPr>
            <w:tcW w:w="2016" w:type="dxa"/>
            <w:vAlign w:val="center"/>
          </w:tcPr>
          <w:p w14:paraId="5CA5D125" w14:textId="77777777" w:rsidR="009462F7" w:rsidRPr="00B20A34" w:rsidRDefault="00C56864" w:rsidP="00B94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Key Policy /Mechanism</w:t>
            </w:r>
          </w:p>
        </w:tc>
        <w:tc>
          <w:tcPr>
            <w:tcW w:w="2355" w:type="dxa"/>
            <w:vAlign w:val="center"/>
          </w:tcPr>
          <w:p w14:paraId="60555B1F" w14:textId="77777777" w:rsidR="009462F7" w:rsidRPr="00B20A34" w:rsidRDefault="00C56864" w:rsidP="00B94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Mechanism of Value Creation</w:t>
            </w:r>
          </w:p>
        </w:tc>
        <w:tc>
          <w:tcPr>
            <w:tcW w:w="2474" w:type="dxa"/>
            <w:vAlign w:val="center"/>
          </w:tcPr>
          <w:p w14:paraId="45959691" w14:textId="77777777" w:rsidR="009462F7" w:rsidRPr="00B20A34" w:rsidRDefault="00C56864" w:rsidP="00B94404">
            <w:pPr>
              <w:jc w:val="cente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Implication for Green Premium</w:t>
            </w:r>
          </w:p>
        </w:tc>
      </w:tr>
      <w:tr w:rsidR="00BC6A52" w:rsidRPr="00B20A34" w14:paraId="0EFA2FDA" w14:textId="77777777" w:rsidTr="00B94404">
        <w:trPr>
          <w:jc w:val="center"/>
        </w:trPr>
        <w:tc>
          <w:tcPr>
            <w:tcW w:w="1204" w:type="dxa"/>
            <w:vAlign w:val="center"/>
          </w:tcPr>
          <w:p w14:paraId="16A50EF0"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Japan</w:t>
            </w:r>
          </w:p>
        </w:tc>
        <w:tc>
          <w:tcPr>
            <w:tcW w:w="1763" w:type="dxa"/>
            <w:vAlign w:val="center"/>
          </w:tcPr>
          <w:p w14:paraId="553AB905" w14:textId="2D14DAD2" w:rsidR="009462F7" w:rsidRPr="00B20A34" w:rsidRDefault="00C56864" w:rsidP="00B94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Efficiency-Driven </w:t>
            </w:r>
            <w:r w:rsidR="00B9440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Regulation</w:t>
            </w:r>
          </w:p>
        </w:tc>
        <w:tc>
          <w:tcPr>
            <w:tcW w:w="2016" w:type="dxa"/>
            <w:vAlign w:val="center"/>
          </w:tcPr>
          <w:p w14:paraId="48D8D89F"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“Top Runner Programme” for energy efficiency standards</w:t>
            </w:r>
          </w:p>
        </w:tc>
        <w:tc>
          <w:tcPr>
            <w:tcW w:w="2355" w:type="dxa"/>
            <w:vAlign w:val="center"/>
          </w:tcPr>
          <w:p w14:paraId="41FB2381"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Continuous tightening of efficiency benchmarks drives technological improvement across sectors</w:t>
            </w:r>
          </w:p>
        </w:tc>
        <w:tc>
          <w:tcPr>
            <w:tcW w:w="2474" w:type="dxa"/>
            <w:vAlign w:val="center"/>
          </w:tcPr>
          <w:p w14:paraId="5A8DDA3D"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Premium emerges indirectly through enhanced operational performance and energy savings potential</w:t>
            </w:r>
          </w:p>
        </w:tc>
      </w:tr>
      <w:tr w:rsidR="00BC6A52" w:rsidRPr="00B20A34" w14:paraId="631837EF" w14:textId="77777777" w:rsidTr="00B94404">
        <w:trPr>
          <w:jc w:val="center"/>
        </w:trPr>
        <w:tc>
          <w:tcPr>
            <w:tcW w:w="1204" w:type="dxa"/>
            <w:vAlign w:val="center"/>
          </w:tcPr>
          <w:p w14:paraId="2F0A81EF"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United Kingdom</w:t>
            </w:r>
          </w:p>
        </w:tc>
        <w:tc>
          <w:tcPr>
            <w:tcW w:w="1763" w:type="dxa"/>
            <w:vAlign w:val="center"/>
          </w:tcPr>
          <w:p w14:paraId="41276918" w14:textId="77777777" w:rsidR="009462F7" w:rsidRPr="00B20A34" w:rsidRDefault="00C56864" w:rsidP="00B94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Regulatory Compliance Framework</w:t>
            </w:r>
          </w:p>
        </w:tc>
        <w:tc>
          <w:tcPr>
            <w:tcW w:w="2016" w:type="dxa"/>
            <w:vAlign w:val="center"/>
          </w:tcPr>
          <w:p w14:paraId="1FF78B32"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MEES and Climate Change Act.</w:t>
            </w:r>
          </w:p>
        </w:tc>
        <w:tc>
          <w:tcPr>
            <w:tcW w:w="2355" w:type="dxa"/>
            <w:vAlign w:val="center"/>
          </w:tcPr>
          <w:p w14:paraId="76A3CFF5"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Regulatory pressure reduces risk exposure and prevents asset obsolescence</w:t>
            </w:r>
          </w:p>
        </w:tc>
        <w:tc>
          <w:tcPr>
            <w:tcW w:w="2474" w:type="dxa"/>
            <w:vAlign w:val="center"/>
          </w:tcPr>
          <w:p w14:paraId="056DDF32" w14:textId="1810B668"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Premium functions as a</w:t>
            </w:r>
            <w:r w:rsidR="000B0208">
              <w:rPr>
                <w:rFonts w:ascii="Times New Roman" w:eastAsia="Helvetica" w:hAnsi="Times New Roman" w:cs="Times New Roman"/>
                <w:sz w:val="22"/>
                <w:szCs w:val="22"/>
                <w:shd w:val="clear" w:color="auto" w:fill="FFFFFF"/>
                <w:lang w:val="en-GB"/>
              </w:rPr>
              <w:t> </w:t>
            </w:r>
            <w:r w:rsidRPr="00B20A34">
              <w:rPr>
                <w:rFonts w:ascii="Times New Roman" w:eastAsia="Helvetica" w:hAnsi="Times New Roman" w:cs="Times New Roman"/>
                <w:sz w:val="22"/>
                <w:szCs w:val="22"/>
                <w:shd w:val="clear" w:color="auto" w:fill="FFFFFF"/>
                <w:lang w:val="en-GB"/>
              </w:rPr>
              <w:t>risk-adjusted safeguard, tied to compliance and asset liquidity</w:t>
            </w:r>
          </w:p>
        </w:tc>
      </w:tr>
      <w:tr w:rsidR="00BC6A52" w:rsidRPr="00B20A34" w14:paraId="34BA730F" w14:textId="77777777" w:rsidTr="00B94404">
        <w:trPr>
          <w:jc w:val="center"/>
        </w:trPr>
        <w:tc>
          <w:tcPr>
            <w:tcW w:w="1204" w:type="dxa"/>
            <w:vAlign w:val="center"/>
          </w:tcPr>
          <w:p w14:paraId="3326C390"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South Korea</w:t>
            </w:r>
          </w:p>
        </w:tc>
        <w:tc>
          <w:tcPr>
            <w:tcW w:w="1763" w:type="dxa"/>
            <w:vAlign w:val="center"/>
          </w:tcPr>
          <w:p w14:paraId="712928D3" w14:textId="141B833B" w:rsidR="009462F7" w:rsidRPr="00B20A34" w:rsidRDefault="00C56864" w:rsidP="00B94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State-Led </w:t>
            </w:r>
            <w:r w:rsidR="00B9440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Industrial Policy</w:t>
            </w:r>
          </w:p>
        </w:tc>
        <w:tc>
          <w:tcPr>
            <w:tcW w:w="2016" w:type="dxa"/>
            <w:vAlign w:val="center"/>
          </w:tcPr>
          <w:p w14:paraId="53102BB9" w14:textId="77777777" w:rsidR="009462F7" w:rsidRPr="00B20A34" w:rsidRDefault="00C56864" w:rsidP="000B0208">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Presidential "Green Growth Committee".</w:t>
            </w:r>
          </w:p>
        </w:tc>
        <w:tc>
          <w:tcPr>
            <w:tcW w:w="2355" w:type="dxa"/>
            <w:vAlign w:val="center"/>
          </w:tcPr>
          <w:p w14:paraId="2E6A48D3"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Centralized investment and strategic coordination position green sectors as engines of economic growth</w:t>
            </w:r>
          </w:p>
        </w:tc>
        <w:tc>
          <w:tcPr>
            <w:tcW w:w="2474" w:type="dxa"/>
            <w:vAlign w:val="center"/>
          </w:tcPr>
          <w:p w14:paraId="3E78A0B7"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Premium linked to macroeconomic positioning and future competitiveness, rather than immediate asset-level returns</w:t>
            </w:r>
          </w:p>
        </w:tc>
      </w:tr>
      <w:tr w:rsidR="00BC6A52" w:rsidRPr="00B20A34" w14:paraId="04D790B8" w14:textId="77777777" w:rsidTr="00B94404">
        <w:trPr>
          <w:jc w:val="center"/>
        </w:trPr>
        <w:tc>
          <w:tcPr>
            <w:tcW w:w="1204" w:type="dxa"/>
            <w:vAlign w:val="center"/>
          </w:tcPr>
          <w:p w14:paraId="6FDCD379"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Germany</w:t>
            </w:r>
          </w:p>
        </w:tc>
        <w:tc>
          <w:tcPr>
            <w:tcW w:w="1763" w:type="dxa"/>
            <w:vAlign w:val="center"/>
          </w:tcPr>
          <w:p w14:paraId="05A9BEAC" w14:textId="7E863935" w:rsidR="009462F7" w:rsidRPr="00B20A34" w:rsidRDefault="00C56864" w:rsidP="00B94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Ecological </w:t>
            </w:r>
            <w:r w:rsidR="00B9440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Modernization</w:t>
            </w:r>
          </w:p>
        </w:tc>
        <w:tc>
          <w:tcPr>
            <w:tcW w:w="2016" w:type="dxa"/>
            <w:vAlign w:val="center"/>
          </w:tcPr>
          <w:p w14:paraId="5C048DBF" w14:textId="54326083"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Feed-in tariffs; increasing renewable energy targets </w:t>
            </w:r>
            <w:r w:rsidR="000B0208">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(20% → 35%)</w:t>
            </w:r>
          </w:p>
        </w:tc>
        <w:tc>
          <w:tcPr>
            <w:tcW w:w="2355" w:type="dxa"/>
            <w:vAlign w:val="center"/>
          </w:tcPr>
          <w:p w14:paraId="35BEBA3E"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Policy-induced market growth stimulates innovation and resource-efficient technologies</w:t>
            </w:r>
          </w:p>
        </w:tc>
        <w:tc>
          <w:tcPr>
            <w:tcW w:w="2474" w:type="dxa"/>
            <w:vAlign w:val="center"/>
          </w:tcPr>
          <w:p w14:paraId="70FBBEE7"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Premium associated with productivity gains and lifecycle cost reduction</w:t>
            </w:r>
          </w:p>
        </w:tc>
      </w:tr>
      <w:tr w:rsidR="00BC6A52" w:rsidRPr="00B20A34" w14:paraId="4C57D745" w14:textId="77777777" w:rsidTr="00B94404">
        <w:trPr>
          <w:jc w:val="center"/>
        </w:trPr>
        <w:tc>
          <w:tcPr>
            <w:tcW w:w="1204" w:type="dxa"/>
            <w:vAlign w:val="center"/>
          </w:tcPr>
          <w:p w14:paraId="5CD78C6D"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China</w:t>
            </w:r>
          </w:p>
        </w:tc>
        <w:tc>
          <w:tcPr>
            <w:tcW w:w="1763" w:type="dxa"/>
            <w:vAlign w:val="center"/>
          </w:tcPr>
          <w:p w14:paraId="54332A88" w14:textId="77777777" w:rsidR="009462F7" w:rsidRPr="00B20A34" w:rsidRDefault="00C56864" w:rsidP="00B94404">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Target-Driven Expansion</w:t>
            </w:r>
          </w:p>
        </w:tc>
        <w:tc>
          <w:tcPr>
            <w:tcW w:w="2016" w:type="dxa"/>
            <w:vAlign w:val="center"/>
          </w:tcPr>
          <w:p w14:paraId="49F383B0"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Wind power targets increased from 20GW to 150GW.</w:t>
            </w:r>
          </w:p>
        </w:tc>
        <w:tc>
          <w:tcPr>
            <w:tcW w:w="2355" w:type="dxa"/>
            <w:vAlign w:val="center"/>
          </w:tcPr>
          <w:p w14:paraId="1E0FE070"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Policy feedback loops accelerate technological learning and market expansion</w:t>
            </w:r>
          </w:p>
        </w:tc>
        <w:tc>
          <w:tcPr>
            <w:tcW w:w="2474" w:type="dxa"/>
            <w:vAlign w:val="center"/>
          </w:tcPr>
          <w:p w14:paraId="6221F8EF" w14:textId="77777777" w:rsidR="009462F7" w:rsidRPr="00B20A34" w:rsidRDefault="00C56864" w:rsidP="00B94404">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Premium remains transitional, shaped by scale, speed, and evolving market maturity</w:t>
            </w:r>
          </w:p>
        </w:tc>
      </w:tr>
    </w:tbl>
    <w:p w14:paraId="60EA41DD" w14:textId="77777777" w:rsidR="009462F7" w:rsidRPr="00B20A34" w:rsidRDefault="00C56864" w:rsidP="00487F23">
      <w:pPr>
        <w:spacing w:before="60"/>
        <w:jc w:val="both"/>
        <w:rPr>
          <w:rFonts w:ascii="Times New Roman" w:eastAsia="Helvetica" w:hAnsi="Times New Roman" w:cs="Times New Roman"/>
          <w:shd w:val="clear" w:color="auto" w:fill="FFFFFF"/>
          <w:lang w:val="en-GB"/>
        </w:rPr>
      </w:pPr>
      <w:r w:rsidRPr="00B20A34">
        <w:rPr>
          <w:rFonts w:ascii="Times New Roman" w:eastAsia="Helvetica" w:hAnsi="Times New Roman" w:cs="Times New Roman"/>
          <w:shd w:val="clear" w:color="auto" w:fill="FFFFFF"/>
          <w:lang w:val="en-GB"/>
        </w:rPr>
        <w:t>Source: Author’s Compilation</w:t>
      </w:r>
    </w:p>
    <w:p w14:paraId="15EDA649" w14:textId="77777777" w:rsidR="009462F7" w:rsidRPr="00B20A34" w:rsidRDefault="009462F7" w:rsidP="00BC6A52">
      <w:pPr>
        <w:ind w:firstLine="284"/>
        <w:jc w:val="both"/>
        <w:rPr>
          <w:rFonts w:ascii="Times New Roman" w:eastAsia="Helvetica" w:hAnsi="Times New Roman" w:cs="Times New Roman"/>
          <w:sz w:val="22"/>
          <w:szCs w:val="22"/>
          <w:shd w:val="clear" w:color="auto" w:fill="FFFFFF"/>
          <w:lang w:val="en-GB"/>
        </w:rPr>
      </w:pPr>
    </w:p>
    <w:p w14:paraId="3CF5E3A9" w14:textId="28135331"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The financial performance of green buildings is contingent on the interaction between macro-institutional structures and micro-property characteristics. Policy predictability, facilitated by adaptive regulations and governance, reduces uncertainty and enables market valuation of environmental performance </w:t>
      </w:r>
      <w:r w:rsidR="005358DE">
        <w:rPr>
          <w:rFonts w:ascii="Times New Roman" w:eastAsia="Helvetica" w:hAnsi="Times New Roman" w:cs="Times New Roman"/>
          <w:sz w:val="22"/>
          <w:szCs w:val="22"/>
          <w:shd w:val="clear" w:color="auto" w:fill="FFFFFF"/>
          <w:lang w:val="en-GB"/>
        </w:rPr>
        <w:t xml:space="preserve">(Anderson, </w:t>
      </w:r>
      <w:r w:rsidRPr="00B20A34">
        <w:rPr>
          <w:rFonts w:ascii="Times New Roman" w:eastAsia="Helvetica" w:hAnsi="Times New Roman" w:cs="Times New Roman"/>
          <w:sz w:val="22"/>
          <w:szCs w:val="22"/>
          <w:shd w:val="clear" w:color="auto" w:fill="FFFFFF"/>
          <w:lang w:val="en-GB"/>
        </w:rPr>
        <w:t xml:space="preserve">2025). Nonetheless, individual property features, including physical design and the technical sophistication required for active commissioning, influence the achievement of anticipated energy savings </w:t>
      </w:r>
      <w:r w:rsidR="00F723A2"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Imafidon et al.</w:t>
      </w:r>
      <w:r w:rsidR="00F723A2"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 xml:space="preserve"> 2024). In resource-limited environments, elevated data-processing expenses and financial constraints may contribute to underperformance, emphasizing the importance of NPV models that dynamically account for regulatory “minimums” and technological readiness.</w:t>
      </w:r>
    </w:p>
    <w:p w14:paraId="159C86A3" w14:textId="280FEE8E" w:rsidR="005358DE" w:rsidRPr="00B20A34" w:rsidRDefault="005358DE" w:rsidP="005358DE">
      <w:pPr>
        <w:ind w:firstLine="284"/>
        <w:jc w:val="both"/>
        <w:rPr>
          <w:rFonts w:ascii="Times New Roman" w:eastAsia="Helvetica" w:hAnsi="Times New Roman" w:cs="Times New Roman"/>
          <w:b/>
          <w:bCs/>
          <w:sz w:val="24"/>
          <w:szCs w:val="24"/>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The qualitative thematic areas </w:t>
      </w:r>
      <w:r>
        <w:rPr>
          <w:rFonts w:ascii="Times New Roman" w:eastAsia="Helvetica" w:hAnsi="Times New Roman" w:cs="Times New Roman"/>
          <w:sz w:val="22"/>
          <w:szCs w:val="22"/>
          <w:shd w:val="clear" w:color="auto" w:fill="FFFFFF"/>
          <w:lang w:val="en-GB"/>
        </w:rPr>
        <w:t xml:space="preserve">captured in Table 4 (such as split incentives, information asymmetry, and occupant </w:t>
      </w:r>
      <w:proofErr w:type="spellStart"/>
      <w:r>
        <w:rPr>
          <w:rFonts w:ascii="Times New Roman" w:eastAsia="Helvetica" w:hAnsi="Times New Roman" w:cs="Times New Roman"/>
          <w:sz w:val="22"/>
          <w:szCs w:val="22"/>
          <w:shd w:val="clear" w:color="auto" w:fill="FFFFFF"/>
          <w:lang w:val="en-GB"/>
        </w:rPr>
        <w:t>behavioral</w:t>
      </w:r>
      <w:proofErr w:type="spellEnd"/>
      <w:r>
        <w:rPr>
          <w:rFonts w:ascii="Times New Roman" w:eastAsia="Helvetica" w:hAnsi="Times New Roman" w:cs="Times New Roman"/>
          <w:sz w:val="22"/>
          <w:szCs w:val="22"/>
          <w:shd w:val="clear" w:color="auto" w:fill="FFFFFF"/>
          <w:lang w:val="en-GB"/>
        </w:rPr>
        <w:t xml:space="preserve"> decay) are empirically grounded in the Performance-Branding Gap box of our conceptual model,</w:t>
      </w:r>
      <w:r w:rsidRPr="00B20A34">
        <w:rPr>
          <w:rFonts w:ascii="Times New Roman" w:eastAsia="Helvetica" w:hAnsi="Times New Roman" w:cs="Times New Roman"/>
          <w:sz w:val="22"/>
          <w:szCs w:val="22"/>
          <w:shd w:val="clear" w:color="auto" w:fill="FFFFFF"/>
          <w:lang w:val="en-GB"/>
        </w:rPr>
        <w:t xml:space="preserve"> as depicted in Figure 1. In mathematical terms, the above-listed frictions can be viewed as direct downward pressure on the Operational Integrity (</w:t>
      </w:r>
      <m:oMath>
        <m:sSub>
          <m:sSubPr>
            <m:ctrlPr>
              <w:rPr>
                <w:rFonts w:ascii="Cambria Math" w:hAnsi="Cambria Math"/>
                <w:i/>
                <w:sz w:val="22"/>
                <w:szCs w:val="22"/>
                <w:lang w:val="en-GB"/>
              </w:rPr>
            </m:ctrlPr>
          </m:sSubPr>
          <m:e>
            <m:r>
              <w:rPr>
                <w:rFonts w:ascii="Cambria Math" w:hAnsi="Cambria Math"/>
                <w:sz w:val="22"/>
                <w:szCs w:val="22"/>
                <w:lang w:val="en-GB"/>
              </w:rPr>
              <m:t>n</m:t>
            </m:r>
          </m:e>
          <m:sub>
            <m:r>
              <w:rPr>
                <w:rFonts w:ascii="Cambria Math" w:hAnsi="Cambria Math"/>
                <w:sz w:val="22"/>
                <w:szCs w:val="22"/>
                <w:lang w:val="en-GB"/>
              </w:rPr>
              <m:t>ops</m:t>
            </m:r>
          </m:sub>
        </m:sSub>
      </m:oMath>
      <w:r w:rsidRPr="00B20A34">
        <w:rPr>
          <w:rFonts w:ascii="Times New Roman" w:eastAsia="Helvetica" w:hAnsi="Times New Roman" w:cs="Times New Roman"/>
          <w:sz w:val="22"/>
          <w:szCs w:val="22"/>
          <w:shd w:val="clear" w:color="auto" w:fill="FFFFFF"/>
          <w:lang w:val="en-GB"/>
        </w:rPr>
        <w:t>) component. As the branding gap grows wider, the level of performance deteriorates, resulting in lower asset valuation (</w:t>
      </w:r>
      <m:oMath>
        <m:sSub>
          <m:sSubPr>
            <m:ctrlPr>
              <w:rPr>
                <w:rFonts w:ascii="Cambria Math" w:hAnsi="Cambria Math"/>
                <w:i/>
                <w:sz w:val="22"/>
                <w:szCs w:val="22"/>
                <w:lang w:val="en-GB"/>
              </w:rPr>
            </m:ctrlPr>
          </m:sSubPr>
          <m:e>
            <m:r>
              <w:rPr>
                <w:rFonts w:ascii="Cambria Math" w:hAnsi="Cambria Math"/>
                <w:sz w:val="22"/>
                <w:szCs w:val="22"/>
                <w:lang w:val="en-GB"/>
              </w:rPr>
              <m:t>V</m:t>
            </m:r>
          </m:e>
          <m:sub>
            <m:r>
              <w:rPr>
                <w:rFonts w:ascii="Cambria Math" w:hAnsi="Cambria Math"/>
                <w:sz w:val="22"/>
                <w:szCs w:val="22"/>
                <w:lang w:val="en-GB"/>
              </w:rPr>
              <m:t>SG</m:t>
            </m:r>
          </m:sub>
        </m:sSub>
      </m:oMath>
      <w:r w:rsidRPr="00B20A34">
        <w:rPr>
          <w:rFonts w:ascii="Times New Roman" w:eastAsia="Helvetica" w:hAnsi="Times New Roman" w:cs="Times New Roman"/>
          <w:sz w:val="22"/>
          <w:szCs w:val="22"/>
          <w:shd w:val="clear" w:color="auto" w:fill="FFFFFF"/>
          <w:lang w:val="en-GB"/>
        </w:rPr>
        <w:t>), despite technological sophistication of the system (</w:t>
      </w:r>
      <m:oMath>
        <m:sSub>
          <m:sSubPr>
            <m:ctrlPr>
              <w:rPr>
                <w:rFonts w:ascii="Cambria Math" w:hAnsi="Cambria Math"/>
                <w:i/>
                <w:sz w:val="22"/>
                <w:szCs w:val="22"/>
                <w:lang w:val="en-GB"/>
              </w:rPr>
            </m:ctrlPr>
          </m:sSubPr>
          <m:e>
            <m:r>
              <w:rPr>
                <w:rFonts w:ascii="Cambria Math" w:hAnsi="Cambria Math"/>
                <w:sz w:val="22"/>
                <w:szCs w:val="22"/>
                <w:lang w:val="en-GB"/>
              </w:rPr>
              <m:t>M</m:t>
            </m:r>
          </m:e>
          <m:sub>
            <m:r>
              <w:rPr>
                <w:rFonts w:ascii="Cambria Math" w:hAnsi="Cambria Math"/>
                <w:sz w:val="22"/>
                <w:szCs w:val="22"/>
                <w:lang w:val="en-GB"/>
              </w:rPr>
              <m:t>tech</m:t>
            </m:r>
          </m:sub>
        </m:sSub>
      </m:oMath>
      <w:r w:rsidRPr="00B20A34">
        <w:rPr>
          <w:rFonts w:ascii="Times New Roman" w:eastAsia="Helvetica" w:hAnsi="Times New Roman" w:cs="Times New Roman"/>
          <w:sz w:val="22"/>
          <w:szCs w:val="22"/>
          <w:shd w:val="clear" w:color="auto" w:fill="FFFFFF"/>
          <w:lang w:val="en-GB"/>
        </w:rPr>
        <w:t>).</w:t>
      </w:r>
    </w:p>
    <w:p w14:paraId="402B9566" w14:textId="61766C83" w:rsidR="005358DE" w:rsidRDefault="005358DE">
      <w:pPr>
        <w:rPr>
          <w:rFonts w:ascii="Times New Roman" w:eastAsia="Helvetica" w:hAnsi="Times New Roman" w:cs="Times New Roman"/>
          <w:sz w:val="22"/>
          <w:szCs w:val="22"/>
          <w:shd w:val="clear" w:color="auto" w:fill="FFFFFF"/>
          <w:lang w:val="en-GB"/>
        </w:rPr>
      </w:pPr>
      <w:r>
        <w:rPr>
          <w:rFonts w:ascii="Times New Roman" w:eastAsia="Helvetica" w:hAnsi="Times New Roman" w:cs="Times New Roman"/>
          <w:sz w:val="22"/>
          <w:szCs w:val="22"/>
          <w:shd w:val="clear" w:color="auto" w:fill="FFFFFF"/>
          <w:lang w:val="en-GB"/>
        </w:rPr>
        <w:br w:type="page"/>
      </w:r>
    </w:p>
    <w:p w14:paraId="630F3D13" w14:textId="77777777" w:rsidR="009462F7" w:rsidRPr="00B20A34" w:rsidRDefault="00C56864" w:rsidP="00487F23">
      <w:pPr>
        <w:pStyle w:val="Rtab"/>
        <w:rPr>
          <w:shd w:val="clear" w:color="auto" w:fill="FFFFFF"/>
          <w:lang w:val="en-GB"/>
        </w:rPr>
      </w:pPr>
      <w:r w:rsidRPr="00B20A34">
        <w:rPr>
          <w:b/>
          <w:bCs/>
          <w:shd w:val="clear" w:color="auto" w:fill="FFFFFF"/>
          <w:lang w:val="en-GB"/>
        </w:rPr>
        <w:lastRenderedPageBreak/>
        <w:t>Table 4.</w:t>
      </w:r>
      <w:r w:rsidRPr="00B20A34">
        <w:rPr>
          <w:lang w:val="en-GB"/>
        </w:rPr>
        <w:t xml:space="preserve"> </w:t>
      </w:r>
      <w:r w:rsidRPr="00B20A34">
        <w:rPr>
          <w:shd w:val="clear" w:color="auto" w:fill="FFFFFF"/>
          <w:lang w:val="en-GB"/>
        </w:rPr>
        <w:t>Mechanisms of the Performance-Branding Gap in Smart-Green Real Estate</w:t>
      </w:r>
    </w:p>
    <w:tbl>
      <w:tblPr>
        <w:tblStyle w:val="TableGridLight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10"/>
        <w:gridCol w:w="2310"/>
        <w:gridCol w:w="2576"/>
        <w:gridCol w:w="2551"/>
      </w:tblGrid>
      <w:tr w:rsidR="00BC6A52" w:rsidRPr="00B20A34" w14:paraId="56A63385" w14:textId="77777777" w:rsidTr="00FF33D8">
        <w:trPr>
          <w:trHeight w:val="632"/>
          <w:jc w:val="center"/>
        </w:trPr>
        <w:tc>
          <w:tcPr>
            <w:tcW w:w="2310" w:type="dxa"/>
            <w:vAlign w:val="center"/>
          </w:tcPr>
          <w:p w14:paraId="5AA6E5A1"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Key Mechanism</w:t>
            </w:r>
          </w:p>
        </w:tc>
        <w:tc>
          <w:tcPr>
            <w:tcW w:w="2310" w:type="dxa"/>
            <w:vAlign w:val="center"/>
          </w:tcPr>
          <w:p w14:paraId="4FC448A0"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Primary Citation</w:t>
            </w:r>
          </w:p>
        </w:tc>
        <w:tc>
          <w:tcPr>
            <w:tcW w:w="2576" w:type="dxa"/>
            <w:vAlign w:val="center"/>
          </w:tcPr>
          <w:p w14:paraId="3822F49F"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Nature of the Gap</w:t>
            </w:r>
          </w:p>
        </w:tc>
        <w:tc>
          <w:tcPr>
            <w:tcW w:w="2551" w:type="dxa"/>
            <w:vAlign w:val="center"/>
          </w:tcPr>
          <w:p w14:paraId="300F5114" w14:textId="2BAD6C4A" w:rsidR="009462F7" w:rsidRPr="00B20A34" w:rsidRDefault="00C56864" w:rsidP="000B0208">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Impact on Lifecycle </w:t>
            </w:r>
            <w:r w:rsidR="000B0208">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Financial Performance</w:t>
            </w:r>
          </w:p>
        </w:tc>
      </w:tr>
      <w:tr w:rsidR="00BC6A52" w:rsidRPr="00B20A34" w14:paraId="0F0FDF35" w14:textId="77777777" w:rsidTr="00B94404">
        <w:trPr>
          <w:trHeight w:val="1393"/>
          <w:jc w:val="center"/>
        </w:trPr>
        <w:tc>
          <w:tcPr>
            <w:tcW w:w="2310" w:type="dxa"/>
            <w:vAlign w:val="center"/>
          </w:tcPr>
          <w:p w14:paraId="41136B8E" w14:textId="0B9AD09A" w:rsidR="009462F7" w:rsidRPr="00B20A34" w:rsidRDefault="00C56864" w:rsidP="008B151D">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Institutional Split </w:t>
            </w:r>
            <w:r w:rsidR="008B151D">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Incentives</w:t>
            </w:r>
          </w:p>
        </w:tc>
        <w:tc>
          <w:tcPr>
            <w:tcW w:w="2310" w:type="dxa"/>
            <w:vAlign w:val="center"/>
          </w:tcPr>
          <w:p w14:paraId="2111F231" w14:textId="77777777" w:rsidR="009462F7" w:rsidRPr="00B20A34" w:rsidRDefault="00C56864" w:rsidP="008B151D">
            <w:pPr>
              <w:ind w:left="-89"/>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Bardhan and Kroll (2011)</w:t>
            </w:r>
          </w:p>
        </w:tc>
        <w:tc>
          <w:tcPr>
            <w:tcW w:w="2576" w:type="dxa"/>
            <w:vAlign w:val="center"/>
          </w:tcPr>
          <w:p w14:paraId="4884FFD7"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Structural Decoupling: Landlords bear capital costs (</w:t>
            </w:r>
            <w:proofErr w:type="spellStart"/>
            <w:r w:rsidRPr="00B20A34">
              <w:rPr>
                <w:rFonts w:ascii="Times New Roman" w:eastAsia="Helvetica" w:hAnsi="Times New Roman" w:cs="Times New Roman"/>
                <w:sz w:val="22"/>
                <w:szCs w:val="22"/>
                <w:shd w:val="clear" w:color="auto" w:fill="FFFFFF"/>
                <w:lang w:val="en-GB"/>
              </w:rPr>
              <w:t>CapEx</w:t>
            </w:r>
            <w:proofErr w:type="spellEnd"/>
            <w:r w:rsidRPr="00B20A34">
              <w:rPr>
                <w:rFonts w:ascii="Times New Roman" w:eastAsia="Helvetica" w:hAnsi="Times New Roman" w:cs="Times New Roman"/>
                <w:sz w:val="22"/>
                <w:szCs w:val="22"/>
                <w:shd w:val="clear" w:color="auto" w:fill="FFFFFF"/>
                <w:lang w:val="en-GB"/>
              </w:rPr>
              <w:t>) while tenants reap operational savings (</w:t>
            </w:r>
            <w:proofErr w:type="spellStart"/>
            <w:r w:rsidRPr="00B20A34">
              <w:rPr>
                <w:rFonts w:ascii="Times New Roman" w:eastAsia="Helvetica" w:hAnsi="Times New Roman" w:cs="Times New Roman"/>
                <w:sz w:val="22"/>
                <w:szCs w:val="22"/>
                <w:shd w:val="clear" w:color="auto" w:fill="FFFFFF"/>
                <w:lang w:val="en-GB"/>
              </w:rPr>
              <w:t>OpEx</w:t>
            </w:r>
            <w:proofErr w:type="spellEnd"/>
            <w:r w:rsidRPr="00B20A34">
              <w:rPr>
                <w:rFonts w:ascii="Times New Roman" w:eastAsia="Helvetica" w:hAnsi="Times New Roman" w:cs="Times New Roman"/>
                <w:sz w:val="22"/>
                <w:szCs w:val="22"/>
                <w:shd w:val="clear" w:color="auto" w:fill="FFFFFF"/>
                <w:lang w:val="en-GB"/>
              </w:rPr>
              <w:t>).</w:t>
            </w:r>
          </w:p>
        </w:tc>
        <w:tc>
          <w:tcPr>
            <w:tcW w:w="2551" w:type="dxa"/>
            <w:vAlign w:val="center"/>
          </w:tcPr>
          <w:p w14:paraId="3157C43B"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Reduces owner’s direct ROI and Net Present Value (NPV) despite high "Green Brand" value.</w:t>
            </w:r>
          </w:p>
        </w:tc>
      </w:tr>
      <w:tr w:rsidR="00BC6A52" w:rsidRPr="00B20A34" w14:paraId="2EAE5342" w14:textId="77777777" w:rsidTr="00B94404">
        <w:trPr>
          <w:trHeight w:val="1555"/>
          <w:jc w:val="center"/>
        </w:trPr>
        <w:tc>
          <w:tcPr>
            <w:tcW w:w="2310" w:type="dxa"/>
            <w:vAlign w:val="center"/>
          </w:tcPr>
          <w:p w14:paraId="6EF2AA93" w14:textId="4D414D3B" w:rsidR="009462F7" w:rsidRPr="00B20A34" w:rsidRDefault="00C56864" w:rsidP="008B151D">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Social-Technical </w:t>
            </w:r>
            <w:r w:rsidR="008B151D">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Paradox</w:t>
            </w:r>
          </w:p>
        </w:tc>
        <w:tc>
          <w:tcPr>
            <w:tcW w:w="2310" w:type="dxa"/>
            <w:vAlign w:val="center"/>
          </w:tcPr>
          <w:p w14:paraId="6E86BDB0" w14:textId="058FD5E4" w:rsidR="009462F7" w:rsidRPr="00B20A34" w:rsidRDefault="00C56864" w:rsidP="008B151D">
            <w:pPr>
              <w:ind w:left="-89"/>
              <w:rPr>
                <w:rFonts w:ascii="Times New Roman" w:eastAsia="Helvetica" w:hAnsi="Times New Roman" w:cs="Times New Roman"/>
                <w:sz w:val="22"/>
                <w:szCs w:val="22"/>
                <w:shd w:val="clear" w:color="auto" w:fill="FFFFFF"/>
                <w:lang w:val="en-GB"/>
              </w:rPr>
            </w:pPr>
            <w:proofErr w:type="spellStart"/>
            <w:r w:rsidRPr="00B20A34">
              <w:rPr>
                <w:rFonts w:ascii="Times New Roman" w:eastAsia="Helvetica" w:hAnsi="Times New Roman" w:cs="Times New Roman"/>
                <w:sz w:val="22"/>
                <w:szCs w:val="22"/>
                <w:shd w:val="clear" w:color="auto" w:fill="FFFFFF"/>
                <w:lang w:val="en-GB"/>
              </w:rPr>
              <w:t>Radziejowska</w:t>
            </w:r>
            <w:proofErr w:type="spellEnd"/>
            <w:r w:rsidRPr="00B20A34">
              <w:rPr>
                <w:rFonts w:ascii="Times New Roman" w:eastAsia="Helvetica" w:hAnsi="Times New Roman" w:cs="Times New Roman"/>
                <w:sz w:val="22"/>
                <w:szCs w:val="22"/>
                <w:shd w:val="clear" w:color="auto" w:fill="FFFFFF"/>
                <w:lang w:val="en-GB"/>
              </w:rPr>
              <w:t xml:space="preserve"> and</w:t>
            </w:r>
            <w:r w:rsidR="00B94404">
              <w:rPr>
                <w:rFonts w:ascii="Times New Roman" w:eastAsia="Helvetica" w:hAnsi="Times New Roman" w:cs="Times New Roman"/>
                <w:sz w:val="22"/>
                <w:szCs w:val="22"/>
                <w:shd w:val="clear" w:color="auto" w:fill="FFFFFF"/>
                <w:lang w:val="en-GB"/>
              </w:rPr>
              <w:t> </w:t>
            </w:r>
            <w:r w:rsidRPr="00B20A34">
              <w:rPr>
                <w:rFonts w:ascii="Times New Roman" w:eastAsia="Helvetica" w:hAnsi="Times New Roman" w:cs="Times New Roman"/>
                <w:sz w:val="22"/>
                <w:szCs w:val="22"/>
                <w:shd w:val="clear" w:color="auto" w:fill="FFFFFF"/>
                <w:lang w:val="en-GB"/>
              </w:rPr>
              <w:t>Sobotka (2021)</w:t>
            </w:r>
          </w:p>
        </w:tc>
        <w:tc>
          <w:tcPr>
            <w:tcW w:w="2576" w:type="dxa"/>
            <w:vAlign w:val="center"/>
          </w:tcPr>
          <w:p w14:paraId="4228058B"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proofErr w:type="spellStart"/>
            <w:r w:rsidRPr="00B20A34">
              <w:rPr>
                <w:rFonts w:ascii="Times New Roman" w:eastAsia="Helvetica" w:hAnsi="Times New Roman" w:cs="Times New Roman"/>
                <w:sz w:val="22"/>
                <w:szCs w:val="22"/>
                <w:shd w:val="clear" w:color="auto" w:fill="FFFFFF"/>
                <w:lang w:val="en-GB"/>
              </w:rPr>
              <w:t>Behavioral</w:t>
            </w:r>
            <w:proofErr w:type="spellEnd"/>
            <w:r w:rsidRPr="00B20A34">
              <w:rPr>
                <w:rFonts w:ascii="Times New Roman" w:eastAsia="Helvetica" w:hAnsi="Times New Roman" w:cs="Times New Roman"/>
                <w:sz w:val="22"/>
                <w:szCs w:val="22"/>
                <w:shd w:val="clear" w:color="auto" w:fill="FFFFFF"/>
                <w:lang w:val="en-GB"/>
              </w:rPr>
              <w:t xml:space="preserve"> Decoupling: High-tech "Smart" branding assumes passive efficiency but requires active, skilled resident engagement.</w:t>
            </w:r>
          </w:p>
        </w:tc>
        <w:tc>
          <w:tcPr>
            <w:tcW w:w="2551" w:type="dxa"/>
            <w:vAlign w:val="center"/>
          </w:tcPr>
          <w:p w14:paraId="14698209" w14:textId="5FDD37AE"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Operational "decay" occurs when users bypass or misuse systems, leading to higher-than-forecasted lifecycle costs.</w:t>
            </w:r>
          </w:p>
        </w:tc>
      </w:tr>
      <w:tr w:rsidR="00BC6A52" w:rsidRPr="00B20A34" w14:paraId="602F5D34" w14:textId="77777777" w:rsidTr="00B94404">
        <w:trPr>
          <w:trHeight w:val="1704"/>
          <w:jc w:val="center"/>
        </w:trPr>
        <w:tc>
          <w:tcPr>
            <w:tcW w:w="2310" w:type="dxa"/>
            <w:vAlign w:val="center"/>
          </w:tcPr>
          <w:p w14:paraId="70BCE975" w14:textId="5D3CAD7E" w:rsidR="009462F7" w:rsidRPr="00B20A34" w:rsidRDefault="00C56864" w:rsidP="008B151D">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Strategic </w:t>
            </w:r>
            <w:r w:rsidR="008B151D">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Misrepresentation</w:t>
            </w:r>
          </w:p>
        </w:tc>
        <w:tc>
          <w:tcPr>
            <w:tcW w:w="2310" w:type="dxa"/>
            <w:vAlign w:val="center"/>
          </w:tcPr>
          <w:p w14:paraId="1A552F95" w14:textId="7A0D3C27" w:rsidR="009462F7" w:rsidRPr="00B20A34" w:rsidRDefault="00C56864" w:rsidP="008B151D">
            <w:pPr>
              <w:ind w:left="-89"/>
              <w:rPr>
                <w:rFonts w:ascii="Times New Roman" w:eastAsia="Helvetica" w:hAnsi="Times New Roman" w:cs="Times New Roman"/>
                <w:sz w:val="22"/>
                <w:szCs w:val="22"/>
                <w:shd w:val="clear" w:color="auto" w:fill="FFFFFF"/>
                <w:lang w:val="en-GB"/>
              </w:rPr>
            </w:pPr>
            <w:proofErr w:type="spellStart"/>
            <w:r w:rsidRPr="00B20A34">
              <w:rPr>
                <w:rFonts w:ascii="Times New Roman" w:eastAsia="Helvetica" w:hAnsi="Times New Roman" w:cs="Times New Roman"/>
                <w:sz w:val="22"/>
                <w:szCs w:val="22"/>
                <w:shd w:val="clear" w:color="auto" w:fill="FFFFFF"/>
                <w:lang w:val="en-GB"/>
              </w:rPr>
              <w:t>Yigitcanlar</w:t>
            </w:r>
            <w:proofErr w:type="spellEnd"/>
            <w:r w:rsidRPr="00B20A34">
              <w:rPr>
                <w:rFonts w:ascii="Times New Roman" w:eastAsia="Helvetica" w:hAnsi="Times New Roman" w:cs="Times New Roman"/>
                <w:sz w:val="22"/>
                <w:szCs w:val="22"/>
                <w:shd w:val="clear" w:color="auto" w:fill="FFFFFF"/>
                <w:lang w:val="en-GB"/>
              </w:rPr>
              <w:t xml:space="preserve"> </w:t>
            </w:r>
            <w:r w:rsidR="00B94404">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and Lee (2014)</w:t>
            </w:r>
          </w:p>
        </w:tc>
        <w:tc>
          <w:tcPr>
            <w:tcW w:w="2576" w:type="dxa"/>
            <w:vAlign w:val="center"/>
          </w:tcPr>
          <w:p w14:paraId="510F2731" w14:textId="4C45B473"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Information Asymmetry "Ubiquitous-Eco" branding is often used as a speculative marketing tool rather than a technical blueprint.</w:t>
            </w:r>
          </w:p>
        </w:tc>
        <w:tc>
          <w:tcPr>
            <w:tcW w:w="2551" w:type="dxa"/>
            <w:vAlign w:val="center"/>
          </w:tcPr>
          <w:p w14:paraId="4D5F6841" w14:textId="66669DA3" w:rsidR="009462F7" w:rsidRPr="00B20A34" w:rsidRDefault="00C56864" w:rsidP="000B0208">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Creates a "Branding Hoax" where the "Green Premium" at sale does not</w:t>
            </w:r>
            <w:r w:rsidR="000B0208">
              <w:rPr>
                <w:rFonts w:ascii="Times New Roman" w:eastAsia="Helvetica" w:hAnsi="Times New Roman" w:cs="Times New Roman"/>
                <w:sz w:val="22"/>
                <w:szCs w:val="22"/>
                <w:shd w:val="clear" w:color="auto" w:fill="FFFFFF"/>
                <w:lang w:val="en-GB"/>
              </w:rPr>
              <w:t> </w:t>
            </w:r>
            <w:r w:rsidRPr="00B20A34">
              <w:rPr>
                <w:rFonts w:ascii="Times New Roman" w:eastAsia="Helvetica" w:hAnsi="Times New Roman" w:cs="Times New Roman"/>
                <w:sz w:val="22"/>
                <w:szCs w:val="22"/>
                <w:shd w:val="clear" w:color="auto" w:fill="FFFFFF"/>
                <w:lang w:val="en-GB"/>
              </w:rPr>
              <w:t>reflect actual resource efficiency or long-term resilience.</w:t>
            </w:r>
          </w:p>
        </w:tc>
      </w:tr>
      <w:tr w:rsidR="00BC6A52" w:rsidRPr="00B20A34" w14:paraId="0C2CAC48" w14:textId="77777777" w:rsidTr="00B94404">
        <w:trPr>
          <w:trHeight w:val="1554"/>
          <w:jc w:val="center"/>
        </w:trPr>
        <w:tc>
          <w:tcPr>
            <w:tcW w:w="2310" w:type="dxa"/>
            <w:vAlign w:val="center"/>
          </w:tcPr>
          <w:p w14:paraId="14177AB2" w14:textId="77777777" w:rsidR="009462F7" w:rsidRPr="00B20A34" w:rsidRDefault="00C56864" w:rsidP="008B151D">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Market Valuation Lag</w:t>
            </w:r>
          </w:p>
        </w:tc>
        <w:tc>
          <w:tcPr>
            <w:tcW w:w="2310" w:type="dxa"/>
            <w:vAlign w:val="center"/>
          </w:tcPr>
          <w:p w14:paraId="63CABA3B" w14:textId="77777777" w:rsidR="009462F7" w:rsidRPr="00B20A34" w:rsidRDefault="00C56864" w:rsidP="008B151D">
            <w:pPr>
              <w:ind w:left="-89"/>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Zhou at el.(2016)</w:t>
            </w:r>
          </w:p>
        </w:tc>
        <w:tc>
          <w:tcPr>
            <w:tcW w:w="2576" w:type="dxa"/>
            <w:vAlign w:val="center"/>
          </w:tcPr>
          <w:p w14:paraId="735752C8" w14:textId="77777777" w:rsidR="009462F7" w:rsidRPr="00B20A34" w:rsidRDefault="00C56864" w:rsidP="008B151D">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Analytical Decoupling: Appraisal models over-rely on static certifications (LEED/BREEAM) rather than dynamic</w:t>
            </w:r>
          </w:p>
        </w:tc>
        <w:tc>
          <w:tcPr>
            <w:tcW w:w="2551" w:type="dxa"/>
            <w:vAlign w:val="center"/>
          </w:tcPr>
          <w:p w14:paraId="780FAB54" w14:textId="33F86F56" w:rsidR="009462F7" w:rsidRPr="00B20A34" w:rsidRDefault="00C56864" w:rsidP="000B0208">
            <w:pPr>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Leads to mispriced </w:t>
            </w:r>
            <w:r w:rsidR="000B0208">
              <w:rPr>
                <w:rFonts w:ascii="Times New Roman" w:eastAsia="Helvetica" w:hAnsi="Times New Roman" w:cs="Times New Roman"/>
                <w:sz w:val="22"/>
                <w:szCs w:val="22"/>
                <w:shd w:val="clear" w:color="auto" w:fill="FFFFFF"/>
                <w:lang w:val="en-GB"/>
              </w:rPr>
              <w:br/>
            </w:r>
            <w:r w:rsidRPr="00B20A34">
              <w:rPr>
                <w:rFonts w:ascii="Times New Roman" w:eastAsia="Helvetica" w:hAnsi="Times New Roman" w:cs="Times New Roman"/>
                <w:sz w:val="22"/>
                <w:szCs w:val="22"/>
                <w:shd w:val="clear" w:color="auto" w:fill="FFFFFF"/>
                <w:lang w:val="en-GB"/>
              </w:rPr>
              <w:t>assets where "branded" properties may face future "brown discounts" as actual performance data</w:t>
            </w:r>
          </w:p>
        </w:tc>
      </w:tr>
    </w:tbl>
    <w:p w14:paraId="28D9F5E3" w14:textId="77777777" w:rsidR="009462F7" w:rsidRPr="00B20A34" w:rsidRDefault="00C56864" w:rsidP="00487F23">
      <w:pPr>
        <w:spacing w:before="60"/>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Source: Author’s Compilation</w:t>
      </w:r>
    </w:p>
    <w:p w14:paraId="36637889" w14:textId="77777777" w:rsidR="009462F7" w:rsidRPr="00B20A34" w:rsidRDefault="00C56864" w:rsidP="00487F23">
      <w:pPr>
        <w:pStyle w:val="Rn1"/>
        <w:rPr>
          <w:shd w:val="clear" w:color="auto" w:fill="FFFFFF"/>
          <w:lang w:val="en-GB"/>
        </w:rPr>
      </w:pPr>
      <w:r w:rsidRPr="00B20A34">
        <w:rPr>
          <w:shd w:val="clear" w:color="auto" w:fill="FFFFFF"/>
          <w:lang w:val="en-GB"/>
        </w:rPr>
        <w:t>5. Conclusion</w:t>
      </w:r>
    </w:p>
    <w:p w14:paraId="211401A1" w14:textId="0EE5CA0F"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The research provides a state-of-the-art review of the rapidly developing body of literature </w:t>
      </w:r>
      <w:r w:rsidR="005358DE">
        <w:rPr>
          <w:rFonts w:ascii="Times New Roman" w:eastAsia="Helvetica" w:hAnsi="Times New Roman" w:cs="Times New Roman"/>
          <w:sz w:val="22"/>
          <w:szCs w:val="22"/>
          <w:shd w:val="clear" w:color="auto" w:fill="FFFFFF"/>
          <w:lang w:val="en-GB"/>
        </w:rPr>
        <w:t>on smart-green housing investments and contributes to the field by proposing a holistic conceptual model and valuation approach</w:t>
      </w:r>
      <w:r w:rsidRPr="00B20A34">
        <w:rPr>
          <w:rFonts w:ascii="Times New Roman" w:eastAsia="Helvetica" w:hAnsi="Times New Roman" w:cs="Times New Roman"/>
          <w:sz w:val="22"/>
          <w:szCs w:val="22"/>
          <w:shd w:val="clear" w:color="auto" w:fill="FFFFFF"/>
          <w:lang w:val="en-GB"/>
        </w:rPr>
        <w:t xml:space="preserve"> that considers innovative technologies, lifecycle performance characteristics, and institutional factors of sustainable assets. The analysis of the scholarly literature based on the PRISMA 2020 protocol suggests that there is a structural change currently taking place in the context of modern urbanization characterized by the emergence of digital architecture in the form of BIM, IoT, and AI as crucial drivers of value creation in the built environment</w:t>
      </w:r>
      <w:r w:rsidR="00EE0A8E" w:rsidRPr="00B20A34">
        <w:rPr>
          <w:rFonts w:ascii="Times New Roman" w:eastAsia="Helvetica" w:hAnsi="Times New Roman" w:cs="Times New Roman"/>
          <w:sz w:val="22"/>
          <w:szCs w:val="22"/>
          <w:shd w:val="clear" w:color="auto" w:fill="FFFFFF"/>
          <w:lang w:val="en-GB"/>
        </w:rPr>
        <w:t xml:space="preserve"> </w:t>
      </w:r>
      <w:r w:rsidRPr="00B20A34">
        <w:rPr>
          <w:rFonts w:ascii="Times New Roman" w:eastAsia="Helvetica" w:hAnsi="Times New Roman" w:cs="Times New Roman"/>
          <w:sz w:val="22"/>
          <w:szCs w:val="22"/>
          <w:shd w:val="clear" w:color="auto" w:fill="FFFFFF"/>
          <w:lang w:val="en-GB"/>
        </w:rPr>
        <w:t>(Zayed et al.</w:t>
      </w:r>
      <w:r w:rsidR="00EE0A8E" w:rsidRPr="00B20A34">
        <w:rPr>
          <w:rFonts w:ascii="Times New Roman" w:eastAsia="Helvetica" w:hAnsi="Times New Roman" w:cs="Times New Roman"/>
          <w:sz w:val="22"/>
          <w:szCs w:val="22"/>
          <w:shd w:val="clear" w:color="auto" w:fill="FFFFFF"/>
          <w:lang w:val="en-GB"/>
        </w:rPr>
        <w:t xml:space="preserve">, </w:t>
      </w:r>
      <w:r w:rsidRPr="00B20A34">
        <w:rPr>
          <w:rFonts w:ascii="Times New Roman" w:eastAsia="Helvetica" w:hAnsi="Times New Roman" w:cs="Times New Roman"/>
          <w:sz w:val="22"/>
          <w:szCs w:val="22"/>
          <w:shd w:val="clear" w:color="auto" w:fill="FFFFFF"/>
          <w:lang w:val="en-GB"/>
        </w:rPr>
        <w:t>2026; Karakosta et al.</w:t>
      </w:r>
      <w:r w:rsidR="00EE0A8E"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 xml:space="preserve"> 2025;</w:t>
      </w:r>
      <w:r w:rsidR="00EE0A8E" w:rsidRPr="00B20A34">
        <w:rPr>
          <w:rFonts w:ascii="Times New Roman" w:eastAsia="Helvetica" w:hAnsi="Times New Roman" w:cs="Times New Roman"/>
          <w:sz w:val="22"/>
          <w:szCs w:val="22"/>
          <w:shd w:val="clear" w:color="auto" w:fill="FFFFFF"/>
          <w:lang w:val="en-GB"/>
        </w:rPr>
        <w:t xml:space="preserve"> </w:t>
      </w:r>
      <w:r w:rsidRPr="00B20A34">
        <w:rPr>
          <w:rFonts w:ascii="Times New Roman" w:eastAsia="Helvetica" w:hAnsi="Times New Roman" w:cs="Times New Roman"/>
          <w:sz w:val="22"/>
          <w:szCs w:val="22"/>
          <w:shd w:val="clear" w:color="auto" w:fill="FFFFFF"/>
          <w:lang w:val="en-GB"/>
        </w:rPr>
        <w:t>Rahman et al.</w:t>
      </w:r>
      <w:r w:rsidR="00EE0A8E" w:rsidRPr="00B20A34">
        <w:rPr>
          <w:rFonts w:ascii="Times New Roman" w:eastAsia="Helvetica" w:hAnsi="Times New Roman" w:cs="Times New Roman"/>
          <w:sz w:val="22"/>
          <w:szCs w:val="22"/>
          <w:shd w:val="clear" w:color="auto" w:fill="FFFFFF"/>
          <w:lang w:val="en-GB"/>
        </w:rPr>
        <w:t xml:space="preserve">, </w:t>
      </w:r>
      <w:r w:rsidRPr="00B20A34">
        <w:rPr>
          <w:rFonts w:ascii="Times New Roman" w:eastAsia="Helvetica" w:hAnsi="Times New Roman" w:cs="Times New Roman"/>
          <w:sz w:val="22"/>
          <w:szCs w:val="22"/>
          <w:shd w:val="clear" w:color="auto" w:fill="FFFFFF"/>
          <w:lang w:val="en-GB"/>
        </w:rPr>
        <w:t>2022).</w:t>
      </w:r>
    </w:p>
    <w:p w14:paraId="178F3982" w14:textId="6EE5AE6A"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The review highlights the finding that</w:t>
      </w:r>
      <w:r w:rsidR="005358DE">
        <w:rPr>
          <w:rFonts w:ascii="Times New Roman" w:eastAsia="Helvetica" w:hAnsi="Times New Roman" w:cs="Times New Roman"/>
          <w:sz w:val="22"/>
          <w:szCs w:val="22"/>
          <w:shd w:val="clear" w:color="auto" w:fill="FFFFFF"/>
          <w:lang w:val="en-GB"/>
        </w:rPr>
        <w:t>, despite successful technical validation of the energy efficiency of buildings in the Foundational Era of smart-green developments, the ongoing Validation Era continues to suffer from a</w:t>
      </w:r>
      <w:r w:rsidRPr="00B20A34">
        <w:rPr>
          <w:rFonts w:ascii="Times New Roman" w:eastAsia="Helvetica" w:hAnsi="Times New Roman" w:cs="Times New Roman"/>
          <w:sz w:val="22"/>
          <w:szCs w:val="22"/>
          <w:shd w:val="clear" w:color="auto" w:fill="FFFFFF"/>
          <w:lang w:val="en-GB"/>
        </w:rPr>
        <w:t xml:space="preserve"> persistent performance-brand disconnect. While many </w:t>
      </w:r>
      <w:r w:rsidR="005358DE">
        <w:rPr>
          <w:rFonts w:ascii="Times New Roman" w:eastAsia="Helvetica" w:hAnsi="Times New Roman" w:cs="Times New Roman"/>
          <w:sz w:val="22"/>
          <w:szCs w:val="22"/>
          <w:shd w:val="clear" w:color="auto" w:fill="FFFFFF"/>
          <w:lang w:val="en-GB"/>
        </w:rPr>
        <w:t>existing papers discuss environmental certification schemes or the use of technology to measure sustainable value, relatively few studies focus on the economic gains achieved through</w:t>
      </w:r>
      <w:r w:rsidRPr="00B20A34">
        <w:rPr>
          <w:rFonts w:ascii="Times New Roman" w:eastAsia="Helvetica" w:hAnsi="Times New Roman" w:cs="Times New Roman"/>
          <w:sz w:val="22"/>
          <w:szCs w:val="22"/>
          <w:shd w:val="clear" w:color="auto" w:fill="FFFFFF"/>
          <w:lang w:val="en-GB"/>
        </w:rPr>
        <w:t xml:space="preserve"> risk-adjusted financial indicators throughout the life</w:t>
      </w:r>
      <w:r w:rsidR="00EE0A8E" w:rsidRPr="00B20A34">
        <w:rPr>
          <w:rFonts w:ascii="Times New Roman" w:eastAsia="Helvetica" w:hAnsi="Times New Roman" w:cs="Times New Roman"/>
          <w:sz w:val="22"/>
          <w:szCs w:val="22"/>
          <w:shd w:val="clear" w:color="auto" w:fill="FFFFFF"/>
          <w:lang w:val="en-GB"/>
        </w:rPr>
        <w:t xml:space="preserve"> </w:t>
      </w:r>
      <w:r w:rsidRPr="00B20A34">
        <w:rPr>
          <w:rFonts w:ascii="Times New Roman" w:eastAsia="Helvetica" w:hAnsi="Times New Roman" w:cs="Times New Roman"/>
          <w:sz w:val="22"/>
          <w:szCs w:val="22"/>
          <w:shd w:val="clear" w:color="auto" w:fill="FFFFFF"/>
          <w:lang w:val="en-GB"/>
        </w:rPr>
        <w:t>cycle of sustainable assets.</w:t>
      </w:r>
    </w:p>
    <w:p w14:paraId="6C9DF6A8" w14:textId="25F4BF40" w:rsidR="009462F7" w:rsidRPr="00B20A34" w:rsidRDefault="005358DE" w:rsidP="00BC6A52">
      <w:pPr>
        <w:ind w:firstLine="284"/>
        <w:jc w:val="both"/>
        <w:rPr>
          <w:rFonts w:ascii="Times New Roman" w:eastAsia="Helvetica" w:hAnsi="Times New Roman" w:cs="Times New Roman"/>
          <w:sz w:val="22"/>
          <w:szCs w:val="22"/>
          <w:shd w:val="clear" w:color="auto" w:fill="FFFFFF"/>
          <w:lang w:val="en-GB"/>
        </w:rPr>
      </w:pPr>
      <w:r>
        <w:rPr>
          <w:rFonts w:ascii="Times New Roman" w:eastAsia="Helvetica" w:hAnsi="Times New Roman" w:cs="Times New Roman"/>
          <w:sz w:val="22"/>
          <w:szCs w:val="22"/>
          <w:shd w:val="clear" w:color="auto" w:fill="FFFFFF"/>
          <w:lang w:val="en-GB"/>
        </w:rPr>
        <w:t>To address this analytical gap, this paper proposes the concept of Smart-Green Asset Valuation (SGAV), which elucidates how the value of sustainable assets is created through transmission channels linking technological advancement, institutional settings</w:t>
      </w:r>
      <w:r w:rsidR="00C56864" w:rsidRPr="00B20A34">
        <w:rPr>
          <w:rFonts w:ascii="Times New Roman" w:eastAsia="Helvetica" w:hAnsi="Times New Roman" w:cs="Times New Roman"/>
          <w:sz w:val="22"/>
          <w:szCs w:val="22"/>
          <w:shd w:val="clear" w:color="auto" w:fill="FFFFFF"/>
          <w:lang w:val="en-GB"/>
        </w:rPr>
        <w:t>, and lifecycle efficiency. According to the proposed conceptual model, value</w:t>
      </w:r>
      <w:r w:rsidR="009053B3" w:rsidRPr="00B20A34">
        <w:rPr>
          <w:rFonts w:ascii="Times New Roman" w:eastAsia="Helvetica" w:hAnsi="Times New Roman" w:cs="Times New Roman"/>
          <w:sz w:val="22"/>
          <w:szCs w:val="22"/>
          <w:shd w:val="clear" w:color="auto" w:fill="FFFFFF"/>
          <w:lang w:val="en-GB"/>
        </w:rPr>
        <w:t xml:space="preserve"> creation cannot be </w:t>
      </w:r>
      <w:r>
        <w:rPr>
          <w:rFonts w:ascii="Times New Roman" w:eastAsia="Helvetica" w:hAnsi="Times New Roman" w:cs="Times New Roman"/>
          <w:sz w:val="22"/>
          <w:szCs w:val="22"/>
          <w:shd w:val="clear" w:color="auto" w:fill="FFFFFF"/>
          <w:lang w:val="en-GB"/>
        </w:rPr>
        <w:t>achieved solely through technological innovation but</w:t>
      </w:r>
      <w:r w:rsidR="00C56864" w:rsidRPr="00B20A34">
        <w:rPr>
          <w:rFonts w:ascii="Times New Roman" w:eastAsia="Helvetica" w:hAnsi="Times New Roman" w:cs="Times New Roman"/>
          <w:sz w:val="22"/>
          <w:szCs w:val="22"/>
          <w:shd w:val="clear" w:color="auto" w:fill="FFFFFF"/>
          <w:lang w:val="en-GB"/>
        </w:rPr>
        <w:t xml:space="preserve"> requires the interplay among technological, institutional, and operational factors across the life cycle of buildings.</w:t>
      </w:r>
    </w:p>
    <w:p w14:paraId="030C8159" w14:textId="62FA62B3"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Based on the above conceptual model, a theoretical expression is made about the value creation process of smart-green asset</w:t>
      </w:r>
      <w:r w:rsidR="00EE0A8E" w:rsidRPr="00B20A34">
        <w:rPr>
          <w:rFonts w:ascii="Times New Roman" w:eastAsia="Helvetica" w:hAnsi="Times New Roman" w:cs="Times New Roman"/>
          <w:sz w:val="22"/>
          <w:szCs w:val="22"/>
          <w:shd w:val="clear" w:color="auto" w:fill="FFFFFF"/>
          <w:lang w:val="en-GB"/>
        </w:rPr>
        <w:t>s</w:t>
      </w:r>
      <w:r w:rsidRPr="00B20A34">
        <w:rPr>
          <w:rFonts w:ascii="Times New Roman" w:eastAsia="Helvetica" w:hAnsi="Times New Roman" w:cs="Times New Roman"/>
          <w:sz w:val="22"/>
          <w:szCs w:val="22"/>
          <w:shd w:val="clear" w:color="auto" w:fill="FFFFFF"/>
          <w:lang w:val="en-GB"/>
        </w:rPr>
        <w:t xml:space="preserve"> in the form of </w:t>
      </w:r>
      <w:r w:rsidR="00EE0A8E" w:rsidRPr="00B20A34">
        <w:rPr>
          <w:rFonts w:ascii="Times New Roman" w:eastAsia="Helvetica" w:hAnsi="Times New Roman" w:cs="Times New Roman"/>
          <w:sz w:val="22"/>
          <w:szCs w:val="22"/>
          <w:shd w:val="clear" w:color="auto" w:fill="FFFFFF"/>
          <w:lang w:val="en-GB"/>
        </w:rPr>
        <w:t xml:space="preserve">a </w:t>
      </w:r>
      <w:r w:rsidRPr="00B20A34">
        <w:rPr>
          <w:rFonts w:ascii="Times New Roman" w:eastAsia="Helvetica" w:hAnsi="Times New Roman" w:cs="Times New Roman"/>
          <w:sz w:val="22"/>
          <w:szCs w:val="22"/>
          <w:shd w:val="clear" w:color="auto" w:fill="FFFFFF"/>
          <w:lang w:val="en-GB"/>
        </w:rPr>
        <w:t>Smart-Green Asset Valuation (SGAV) equation:</w:t>
      </w:r>
    </w:p>
    <w:p w14:paraId="11CADF9E" w14:textId="262C4466" w:rsidR="009462F7" w:rsidRPr="00B20A34" w:rsidRDefault="00000000" w:rsidP="008B151D">
      <w:pPr>
        <w:tabs>
          <w:tab w:val="right" w:pos="9638"/>
        </w:tabs>
        <w:spacing w:before="120" w:after="120"/>
        <w:ind w:left="3686"/>
        <w:jc w:val="center"/>
        <w:rPr>
          <w:rFonts w:ascii="Times New Roman" w:hAnsi="Times New Roman" w:cs="Times New Roman"/>
          <w:sz w:val="22"/>
          <w:szCs w:val="22"/>
          <w:lang w:val="en-GB"/>
        </w:rPr>
      </w:pP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V</m:t>
            </m:r>
          </m:e>
          <m:sub>
            <m:r>
              <w:rPr>
                <w:rFonts w:ascii="Cambria Math" w:hAnsi="Cambria Math" w:cs="Times New Roman"/>
                <w:sz w:val="22"/>
                <w:szCs w:val="22"/>
                <w:lang w:val="en-GB"/>
              </w:rPr>
              <m:t>SG</m:t>
            </m:r>
          </m:sub>
        </m:sSub>
      </m:oMath>
      <w:r w:rsidR="00C56864" w:rsidRPr="00B20A34">
        <w:rPr>
          <w:rFonts w:ascii="Times New Roman" w:hAnsi="Times New Roman" w:cs="Times New Roman"/>
          <w:sz w:val="22"/>
          <w:szCs w:val="22"/>
          <w:lang w:val="en-GB"/>
        </w:rPr>
        <w:t>=</w:t>
      </w:r>
      <m:oMath>
        <m:sSubSup>
          <m:sSubSupPr>
            <m:ctrlPr>
              <w:rPr>
                <w:rFonts w:ascii="Cambria Math" w:hAnsi="Cambria Math" w:cs="Times New Roman"/>
                <w:i/>
                <w:sz w:val="22"/>
                <w:szCs w:val="22"/>
                <w:lang w:val="en-GB"/>
              </w:rPr>
            </m:ctrlPr>
          </m:sSubSupPr>
          <m:e>
            <m:r>
              <m:rPr>
                <m:sty m:val="p"/>
              </m:rPr>
              <w:rPr>
                <w:rFonts w:ascii="Cambria Math" w:hAnsi="Cambria Math" w:cs="Times New Roman"/>
                <w:sz w:val="22"/>
                <w:szCs w:val="22"/>
                <w:lang w:val="en-GB"/>
              </w:rPr>
              <m:t>∑</m:t>
            </m:r>
          </m:e>
          <m:sub>
            <m:r>
              <w:rPr>
                <w:rFonts w:ascii="Cambria Math" w:hAnsi="Cambria Math" w:cs="Times New Roman"/>
                <w:sz w:val="22"/>
                <w:szCs w:val="22"/>
                <w:lang w:val="en-GB"/>
              </w:rPr>
              <m:t>t=1</m:t>
            </m:r>
          </m:sub>
          <m:sup>
            <m:r>
              <w:rPr>
                <w:rFonts w:ascii="Cambria Math" w:hAnsi="Cambria Math" w:cs="Times New Roman"/>
                <w:sz w:val="22"/>
                <w:szCs w:val="22"/>
                <w:lang w:val="en-GB"/>
              </w:rPr>
              <m:t>n</m:t>
            </m:r>
          </m:sup>
        </m:sSubSup>
      </m:oMath>
      <w:r w:rsidR="00C56864" w:rsidRPr="00B20A34">
        <w:rPr>
          <w:rFonts w:ascii="Times New Roman" w:hAnsi="Times New Roman" w:cs="Times New Roman"/>
          <w:sz w:val="22"/>
          <w:szCs w:val="22"/>
          <w:lang w:val="en-GB"/>
        </w:rPr>
        <w:t xml:space="preserve"> </w:t>
      </w:r>
      <m:oMath>
        <m:f>
          <m:fPr>
            <m:ctrlPr>
              <w:rPr>
                <w:rFonts w:ascii="Cambria Math" w:hAnsi="Cambria Math" w:cs="Times New Roman"/>
                <w:i/>
                <w:sz w:val="22"/>
                <w:szCs w:val="22"/>
                <w:lang w:val="en-GB"/>
              </w:rPr>
            </m:ctrlPr>
          </m:fPr>
          <m:num>
            <m:r>
              <w:rPr>
                <w:rFonts w:ascii="Cambria Math" w:hAnsi="Cambria Math" w:cs="Times New Roman"/>
                <w:sz w:val="22"/>
                <w:szCs w:val="22"/>
                <w:lang w:val="en-GB"/>
              </w:rPr>
              <m:t xml:space="preserve"> </m:t>
            </m:r>
            <m:sSub>
              <m:sSubPr>
                <m:ctrlPr>
                  <w:rPr>
                    <w:rFonts w:ascii="Cambria Math" w:hAnsi="Cambria Math" w:cs="Times New Roman"/>
                    <w:i/>
                    <w:sz w:val="22"/>
                    <w:szCs w:val="22"/>
                    <w:lang w:val="en-GB"/>
                  </w:rPr>
                </m:ctrlPr>
              </m:sSubPr>
              <m:e>
                <m:r>
                  <w:rPr>
                    <w:rFonts w:ascii="Cambria Math" w:hAnsi="Cambria Math" w:cs="Times New Roman"/>
                    <w:sz w:val="22"/>
                    <w:szCs w:val="22"/>
                    <w:lang w:val="en-GB"/>
                  </w:rPr>
                  <m:t>(M</m:t>
                </m:r>
              </m:e>
              <m:sub>
                <m:r>
                  <w:rPr>
                    <w:rFonts w:ascii="Cambria Math" w:hAnsi="Cambria Math" w:cs="Times New Roman"/>
                    <w:sz w:val="22"/>
                    <w:szCs w:val="22"/>
                    <w:lang w:val="en-GB"/>
                  </w:rPr>
                  <m:t>tech ×</m:t>
                </m:r>
              </m:sub>
            </m:sSub>
            <m:sSub>
              <m:sSubPr>
                <m:ctrlPr>
                  <w:rPr>
                    <w:rFonts w:ascii="Cambria Math" w:hAnsi="Cambria Math" w:cs="Times New Roman"/>
                    <w:i/>
                    <w:sz w:val="22"/>
                    <w:szCs w:val="22"/>
                    <w:lang w:val="en-GB"/>
                  </w:rPr>
                </m:ctrlPr>
              </m:sSubPr>
              <m:e>
                <m:r>
                  <w:rPr>
                    <w:rFonts w:ascii="Cambria Math" w:hAnsi="Cambria Math" w:cs="Times New Roman"/>
                    <w:sz w:val="22"/>
                    <w:szCs w:val="22"/>
                    <w:lang w:val="en-GB"/>
                  </w:rPr>
                  <m:t>∅</m:t>
                </m:r>
              </m:e>
              <m:sub>
                <m:r>
                  <w:rPr>
                    <w:rFonts w:ascii="Cambria Math" w:hAnsi="Cambria Math" w:cs="Times New Roman"/>
                    <w:sz w:val="22"/>
                    <w:szCs w:val="22"/>
                    <w:lang w:val="en-GB"/>
                  </w:rPr>
                  <m:t>inst</m:t>
                </m:r>
              </m:sub>
            </m:sSub>
            <m:r>
              <w:rPr>
                <w:rFonts w:ascii="Cambria Math" w:hAnsi="Cambria Math" w:cs="Times New Roman"/>
                <w:sz w:val="22"/>
                <w:szCs w:val="22"/>
                <w:lang w:val="en-GB"/>
              </w:rPr>
              <m:t xml:space="preserve">× </m:t>
            </m:r>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r>
              <w:rPr>
                <w:rFonts w:ascii="Cambria Math" w:hAnsi="Cambria Math" w:cs="Times New Roman"/>
                <w:sz w:val="22"/>
                <w:szCs w:val="22"/>
                <w:lang w:val="en-GB"/>
              </w:rPr>
              <m:t xml:space="preserve"> )t </m:t>
            </m:r>
          </m:num>
          <m:den>
            <m:sSup>
              <m:sSupPr>
                <m:ctrlPr>
                  <w:rPr>
                    <w:rFonts w:ascii="Cambria Math" w:hAnsi="Cambria Math" w:cs="Times New Roman"/>
                    <w:i/>
                    <w:sz w:val="22"/>
                    <w:szCs w:val="22"/>
                    <w:lang w:val="en-GB"/>
                  </w:rPr>
                </m:ctrlPr>
              </m:sSupPr>
              <m:e>
                <m:d>
                  <m:dPr>
                    <m:ctrlPr>
                      <w:rPr>
                        <w:rFonts w:ascii="Cambria Math" w:hAnsi="Cambria Math" w:cs="Times New Roman"/>
                        <w:i/>
                        <w:sz w:val="22"/>
                        <w:szCs w:val="22"/>
                        <w:lang w:val="en-GB"/>
                      </w:rPr>
                    </m:ctrlPr>
                  </m:dPr>
                  <m:e>
                    <m:r>
                      <w:rPr>
                        <w:rFonts w:ascii="Cambria Math" w:hAnsi="Cambria Math" w:cs="Times New Roman"/>
                        <w:sz w:val="22"/>
                        <w:szCs w:val="22"/>
                        <w:lang w:val="en-GB"/>
                      </w:rPr>
                      <m:t>1+r</m:t>
                    </m:r>
                  </m:e>
                </m:d>
              </m:e>
              <m:sup>
                <m:r>
                  <w:rPr>
                    <w:rFonts w:ascii="Cambria Math" w:hAnsi="Cambria Math" w:cs="Times New Roman"/>
                    <w:sz w:val="22"/>
                    <w:szCs w:val="22"/>
                    <w:lang w:val="en-GB"/>
                  </w:rPr>
                  <m:t>t</m:t>
                </m:r>
              </m:sup>
            </m:sSup>
          </m:den>
        </m:f>
      </m:oMath>
      <w:r w:rsidR="008B151D">
        <w:rPr>
          <w:rFonts w:ascii="Times New Roman" w:hAnsi="Times New Roman" w:cs="Times New Roman"/>
          <w:sz w:val="22"/>
          <w:szCs w:val="22"/>
          <w:lang w:val="en-GB"/>
        </w:rPr>
        <w:t xml:space="preserve"> </w:t>
      </w:r>
      <w:r w:rsidR="008B151D">
        <w:rPr>
          <w:rFonts w:ascii="Times New Roman" w:hAnsi="Times New Roman" w:cs="Times New Roman"/>
          <w:sz w:val="22"/>
          <w:szCs w:val="22"/>
          <w:lang w:val="en-GB"/>
        </w:rPr>
        <w:tab/>
        <w:t>(2)</w:t>
      </w:r>
    </w:p>
    <w:p w14:paraId="5D217BC6" w14:textId="77777777" w:rsidR="00FF33D8" w:rsidRDefault="00FF33D8" w:rsidP="00BC6A52">
      <w:pPr>
        <w:ind w:firstLine="284"/>
        <w:jc w:val="both"/>
        <w:rPr>
          <w:rFonts w:ascii="Times New Roman" w:eastAsia="Helvetica" w:hAnsi="Times New Roman" w:cs="Times New Roman"/>
          <w:sz w:val="22"/>
          <w:szCs w:val="22"/>
          <w:shd w:val="clear" w:color="auto" w:fill="FFFFFF"/>
          <w:lang w:val="en-GB"/>
        </w:rPr>
      </w:pPr>
    </w:p>
    <w:p w14:paraId="2EF1714A" w14:textId="0D53A65A"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lastRenderedPageBreak/>
        <w:t>Within this model, the value of smart-green assets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V</m:t>
            </m:r>
          </m:e>
          <m:sub>
            <m:r>
              <w:rPr>
                <w:rFonts w:ascii="Cambria Math" w:hAnsi="Cambria Math" w:cs="Times New Roman"/>
                <w:sz w:val="22"/>
                <w:szCs w:val="22"/>
                <w:lang w:val="en-GB"/>
              </w:rPr>
              <m:t>SG</m:t>
            </m:r>
          </m:sub>
        </m:sSub>
      </m:oMath>
      <w:r w:rsidRPr="00B20A34">
        <w:rPr>
          <w:rFonts w:ascii="Times New Roman" w:eastAsia="Helvetica" w:hAnsi="Times New Roman" w:cs="Times New Roman"/>
          <w:sz w:val="22"/>
          <w:szCs w:val="22"/>
          <w:shd w:val="clear" w:color="auto" w:fill="FFFFFF"/>
          <w:lang w:val="en-GB"/>
        </w:rPr>
        <w:t xml:space="preserve">) depends on the level of Technological Maturity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(M</m:t>
            </m:r>
          </m:e>
          <m:sub>
            <m:r>
              <w:rPr>
                <w:rFonts w:ascii="Cambria Math" w:hAnsi="Cambria Math" w:cs="Times New Roman"/>
                <w:sz w:val="22"/>
                <w:szCs w:val="22"/>
                <w:lang w:val="en-GB"/>
              </w:rPr>
              <m:t xml:space="preserve">tech </m:t>
            </m:r>
          </m:sub>
        </m:sSub>
      </m:oMath>
      <w:r w:rsidRPr="00B20A34">
        <w:rPr>
          <w:rFonts w:ascii="Times New Roman" w:eastAsia="Helvetica" w:hAnsi="Times New Roman" w:cs="Times New Roman"/>
          <w:sz w:val="22"/>
          <w:szCs w:val="22"/>
          <w:shd w:val="clear" w:color="auto" w:fill="FFFFFF"/>
          <w:lang w:val="en-GB"/>
        </w:rPr>
        <w:t>), subject to the impact of Institutional Framework Factors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m:t>
            </m:r>
          </m:e>
          <m:sub>
            <m:r>
              <w:rPr>
                <w:rFonts w:ascii="Cambria Math" w:hAnsi="Cambria Math" w:cs="Times New Roman"/>
                <w:sz w:val="22"/>
                <w:szCs w:val="22"/>
                <w:lang w:val="en-GB"/>
              </w:rPr>
              <m:t>inst</m:t>
            </m:r>
          </m:sub>
        </m:sSub>
      </m:oMath>
      <w:r w:rsidRPr="00B20A34">
        <w:rPr>
          <w:rFonts w:ascii="Times New Roman" w:eastAsia="Helvetica" w:hAnsi="Times New Roman" w:cs="Times New Roman"/>
          <w:sz w:val="22"/>
          <w:szCs w:val="22"/>
          <w:shd w:val="clear" w:color="auto" w:fill="FFFFFF"/>
          <w:lang w:val="en-GB"/>
        </w:rPr>
        <w:t>) and Lifecycle Operational Integrity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oMath>
      <w:r w:rsidRPr="00B20A34">
        <w:rPr>
          <w:rFonts w:ascii="Times New Roman" w:eastAsia="Helvetica" w:hAnsi="Times New Roman" w:cs="Times New Roman"/>
          <w:sz w:val="22"/>
          <w:szCs w:val="22"/>
          <w:shd w:val="clear" w:color="auto" w:fill="FFFFFF"/>
          <w:lang w:val="en-GB"/>
        </w:rPr>
        <w:t xml:space="preserve">). Here, future payoffs are discounted with a risk-adjusted rate </w:t>
      </w:r>
      <w:r w:rsidRPr="00B20A34">
        <w:rPr>
          <w:rFonts w:ascii="Cambria Math" w:eastAsia="Helvetica" w:hAnsi="Cambria Math" w:cs="Cambria Math"/>
          <w:sz w:val="22"/>
          <w:szCs w:val="22"/>
          <w:shd w:val="clear" w:color="auto" w:fill="FFFFFF"/>
          <w:lang w:val="en-GB"/>
        </w:rPr>
        <w:t>𝑟</w:t>
      </w:r>
      <w:r w:rsidRPr="00B20A34">
        <w:rPr>
          <w:rFonts w:ascii="Times New Roman" w:eastAsia="Helvetica" w:hAnsi="Times New Roman" w:cs="Times New Roman"/>
          <w:sz w:val="22"/>
          <w:szCs w:val="22"/>
          <w:shd w:val="clear" w:color="auto" w:fill="FFFFFF"/>
          <w:lang w:val="en-GB"/>
        </w:rPr>
        <w:t xml:space="preserve">. </w:t>
      </w:r>
      <w:r w:rsidR="005358DE">
        <w:rPr>
          <w:rFonts w:ascii="Times New Roman" w:eastAsia="Helvetica" w:hAnsi="Times New Roman" w:cs="Times New Roman"/>
          <w:sz w:val="22"/>
          <w:szCs w:val="22"/>
          <w:shd w:val="clear" w:color="auto" w:fill="FFFFFF"/>
          <w:lang w:val="en-GB"/>
        </w:rPr>
        <w:t>By embedding the model in a discounted valuation framework that follows Net Present Value principles, the model provides a functional-level explanation of the mechanism by</w:t>
      </w:r>
      <w:r w:rsidRPr="00B20A34">
        <w:rPr>
          <w:rFonts w:ascii="Times New Roman" w:eastAsia="Helvetica" w:hAnsi="Times New Roman" w:cs="Times New Roman"/>
          <w:sz w:val="22"/>
          <w:szCs w:val="22"/>
          <w:shd w:val="clear" w:color="auto" w:fill="FFFFFF"/>
          <w:lang w:val="en-GB"/>
        </w:rPr>
        <w:t xml:space="preserve"> which technological efficiency translates into financial performance. In turn, this helps understand why some technologies are not generating economic returns despite high levels of efficiency, particularly if institutional or operational barriers exist.</w:t>
      </w:r>
    </w:p>
    <w:p w14:paraId="7F93F9E6" w14:textId="2E5E66F7"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Additionally, the analysis </w:t>
      </w:r>
      <w:r w:rsidR="005358DE">
        <w:rPr>
          <w:rFonts w:ascii="Times New Roman" w:eastAsia="Helvetica" w:hAnsi="Times New Roman" w:cs="Times New Roman"/>
          <w:sz w:val="22"/>
          <w:szCs w:val="22"/>
          <w:shd w:val="clear" w:color="auto" w:fill="FFFFFF"/>
          <w:lang w:val="en-GB"/>
        </w:rPr>
        <w:t>highlights the</w:t>
      </w:r>
      <w:r w:rsidRPr="00B20A34">
        <w:rPr>
          <w:rFonts w:ascii="Times New Roman" w:eastAsia="Helvetica" w:hAnsi="Times New Roman" w:cs="Times New Roman"/>
          <w:sz w:val="22"/>
          <w:szCs w:val="22"/>
          <w:shd w:val="clear" w:color="auto" w:fill="FFFFFF"/>
          <w:lang w:val="en-GB"/>
        </w:rPr>
        <w:t xml:space="preserve"> importance of heterogeneity in explaining the economic performance of investments in smart-green housing. Building age, </w:t>
      </w:r>
      <w:r w:rsidR="005358DE">
        <w:rPr>
          <w:rFonts w:ascii="Times New Roman" w:eastAsia="Helvetica" w:hAnsi="Times New Roman" w:cs="Times New Roman"/>
          <w:sz w:val="22"/>
          <w:szCs w:val="22"/>
          <w:shd w:val="clear" w:color="auto" w:fill="FFFFFF"/>
          <w:lang w:val="en-GB"/>
        </w:rPr>
        <w:t>district-level economic conditions, and the strictness of regulations in the regions are crucial determinants of the ability to capitalize on operational efficiency</w:t>
      </w:r>
      <w:r w:rsidRPr="00B20A34">
        <w:rPr>
          <w:rFonts w:ascii="Times New Roman" w:eastAsia="Helvetica" w:hAnsi="Times New Roman" w:cs="Times New Roman"/>
          <w:sz w:val="22"/>
          <w:szCs w:val="22"/>
          <w:shd w:val="clear" w:color="auto" w:fill="FFFFFF"/>
          <w:lang w:val="en-GB"/>
        </w:rPr>
        <w:t xml:space="preserve"> to translate it into financial alpha.</w:t>
      </w:r>
    </w:p>
    <w:p w14:paraId="6AE6DA79" w14:textId="2828C906"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In summary, this study advances the existing body of knowledge through introducing a unique conceptual framework and valuation formula that integrates the technological and financial perspectives of sustainable urban development.</w:t>
      </w:r>
      <w:r w:rsidR="00974B93" w:rsidRPr="00B20A34">
        <w:rPr>
          <w:rFonts w:ascii="Times New Roman" w:eastAsia="Helvetica" w:hAnsi="Times New Roman" w:cs="Times New Roman"/>
          <w:sz w:val="22"/>
          <w:szCs w:val="22"/>
          <w:shd w:val="clear" w:color="auto" w:fill="FFFFFF"/>
          <w:lang w:val="en-GB"/>
        </w:rPr>
        <w:t xml:space="preserve"> </w:t>
      </w:r>
      <w:r w:rsidRPr="00B20A34">
        <w:rPr>
          <w:rFonts w:ascii="Times New Roman" w:eastAsia="SimSun" w:hAnsi="Times New Roman" w:cs="Times New Roman"/>
          <w:sz w:val="22"/>
          <w:szCs w:val="22"/>
          <w:lang w:val="en-GB"/>
        </w:rPr>
        <w:t>The SGAV model and formula offer a solid theoretical foundation for subsequent empirical research aimed at measuring the economic value of smart-green assets in various urban settings, bridging the gap between corporate financial performance and the global 2030 SDG agenda.</w:t>
      </w:r>
      <w:r w:rsidRPr="00B20A34">
        <w:rPr>
          <w:rFonts w:ascii="Times New Roman" w:eastAsia="Helvetica" w:hAnsi="Times New Roman" w:cs="Times New Roman"/>
          <w:sz w:val="22"/>
          <w:szCs w:val="22"/>
          <w:shd w:val="clear" w:color="auto" w:fill="FFFFFF"/>
          <w:lang w:val="en-GB"/>
        </w:rPr>
        <w:t xml:space="preserve"> The empirical testing of this theoretical model will be critical </w:t>
      </w:r>
      <w:r w:rsidR="005358DE">
        <w:rPr>
          <w:rFonts w:ascii="Times New Roman" w:eastAsia="Helvetica" w:hAnsi="Times New Roman" w:cs="Times New Roman"/>
          <w:sz w:val="22"/>
          <w:szCs w:val="22"/>
          <w:shd w:val="clear" w:color="auto" w:fill="FFFFFF"/>
          <w:lang w:val="en-GB"/>
        </w:rPr>
        <w:t>for shifting the focus from descriptive discourse on sustainability to a</w:t>
      </w:r>
      <w:r w:rsidR="009C35B9">
        <w:rPr>
          <w:rFonts w:ascii="Times New Roman" w:eastAsia="Helvetica" w:hAnsi="Times New Roman" w:cs="Times New Roman"/>
          <w:sz w:val="22"/>
          <w:szCs w:val="22"/>
          <w:shd w:val="clear" w:color="auto" w:fill="FFFFFF"/>
          <w:lang w:val="en-GB"/>
        </w:rPr>
        <w:t> </w:t>
      </w:r>
      <w:r w:rsidR="005358DE">
        <w:rPr>
          <w:rFonts w:ascii="Times New Roman" w:eastAsia="Helvetica" w:hAnsi="Times New Roman" w:cs="Times New Roman"/>
          <w:sz w:val="22"/>
          <w:szCs w:val="22"/>
          <w:shd w:val="clear" w:color="auto" w:fill="FFFFFF"/>
          <w:lang w:val="en-GB"/>
        </w:rPr>
        <w:t>more realistic approach grounded i</w:t>
      </w:r>
      <w:r w:rsidRPr="00B20A34">
        <w:rPr>
          <w:rFonts w:ascii="Times New Roman" w:eastAsia="Helvetica" w:hAnsi="Times New Roman" w:cs="Times New Roman"/>
          <w:sz w:val="22"/>
          <w:szCs w:val="22"/>
          <w:shd w:val="clear" w:color="auto" w:fill="FFFFFF"/>
          <w:lang w:val="en-GB"/>
        </w:rPr>
        <w:t>n empirical evidence and risk assessment of smart-green assets.</w:t>
      </w:r>
    </w:p>
    <w:p w14:paraId="15939DD2" w14:textId="78D88C8F" w:rsidR="009462F7" w:rsidRPr="00B20A34" w:rsidRDefault="00C56864" w:rsidP="00487F23">
      <w:pPr>
        <w:pStyle w:val="Rn2"/>
        <w:rPr>
          <w:shd w:val="clear" w:color="auto" w:fill="FFFFFF"/>
          <w:lang w:val="en-GB"/>
        </w:rPr>
      </w:pPr>
      <w:r w:rsidRPr="00B20A34">
        <w:rPr>
          <w:shd w:val="clear" w:color="auto" w:fill="FFFFFF"/>
          <w:lang w:val="en-GB"/>
        </w:rPr>
        <w:t>5.1</w:t>
      </w:r>
      <w:r w:rsidR="00487F23" w:rsidRPr="00B20A34">
        <w:rPr>
          <w:shd w:val="clear" w:color="auto" w:fill="FFFFFF"/>
          <w:lang w:val="en-GB"/>
        </w:rPr>
        <w:t>.</w:t>
      </w:r>
      <w:r w:rsidRPr="00B20A34">
        <w:rPr>
          <w:shd w:val="clear" w:color="auto" w:fill="FFFFFF"/>
          <w:lang w:val="en-GB"/>
        </w:rPr>
        <w:t xml:space="preserve"> Limitations</w:t>
      </w:r>
    </w:p>
    <w:p w14:paraId="5B1A43AD" w14:textId="5403CBE0"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Despite its benefits, th</w:t>
      </w:r>
      <w:r w:rsidR="005358DE">
        <w:rPr>
          <w:rFonts w:ascii="Times New Roman" w:eastAsia="Helvetica" w:hAnsi="Times New Roman" w:cs="Times New Roman"/>
          <w:sz w:val="22"/>
          <w:szCs w:val="22"/>
          <w:shd w:val="clear" w:color="auto" w:fill="FFFFFF"/>
          <w:lang w:val="en-GB"/>
        </w:rPr>
        <w:t>is study has several limitations</w:t>
      </w:r>
      <w:r w:rsidRPr="00B20A34">
        <w:rPr>
          <w:rFonts w:ascii="Times New Roman" w:eastAsia="Helvetica" w:hAnsi="Times New Roman" w:cs="Times New Roman"/>
          <w:sz w:val="22"/>
          <w:szCs w:val="22"/>
          <w:shd w:val="clear" w:color="auto" w:fill="FFFFFF"/>
          <w:lang w:val="en-GB"/>
        </w:rPr>
        <w:t xml:space="preserve"> that need to be considered. Firstly, </w:t>
      </w:r>
      <w:r w:rsidR="005358DE">
        <w:rPr>
          <w:rFonts w:ascii="Times New Roman" w:eastAsia="Helvetica" w:hAnsi="Times New Roman" w:cs="Times New Roman"/>
          <w:sz w:val="22"/>
          <w:szCs w:val="22"/>
          <w:shd w:val="clear" w:color="auto" w:fill="FFFFFF"/>
          <w:lang w:val="en-GB"/>
        </w:rPr>
        <w:t xml:space="preserve">some operationalization indicators introduced into the SGAV model, such as real-time feedback from occupants and usage </w:t>
      </w:r>
      <w:proofErr w:type="spellStart"/>
      <w:r w:rsidR="005358DE">
        <w:rPr>
          <w:rFonts w:ascii="Times New Roman" w:eastAsia="Helvetica" w:hAnsi="Times New Roman" w:cs="Times New Roman"/>
          <w:sz w:val="22"/>
          <w:szCs w:val="22"/>
          <w:shd w:val="clear" w:color="auto" w:fill="FFFFFF"/>
          <w:lang w:val="en-GB"/>
        </w:rPr>
        <w:t>behavior</w:t>
      </w:r>
      <w:proofErr w:type="spellEnd"/>
      <w:r w:rsidR="005358DE">
        <w:rPr>
          <w:rFonts w:ascii="Times New Roman" w:eastAsia="Helvetica" w:hAnsi="Times New Roman" w:cs="Times New Roman"/>
          <w:sz w:val="22"/>
          <w:szCs w:val="22"/>
          <w:shd w:val="clear" w:color="auto" w:fill="FFFFFF"/>
          <w:lang w:val="en-GB"/>
        </w:rPr>
        <w:t xml:space="preserve"> data, have not yet been experimentally tested across</w:t>
      </w:r>
      <w:r w:rsidRPr="00B20A34">
        <w:rPr>
          <w:rFonts w:ascii="Times New Roman" w:eastAsia="Helvetica" w:hAnsi="Times New Roman" w:cs="Times New Roman"/>
          <w:sz w:val="22"/>
          <w:szCs w:val="22"/>
          <w:shd w:val="clear" w:color="auto" w:fill="FFFFFF"/>
          <w:lang w:val="en-GB"/>
        </w:rPr>
        <w:t xml:space="preserve"> different residential settings. Secondly, there is an assumption </w:t>
      </w:r>
      <w:r w:rsidR="005358DE">
        <w:rPr>
          <w:rFonts w:ascii="Times New Roman" w:eastAsia="Helvetica" w:hAnsi="Times New Roman" w:cs="Times New Roman"/>
          <w:sz w:val="22"/>
          <w:szCs w:val="22"/>
          <w:shd w:val="clear" w:color="auto" w:fill="FFFFFF"/>
          <w:lang w:val="en-GB"/>
        </w:rPr>
        <w:t>about stakeholders' engagement levels and technical skills, which can vary greatly across cultures and socio-economic groups worldwide</w:t>
      </w:r>
      <w:r w:rsidRPr="00B20A34">
        <w:rPr>
          <w:rFonts w:ascii="Times New Roman" w:eastAsia="Helvetica" w:hAnsi="Times New Roman" w:cs="Times New Roman"/>
          <w:sz w:val="22"/>
          <w:szCs w:val="22"/>
          <w:shd w:val="clear" w:color="auto" w:fill="FFFFFF"/>
          <w:lang w:val="en-GB"/>
        </w:rPr>
        <w:t xml:space="preserve">. Thirdly, although the </w:t>
      </w:r>
      <w:r w:rsidR="005358DE">
        <w:rPr>
          <w:rFonts w:ascii="Times New Roman" w:eastAsia="Helvetica" w:hAnsi="Times New Roman" w:cs="Times New Roman"/>
          <w:sz w:val="22"/>
          <w:szCs w:val="22"/>
          <w:shd w:val="clear" w:color="auto" w:fill="FFFFFF"/>
          <w:lang w:val="en-GB"/>
        </w:rPr>
        <w:t>research focused on human-</w:t>
      </w:r>
      <w:proofErr w:type="spellStart"/>
      <w:r w:rsidR="005358DE">
        <w:rPr>
          <w:rFonts w:ascii="Times New Roman" w:eastAsia="Helvetica" w:hAnsi="Times New Roman" w:cs="Times New Roman"/>
          <w:sz w:val="22"/>
          <w:szCs w:val="22"/>
          <w:shd w:val="clear" w:color="auto" w:fill="FFFFFF"/>
          <w:lang w:val="en-GB"/>
        </w:rPr>
        <w:t>centered</w:t>
      </w:r>
      <w:proofErr w:type="spellEnd"/>
      <w:r w:rsidR="005358DE">
        <w:rPr>
          <w:rFonts w:ascii="Times New Roman" w:eastAsia="Helvetica" w:hAnsi="Times New Roman" w:cs="Times New Roman"/>
          <w:sz w:val="22"/>
          <w:szCs w:val="22"/>
          <w:shd w:val="clear" w:color="auto" w:fill="FFFFFF"/>
          <w:lang w:val="en-GB"/>
        </w:rPr>
        <w:t xml:space="preserve"> integration, no attention was paid to the possibility of trade-offs between the optimization provided by technologies and users' </w:t>
      </w:r>
      <w:proofErr w:type="spellStart"/>
      <w:r w:rsidR="005358DE">
        <w:rPr>
          <w:rFonts w:ascii="Times New Roman" w:eastAsia="Helvetica" w:hAnsi="Times New Roman" w:cs="Times New Roman"/>
          <w:sz w:val="22"/>
          <w:szCs w:val="22"/>
          <w:shd w:val="clear" w:color="auto" w:fill="FFFFFF"/>
          <w:lang w:val="en-GB"/>
        </w:rPr>
        <w:t>behavior</w:t>
      </w:r>
      <w:proofErr w:type="spellEnd"/>
      <w:r w:rsidRPr="00B20A34">
        <w:rPr>
          <w:rFonts w:ascii="Times New Roman" w:eastAsia="Helvetica" w:hAnsi="Times New Roman" w:cs="Times New Roman"/>
          <w:sz w:val="22"/>
          <w:szCs w:val="22"/>
          <w:shd w:val="clear" w:color="auto" w:fill="FFFFFF"/>
          <w:lang w:val="en-GB"/>
        </w:rPr>
        <w:t xml:space="preserve">. Finally, issues </w:t>
      </w:r>
      <w:r w:rsidR="005358DE">
        <w:rPr>
          <w:rFonts w:ascii="Times New Roman" w:eastAsia="Helvetica" w:hAnsi="Times New Roman" w:cs="Times New Roman"/>
          <w:sz w:val="22"/>
          <w:szCs w:val="22"/>
          <w:shd w:val="clear" w:color="auto" w:fill="FFFFFF"/>
          <w:lang w:val="en-GB"/>
        </w:rPr>
        <w:t>with information availability can complicate the application of</w:t>
      </w:r>
      <w:r w:rsidRPr="00B20A34">
        <w:rPr>
          <w:rFonts w:ascii="Times New Roman" w:eastAsia="Helvetica" w:hAnsi="Times New Roman" w:cs="Times New Roman"/>
          <w:sz w:val="22"/>
          <w:szCs w:val="22"/>
          <w:shd w:val="clear" w:color="auto" w:fill="FFFFFF"/>
          <w:lang w:val="en-GB"/>
        </w:rPr>
        <w:t xml:space="preserve"> the SGAV framework in practice.</w:t>
      </w:r>
    </w:p>
    <w:p w14:paraId="2154FF02" w14:textId="0080E95F" w:rsidR="009462F7" w:rsidRPr="00B20A34" w:rsidRDefault="00C56864" w:rsidP="00487F23">
      <w:pPr>
        <w:pStyle w:val="Rn2"/>
        <w:rPr>
          <w:shd w:val="clear" w:color="auto" w:fill="FFFFFF"/>
          <w:lang w:val="en-GB"/>
        </w:rPr>
      </w:pPr>
      <w:r w:rsidRPr="00B20A34">
        <w:rPr>
          <w:shd w:val="clear" w:color="auto" w:fill="FFFFFF"/>
          <w:lang w:val="en-GB"/>
        </w:rPr>
        <w:t>5.2</w:t>
      </w:r>
      <w:r w:rsidR="00487F23" w:rsidRPr="00B20A34">
        <w:rPr>
          <w:shd w:val="clear" w:color="auto" w:fill="FFFFFF"/>
          <w:lang w:val="en-GB"/>
        </w:rPr>
        <w:t>.</w:t>
      </w:r>
      <w:r w:rsidRPr="00B20A34">
        <w:rPr>
          <w:shd w:val="clear" w:color="auto" w:fill="FFFFFF"/>
          <w:lang w:val="en-GB"/>
        </w:rPr>
        <w:t xml:space="preserve"> Policy Implications</w:t>
      </w:r>
    </w:p>
    <w:p w14:paraId="54C7BBC7" w14:textId="27126052" w:rsidR="009462F7"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One critical policy implication of the paper is the potential it offers </w:t>
      </w:r>
      <w:r w:rsidR="005358DE">
        <w:rPr>
          <w:rFonts w:ascii="Times New Roman" w:eastAsia="Helvetica" w:hAnsi="Times New Roman" w:cs="Times New Roman"/>
          <w:sz w:val="22"/>
          <w:szCs w:val="22"/>
          <w:shd w:val="clear" w:color="auto" w:fill="FFFFFF"/>
          <w:lang w:val="en-GB"/>
        </w:rPr>
        <w:t>to address the information asymmetry</w:t>
      </w:r>
      <w:r w:rsidRPr="00B20A34">
        <w:rPr>
          <w:rFonts w:ascii="Times New Roman" w:eastAsia="Helvetica" w:hAnsi="Times New Roman" w:cs="Times New Roman"/>
          <w:sz w:val="22"/>
          <w:szCs w:val="22"/>
          <w:shd w:val="clear" w:color="auto" w:fill="FFFFFF"/>
          <w:lang w:val="en-GB"/>
        </w:rPr>
        <w:t xml:space="preserve"> between performance and branding in the sustainable real estate sector. Current appraisal methods </w:t>
      </w:r>
      <w:r w:rsidR="005358DE">
        <w:rPr>
          <w:rFonts w:ascii="Times New Roman" w:eastAsia="Helvetica" w:hAnsi="Times New Roman" w:cs="Times New Roman"/>
          <w:sz w:val="22"/>
          <w:szCs w:val="22"/>
          <w:shd w:val="clear" w:color="auto" w:fill="FFFFFF"/>
          <w:lang w:val="en-GB"/>
        </w:rPr>
        <w:t>rely on static indicators, such as design-based certification and structural features,</w:t>
      </w:r>
      <w:r w:rsidRPr="00B20A34">
        <w:rPr>
          <w:rFonts w:ascii="Times New Roman" w:eastAsia="Helvetica" w:hAnsi="Times New Roman" w:cs="Times New Roman"/>
          <w:sz w:val="22"/>
          <w:szCs w:val="22"/>
          <w:shd w:val="clear" w:color="auto" w:fill="FFFFFF"/>
          <w:lang w:val="en-GB"/>
        </w:rPr>
        <w:t xml:space="preserve"> but ignore operational performance. SGAV solves this problem by creating a multidimensional benchmark considering technical maturity, institutional governance, and Lifecycle Operational Integrity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oMath>
      <w:r w:rsidRPr="00B20A34">
        <w:rPr>
          <w:rFonts w:ascii="Times New Roman" w:eastAsia="Helvetica" w:hAnsi="Times New Roman" w:cs="Times New Roman"/>
          <w:sz w:val="22"/>
          <w:szCs w:val="22"/>
          <w:shd w:val="clear" w:color="auto" w:fill="FFFFFF"/>
          <w:lang w:val="en-GB"/>
        </w:rPr>
        <w:t xml:space="preserve">). The introduction of </w:t>
      </w:r>
      <w:r w:rsidR="005358DE">
        <w:rPr>
          <w:rFonts w:ascii="Times New Roman" w:eastAsia="Helvetica" w:hAnsi="Times New Roman" w:cs="Times New Roman"/>
          <w:sz w:val="22"/>
          <w:szCs w:val="22"/>
          <w:shd w:val="clear" w:color="auto" w:fill="FFFFFF"/>
          <w:lang w:val="en-GB"/>
        </w:rPr>
        <w:t>dynamic efficiency mandates, leveraging the SGAV framework's ability</w:t>
      </w:r>
      <w:r w:rsidRPr="00B20A34">
        <w:rPr>
          <w:rFonts w:ascii="Times New Roman" w:eastAsia="Helvetica" w:hAnsi="Times New Roman" w:cs="Times New Roman"/>
          <w:sz w:val="22"/>
          <w:szCs w:val="22"/>
          <w:shd w:val="clear" w:color="auto" w:fill="FFFFFF"/>
          <w:lang w:val="en-GB"/>
        </w:rPr>
        <w:t xml:space="preserve"> to measure operational performance</w:t>
      </w:r>
      <w:r w:rsidR="00974B93" w:rsidRPr="00B20A34">
        <w:rPr>
          <w:rFonts w:ascii="Times New Roman" w:eastAsia="Helvetica" w:hAnsi="Times New Roman" w:cs="Times New Roman"/>
          <w:sz w:val="22"/>
          <w:szCs w:val="22"/>
          <w:shd w:val="clear" w:color="auto" w:fill="FFFFFF"/>
          <w:lang w:val="en-GB"/>
        </w:rPr>
        <w:t>,</w:t>
      </w:r>
      <w:r w:rsidRPr="00B20A34">
        <w:rPr>
          <w:rFonts w:ascii="Times New Roman" w:eastAsia="Helvetica" w:hAnsi="Times New Roman" w:cs="Times New Roman"/>
          <w:sz w:val="22"/>
          <w:szCs w:val="22"/>
          <w:shd w:val="clear" w:color="auto" w:fill="FFFFFF"/>
          <w:lang w:val="en-GB"/>
        </w:rPr>
        <w:t xml:space="preserve"> will help solve this problem. Besides, the results show that policies in the urban context will be more beneficial if </w:t>
      </w:r>
      <w:r w:rsidR="005358DE">
        <w:rPr>
          <w:rFonts w:ascii="Times New Roman" w:eastAsia="Helvetica" w:hAnsi="Times New Roman" w:cs="Times New Roman"/>
          <w:sz w:val="22"/>
          <w:szCs w:val="22"/>
          <w:shd w:val="clear" w:color="auto" w:fill="FFFFFF"/>
          <w:lang w:val="en-GB"/>
        </w:rPr>
        <w:t>grounded in Industry 5.0 principles, supporting human-centric architecture and thereby avoiding</w:t>
      </w:r>
      <w:r w:rsidRPr="00B20A34">
        <w:rPr>
          <w:rFonts w:ascii="Times New Roman" w:eastAsia="Helvetica" w:hAnsi="Times New Roman" w:cs="Times New Roman"/>
          <w:sz w:val="22"/>
          <w:szCs w:val="22"/>
          <w:shd w:val="clear" w:color="auto" w:fill="FFFFFF"/>
          <w:lang w:val="en-GB"/>
        </w:rPr>
        <w:t xml:space="preserve"> </w:t>
      </w:r>
      <w:r w:rsidR="00974B93" w:rsidRPr="00B20A34">
        <w:rPr>
          <w:rFonts w:ascii="Times New Roman" w:eastAsia="Helvetica" w:hAnsi="Times New Roman" w:cs="Times New Roman"/>
          <w:sz w:val="22"/>
          <w:szCs w:val="22"/>
          <w:shd w:val="clear" w:color="auto" w:fill="FFFFFF"/>
          <w:lang w:val="en-GB"/>
        </w:rPr>
        <w:t xml:space="preserve">the rebound </w:t>
      </w:r>
      <w:r w:rsidRPr="00B20A34">
        <w:rPr>
          <w:rFonts w:ascii="Times New Roman" w:eastAsia="Helvetica" w:hAnsi="Times New Roman" w:cs="Times New Roman"/>
          <w:sz w:val="22"/>
          <w:szCs w:val="22"/>
          <w:shd w:val="clear" w:color="auto" w:fill="FFFFFF"/>
          <w:lang w:val="en-GB"/>
        </w:rPr>
        <w:t xml:space="preserve">effect. With </w:t>
      </w:r>
      <w:r w:rsidR="005358DE">
        <w:rPr>
          <w:rFonts w:ascii="Times New Roman" w:eastAsia="Helvetica" w:hAnsi="Times New Roman" w:cs="Times New Roman"/>
          <w:sz w:val="22"/>
          <w:szCs w:val="22"/>
          <w:shd w:val="clear" w:color="auto" w:fill="FFFFFF"/>
          <w:lang w:val="en-GB"/>
        </w:rPr>
        <w:t>data standardization and institutional governance, investors in smart-green buildings will have access to more accurate information and an environment where investments are more</w:t>
      </w:r>
      <w:r w:rsidRPr="00B20A34">
        <w:rPr>
          <w:rFonts w:ascii="Times New Roman" w:eastAsia="Helvetica" w:hAnsi="Times New Roman" w:cs="Times New Roman"/>
          <w:sz w:val="22"/>
          <w:szCs w:val="22"/>
          <w:shd w:val="clear" w:color="auto" w:fill="FFFFFF"/>
          <w:lang w:val="en-GB"/>
        </w:rPr>
        <w:t xml:space="preserve"> likely to yield returns.</w:t>
      </w:r>
    </w:p>
    <w:p w14:paraId="5C14C0D7" w14:textId="6D1AEE01" w:rsidR="009462F7" w:rsidRPr="00B20A34" w:rsidRDefault="00C56864" w:rsidP="00487F23">
      <w:pPr>
        <w:pStyle w:val="Rn2"/>
        <w:rPr>
          <w:shd w:val="clear" w:color="auto" w:fill="FFFFFF"/>
          <w:lang w:val="en-GB"/>
        </w:rPr>
      </w:pPr>
      <w:r w:rsidRPr="00B20A34">
        <w:rPr>
          <w:shd w:val="clear" w:color="auto" w:fill="FFFFFF"/>
          <w:lang w:val="en-GB"/>
        </w:rPr>
        <w:t>5.3</w:t>
      </w:r>
      <w:r w:rsidR="00487F23" w:rsidRPr="00B20A34">
        <w:rPr>
          <w:shd w:val="clear" w:color="auto" w:fill="FFFFFF"/>
          <w:lang w:val="en-GB"/>
        </w:rPr>
        <w:t>.</w:t>
      </w:r>
      <w:r w:rsidRPr="00B20A34">
        <w:rPr>
          <w:shd w:val="clear" w:color="auto" w:fill="FFFFFF"/>
          <w:lang w:val="en-GB"/>
        </w:rPr>
        <w:t xml:space="preserve"> Future Research Direction</w:t>
      </w:r>
      <w:r w:rsidR="009053B3" w:rsidRPr="00B20A34">
        <w:rPr>
          <w:shd w:val="clear" w:color="auto" w:fill="FFFFFF"/>
          <w:lang w:val="en-GB"/>
        </w:rPr>
        <w:t>s</w:t>
      </w:r>
    </w:p>
    <w:p w14:paraId="2336CE20" w14:textId="5DF05F46"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To </w:t>
      </w:r>
      <w:r w:rsidR="005358DE">
        <w:rPr>
          <w:rFonts w:ascii="Times New Roman" w:eastAsia="Helvetica" w:hAnsi="Times New Roman" w:cs="Times New Roman"/>
          <w:sz w:val="22"/>
          <w:szCs w:val="22"/>
          <w:shd w:val="clear" w:color="auto" w:fill="FFFFFF"/>
          <w:lang w:val="en-GB"/>
        </w:rPr>
        <w:t>address the socio-technological paradox in which technically sophisticated smart systems perform poorly due to insufficient user involvement, future research should go beyond the automation-based approach of Industry 4.0 and adopt the human-</w:t>
      </w:r>
      <w:proofErr w:type="spellStart"/>
      <w:r w:rsidR="005358DE">
        <w:rPr>
          <w:rFonts w:ascii="Times New Roman" w:eastAsia="Helvetica" w:hAnsi="Times New Roman" w:cs="Times New Roman"/>
          <w:sz w:val="22"/>
          <w:szCs w:val="22"/>
          <w:shd w:val="clear" w:color="auto" w:fill="FFFFFF"/>
          <w:lang w:val="en-GB"/>
        </w:rPr>
        <w:t>center</w:t>
      </w:r>
      <w:r w:rsidRPr="00B20A34">
        <w:rPr>
          <w:rFonts w:ascii="Times New Roman" w:eastAsia="Helvetica" w:hAnsi="Times New Roman" w:cs="Times New Roman"/>
          <w:sz w:val="22"/>
          <w:szCs w:val="22"/>
          <w:shd w:val="clear" w:color="auto" w:fill="FFFFFF"/>
          <w:lang w:val="en-GB"/>
        </w:rPr>
        <w:t>ed</w:t>
      </w:r>
      <w:proofErr w:type="spellEnd"/>
      <w:r w:rsidRPr="00B20A34">
        <w:rPr>
          <w:rFonts w:ascii="Times New Roman" w:eastAsia="Helvetica" w:hAnsi="Times New Roman" w:cs="Times New Roman"/>
          <w:sz w:val="22"/>
          <w:szCs w:val="22"/>
          <w:shd w:val="clear" w:color="auto" w:fill="FFFFFF"/>
          <w:lang w:val="en-GB"/>
        </w:rPr>
        <w:t xml:space="preserve"> approach of Industry 5.0. The literature in the current era of ‘Validation’ (</w:t>
      </w:r>
      <w:proofErr w:type="spellStart"/>
      <w:r w:rsidRPr="00B20A34">
        <w:rPr>
          <w:rFonts w:ascii="Times New Roman" w:eastAsia="Helvetica" w:hAnsi="Times New Roman" w:cs="Times New Roman"/>
          <w:sz w:val="22"/>
          <w:szCs w:val="22"/>
          <w:shd w:val="clear" w:color="auto" w:fill="FFFFFF"/>
          <w:lang w:val="en-GB"/>
        </w:rPr>
        <w:t>Berniak-Woźny</w:t>
      </w:r>
      <w:proofErr w:type="spellEnd"/>
      <w:r w:rsidRPr="00B20A34">
        <w:rPr>
          <w:rFonts w:ascii="Times New Roman" w:eastAsia="Helvetica" w:hAnsi="Times New Roman" w:cs="Times New Roman"/>
          <w:sz w:val="22"/>
          <w:szCs w:val="22"/>
          <w:shd w:val="clear" w:color="auto" w:fill="FFFFFF"/>
          <w:lang w:val="en-GB"/>
        </w:rPr>
        <w:t xml:space="preserve"> et al., 2025) underscores that the viability of smart infrastructure depends on stakeholders’ participation, adaptive </w:t>
      </w:r>
      <w:proofErr w:type="spellStart"/>
      <w:r w:rsidRPr="00B20A34">
        <w:rPr>
          <w:rFonts w:ascii="Times New Roman" w:eastAsia="Helvetica" w:hAnsi="Times New Roman" w:cs="Times New Roman"/>
          <w:sz w:val="22"/>
          <w:szCs w:val="22"/>
          <w:shd w:val="clear" w:color="auto" w:fill="FFFFFF"/>
          <w:lang w:val="en-GB"/>
        </w:rPr>
        <w:t>behavior</w:t>
      </w:r>
      <w:proofErr w:type="spellEnd"/>
      <w:r w:rsidRPr="00B20A34">
        <w:rPr>
          <w:rFonts w:ascii="Times New Roman" w:eastAsia="Helvetica" w:hAnsi="Times New Roman" w:cs="Times New Roman"/>
          <w:sz w:val="22"/>
          <w:szCs w:val="22"/>
          <w:shd w:val="clear" w:color="auto" w:fill="FFFFFF"/>
          <w:lang w:val="en-GB"/>
        </w:rPr>
        <w:t>, and user-centric governance. In the suggested Smart-Green Asset Valuation (SGAV) model, the above calls for future research signify that the Lifecycle Operational Integrity metric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oMath>
      <w:r w:rsidRPr="00B20A34">
        <w:rPr>
          <w:rFonts w:ascii="Times New Roman" w:eastAsia="Helvetica" w:hAnsi="Times New Roman" w:cs="Times New Roman"/>
          <w:sz w:val="22"/>
          <w:szCs w:val="22"/>
          <w:shd w:val="clear" w:color="auto" w:fill="FFFFFF"/>
          <w:lang w:val="en-GB"/>
        </w:rPr>
        <w:t xml:space="preserve">) cannot be viewed as a constant technical metric. Future research, especially in dense, technology-saturated markets such as South Korea, would need to define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r>
          <w:rPr>
            <w:rFonts w:ascii="Cambria Math" w:hAnsi="Cambria Math" w:cs="Times New Roman"/>
            <w:sz w:val="22"/>
            <w:szCs w:val="22"/>
            <w:lang w:val="en-GB"/>
          </w:rPr>
          <m:t xml:space="preserve"> </m:t>
        </m:r>
      </m:oMath>
      <w:r w:rsidRPr="00B20A34">
        <w:rPr>
          <w:rFonts w:ascii="Times New Roman" w:eastAsia="Helvetica" w:hAnsi="Times New Roman" w:cs="Times New Roman"/>
          <w:sz w:val="22"/>
          <w:szCs w:val="22"/>
          <w:shd w:val="clear" w:color="auto" w:fill="FFFFFF"/>
          <w:lang w:val="en-GB"/>
        </w:rPr>
        <w:t>through dynamic, first-hand data-derived measures.</w:t>
      </w:r>
    </w:p>
    <w:p w14:paraId="088E692F" w14:textId="037BADAE"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The existing SGAV literature and smart green literature generally view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oMath>
      <w:r w:rsidRPr="00B20A34">
        <w:rPr>
          <w:rFonts w:ascii="Times New Roman" w:eastAsia="Helvetica" w:hAnsi="Times New Roman" w:cs="Times New Roman"/>
          <w:sz w:val="22"/>
          <w:szCs w:val="22"/>
          <w:shd w:val="clear" w:color="auto" w:fill="FFFFFF"/>
          <w:lang w:val="en-GB"/>
        </w:rPr>
        <w:t xml:space="preserve"> as a constant technical factor</w:t>
      </w:r>
      <w:r w:rsidR="005358DE">
        <w:rPr>
          <w:rFonts w:ascii="Times New Roman" w:eastAsia="Helvetica" w:hAnsi="Times New Roman" w:cs="Times New Roman"/>
          <w:sz w:val="22"/>
          <w:szCs w:val="22"/>
          <w:shd w:val="clear" w:color="auto" w:fill="FFFFFF"/>
          <w:lang w:val="en-GB"/>
        </w:rPr>
        <w:t>, without considering the role of</w:t>
      </w:r>
      <w:r w:rsidRPr="00B20A34">
        <w:rPr>
          <w:rFonts w:ascii="Times New Roman" w:eastAsia="Helvetica" w:hAnsi="Times New Roman" w:cs="Times New Roman"/>
          <w:sz w:val="22"/>
          <w:szCs w:val="22"/>
          <w:shd w:val="clear" w:color="auto" w:fill="FFFFFF"/>
          <w:lang w:val="en-GB"/>
        </w:rPr>
        <w:t xml:space="preserve"> the human element and active participation in its use.</w:t>
      </w:r>
    </w:p>
    <w:p w14:paraId="5A65F575" w14:textId="50F6186F"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In this study, however, the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r>
          <w:rPr>
            <w:rFonts w:ascii="Cambria Math" w:hAnsi="Cambria Math" w:cs="Times New Roman"/>
            <w:sz w:val="22"/>
            <w:szCs w:val="22"/>
            <w:lang w:val="en-GB"/>
          </w:rPr>
          <m:t xml:space="preserve"> </m:t>
        </m:r>
      </m:oMath>
      <w:r w:rsidR="005358DE">
        <w:rPr>
          <w:rFonts w:ascii="Times New Roman" w:eastAsia="Helvetica" w:hAnsi="Times New Roman" w:cs="Times New Roman"/>
          <w:sz w:val="22"/>
          <w:szCs w:val="22"/>
          <w:lang w:val="en-GB"/>
        </w:rPr>
        <w:t xml:space="preserve"> </w:t>
      </w:r>
      <w:r w:rsidR="005358DE">
        <w:rPr>
          <w:rFonts w:ascii="Times New Roman" w:eastAsia="Helvetica" w:hAnsi="Times New Roman" w:cs="Times New Roman"/>
          <w:sz w:val="22"/>
          <w:szCs w:val="22"/>
          <w:shd w:val="clear" w:color="auto" w:fill="FFFFFF"/>
          <w:lang w:val="en-GB"/>
        </w:rPr>
        <w:t>factor will be measured empirically using primary data, yielding dynamic, robust metrics that capture the actual interactions between</w:t>
      </w:r>
      <w:r w:rsidRPr="00B20A34">
        <w:rPr>
          <w:rFonts w:ascii="Times New Roman" w:eastAsia="Helvetica" w:hAnsi="Times New Roman" w:cs="Times New Roman"/>
          <w:sz w:val="22"/>
          <w:szCs w:val="22"/>
          <w:shd w:val="clear" w:color="auto" w:fill="FFFFFF"/>
          <w:lang w:val="en-GB"/>
        </w:rPr>
        <w:t xml:space="preserve"> human users and technology.</w:t>
      </w:r>
    </w:p>
    <w:p w14:paraId="654DDCEB" w14:textId="77777777" w:rsidR="00FF33D8" w:rsidRDefault="00FF33D8" w:rsidP="00BC6A52">
      <w:pPr>
        <w:ind w:firstLine="284"/>
        <w:jc w:val="both"/>
        <w:rPr>
          <w:rFonts w:ascii="Times New Roman" w:eastAsia="Helvetica" w:hAnsi="Times New Roman" w:cs="Times New Roman"/>
          <w:sz w:val="22"/>
          <w:szCs w:val="22"/>
          <w:shd w:val="clear" w:color="auto" w:fill="FFFFFF"/>
          <w:lang w:val="en-GB"/>
        </w:rPr>
      </w:pPr>
    </w:p>
    <w:p w14:paraId="14866AFD" w14:textId="689633CB"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lastRenderedPageBreak/>
        <w:t xml:space="preserve">Specifically, the following measures can be used to operationalize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oMath>
      <w:r w:rsidR="00FF33D8">
        <w:rPr>
          <w:rFonts w:ascii="Times New Roman" w:eastAsia="Helvetica" w:hAnsi="Times New Roman" w:cs="Times New Roman"/>
          <w:sz w:val="22"/>
          <w:szCs w:val="22"/>
          <w:lang w:val="en-GB"/>
        </w:rPr>
        <w:t>:</w:t>
      </w:r>
    </w:p>
    <w:p w14:paraId="03C32B74" w14:textId="77777777" w:rsidR="009462F7" w:rsidRPr="00B20A34" w:rsidRDefault="00C56864" w:rsidP="00487F23">
      <w:pPr>
        <w:pStyle w:val="Akapitzlist"/>
        <w:numPr>
          <w:ilvl w:val="0"/>
          <w:numId w:val="1"/>
        </w:numPr>
        <w:ind w:left="567" w:hanging="283"/>
        <w:contextualSpacing w:val="0"/>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Feedback Loops: of Real-Time Occupant Performance: By </w:t>
      </w:r>
      <w:proofErr w:type="spellStart"/>
      <w:r w:rsidRPr="00B20A34">
        <w:rPr>
          <w:rFonts w:ascii="Times New Roman" w:eastAsia="Helvetica" w:hAnsi="Times New Roman" w:cs="Times New Roman"/>
          <w:sz w:val="22"/>
          <w:szCs w:val="22"/>
          <w:shd w:val="clear" w:color="auto" w:fill="FFFFFF"/>
          <w:lang w:val="en-GB"/>
        </w:rPr>
        <w:t>analyzing</w:t>
      </w:r>
      <w:proofErr w:type="spellEnd"/>
      <w:r w:rsidRPr="00B20A34">
        <w:rPr>
          <w:rFonts w:ascii="Times New Roman" w:eastAsia="Helvetica" w:hAnsi="Times New Roman" w:cs="Times New Roman"/>
          <w:sz w:val="22"/>
          <w:szCs w:val="22"/>
          <w:shd w:val="clear" w:color="auto" w:fill="FFFFFF"/>
          <w:lang w:val="en-GB"/>
        </w:rPr>
        <w:t xml:space="preserve"> primary data collected from IoT-equipped apartment buildings in Seoul and Busan, researchers can estimate the delta between "automated efficiency" and "performance adjusted by residents".</w:t>
      </w:r>
    </w:p>
    <w:p w14:paraId="7166B5D0" w14:textId="77777777" w:rsidR="009462F7" w:rsidRPr="00B20A34" w:rsidRDefault="00C56864" w:rsidP="00487F23">
      <w:pPr>
        <w:pStyle w:val="Akapitzlist"/>
        <w:numPr>
          <w:ilvl w:val="0"/>
          <w:numId w:val="1"/>
        </w:numPr>
        <w:ind w:left="567" w:hanging="283"/>
        <w:contextualSpacing w:val="0"/>
        <w:jc w:val="both"/>
        <w:rPr>
          <w:rFonts w:ascii="Times New Roman" w:eastAsia="Helvetica" w:hAnsi="Times New Roman" w:cs="Times New Roman"/>
          <w:sz w:val="22"/>
          <w:szCs w:val="22"/>
          <w:shd w:val="clear" w:color="auto" w:fill="FFFFFF"/>
          <w:lang w:val="en-GB"/>
        </w:rPr>
      </w:pPr>
      <w:proofErr w:type="spellStart"/>
      <w:r w:rsidRPr="00B20A34">
        <w:rPr>
          <w:rFonts w:ascii="Times New Roman" w:eastAsia="Helvetica" w:hAnsi="Times New Roman" w:cs="Times New Roman"/>
          <w:sz w:val="22"/>
          <w:szCs w:val="22"/>
          <w:shd w:val="clear" w:color="auto" w:fill="FFFFFF"/>
          <w:lang w:val="en-GB"/>
        </w:rPr>
        <w:t>Behavioral</w:t>
      </w:r>
      <w:proofErr w:type="spellEnd"/>
      <w:r w:rsidRPr="00B20A34">
        <w:rPr>
          <w:rFonts w:ascii="Times New Roman" w:eastAsia="Helvetica" w:hAnsi="Times New Roman" w:cs="Times New Roman"/>
          <w:sz w:val="22"/>
          <w:szCs w:val="22"/>
          <w:shd w:val="clear" w:color="auto" w:fill="FFFFFF"/>
          <w:lang w:val="en-GB"/>
        </w:rPr>
        <w:t xml:space="preserve"> Energy Consumption Analysis: Rather than theorizing consumption </w:t>
      </w:r>
      <w:proofErr w:type="spellStart"/>
      <w:r w:rsidRPr="00B20A34">
        <w:rPr>
          <w:rFonts w:ascii="Times New Roman" w:eastAsia="Helvetica" w:hAnsi="Times New Roman" w:cs="Times New Roman"/>
          <w:sz w:val="22"/>
          <w:szCs w:val="22"/>
          <w:shd w:val="clear" w:color="auto" w:fill="FFFFFF"/>
          <w:lang w:val="en-GB"/>
        </w:rPr>
        <w:t>behavior</w:t>
      </w:r>
      <w:proofErr w:type="spellEnd"/>
      <w:r w:rsidRPr="00B20A34">
        <w:rPr>
          <w:rFonts w:ascii="Times New Roman" w:eastAsia="Helvetica" w:hAnsi="Times New Roman" w:cs="Times New Roman"/>
          <w:sz w:val="22"/>
          <w:szCs w:val="22"/>
          <w:shd w:val="clear" w:color="auto" w:fill="FFFFFF"/>
          <w:lang w:val="en-GB"/>
        </w:rPr>
        <w:t xml:space="preserve">, the </w:t>
      </w:r>
      <m:oMath>
        <m:sSub>
          <m:sSubPr>
            <m:ctrlPr>
              <w:rPr>
                <w:rFonts w:ascii="Cambria Math" w:hAnsi="Cambria Math" w:cs="Times New Roman"/>
                <w:i/>
                <w:sz w:val="22"/>
                <w:szCs w:val="22"/>
                <w:lang w:val="en-GB"/>
              </w:rPr>
            </m:ctrlPr>
          </m:sSubPr>
          <m:e>
            <m:r>
              <w:rPr>
                <w:rFonts w:ascii="Cambria Math" w:hAnsi="Cambria Math" w:cs="Times New Roman"/>
                <w:sz w:val="22"/>
                <w:szCs w:val="22"/>
                <w:lang w:val="en-GB"/>
              </w:rPr>
              <m:t>n</m:t>
            </m:r>
          </m:e>
          <m:sub>
            <m:r>
              <w:rPr>
                <w:rFonts w:ascii="Cambria Math" w:hAnsi="Cambria Math" w:cs="Times New Roman"/>
                <w:sz w:val="22"/>
                <w:szCs w:val="22"/>
                <w:lang w:val="en-GB"/>
              </w:rPr>
              <m:t>ops</m:t>
            </m:r>
          </m:sub>
        </m:sSub>
        <m:r>
          <w:rPr>
            <w:rFonts w:ascii="Cambria Math" w:hAnsi="Cambria Math" w:cs="Times New Roman"/>
            <w:sz w:val="22"/>
            <w:szCs w:val="22"/>
            <w:lang w:val="en-GB"/>
          </w:rPr>
          <m:t xml:space="preserve"> </m:t>
        </m:r>
      </m:oMath>
      <w:r w:rsidRPr="00B20A34">
        <w:rPr>
          <w:rFonts w:ascii="Times New Roman" w:eastAsia="Helvetica" w:hAnsi="Times New Roman" w:cs="Times New Roman"/>
          <w:sz w:val="22"/>
          <w:szCs w:val="22"/>
          <w:shd w:val="clear" w:color="auto" w:fill="FFFFFF"/>
          <w:lang w:val="en-GB"/>
        </w:rPr>
        <w:t>needs to be adjusted according to real-life residents' energy knowledge and consumption behaviors, revealing the so-called "rebound effect" when the technology is simply sidestepped by its users.</w:t>
      </w:r>
    </w:p>
    <w:p w14:paraId="0C59E101" w14:textId="77777777" w:rsidR="009462F7" w:rsidRPr="00B20A34" w:rsidRDefault="00C56864" w:rsidP="00487F23">
      <w:pPr>
        <w:pStyle w:val="Akapitzlist"/>
        <w:numPr>
          <w:ilvl w:val="0"/>
          <w:numId w:val="1"/>
        </w:numPr>
        <w:ind w:left="567" w:hanging="283"/>
        <w:contextualSpacing w:val="0"/>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Human-in-the-Loop (HITL): Asset Management: Examining the impact of participatory governance of Korean "Smart Villages" to understand the effect of user engagement in ensuring asset sustainability in the long run.</w:t>
      </w:r>
    </w:p>
    <w:p w14:paraId="7FC00FF7" w14:textId="77777777" w:rsidR="00487F23" w:rsidRPr="00B20A34" w:rsidRDefault="00487F23" w:rsidP="00BC6A52">
      <w:pPr>
        <w:ind w:firstLine="284"/>
        <w:jc w:val="both"/>
        <w:rPr>
          <w:rFonts w:ascii="Times New Roman" w:eastAsia="Helvetica" w:hAnsi="Times New Roman" w:cs="Times New Roman"/>
          <w:sz w:val="22"/>
          <w:szCs w:val="22"/>
          <w:shd w:val="clear" w:color="auto" w:fill="FFFFFF"/>
          <w:lang w:val="en-GB"/>
        </w:rPr>
      </w:pPr>
    </w:p>
    <w:p w14:paraId="6F19A154" w14:textId="307C835E" w:rsidR="009462F7" w:rsidRPr="00B20A34" w:rsidRDefault="00C56864" w:rsidP="00BC6A52">
      <w:pPr>
        <w:ind w:firstLine="284"/>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By accounting for human</w:t>
      </w:r>
      <w:r w:rsidR="005358DE">
        <w:rPr>
          <w:rFonts w:ascii="Times New Roman" w:eastAsia="Helvetica" w:hAnsi="Times New Roman" w:cs="Times New Roman"/>
          <w:sz w:val="22"/>
          <w:szCs w:val="22"/>
          <w:shd w:val="clear" w:color="auto" w:fill="FFFFFF"/>
          <w:lang w:val="en-GB"/>
        </w:rPr>
        <w:t xml:space="preserve"> factors in the analysis, the valuation of smart-green housing can go beyond the mer</w:t>
      </w:r>
      <w:r w:rsidRPr="00B20A34">
        <w:rPr>
          <w:rFonts w:ascii="Times New Roman" w:eastAsia="Helvetica" w:hAnsi="Times New Roman" w:cs="Times New Roman"/>
          <w:sz w:val="22"/>
          <w:szCs w:val="22"/>
          <w:shd w:val="clear" w:color="auto" w:fill="FFFFFF"/>
          <w:lang w:val="en-GB"/>
        </w:rPr>
        <w:t>e installation of technology. In this manner, the "green premium" will re</w:t>
      </w:r>
      <w:r w:rsidR="005358DE">
        <w:rPr>
          <w:rFonts w:ascii="Times New Roman" w:eastAsia="Helvetica" w:hAnsi="Times New Roman" w:cs="Times New Roman"/>
          <w:sz w:val="22"/>
          <w:szCs w:val="22"/>
          <w:shd w:val="clear" w:color="auto" w:fill="FFFFFF"/>
          <w:lang w:val="en-GB"/>
        </w:rPr>
        <w:t>flect real efficiency in assets and resources rather than a</w:t>
      </w:r>
      <w:r w:rsidRPr="00B20A34">
        <w:rPr>
          <w:rFonts w:ascii="Times New Roman" w:eastAsia="Helvetica" w:hAnsi="Times New Roman" w:cs="Times New Roman"/>
          <w:sz w:val="22"/>
          <w:szCs w:val="22"/>
          <w:shd w:val="clear" w:color="auto" w:fill="FFFFFF"/>
          <w:lang w:val="en-GB"/>
        </w:rPr>
        <w:t xml:space="preserve"> symbolic green branding effort. Thus, this approach </w:t>
      </w:r>
      <w:r w:rsidR="005358DE">
        <w:rPr>
          <w:rFonts w:ascii="Times New Roman" w:eastAsia="Helvetica" w:hAnsi="Times New Roman" w:cs="Times New Roman"/>
          <w:sz w:val="22"/>
          <w:szCs w:val="22"/>
          <w:shd w:val="clear" w:color="auto" w:fill="FFFFFF"/>
          <w:lang w:val="en-GB"/>
        </w:rPr>
        <w:t>provides a methodological framework for validating SGAV using</w:t>
      </w:r>
      <w:r w:rsidRPr="00B20A34">
        <w:rPr>
          <w:rFonts w:ascii="Times New Roman" w:eastAsia="Helvetica" w:hAnsi="Times New Roman" w:cs="Times New Roman"/>
          <w:sz w:val="22"/>
          <w:szCs w:val="22"/>
          <w:shd w:val="clear" w:color="auto" w:fill="FFFFFF"/>
          <w:lang w:val="en-GB"/>
        </w:rPr>
        <w:t xml:space="preserve"> primary data.</w:t>
      </w:r>
    </w:p>
    <w:p w14:paraId="01339F87" w14:textId="77777777" w:rsidR="009462F7" w:rsidRPr="00B20A34" w:rsidRDefault="00C56864" w:rsidP="00487F23">
      <w:pPr>
        <w:pStyle w:val="Rn2"/>
        <w:rPr>
          <w:shd w:val="clear" w:color="auto" w:fill="FFFFFF"/>
          <w:lang w:val="en-GB"/>
        </w:rPr>
      </w:pPr>
      <w:r w:rsidRPr="00B20A34">
        <w:rPr>
          <w:shd w:val="clear" w:color="auto" w:fill="FFFFFF"/>
          <w:lang w:val="en-GB"/>
        </w:rPr>
        <w:t xml:space="preserve">Acknowledgement </w:t>
      </w:r>
    </w:p>
    <w:p w14:paraId="347BC1EE" w14:textId="77777777" w:rsidR="009462F7" w:rsidRPr="00B20A34" w:rsidRDefault="00C56864" w:rsidP="00487F23">
      <w:pPr>
        <w:jc w:val="both"/>
        <w:rPr>
          <w:rFonts w:ascii="Times New Roman" w:eastAsia="Helvetica" w:hAnsi="Times New Roman" w:cs="Times New Roman"/>
          <w:sz w:val="22"/>
          <w:szCs w:val="22"/>
          <w:shd w:val="clear" w:color="auto" w:fill="FFFFFF"/>
          <w:lang w:val="en-GB"/>
        </w:rPr>
      </w:pPr>
      <w:r w:rsidRPr="00B20A34">
        <w:rPr>
          <w:rFonts w:ascii="Times New Roman" w:eastAsia="Helvetica" w:hAnsi="Times New Roman" w:cs="Times New Roman"/>
          <w:sz w:val="22"/>
          <w:szCs w:val="22"/>
          <w:shd w:val="clear" w:color="auto" w:fill="FFFFFF"/>
          <w:lang w:val="en-GB"/>
        </w:rPr>
        <w:t xml:space="preserve">This publication was supported by the Ministry of Education and Science of Ukraine 12/27/2023 No. 1572 within the project No. 0124U000632: </w:t>
      </w:r>
      <w:proofErr w:type="spellStart"/>
      <w:r w:rsidRPr="00B20A34">
        <w:rPr>
          <w:rFonts w:ascii="Times New Roman" w:eastAsia="Helvetica" w:hAnsi="Times New Roman" w:cs="Times New Roman"/>
          <w:sz w:val="22"/>
          <w:szCs w:val="22"/>
          <w:shd w:val="clear" w:color="auto" w:fill="FFFFFF"/>
          <w:lang w:val="en-GB"/>
        </w:rPr>
        <w:t>Neuromodeling</w:t>
      </w:r>
      <w:proofErr w:type="spellEnd"/>
      <w:r w:rsidRPr="00B20A34">
        <w:rPr>
          <w:rFonts w:ascii="Times New Roman" w:eastAsia="Helvetica" w:hAnsi="Times New Roman" w:cs="Times New Roman"/>
          <w:sz w:val="22"/>
          <w:szCs w:val="22"/>
          <w:shd w:val="clear" w:color="auto" w:fill="FFFFFF"/>
          <w:lang w:val="en-GB"/>
        </w:rPr>
        <w:t xml:space="preserve"> of the anti-entropy of the </w:t>
      </w:r>
      <w:proofErr w:type="spellStart"/>
      <w:r w:rsidRPr="00B20A34">
        <w:rPr>
          <w:rFonts w:ascii="Times New Roman" w:eastAsia="Helvetica" w:hAnsi="Times New Roman" w:cs="Times New Roman"/>
          <w:sz w:val="22"/>
          <w:szCs w:val="22"/>
          <w:shd w:val="clear" w:color="auto" w:fill="FFFFFF"/>
          <w:lang w:val="en-GB"/>
        </w:rPr>
        <w:t>agro</w:t>
      </w:r>
      <w:proofErr w:type="spellEnd"/>
      <w:r w:rsidRPr="00B20A34">
        <w:rPr>
          <w:rFonts w:ascii="Times New Roman" w:eastAsia="Helvetica" w:hAnsi="Times New Roman" w:cs="Times New Roman"/>
          <w:sz w:val="22"/>
          <w:szCs w:val="22"/>
          <w:shd w:val="clear" w:color="auto" w:fill="FFFFFF"/>
          <w:lang w:val="en-GB"/>
        </w:rPr>
        <w:t>-trading logistics system of Ukraine.</w:t>
      </w:r>
    </w:p>
    <w:p w14:paraId="3E79C0DB" w14:textId="77777777" w:rsidR="009462F7" w:rsidRPr="00B20A34" w:rsidRDefault="00C56864" w:rsidP="00487F23">
      <w:pPr>
        <w:pStyle w:val="Rn2"/>
        <w:rPr>
          <w:lang w:val="en-GB"/>
        </w:rPr>
      </w:pPr>
      <w:r w:rsidRPr="00B20A34">
        <w:rPr>
          <w:shd w:val="clear" w:color="auto" w:fill="FFFFFF"/>
          <w:lang w:val="en-GB"/>
        </w:rPr>
        <w:t>References</w:t>
      </w:r>
    </w:p>
    <w:p w14:paraId="74885C5D" w14:textId="0AE19DA0" w:rsidR="00F15CB8" w:rsidRPr="00B20A34" w:rsidRDefault="00F15CB8" w:rsidP="00487F23">
      <w:pPr>
        <w:pStyle w:val="Rlit"/>
        <w:rPr>
          <w:lang w:val="en-GB"/>
        </w:rPr>
      </w:pPr>
      <w:r w:rsidRPr="00B20A34">
        <w:rPr>
          <w:lang w:val="en-GB"/>
        </w:rPr>
        <w:t>Akin, I., &amp; Akin, M. (2025).</w:t>
      </w:r>
      <w:r w:rsidRPr="00B20A34">
        <w:rPr>
          <w:kern w:val="36"/>
          <w:lang w:val="en-GB" w:eastAsia="en-US"/>
        </w:rPr>
        <w:t xml:space="preserve"> </w:t>
      </w:r>
      <w:r w:rsidRPr="00B20A34">
        <w:rPr>
          <w:lang w:val="en-GB"/>
        </w:rPr>
        <w:t xml:space="preserve">Promoting sustainable practices through green investments in the United Kingdom real estate industry. </w:t>
      </w:r>
      <w:r w:rsidRPr="00B20A34">
        <w:rPr>
          <w:i/>
          <w:iCs/>
          <w:lang w:val="en-GB"/>
        </w:rPr>
        <w:t>Sustainable Development</w:t>
      </w:r>
      <w:r w:rsidRPr="00B20A34">
        <w:rPr>
          <w:lang w:val="en-GB"/>
        </w:rPr>
        <w:t xml:space="preserve">, </w:t>
      </w:r>
      <w:r w:rsidRPr="00B20A34">
        <w:rPr>
          <w:i/>
          <w:iCs/>
          <w:lang w:val="en-GB"/>
        </w:rPr>
        <w:t>33</w:t>
      </w:r>
      <w:r w:rsidRPr="00B20A34">
        <w:rPr>
          <w:lang w:val="en-GB"/>
        </w:rPr>
        <w:t xml:space="preserve">(1), 1526–1544. </w:t>
      </w:r>
      <w:hyperlink r:id="rId15" w:history="1">
        <w:r w:rsidRPr="00B20A34">
          <w:rPr>
            <w:rStyle w:val="UyteHipercze"/>
            <w:color w:val="auto"/>
            <w:u w:val="none"/>
            <w:lang w:val="en-GB"/>
          </w:rPr>
          <w:t>https://doi.org/10.1002/sd.3194</w:t>
        </w:r>
      </w:hyperlink>
    </w:p>
    <w:p w14:paraId="2E4C5CF7" w14:textId="2D91B229" w:rsidR="00F15CB8" w:rsidRPr="00B20A34" w:rsidRDefault="00F15CB8" w:rsidP="00487F23">
      <w:pPr>
        <w:pStyle w:val="Rlit"/>
        <w:rPr>
          <w:lang w:val="en-GB"/>
        </w:rPr>
      </w:pPr>
      <w:proofErr w:type="spellStart"/>
      <w:r w:rsidRPr="00B20A34">
        <w:rPr>
          <w:lang w:val="en-GB"/>
        </w:rPr>
        <w:t>Almihat</w:t>
      </w:r>
      <w:proofErr w:type="spellEnd"/>
      <w:r w:rsidRPr="00B20A34">
        <w:rPr>
          <w:lang w:val="en-GB"/>
        </w:rPr>
        <w:t xml:space="preserve">, M.G.M., Kahn, M.T.E., Aboalez, K., &amp; </w:t>
      </w:r>
      <w:proofErr w:type="spellStart"/>
      <w:r w:rsidRPr="00B20A34">
        <w:rPr>
          <w:lang w:val="en-GB"/>
        </w:rPr>
        <w:t>Almaktoof</w:t>
      </w:r>
      <w:proofErr w:type="spellEnd"/>
      <w:r w:rsidRPr="00B20A34">
        <w:rPr>
          <w:lang w:val="en-GB"/>
        </w:rPr>
        <w:t xml:space="preserve">, A.M. (2022). Energy and sustainable development in smart cities: An overview. </w:t>
      </w:r>
      <w:r w:rsidRPr="00B20A34">
        <w:rPr>
          <w:i/>
          <w:iCs/>
          <w:lang w:val="en-GB"/>
        </w:rPr>
        <w:t>Smart Cities</w:t>
      </w:r>
      <w:r w:rsidRPr="00B20A34">
        <w:rPr>
          <w:lang w:val="en-GB"/>
        </w:rPr>
        <w:t xml:space="preserve">, </w:t>
      </w:r>
      <w:r w:rsidRPr="00B20A34">
        <w:rPr>
          <w:i/>
          <w:iCs/>
          <w:lang w:val="en-GB"/>
        </w:rPr>
        <w:t>5</w:t>
      </w:r>
      <w:r w:rsidRPr="00B20A34">
        <w:rPr>
          <w:lang w:val="en-GB"/>
        </w:rPr>
        <w:t xml:space="preserve">(4), 1389–1408. </w:t>
      </w:r>
      <w:hyperlink r:id="rId16" w:history="1">
        <w:r w:rsidRPr="00B20A34">
          <w:rPr>
            <w:rStyle w:val="UyteHipercze"/>
            <w:color w:val="auto"/>
            <w:u w:val="none"/>
            <w:lang w:val="en-GB"/>
          </w:rPr>
          <w:t>https://doi.org/10.3390/smartcities5040071</w:t>
        </w:r>
      </w:hyperlink>
    </w:p>
    <w:p w14:paraId="42973FFB" w14:textId="65648A91" w:rsidR="00F15CB8" w:rsidRPr="00B20A34" w:rsidRDefault="00F15CB8" w:rsidP="00B20A34">
      <w:pPr>
        <w:pStyle w:val="Rlit"/>
        <w:jc w:val="left"/>
        <w:rPr>
          <w:lang w:val="en-GB"/>
        </w:rPr>
      </w:pPr>
      <w:r w:rsidRPr="00B20A34">
        <w:rPr>
          <w:lang w:val="en-GB"/>
        </w:rPr>
        <w:t xml:space="preserve">Anderson, K. (2025). </w:t>
      </w:r>
      <w:r w:rsidRPr="00B20A34">
        <w:rPr>
          <w:rStyle w:val="Uwydatnienie"/>
          <w:lang w:val="en-GB"/>
        </w:rPr>
        <w:t>Smart cities and sustainable economics: Policy frameworks for integrating green technologies into urban development</w:t>
      </w:r>
      <w:r w:rsidR="00B20A34" w:rsidRPr="00B20A34">
        <w:rPr>
          <w:lang w:val="en-GB"/>
        </w:rPr>
        <w:t>.</w:t>
      </w:r>
      <w:r w:rsidRPr="00B20A34">
        <w:rPr>
          <w:i/>
          <w:iCs/>
          <w:lang w:val="en-GB"/>
        </w:rPr>
        <w:t xml:space="preserve"> </w:t>
      </w:r>
      <w:hyperlink r:id="rId17" w:tgtFrame="_new" w:history="1">
        <w:r w:rsidRPr="00B20A34">
          <w:rPr>
            <w:rStyle w:val="UyteHipercze"/>
            <w:color w:val="auto"/>
            <w:u w:val="none"/>
            <w:lang w:val="en-GB"/>
          </w:rPr>
          <w:t>https://www.researchgate.net/publication/395130175_Smart_Cities_and_Sustainable_Economics_Policy_Frameworks_for_Integrating_Green_Technologies_into_Urban_Development</w:t>
        </w:r>
      </w:hyperlink>
    </w:p>
    <w:p w14:paraId="3F7E4844" w14:textId="77777777" w:rsidR="00F15CB8" w:rsidRPr="00B20A34" w:rsidRDefault="00F15CB8" w:rsidP="00487F23">
      <w:pPr>
        <w:pStyle w:val="Rlit"/>
        <w:rPr>
          <w:lang w:val="en-GB"/>
        </w:rPr>
      </w:pPr>
      <w:proofErr w:type="spellStart"/>
      <w:r w:rsidRPr="00B20A34">
        <w:rPr>
          <w:lang w:val="en-GB"/>
        </w:rPr>
        <w:t>Andriushchenko</w:t>
      </w:r>
      <w:proofErr w:type="spellEnd"/>
      <w:r w:rsidRPr="00B20A34">
        <w:rPr>
          <w:lang w:val="en-GB"/>
        </w:rPr>
        <w:t xml:space="preserve">, K., Buriachenko, A., </w:t>
      </w:r>
      <w:proofErr w:type="spellStart"/>
      <w:r w:rsidRPr="00B20A34">
        <w:rPr>
          <w:lang w:val="en-GB"/>
        </w:rPr>
        <w:t>Liezina</w:t>
      </w:r>
      <w:proofErr w:type="spellEnd"/>
      <w:r w:rsidRPr="00B20A34">
        <w:rPr>
          <w:lang w:val="en-GB"/>
        </w:rPr>
        <w:t xml:space="preserve">, A., </w:t>
      </w:r>
      <w:proofErr w:type="spellStart"/>
      <w:r w:rsidRPr="00B20A34">
        <w:rPr>
          <w:lang w:val="en-GB"/>
        </w:rPr>
        <w:t>Lavruk</w:t>
      </w:r>
      <w:proofErr w:type="spellEnd"/>
      <w:r w:rsidRPr="00B20A34">
        <w:rPr>
          <w:lang w:val="en-GB"/>
        </w:rPr>
        <w:t xml:space="preserve">, O., </w:t>
      </w:r>
      <w:proofErr w:type="spellStart"/>
      <w:r w:rsidRPr="00B20A34">
        <w:rPr>
          <w:lang w:val="en-GB"/>
        </w:rPr>
        <w:t>Korzhenivska</w:t>
      </w:r>
      <w:proofErr w:type="spellEnd"/>
      <w:r w:rsidRPr="00B20A34">
        <w:rPr>
          <w:lang w:val="en-GB"/>
        </w:rPr>
        <w:t xml:space="preserve">, N., &amp; </w:t>
      </w:r>
      <w:proofErr w:type="spellStart"/>
      <w:r w:rsidRPr="00B20A34">
        <w:rPr>
          <w:lang w:val="en-GB"/>
        </w:rPr>
        <w:t>Slavina</w:t>
      </w:r>
      <w:proofErr w:type="spellEnd"/>
      <w:r w:rsidRPr="00B20A34">
        <w:rPr>
          <w:lang w:val="en-GB"/>
        </w:rPr>
        <w:t xml:space="preserve">, N. (2024). The impact of </w:t>
      </w:r>
      <w:proofErr w:type="spellStart"/>
      <w:r w:rsidRPr="00B20A34">
        <w:rPr>
          <w:lang w:val="en-GB"/>
        </w:rPr>
        <w:t>labor</w:t>
      </w:r>
      <w:proofErr w:type="spellEnd"/>
      <w:r w:rsidRPr="00B20A34">
        <w:rPr>
          <w:lang w:val="en-GB"/>
        </w:rPr>
        <w:t xml:space="preserve"> resources on the economic security of an enterprise in the sustainable development concept. </w:t>
      </w:r>
      <w:r w:rsidRPr="00B20A34">
        <w:rPr>
          <w:i/>
          <w:iCs/>
          <w:lang w:val="en-GB"/>
        </w:rPr>
        <w:t>Technology Audit and Production Reserves</w:t>
      </w:r>
      <w:r w:rsidRPr="00B20A34">
        <w:rPr>
          <w:lang w:val="en-GB"/>
        </w:rPr>
        <w:t xml:space="preserve">, </w:t>
      </w:r>
      <w:r w:rsidRPr="00B20A34">
        <w:rPr>
          <w:i/>
          <w:iCs/>
          <w:lang w:val="en-GB"/>
        </w:rPr>
        <w:t>6</w:t>
      </w:r>
      <w:r w:rsidRPr="00B20A34">
        <w:rPr>
          <w:lang w:val="en-GB"/>
        </w:rPr>
        <w:t xml:space="preserve">(4(80), 21–31. </w:t>
      </w:r>
      <w:hyperlink r:id="rId18" w:history="1">
        <w:r w:rsidRPr="00B20A34">
          <w:rPr>
            <w:rStyle w:val="Hipercze"/>
            <w:color w:val="auto"/>
            <w:u w:val="none"/>
            <w:lang w:val="en-GB"/>
          </w:rPr>
          <w:t>https://doi.org/10.15587/2706-5448.2024.318702</w:t>
        </w:r>
      </w:hyperlink>
      <w:r w:rsidRPr="00B20A34">
        <w:rPr>
          <w:lang w:val="en-GB"/>
        </w:rPr>
        <w:t xml:space="preserve"> </w:t>
      </w:r>
    </w:p>
    <w:p w14:paraId="6AA72880" w14:textId="66B6BDE3" w:rsidR="00F15CB8" w:rsidRPr="00B20A34" w:rsidRDefault="00F15CB8" w:rsidP="00487F23">
      <w:pPr>
        <w:pStyle w:val="Rlit"/>
        <w:rPr>
          <w:lang w:val="en-GB"/>
        </w:rPr>
      </w:pPr>
      <w:proofErr w:type="spellStart"/>
      <w:r w:rsidRPr="00B20A34">
        <w:rPr>
          <w:lang w:val="en-GB"/>
        </w:rPr>
        <w:t>Apanaviciene</w:t>
      </w:r>
      <w:proofErr w:type="spellEnd"/>
      <w:r w:rsidRPr="00B20A34">
        <w:rPr>
          <w:lang w:val="en-GB"/>
        </w:rPr>
        <w:t xml:space="preserve">, R., &amp; </w:t>
      </w:r>
      <w:proofErr w:type="spellStart"/>
      <w:r w:rsidRPr="00B20A34">
        <w:rPr>
          <w:lang w:val="en-GB"/>
        </w:rPr>
        <w:t>Shahrabani</w:t>
      </w:r>
      <w:proofErr w:type="spellEnd"/>
      <w:r w:rsidRPr="00B20A34">
        <w:rPr>
          <w:lang w:val="en-GB"/>
        </w:rPr>
        <w:t xml:space="preserve">, M.M.N. (2023). Key factors affecting smart building integration into smart city: Technological aspects. </w:t>
      </w:r>
      <w:r w:rsidRPr="00B20A34">
        <w:rPr>
          <w:i/>
          <w:iCs/>
          <w:lang w:val="en-GB"/>
        </w:rPr>
        <w:t>Smart Cities</w:t>
      </w:r>
      <w:r w:rsidRPr="00B20A34">
        <w:rPr>
          <w:lang w:val="en-GB"/>
        </w:rPr>
        <w:t xml:space="preserve">, </w:t>
      </w:r>
      <w:r w:rsidRPr="00B20A34">
        <w:rPr>
          <w:i/>
          <w:iCs/>
          <w:lang w:val="en-GB"/>
        </w:rPr>
        <w:t>6</w:t>
      </w:r>
      <w:r w:rsidRPr="00B20A34">
        <w:rPr>
          <w:lang w:val="en-GB"/>
        </w:rPr>
        <w:t>(4), 1832–1857.</w:t>
      </w:r>
      <w:hyperlink r:id="rId19" w:history="1">
        <w:r w:rsidRPr="00B20A34">
          <w:rPr>
            <w:rStyle w:val="UyteHipercze"/>
            <w:color w:val="auto"/>
            <w:u w:val="none"/>
            <w:lang w:val="en-GB"/>
          </w:rPr>
          <w:t>https://doi.org/10.3390/smartcities6040085</w:t>
        </w:r>
      </w:hyperlink>
    </w:p>
    <w:p w14:paraId="29C9A180" w14:textId="0B9F9EC3" w:rsidR="00F15CB8" w:rsidRPr="00B20A34" w:rsidRDefault="00F15CB8" w:rsidP="00B20A34">
      <w:pPr>
        <w:pStyle w:val="Rlit"/>
        <w:jc w:val="left"/>
        <w:rPr>
          <w:lang w:val="en-GB"/>
        </w:rPr>
      </w:pPr>
      <w:proofErr w:type="spellStart"/>
      <w:r w:rsidRPr="00B20A34">
        <w:rPr>
          <w:lang w:val="en-GB"/>
        </w:rPr>
        <w:t>Appio</w:t>
      </w:r>
      <w:proofErr w:type="spellEnd"/>
      <w:r w:rsidRPr="00B20A34">
        <w:rPr>
          <w:lang w:val="en-GB"/>
        </w:rPr>
        <w:t xml:space="preserve">, F.P., Lima, M., &amp; </w:t>
      </w:r>
      <w:proofErr w:type="spellStart"/>
      <w:r w:rsidRPr="00B20A34">
        <w:rPr>
          <w:lang w:val="en-GB"/>
        </w:rPr>
        <w:t>Paroutis</w:t>
      </w:r>
      <w:proofErr w:type="spellEnd"/>
      <w:r w:rsidRPr="00B20A34">
        <w:rPr>
          <w:lang w:val="en-GB"/>
        </w:rPr>
        <w:t>, S. (2019). Understanding smart cities: Innovation ecosystems, technological advancements, and societal challenges.</w:t>
      </w:r>
      <w:r w:rsidRPr="00B20A34">
        <w:rPr>
          <w:i/>
          <w:iCs/>
          <w:lang w:val="en-GB"/>
        </w:rPr>
        <w:t xml:space="preserve"> Technological Forecasting and Social Change, </w:t>
      </w:r>
      <w:r w:rsidRPr="00B20A34">
        <w:rPr>
          <w:lang w:val="en-GB"/>
        </w:rPr>
        <w:t xml:space="preserve">142, 1–14. </w:t>
      </w:r>
      <w:hyperlink r:id="rId20" w:tgtFrame="_new" w:history="1">
        <w:r w:rsidRPr="00B20A34">
          <w:rPr>
            <w:rStyle w:val="UyteHipercze"/>
            <w:color w:val="auto"/>
            <w:u w:val="none"/>
            <w:lang w:val="en-GB"/>
          </w:rPr>
          <w:t>https://doi.org/10.1016/j.techfore.2018.12.018</w:t>
        </w:r>
      </w:hyperlink>
    </w:p>
    <w:p w14:paraId="37456DAA" w14:textId="0A43D6E6" w:rsidR="00F15CB8" w:rsidRPr="00B20A34" w:rsidRDefault="00F15CB8" w:rsidP="00B20A34">
      <w:pPr>
        <w:pStyle w:val="Rlit"/>
        <w:jc w:val="left"/>
        <w:rPr>
          <w:lang w:val="en-GB"/>
        </w:rPr>
      </w:pPr>
      <w:r w:rsidRPr="00B20A34">
        <w:rPr>
          <w:lang w:val="en-GB"/>
        </w:rPr>
        <w:t xml:space="preserve">Baptista, N., Januario, J.F., &amp; Cruz, C.O. (2023). Social and financial sustainability of real estate investment: Evaluating public perceptions towards blockchain technology. </w:t>
      </w:r>
      <w:r w:rsidRPr="00B20A34">
        <w:rPr>
          <w:i/>
          <w:iCs/>
          <w:lang w:val="en-GB"/>
        </w:rPr>
        <w:t>Sustainability</w:t>
      </w:r>
      <w:r w:rsidRPr="00B20A34">
        <w:rPr>
          <w:lang w:val="en-GB"/>
        </w:rPr>
        <w:t xml:space="preserve">, </w:t>
      </w:r>
      <w:r w:rsidRPr="00B20A34">
        <w:rPr>
          <w:i/>
          <w:iCs/>
          <w:lang w:val="en-GB"/>
        </w:rPr>
        <w:t>15</w:t>
      </w:r>
      <w:r w:rsidRPr="00B20A34">
        <w:rPr>
          <w:lang w:val="en-GB"/>
        </w:rPr>
        <w:t xml:space="preserve">(16), 12288. </w:t>
      </w:r>
      <w:hyperlink r:id="rId21" w:history="1">
        <w:r w:rsidRPr="00B20A34">
          <w:rPr>
            <w:rStyle w:val="UyteHipercze"/>
            <w:color w:val="auto"/>
            <w:u w:val="none"/>
            <w:lang w:val="en-GB"/>
          </w:rPr>
          <w:t>https://doi.org/10.3390/su151612288</w:t>
        </w:r>
      </w:hyperlink>
    </w:p>
    <w:p w14:paraId="7D8CD524" w14:textId="6797DF96" w:rsidR="00F15CB8" w:rsidRPr="00D50BD6" w:rsidRDefault="00F15CB8" w:rsidP="00487F23">
      <w:pPr>
        <w:pStyle w:val="Rlit"/>
        <w:rPr>
          <w:lang w:val="pl-PL"/>
        </w:rPr>
      </w:pPr>
      <w:r w:rsidRPr="00B20A34">
        <w:rPr>
          <w:lang w:val="en-GB"/>
        </w:rPr>
        <w:t xml:space="preserve">Bardhan, A., &amp; Kroll, C.A. (2011). </w:t>
      </w:r>
      <w:r w:rsidRPr="00B20A34">
        <w:rPr>
          <w:i/>
          <w:iCs/>
          <w:lang w:val="en-GB"/>
        </w:rPr>
        <w:t>Green buildings in green cities: Integrating energy efficiency into the real estate industry (Working Paper).</w:t>
      </w:r>
      <w:r w:rsidRPr="00B20A34">
        <w:rPr>
          <w:lang w:val="en-GB"/>
        </w:rPr>
        <w:t xml:space="preserve"> </w:t>
      </w:r>
      <w:r w:rsidRPr="00B20A34">
        <w:rPr>
          <w:i/>
          <w:iCs/>
          <w:lang w:val="en-GB"/>
        </w:rPr>
        <w:t xml:space="preserve">Fisher </w:t>
      </w:r>
      <w:proofErr w:type="spellStart"/>
      <w:r w:rsidRPr="00B20A34">
        <w:rPr>
          <w:i/>
          <w:iCs/>
          <w:lang w:val="en-GB"/>
        </w:rPr>
        <w:t>Center</w:t>
      </w:r>
      <w:proofErr w:type="spellEnd"/>
      <w:r w:rsidRPr="00B20A34">
        <w:rPr>
          <w:i/>
          <w:iCs/>
          <w:lang w:val="en-GB"/>
        </w:rPr>
        <w:t xml:space="preserve"> for Real Estate and Urban Economics, Haas School of Business, University of California, Berkeley</w:t>
      </w:r>
      <w:r w:rsidRPr="00B20A34">
        <w:rPr>
          <w:lang w:val="en-GB"/>
        </w:rPr>
        <w:t xml:space="preserve">. </w:t>
      </w:r>
      <w:hyperlink r:id="rId22" w:history="1">
        <w:r w:rsidRPr="00D50BD6">
          <w:rPr>
            <w:rStyle w:val="UyteHipercze"/>
            <w:color w:val="auto"/>
            <w:u w:val="none"/>
            <w:lang w:val="pl-PL"/>
          </w:rPr>
          <w:t>https://escholarship.org/uc/item/5b92f0q0</w:t>
        </w:r>
      </w:hyperlink>
    </w:p>
    <w:p w14:paraId="1ED9C3BC" w14:textId="77777777" w:rsidR="00F15CB8" w:rsidRPr="00B20A34" w:rsidRDefault="00F15CB8" w:rsidP="00487F23">
      <w:pPr>
        <w:pStyle w:val="Rlit"/>
        <w:rPr>
          <w:lang w:val="en-GB"/>
        </w:rPr>
      </w:pPr>
      <w:proofErr w:type="spellStart"/>
      <w:r w:rsidRPr="00D50BD6">
        <w:rPr>
          <w:rStyle w:val="Pogrubienie"/>
          <w:b w:val="0"/>
          <w:bCs w:val="0"/>
          <w:lang w:val="pl-PL"/>
        </w:rPr>
        <w:t>Berniak</w:t>
      </w:r>
      <w:proofErr w:type="spellEnd"/>
      <w:r w:rsidRPr="00D50BD6">
        <w:rPr>
          <w:rStyle w:val="Pogrubienie"/>
          <w:b w:val="0"/>
          <w:bCs w:val="0"/>
          <w:lang w:val="pl-PL"/>
        </w:rPr>
        <w:t>-Woźny, J., Śliż, P., &amp; Siciński, J. (2025).</w:t>
      </w:r>
      <w:r w:rsidRPr="00D50BD6">
        <w:rPr>
          <w:lang w:val="pl-PL"/>
        </w:rPr>
        <w:t xml:space="preserve"> </w:t>
      </w:r>
      <w:r w:rsidRPr="00B20A34">
        <w:rPr>
          <w:lang w:val="en-GB"/>
        </w:rPr>
        <w:t>Empowering smart cities through start-ups: A sustainability frame</w:t>
      </w:r>
      <w:r w:rsidRPr="00B20A34">
        <w:rPr>
          <w:lang w:val="en-GB"/>
        </w:rPr>
        <w:softHyphen/>
        <w:t xml:space="preserve">work for incubator–city collaboration. </w:t>
      </w:r>
      <w:r w:rsidRPr="00B20A34">
        <w:rPr>
          <w:rStyle w:val="Uwydatnienie"/>
          <w:lang w:val="en-GB"/>
        </w:rPr>
        <w:t>Systems</w:t>
      </w:r>
      <w:r w:rsidRPr="00B20A34">
        <w:rPr>
          <w:rStyle w:val="Uwydatnienie"/>
          <w:i w:val="0"/>
          <w:iCs w:val="0"/>
          <w:lang w:val="en-GB"/>
        </w:rPr>
        <w:t xml:space="preserve">, </w:t>
      </w:r>
      <w:r w:rsidRPr="00B20A34">
        <w:rPr>
          <w:rStyle w:val="Uwydatnienie"/>
          <w:lang w:val="en-GB"/>
        </w:rPr>
        <w:t>13</w:t>
      </w:r>
      <w:r w:rsidRPr="00B20A34">
        <w:rPr>
          <w:i/>
          <w:iCs/>
          <w:lang w:val="en-GB"/>
        </w:rPr>
        <w:t>(</w:t>
      </w:r>
      <w:r w:rsidRPr="00B20A34">
        <w:rPr>
          <w:lang w:val="en-GB"/>
        </w:rPr>
        <w:t xml:space="preserve">4), 219. </w:t>
      </w:r>
      <w:hyperlink r:id="rId23" w:history="1">
        <w:r w:rsidRPr="00B20A34">
          <w:rPr>
            <w:rStyle w:val="UyteHipercze"/>
            <w:color w:val="auto"/>
            <w:u w:val="none"/>
            <w:lang w:val="en-GB"/>
          </w:rPr>
          <w:t>https://doi.org/10.3390/systems13040219</w:t>
        </w:r>
      </w:hyperlink>
    </w:p>
    <w:p w14:paraId="2336CE4D" w14:textId="1D3BA334" w:rsidR="00F15CB8" w:rsidRPr="00B20A34" w:rsidRDefault="00F15CB8" w:rsidP="00487F23">
      <w:pPr>
        <w:pStyle w:val="Rlit"/>
        <w:rPr>
          <w:lang w:val="en-GB"/>
        </w:rPr>
      </w:pPr>
      <w:r w:rsidRPr="00B20A34">
        <w:rPr>
          <w:shd w:val="clear" w:color="auto" w:fill="FEFEFE"/>
          <w:lang w:val="en-GB"/>
        </w:rPr>
        <w:t xml:space="preserve">Bhuiyan, K.H., Jahan, I., Zayed, N.M., Islam, K.M.A., </w:t>
      </w:r>
      <w:proofErr w:type="spellStart"/>
      <w:r w:rsidRPr="00B20A34">
        <w:rPr>
          <w:shd w:val="clear" w:color="auto" w:fill="FEFEFE"/>
          <w:lang w:val="en-GB"/>
        </w:rPr>
        <w:t>Suyaiya</w:t>
      </w:r>
      <w:proofErr w:type="spellEnd"/>
      <w:r w:rsidRPr="00B20A34">
        <w:rPr>
          <w:shd w:val="clear" w:color="auto" w:fill="FEFEFE"/>
          <w:lang w:val="en-GB"/>
        </w:rPr>
        <w:t xml:space="preserve">, S., Tkachenko, O., &amp; </w:t>
      </w:r>
      <w:proofErr w:type="spellStart"/>
      <w:r w:rsidRPr="00B20A34">
        <w:rPr>
          <w:shd w:val="clear" w:color="auto" w:fill="FEFEFE"/>
          <w:lang w:val="en-GB"/>
        </w:rPr>
        <w:t>Nitsenko</w:t>
      </w:r>
      <w:proofErr w:type="spellEnd"/>
      <w:r w:rsidRPr="00B20A34">
        <w:rPr>
          <w:shd w:val="clear" w:color="auto" w:fill="FEFEFE"/>
          <w:lang w:val="en-GB"/>
        </w:rPr>
        <w:t xml:space="preserve">, V. (2022). Smart tourism ecosystem: A new dimension toward sustainable value co-creation. </w:t>
      </w:r>
      <w:r w:rsidRPr="00B20A34">
        <w:rPr>
          <w:i/>
          <w:iCs/>
          <w:shd w:val="clear" w:color="auto" w:fill="FEFEFE"/>
          <w:lang w:val="en-GB"/>
        </w:rPr>
        <w:t>Sustainability</w:t>
      </w:r>
      <w:r w:rsidRPr="00B20A34">
        <w:rPr>
          <w:shd w:val="clear" w:color="auto" w:fill="FEFEFE"/>
          <w:lang w:val="en-GB"/>
        </w:rPr>
        <w:t xml:space="preserve">, </w:t>
      </w:r>
      <w:r w:rsidRPr="00B20A34">
        <w:rPr>
          <w:i/>
          <w:iCs/>
          <w:shd w:val="clear" w:color="auto" w:fill="FEFEFE"/>
          <w:lang w:val="en-GB"/>
        </w:rPr>
        <w:t>14</w:t>
      </w:r>
      <w:r w:rsidRPr="00B20A34">
        <w:rPr>
          <w:shd w:val="clear" w:color="auto" w:fill="FEFEFE"/>
          <w:lang w:val="en-GB"/>
        </w:rPr>
        <w:t>(22</w:t>
      </w:r>
      <w:r w:rsidRPr="00B20A34">
        <w:rPr>
          <w:i/>
          <w:iCs/>
          <w:shd w:val="clear" w:color="auto" w:fill="FEFEFE"/>
          <w:lang w:val="en-GB"/>
        </w:rPr>
        <w:t>)</w:t>
      </w:r>
      <w:r w:rsidRPr="00B20A34">
        <w:rPr>
          <w:shd w:val="clear" w:color="auto" w:fill="FEFEFE"/>
          <w:lang w:val="en-GB"/>
        </w:rPr>
        <w:t xml:space="preserve">, 15043. </w:t>
      </w:r>
      <w:hyperlink r:id="rId24" w:history="1">
        <w:r w:rsidRPr="00B20A34">
          <w:rPr>
            <w:rStyle w:val="UyteHipercze"/>
            <w:color w:val="auto"/>
            <w:u w:val="none"/>
            <w:shd w:val="clear" w:color="auto" w:fill="FEFEFE"/>
            <w:lang w:val="en-GB"/>
          </w:rPr>
          <w:t>https://doi.org/10.3390/su142215043</w:t>
        </w:r>
      </w:hyperlink>
    </w:p>
    <w:p w14:paraId="089532FF" w14:textId="3F41F7EE" w:rsidR="00F15CB8" w:rsidRPr="00B20A34" w:rsidRDefault="00F15CB8" w:rsidP="00487F23">
      <w:pPr>
        <w:pStyle w:val="Rlit"/>
        <w:rPr>
          <w:rStyle w:val="Hipercze"/>
          <w:color w:val="auto"/>
          <w:u w:val="none"/>
          <w:lang w:val="en-GB"/>
        </w:rPr>
      </w:pPr>
      <w:r w:rsidRPr="00B20A34">
        <w:rPr>
          <w:lang w:val="en-GB"/>
        </w:rPr>
        <w:t xml:space="preserve">Böcskei, E., Veit, A., &amp; Tóth, M.G. (2025). Green Growth in the EU: Innovation, Investment, and the Path to Sustainability. </w:t>
      </w:r>
      <w:r w:rsidRPr="00B20A34">
        <w:rPr>
          <w:i/>
          <w:iCs/>
          <w:lang w:val="en-GB"/>
        </w:rPr>
        <w:t>Intellectual Economics</w:t>
      </w:r>
      <w:r w:rsidRPr="00B20A34">
        <w:rPr>
          <w:lang w:val="en-GB"/>
        </w:rPr>
        <w:t xml:space="preserve">, </w:t>
      </w:r>
      <w:r w:rsidRPr="00B20A34">
        <w:rPr>
          <w:i/>
          <w:iCs/>
          <w:lang w:val="en-GB"/>
        </w:rPr>
        <w:t>19</w:t>
      </w:r>
      <w:r w:rsidRPr="00B20A34">
        <w:rPr>
          <w:lang w:val="en-GB"/>
        </w:rPr>
        <w:t>(2), 11</w:t>
      </w:r>
      <w:r w:rsidR="00B20A34">
        <w:rPr>
          <w:lang w:val="en-GB"/>
        </w:rPr>
        <w:t>–</w:t>
      </w:r>
      <w:r w:rsidRPr="00B20A34">
        <w:rPr>
          <w:lang w:val="en-GB"/>
        </w:rPr>
        <w:t xml:space="preserve">45. </w:t>
      </w:r>
      <w:hyperlink r:id="rId25" w:history="1">
        <w:r w:rsidRPr="00B20A34">
          <w:rPr>
            <w:rStyle w:val="Hipercze"/>
            <w:color w:val="auto"/>
            <w:u w:val="none"/>
            <w:lang w:val="en-GB"/>
          </w:rPr>
          <w:t>https://doi.org/10.13165/IE-25-19-2-01</w:t>
        </w:r>
      </w:hyperlink>
    </w:p>
    <w:p w14:paraId="5ED21E00" w14:textId="559EA858" w:rsidR="00F15CB8" w:rsidRPr="00B20A34" w:rsidRDefault="00F15CB8" w:rsidP="00487F23">
      <w:pPr>
        <w:pStyle w:val="Rlit"/>
        <w:rPr>
          <w:lang w:val="en-GB"/>
        </w:rPr>
      </w:pPr>
      <w:proofErr w:type="spellStart"/>
      <w:r w:rsidRPr="00B20A34">
        <w:rPr>
          <w:lang w:val="en-GB"/>
        </w:rPr>
        <w:t>Boussakra</w:t>
      </w:r>
      <w:proofErr w:type="spellEnd"/>
      <w:r w:rsidRPr="00B20A34">
        <w:rPr>
          <w:lang w:val="en-GB"/>
        </w:rPr>
        <w:t xml:space="preserve">, A., Abdeslam, S., &amp; </w:t>
      </w:r>
      <w:proofErr w:type="spellStart"/>
      <w:r w:rsidRPr="00B20A34">
        <w:rPr>
          <w:lang w:val="en-GB"/>
        </w:rPr>
        <w:t>Boukheit</w:t>
      </w:r>
      <w:proofErr w:type="spellEnd"/>
      <w:r w:rsidRPr="00B20A34">
        <w:rPr>
          <w:lang w:val="en-GB"/>
        </w:rPr>
        <w:t xml:space="preserve">, S. (2025). Urban and Rural Sustainability as a Pathway to Achieving Sustainable Development. </w:t>
      </w:r>
      <w:r w:rsidRPr="00B20A34">
        <w:rPr>
          <w:i/>
          <w:iCs/>
          <w:lang w:val="en-GB"/>
        </w:rPr>
        <w:t>Ukrainian Policymaker</w:t>
      </w:r>
      <w:r w:rsidRPr="00B20A34">
        <w:rPr>
          <w:lang w:val="en-GB"/>
        </w:rPr>
        <w:t xml:space="preserve">, </w:t>
      </w:r>
      <w:r w:rsidRPr="00B20A34">
        <w:rPr>
          <w:i/>
          <w:iCs/>
          <w:lang w:val="en-GB"/>
        </w:rPr>
        <w:t>16</w:t>
      </w:r>
      <w:r w:rsidRPr="00B20A34">
        <w:rPr>
          <w:lang w:val="en-GB"/>
        </w:rPr>
        <w:t>, 13</w:t>
      </w:r>
      <w:r w:rsidR="00B20A34">
        <w:rPr>
          <w:lang w:val="en-GB"/>
        </w:rPr>
        <w:t>–</w:t>
      </w:r>
      <w:r w:rsidRPr="00B20A34">
        <w:rPr>
          <w:lang w:val="en-GB"/>
        </w:rPr>
        <w:t>28. https://doi.org/10.29202/up/16/2</w:t>
      </w:r>
    </w:p>
    <w:p w14:paraId="3DD5DD23" w14:textId="04D320E7" w:rsidR="00F15CB8" w:rsidRPr="00B20A34" w:rsidRDefault="00F15CB8" w:rsidP="00487F23">
      <w:pPr>
        <w:pStyle w:val="Rlit"/>
        <w:rPr>
          <w:lang w:val="en-GB"/>
        </w:rPr>
      </w:pPr>
      <w:r w:rsidRPr="00B20A34">
        <w:rPr>
          <w:lang w:val="en-GB"/>
        </w:rPr>
        <w:t>Cobo, M.J., López-Herrera, A.G., Herrera-</w:t>
      </w:r>
      <w:proofErr w:type="spellStart"/>
      <w:r w:rsidRPr="00B20A34">
        <w:rPr>
          <w:lang w:val="en-GB"/>
        </w:rPr>
        <w:t>Viedma</w:t>
      </w:r>
      <w:proofErr w:type="spellEnd"/>
      <w:r w:rsidRPr="00B20A34">
        <w:rPr>
          <w:lang w:val="en-GB"/>
        </w:rPr>
        <w:t xml:space="preserve">, E., &amp; Herrera, F. (2011). An approach for detecting, quantifying, and visualizing the evolution of a research field: A practical application to the Fuzzy Sets Theory field. </w:t>
      </w:r>
      <w:r w:rsidRPr="00B20A34">
        <w:rPr>
          <w:i/>
          <w:iCs/>
          <w:lang w:val="en-GB"/>
        </w:rPr>
        <w:t xml:space="preserve">Journal of </w:t>
      </w:r>
      <w:proofErr w:type="spellStart"/>
      <w:r w:rsidRPr="00B20A34">
        <w:rPr>
          <w:i/>
          <w:iCs/>
          <w:lang w:val="en-GB"/>
        </w:rPr>
        <w:t>Informetrics</w:t>
      </w:r>
      <w:proofErr w:type="spellEnd"/>
      <w:r w:rsidRPr="00B20A34">
        <w:rPr>
          <w:lang w:val="en-GB"/>
        </w:rPr>
        <w:t xml:space="preserve">, </w:t>
      </w:r>
      <w:r w:rsidRPr="00B20A34">
        <w:rPr>
          <w:i/>
          <w:iCs/>
          <w:lang w:val="en-GB"/>
        </w:rPr>
        <w:t>5</w:t>
      </w:r>
      <w:r w:rsidRPr="00B20A34">
        <w:rPr>
          <w:lang w:val="en-GB"/>
        </w:rPr>
        <w:t xml:space="preserve">(1), 146–166. </w:t>
      </w:r>
      <w:hyperlink r:id="rId26" w:tgtFrame="_blank" w:history="1">
        <w:r w:rsidRPr="00B20A34">
          <w:rPr>
            <w:rStyle w:val="UyteHipercze"/>
            <w:color w:val="auto"/>
            <w:u w:val="none"/>
            <w:lang w:val="en-GB"/>
          </w:rPr>
          <w:t>https://doi.org/10.1016/j.joi.2010.10.002</w:t>
        </w:r>
      </w:hyperlink>
    </w:p>
    <w:p w14:paraId="50915A36" w14:textId="77777777" w:rsidR="00F15CB8" w:rsidRPr="00B20A34" w:rsidRDefault="00F15CB8" w:rsidP="00487F23">
      <w:pPr>
        <w:pStyle w:val="Rlit"/>
        <w:rPr>
          <w:lang w:val="en-GB"/>
        </w:rPr>
      </w:pPr>
      <w:r w:rsidRPr="00B20A34">
        <w:rPr>
          <w:lang w:val="en-GB"/>
        </w:rPr>
        <w:t xml:space="preserve">Darko, A. (2019). </w:t>
      </w:r>
      <w:r w:rsidRPr="00B20A34">
        <w:rPr>
          <w:rStyle w:val="Uwydatnienie"/>
          <w:lang w:val="en-GB"/>
        </w:rPr>
        <w:t>Adoption of green building technologies in Ghana: Development of a model of green building technologies and issues influencing their adoption</w:t>
      </w:r>
      <w:r w:rsidRPr="00B20A34">
        <w:rPr>
          <w:lang w:val="en-GB"/>
        </w:rPr>
        <w:t xml:space="preserve">. </w:t>
      </w:r>
      <w:r w:rsidRPr="00B20A34">
        <w:rPr>
          <w:i/>
          <w:iCs/>
          <w:lang w:val="en-GB"/>
        </w:rPr>
        <w:t>Doctoral dissertation, The Hong Kong Polytechnic University, Department of Building and Real Estate</w:t>
      </w:r>
      <w:r w:rsidRPr="00B20A34">
        <w:rPr>
          <w:lang w:val="en-GB"/>
        </w:rPr>
        <w:t xml:space="preserve">. </w:t>
      </w:r>
      <w:hyperlink r:id="rId27" w:history="1">
        <w:r w:rsidRPr="00B20A34">
          <w:rPr>
            <w:rStyle w:val="UyteHipercze"/>
            <w:color w:val="auto"/>
            <w:u w:val="none"/>
            <w:lang w:val="en-GB"/>
          </w:rPr>
          <w:t>https://theses.lib.polyu.edu.hk/handle/200/9924</w:t>
        </w:r>
      </w:hyperlink>
    </w:p>
    <w:p w14:paraId="733EA2EE" w14:textId="06F0814F" w:rsidR="00F15CB8" w:rsidRPr="00B20A34" w:rsidRDefault="00F15CB8" w:rsidP="00487F23">
      <w:pPr>
        <w:pStyle w:val="Rlit"/>
        <w:rPr>
          <w:lang w:val="en-GB"/>
        </w:rPr>
      </w:pPr>
      <w:r w:rsidRPr="00B20A34">
        <w:rPr>
          <w:lang w:val="en-GB"/>
        </w:rPr>
        <w:lastRenderedPageBreak/>
        <w:t xml:space="preserve">Das, D.K. (2025). Integrating IoT and AI for sustainable energy efficient smart building: Potential, barriers and strategic pathways. </w:t>
      </w:r>
      <w:r w:rsidRPr="00B20A34">
        <w:rPr>
          <w:i/>
          <w:iCs/>
          <w:lang w:val="en-GB"/>
        </w:rPr>
        <w:t>Sustainability</w:t>
      </w:r>
      <w:r w:rsidRPr="00B20A34">
        <w:rPr>
          <w:lang w:val="en-GB"/>
        </w:rPr>
        <w:t xml:space="preserve">, </w:t>
      </w:r>
      <w:r w:rsidRPr="00B20A34">
        <w:rPr>
          <w:i/>
          <w:iCs/>
          <w:lang w:val="en-GB"/>
        </w:rPr>
        <w:t>17</w:t>
      </w:r>
      <w:r w:rsidRPr="00B20A34">
        <w:rPr>
          <w:lang w:val="en-GB"/>
        </w:rPr>
        <w:t>(22), 10313.</w:t>
      </w:r>
      <w:r w:rsidR="00B20A34">
        <w:rPr>
          <w:lang w:val="en-GB"/>
        </w:rPr>
        <w:t xml:space="preserve"> </w:t>
      </w:r>
      <w:hyperlink r:id="rId28" w:history="1">
        <w:r w:rsidRPr="00B20A34">
          <w:rPr>
            <w:rStyle w:val="UyteHipercze"/>
            <w:color w:val="auto"/>
            <w:u w:val="none"/>
            <w:lang w:val="en-GB"/>
          </w:rPr>
          <w:t>https://doi.org/10.3390/su172210313</w:t>
        </w:r>
      </w:hyperlink>
    </w:p>
    <w:p w14:paraId="44FD7215" w14:textId="7217873A" w:rsidR="00F15CB8" w:rsidRPr="00B20A34" w:rsidRDefault="00F15CB8" w:rsidP="00487F23">
      <w:pPr>
        <w:pStyle w:val="Rlit"/>
        <w:rPr>
          <w:rStyle w:val="Hipercze"/>
          <w:color w:val="auto"/>
          <w:u w:val="none"/>
          <w:lang w:val="en-GB"/>
        </w:rPr>
      </w:pPr>
      <w:proofErr w:type="spellStart"/>
      <w:r w:rsidRPr="00B20A34">
        <w:rPr>
          <w:rStyle w:val="Pogrubienie"/>
          <w:b w:val="0"/>
          <w:bCs w:val="0"/>
          <w:lang w:val="en-GB"/>
        </w:rPr>
        <w:t>Ebekozien</w:t>
      </w:r>
      <w:proofErr w:type="spellEnd"/>
      <w:r w:rsidRPr="00B20A34">
        <w:rPr>
          <w:rStyle w:val="Pogrubienie"/>
          <w:b w:val="0"/>
          <w:bCs w:val="0"/>
          <w:lang w:val="en-GB"/>
        </w:rPr>
        <w:t xml:space="preserve">, A., </w:t>
      </w:r>
      <w:proofErr w:type="spellStart"/>
      <w:r w:rsidRPr="00B20A34">
        <w:rPr>
          <w:rStyle w:val="Pogrubienie"/>
          <w:b w:val="0"/>
          <w:bCs w:val="0"/>
          <w:lang w:val="en-GB"/>
        </w:rPr>
        <w:t>Ebekozien</w:t>
      </w:r>
      <w:proofErr w:type="spellEnd"/>
      <w:r w:rsidRPr="00B20A34">
        <w:rPr>
          <w:rStyle w:val="Pogrubienie"/>
          <w:b w:val="0"/>
          <w:bCs w:val="0"/>
          <w:lang w:val="en-GB"/>
        </w:rPr>
        <w:t xml:space="preserve">, E.O., Ahmed, M.A.H., </w:t>
      </w:r>
      <w:proofErr w:type="spellStart"/>
      <w:r w:rsidRPr="00B20A34">
        <w:rPr>
          <w:rStyle w:val="Pogrubienie"/>
          <w:b w:val="0"/>
          <w:bCs w:val="0"/>
          <w:lang w:val="en-GB"/>
        </w:rPr>
        <w:t>Aigbavboa</w:t>
      </w:r>
      <w:proofErr w:type="spellEnd"/>
      <w:r w:rsidRPr="00B20A34">
        <w:rPr>
          <w:rStyle w:val="Pogrubienie"/>
          <w:b w:val="0"/>
          <w:bCs w:val="0"/>
          <w:lang w:val="en-GB"/>
        </w:rPr>
        <w:t xml:space="preserve">, C., </w:t>
      </w:r>
      <w:proofErr w:type="spellStart"/>
      <w:r w:rsidRPr="00B20A34">
        <w:rPr>
          <w:rStyle w:val="Pogrubienie"/>
          <w:b w:val="0"/>
          <w:bCs w:val="0"/>
          <w:lang w:val="en-GB"/>
        </w:rPr>
        <w:t>Samsurijan</w:t>
      </w:r>
      <w:proofErr w:type="spellEnd"/>
      <w:r w:rsidRPr="00B20A34">
        <w:rPr>
          <w:rStyle w:val="Pogrubienie"/>
          <w:b w:val="0"/>
          <w:bCs w:val="0"/>
          <w:lang w:val="en-GB"/>
        </w:rPr>
        <w:t xml:space="preserve">, M.S., </w:t>
      </w:r>
      <w:proofErr w:type="spellStart"/>
      <w:r w:rsidRPr="00B20A34">
        <w:rPr>
          <w:rStyle w:val="Pogrubienie"/>
          <w:b w:val="0"/>
          <w:bCs w:val="0"/>
          <w:lang w:val="en-GB"/>
        </w:rPr>
        <w:t>Nwaole</w:t>
      </w:r>
      <w:proofErr w:type="spellEnd"/>
      <w:r w:rsidRPr="00B20A34">
        <w:rPr>
          <w:rStyle w:val="Pogrubienie"/>
          <w:b w:val="0"/>
          <w:bCs w:val="0"/>
          <w:lang w:val="en-GB"/>
        </w:rPr>
        <w:t>, A.N</w:t>
      </w:r>
      <w:r w:rsidR="00B20A34">
        <w:rPr>
          <w:rStyle w:val="Pogrubienie"/>
          <w:b w:val="0"/>
          <w:bCs w:val="0"/>
          <w:lang w:val="en-GB"/>
        </w:rPr>
        <w:t>.</w:t>
      </w:r>
      <w:r w:rsidRPr="00B20A34">
        <w:rPr>
          <w:rStyle w:val="Pogrubienie"/>
          <w:b w:val="0"/>
          <w:bCs w:val="0"/>
          <w:lang w:val="en-GB"/>
        </w:rPr>
        <w:t xml:space="preserve">C., </w:t>
      </w:r>
      <w:proofErr w:type="spellStart"/>
      <w:r w:rsidRPr="00B20A34">
        <w:rPr>
          <w:rStyle w:val="Pogrubienie"/>
          <w:b w:val="0"/>
          <w:bCs w:val="0"/>
          <w:lang w:val="en-GB"/>
        </w:rPr>
        <w:t>Ebekozien</w:t>
      </w:r>
      <w:proofErr w:type="spellEnd"/>
      <w:r w:rsidRPr="00B20A34">
        <w:rPr>
          <w:rStyle w:val="Pogrubienie"/>
          <w:b w:val="0"/>
          <w:bCs w:val="0"/>
          <w:lang w:val="en-GB"/>
        </w:rPr>
        <w:t xml:space="preserve">, O.A., Aliu, J.O., </w:t>
      </w:r>
      <w:proofErr w:type="spellStart"/>
      <w:r w:rsidRPr="00B20A34">
        <w:rPr>
          <w:rStyle w:val="Pogrubienie"/>
          <w:b w:val="0"/>
          <w:bCs w:val="0"/>
          <w:lang w:val="en-GB"/>
        </w:rPr>
        <w:t>Edigan</w:t>
      </w:r>
      <w:proofErr w:type="spellEnd"/>
      <w:r w:rsidRPr="00B20A34">
        <w:rPr>
          <w:rStyle w:val="Pogrubienie"/>
          <w:b w:val="0"/>
          <w:bCs w:val="0"/>
          <w:lang w:val="en-GB"/>
        </w:rPr>
        <w:t>, B.I., &amp; Shaib, O.I. (2025).</w:t>
      </w:r>
      <w:r w:rsidRPr="00B20A34">
        <w:rPr>
          <w:rStyle w:val="Uwydatnienie"/>
          <w:i w:val="0"/>
          <w:iCs w:val="0"/>
          <w:lang w:val="en-GB"/>
        </w:rPr>
        <w:t>Affordable housing in Nigeria’s slums: combating infectious diseases and advancing SDG 3</w:t>
      </w:r>
      <w:r w:rsidRPr="00B20A34">
        <w:rPr>
          <w:rStyle w:val="Uwydatnienie"/>
          <w:lang w:val="en-GB"/>
        </w:rPr>
        <w:t xml:space="preserve">. </w:t>
      </w:r>
      <w:r w:rsidRPr="00B20A34">
        <w:rPr>
          <w:rStyle w:val="Pogrubienie"/>
          <w:b w:val="0"/>
          <w:bCs w:val="0"/>
          <w:i/>
          <w:iCs/>
          <w:lang w:val="en-GB"/>
        </w:rPr>
        <w:t>Property Management,</w:t>
      </w:r>
      <w:r w:rsidRPr="00B20A34">
        <w:rPr>
          <w:rStyle w:val="Pogrubienie"/>
          <w:b w:val="0"/>
          <w:bCs w:val="0"/>
          <w:lang w:val="en-GB"/>
        </w:rPr>
        <w:t xml:space="preserve"> 43(4), 600–620. </w:t>
      </w:r>
      <w:hyperlink r:id="rId29" w:history="1">
        <w:r w:rsidRPr="00B20A34">
          <w:rPr>
            <w:rStyle w:val="Hipercze"/>
            <w:color w:val="auto"/>
            <w:u w:val="none"/>
            <w:lang w:val="en-GB"/>
          </w:rPr>
          <w:t>https://doi.org/10.1108/PM-08-2024-0092</w:t>
        </w:r>
      </w:hyperlink>
    </w:p>
    <w:p w14:paraId="4A0E5F94" w14:textId="0BABB2E9" w:rsidR="00F15CB8" w:rsidRPr="00B20A34" w:rsidRDefault="00F15CB8" w:rsidP="00487F23">
      <w:pPr>
        <w:pStyle w:val="Rlit"/>
        <w:rPr>
          <w:lang w:val="en-GB"/>
        </w:rPr>
      </w:pPr>
      <w:r w:rsidRPr="00B20A34">
        <w:rPr>
          <w:lang w:val="en-GB"/>
        </w:rPr>
        <w:t xml:space="preserve">Eichholtz, P., Kok, N., &amp; Quigley, J.M. (2010). Doing well by doing good? Green office buildings. </w:t>
      </w:r>
      <w:r w:rsidRPr="00B20A34">
        <w:rPr>
          <w:i/>
          <w:iCs/>
          <w:lang w:val="en-GB"/>
        </w:rPr>
        <w:t>American Economic Review</w:t>
      </w:r>
      <w:r w:rsidRPr="00B20A34">
        <w:rPr>
          <w:lang w:val="en-GB"/>
        </w:rPr>
        <w:t xml:space="preserve">, </w:t>
      </w:r>
      <w:r w:rsidRPr="00B20A34">
        <w:rPr>
          <w:i/>
          <w:iCs/>
          <w:lang w:val="en-GB"/>
        </w:rPr>
        <w:t>100</w:t>
      </w:r>
      <w:r w:rsidRPr="00B20A34">
        <w:rPr>
          <w:lang w:val="en-GB"/>
        </w:rPr>
        <w:t xml:space="preserve">(5), 2492–2509. </w:t>
      </w:r>
      <w:hyperlink r:id="rId30" w:history="1">
        <w:r w:rsidRPr="00B20A34">
          <w:rPr>
            <w:rStyle w:val="UyteHipercze"/>
            <w:color w:val="auto"/>
            <w:u w:val="none"/>
            <w:lang w:val="en-GB"/>
          </w:rPr>
          <w:t>https://doi.org/10.1257/aer.100.5.2492</w:t>
        </w:r>
      </w:hyperlink>
    </w:p>
    <w:p w14:paraId="24758357" w14:textId="54FB4B6B" w:rsidR="00F15CB8" w:rsidRPr="00B20A34" w:rsidRDefault="00F15CB8" w:rsidP="00487F23">
      <w:pPr>
        <w:pStyle w:val="Rlit"/>
        <w:rPr>
          <w:lang w:val="en-GB"/>
        </w:rPr>
      </w:pPr>
      <w:r w:rsidRPr="00B20A34">
        <w:rPr>
          <w:lang w:val="en-GB"/>
        </w:rPr>
        <w:t xml:space="preserve">Eichholtz, P., Kok, N., &amp; Quigley, J.M. (2013). The economics of green building. </w:t>
      </w:r>
      <w:r w:rsidRPr="00B20A34">
        <w:rPr>
          <w:i/>
          <w:iCs/>
          <w:lang w:val="en-GB"/>
        </w:rPr>
        <w:t>The Review of Economics and Statistics</w:t>
      </w:r>
      <w:r w:rsidRPr="00B20A34">
        <w:rPr>
          <w:lang w:val="en-GB"/>
        </w:rPr>
        <w:t xml:space="preserve">, </w:t>
      </w:r>
      <w:r w:rsidRPr="00B20A34">
        <w:rPr>
          <w:i/>
          <w:iCs/>
          <w:lang w:val="en-GB"/>
        </w:rPr>
        <w:t>95</w:t>
      </w:r>
      <w:r w:rsidRPr="00B20A34">
        <w:rPr>
          <w:lang w:val="en-GB"/>
        </w:rPr>
        <w:t xml:space="preserve">(1), 50–63. </w:t>
      </w:r>
      <w:hyperlink r:id="rId31" w:history="1">
        <w:r w:rsidRPr="00B20A34">
          <w:rPr>
            <w:rStyle w:val="UyteHipercze"/>
            <w:color w:val="auto"/>
            <w:u w:val="none"/>
            <w:lang w:val="en-GB"/>
          </w:rPr>
          <w:t>https://doi.org/10.1162/REST_a_00291</w:t>
        </w:r>
      </w:hyperlink>
    </w:p>
    <w:p w14:paraId="4B3C5A86" w14:textId="4789193E" w:rsidR="00F15CB8" w:rsidRPr="00B20A34" w:rsidRDefault="00F15CB8" w:rsidP="00487F23">
      <w:pPr>
        <w:pStyle w:val="Rlit"/>
        <w:rPr>
          <w:lang w:val="en-GB"/>
        </w:rPr>
      </w:pPr>
      <w:r w:rsidRPr="00B20A34">
        <w:rPr>
          <w:lang w:val="en-GB"/>
        </w:rPr>
        <w:t xml:space="preserve">George, T., &amp; Selvakumar, A.I. (2024). Smart home energy management systems in India: A socio‑economic commitment towards a green future. </w:t>
      </w:r>
      <w:r w:rsidRPr="00B20A34">
        <w:rPr>
          <w:i/>
          <w:iCs/>
          <w:lang w:val="en-GB"/>
        </w:rPr>
        <w:t>Discover Sustainability</w:t>
      </w:r>
      <w:r w:rsidRPr="00B20A34">
        <w:rPr>
          <w:lang w:val="en-GB"/>
        </w:rPr>
        <w:t xml:space="preserve">, </w:t>
      </w:r>
      <w:r w:rsidRPr="00B20A34">
        <w:rPr>
          <w:i/>
          <w:iCs/>
          <w:lang w:val="en-GB"/>
        </w:rPr>
        <w:t>5</w:t>
      </w:r>
      <w:r w:rsidRPr="00B20A34">
        <w:rPr>
          <w:lang w:val="en-GB"/>
        </w:rPr>
        <w:t xml:space="preserve">(101). </w:t>
      </w:r>
      <w:hyperlink r:id="rId32" w:history="1">
        <w:r w:rsidRPr="00B20A34">
          <w:rPr>
            <w:rStyle w:val="UyteHipercze"/>
            <w:color w:val="auto"/>
            <w:u w:val="none"/>
            <w:lang w:val="en-GB"/>
          </w:rPr>
          <w:t>https://doi.org/10.1007/s43621-024-00295-2</w:t>
        </w:r>
      </w:hyperlink>
    </w:p>
    <w:p w14:paraId="6569B02D" w14:textId="77777777" w:rsidR="00F15CB8" w:rsidRPr="00B20A34" w:rsidRDefault="00F15CB8" w:rsidP="002A560B">
      <w:pPr>
        <w:pStyle w:val="Rlit"/>
        <w:jc w:val="left"/>
        <w:rPr>
          <w:lang w:val="en-GB"/>
        </w:rPr>
      </w:pPr>
      <w:r w:rsidRPr="00B20A34">
        <w:rPr>
          <w:lang w:val="en-GB"/>
        </w:rPr>
        <w:t xml:space="preserve">Gottmann, W., </w:t>
      </w:r>
      <w:proofErr w:type="spellStart"/>
      <w:r w:rsidRPr="00B20A34">
        <w:rPr>
          <w:lang w:val="en-GB"/>
        </w:rPr>
        <w:t>Djakona</w:t>
      </w:r>
      <w:proofErr w:type="spellEnd"/>
      <w:r w:rsidRPr="00B20A34">
        <w:rPr>
          <w:lang w:val="en-GB"/>
        </w:rPr>
        <w:t xml:space="preserve">, V., &amp; </w:t>
      </w:r>
      <w:proofErr w:type="spellStart"/>
      <w:r w:rsidRPr="00B20A34">
        <w:rPr>
          <w:lang w:val="en-GB"/>
        </w:rPr>
        <w:t>Stankevics</w:t>
      </w:r>
      <w:proofErr w:type="spellEnd"/>
      <w:r w:rsidRPr="00B20A34">
        <w:rPr>
          <w:lang w:val="en-GB"/>
        </w:rPr>
        <w:t xml:space="preserve">, A. (2024). Investment in housing construction: Current trends and digital technologies. </w:t>
      </w:r>
      <w:r w:rsidRPr="00B20A34">
        <w:rPr>
          <w:rStyle w:val="Uwydatnienie"/>
          <w:lang w:val="en-GB"/>
        </w:rPr>
        <w:t>International Journal of Sustainable Development and Planning</w:t>
      </w:r>
      <w:r w:rsidRPr="002A560B">
        <w:rPr>
          <w:rStyle w:val="Uwydatnienie"/>
          <w:i w:val="0"/>
          <w:iCs w:val="0"/>
          <w:lang w:val="en-GB"/>
        </w:rPr>
        <w:t xml:space="preserve">, </w:t>
      </w:r>
      <w:r w:rsidRPr="00B20A34">
        <w:rPr>
          <w:rStyle w:val="Uwydatnienie"/>
          <w:lang w:val="en-GB"/>
        </w:rPr>
        <w:t>19</w:t>
      </w:r>
      <w:r w:rsidRPr="00B20A34">
        <w:rPr>
          <w:lang w:val="en-GB"/>
        </w:rPr>
        <w:t xml:space="preserve">(6), 2125–2133. </w:t>
      </w:r>
      <w:hyperlink r:id="rId33" w:tgtFrame="_new" w:history="1">
        <w:r w:rsidRPr="00B20A34">
          <w:rPr>
            <w:rStyle w:val="UyteHipercze"/>
            <w:color w:val="auto"/>
            <w:u w:val="none"/>
            <w:lang w:val="en-GB"/>
          </w:rPr>
          <w:t>https://doi.org/10.18280/ijsdp.190612</w:t>
        </w:r>
      </w:hyperlink>
    </w:p>
    <w:p w14:paraId="2298A4F6" w14:textId="18406FF9" w:rsidR="00F15CB8" w:rsidRPr="00B20A34" w:rsidRDefault="00F15CB8" w:rsidP="002A560B">
      <w:pPr>
        <w:pStyle w:val="Rlit"/>
        <w:jc w:val="left"/>
        <w:rPr>
          <w:lang w:val="en-GB"/>
        </w:rPr>
      </w:pPr>
      <w:proofErr w:type="spellStart"/>
      <w:r w:rsidRPr="00B20A34">
        <w:rPr>
          <w:lang w:val="en-GB"/>
        </w:rPr>
        <w:t>Granà</w:t>
      </w:r>
      <w:proofErr w:type="spellEnd"/>
      <w:r w:rsidRPr="00B20A34">
        <w:rPr>
          <w:lang w:val="en-GB"/>
        </w:rPr>
        <w:t xml:space="preserve">, A., </w:t>
      </w:r>
      <w:proofErr w:type="spellStart"/>
      <w:r w:rsidRPr="00B20A34">
        <w:rPr>
          <w:lang w:val="en-GB"/>
        </w:rPr>
        <w:t>Macioszek</w:t>
      </w:r>
      <w:proofErr w:type="spellEnd"/>
      <w:r w:rsidRPr="00B20A34">
        <w:rPr>
          <w:lang w:val="en-GB"/>
        </w:rPr>
        <w:t xml:space="preserve">, E., &amp; Tumminello, M.L. (2025). Data-driven trend analysis on sustainable and smart mobility in Italy. </w:t>
      </w:r>
      <w:r w:rsidRPr="00B20A34">
        <w:rPr>
          <w:i/>
          <w:iCs/>
          <w:lang w:val="en-GB"/>
        </w:rPr>
        <w:t>Scientific Journal of Silesian University of Technology. Series Transport</w:t>
      </w:r>
      <w:r w:rsidRPr="00B20A34">
        <w:rPr>
          <w:lang w:val="en-GB"/>
        </w:rPr>
        <w:t xml:space="preserve">, </w:t>
      </w:r>
      <w:r w:rsidRPr="002A560B">
        <w:rPr>
          <w:i/>
          <w:iCs/>
          <w:lang w:val="en-GB"/>
        </w:rPr>
        <w:t>129</w:t>
      </w:r>
      <w:r w:rsidRPr="00B20A34">
        <w:rPr>
          <w:lang w:val="en-GB"/>
        </w:rPr>
        <w:t>, 75</w:t>
      </w:r>
      <w:r w:rsidR="002A560B">
        <w:rPr>
          <w:lang w:val="en-GB"/>
        </w:rPr>
        <w:t>–</w:t>
      </w:r>
      <w:r w:rsidRPr="00B20A34">
        <w:rPr>
          <w:lang w:val="en-GB"/>
        </w:rPr>
        <w:t xml:space="preserve">95. </w:t>
      </w:r>
      <w:hyperlink r:id="rId34" w:history="1">
        <w:r w:rsidRPr="00B20A34">
          <w:rPr>
            <w:rStyle w:val="Hipercze"/>
            <w:color w:val="auto"/>
            <w:u w:val="none"/>
            <w:lang w:val="en-GB"/>
          </w:rPr>
          <w:t>https://doi.org/10.20858/sjsutst.2025.129.5</w:t>
        </w:r>
      </w:hyperlink>
    </w:p>
    <w:p w14:paraId="54FD3972" w14:textId="5726D72F" w:rsidR="00F15CB8" w:rsidRPr="00B20A34" w:rsidRDefault="00F15CB8" w:rsidP="00487F23">
      <w:pPr>
        <w:pStyle w:val="Rlit"/>
        <w:rPr>
          <w:lang w:val="en-GB"/>
        </w:rPr>
      </w:pPr>
      <w:proofErr w:type="spellStart"/>
      <w:r w:rsidRPr="00B20A34">
        <w:rPr>
          <w:lang w:val="en-GB"/>
        </w:rPr>
        <w:t>Hmyria</w:t>
      </w:r>
      <w:proofErr w:type="spellEnd"/>
      <w:r w:rsidRPr="00B20A34">
        <w:rPr>
          <w:lang w:val="en-GB"/>
        </w:rPr>
        <w:t xml:space="preserve">, V., Kostiuk, O., </w:t>
      </w:r>
      <w:proofErr w:type="spellStart"/>
      <w:r w:rsidRPr="00B20A34">
        <w:rPr>
          <w:lang w:val="en-GB"/>
        </w:rPr>
        <w:t>Kotenok</w:t>
      </w:r>
      <w:proofErr w:type="spellEnd"/>
      <w:r w:rsidRPr="00B20A34">
        <w:rPr>
          <w:lang w:val="en-GB"/>
        </w:rPr>
        <w:t xml:space="preserve">, D., Fedorov, O., &amp; Tkachenko, O. (2025). Innovations in the reconstruction of the industry of Ukraine in the post-war period. </w:t>
      </w:r>
      <w:proofErr w:type="spellStart"/>
      <w:r w:rsidRPr="00B20A34">
        <w:rPr>
          <w:i/>
          <w:iCs/>
          <w:lang w:val="en-GB"/>
        </w:rPr>
        <w:t>Naukovyi</w:t>
      </w:r>
      <w:proofErr w:type="spellEnd"/>
      <w:r w:rsidRPr="00B20A34">
        <w:rPr>
          <w:i/>
          <w:iCs/>
          <w:lang w:val="en-GB"/>
        </w:rPr>
        <w:t xml:space="preserve"> </w:t>
      </w:r>
      <w:proofErr w:type="spellStart"/>
      <w:r w:rsidRPr="00B20A34">
        <w:rPr>
          <w:i/>
          <w:iCs/>
          <w:lang w:val="en-GB"/>
        </w:rPr>
        <w:t>Visnyk</w:t>
      </w:r>
      <w:proofErr w:type="spellEnd"/>
      <w:r w:rsidRPr="00B20A34">
        <w:rPr>
          <w:i/>
          <w:iCs/>
          <w:lang w:val="en-GB"/>
        </w:rPr>
        <w:t xml:space="preserve"> </w:t>
      </w:r>
      <w:proofErr w:type="spellStart"/>
      <w:r w:rsidRPr="00B20A34">
        <w:rPr>
          <w:i/>
          <w:iCs/>
          <w:lang w:val="en-GB"/>
        </w:rPr>
        <w:t>Natsionalnoho</w:t>
      </w:r>
      <w:proofErr w:type="spellEnd"/>
      <w:r w:rsidRPr="00B20A34">
        <w:rPr>
          <w:i/>
          <w:iCs/>
          <w:lang w:val="en-GB"/>
        </w:rPr>
        <w:t xml:space="preserve"> </w:t>
      </w:r>
      <w:proofErr w:type="spellStart"/>
      <w:r w:rsidRPr="00B20A34">
        <w:rPr>
          <w:i/>
          <w:iCs/>
          <w:lang w:val="en-GB"/>
        </w:rPr>
        <w:t>Hirnychoho</w:t>
      </w:r>
      <w:proofErr w:type="spellEnd"/>
      <w:r w:rsidRPr="00B20A34">
        <w:rPr>
          <w:i/>
          <w:iCs/>
          <w:lang w:val="en-GB"/>
        </w:rPr>
        <w:t xml:space="preserve"> </w:t>
      </w:r>
      <w:proofErr w:type="spellStart"/>
      <w:r w:rsidRPr="00B20A34">
        <w:rPr>
          <w:i/>
          <w:iCs/>
          <w:lang w:val="en-GB"/>
        </w:rPr>
        <w:t>Universytetu</w:t>
      </w:r>
      <w:proofErr w:type="spellEnd"/>
      <w:r w:rsidRPr="00B20A34">
        <w:rPr>
          <w:lang w:val="en-GB"/>
        </w:rPr>
        <w:t xml:space="preserve">, </w:t>
      </w:r>
      <w:r w:rsidRPr="002A560B">
        <w:rPr>
          <w:i/>
          <w:iCs/>
          <w:lang w:val="en-GB"/>
        </w:rPr>
        <w:t>4</w:t>
      </w:r>
      <w:r w:rsidRPr="00B20A34">
        <w:rPr>
          <w:lang w:val="en-GB"/>
        </w:rPr>
        <w:t>, 237</w:t>
      </w:r>
      <w:r w:rsidR="002A560B">
        <w:rPr>
          <w:lang w:val="en-GB"/>
        </w:rPr>
        <w:t>–</w:t>
      </w:r>
      <w:r w:rsidRPr="00B20A34">
        <w:rPr>
          <w:lang w:val="en-GB"/>
        </w:rPr>
        <w:t xml:space="preserve">247. </w:t>
      </w:r>
      <w:hyperlink r:id="rId35" w:history="1">
        <w:r w:rsidRPr="00B20A34">
          <w:rPr>
            <w:rStyle w:val="Hipercze"/>
            <w:color w:val="auto"/>
            <w:u w:val="none"/>
            <w:lang w:val="en-GB"/>
          </w:rPr>
          <w:t>https://doi.org/10.33271/nvngu/2025-4/237</w:t>
        </w:r>
      </w:hyperlink>
    </w:p>
    <w:p w14:paraId="1191C094" w14:textId="77777777" w:rsidR="00F15CB8" w:rsidRPr="00B20A34" w:rsidRDefault="00F15CB8" w:rsidP="002A560B">
      <w:pPr>
        <w:pStyle w:val="Rlit"/>
        <w:jc w:val="left"/>
        <w:rPr>
          <w:rStyle w:val="Hipercze"/>
          <w:color w:val="auto"/>
          <w:u w:val="none"/>
          <w:lang w:val="en-GB"/>
        </w:rPr>
      </w:pPr>
      <w:r w:rsidRPr="00B20A34">
        <w:rPr>
          <w:lang w:val="en-GB"/>
        </w:rPr>
        <w:t xml:space="preserve">Imafidon, H., </w:t>
      </w:r>
      <w:proofErr w:type="spellStart"/>
      <w:r w:rsidRPr="00B20A34">
        <w:rPr>
          <w:lang w:val="en-GB"/>
        </w:rPr>
        <w:t>Enwerem</w:t>
      </w:r>
      <w:proofErr w:type="spellEnd"/>
      <w:r w:rsidRPr="00B20A34">
        <w:rPr>
          <w:lang w:val="en-GB"/>
        </w:rPr>
        <w:t xml:space="preserve">, M., &amp; Boye, A. (2024). </w:t>
      </w:r>
      <w:r w:rsidRPr="00B20A34">
        <w:rPr>
          <w:rStyle w:val="Uwydatnienie"/>
          <w:i w:val="0"/>
          <w:iCs w:val="0"/>
          <w:lang w:val="en-GB"/>
        </w:rPr>
        <w:t xml:space="preserve">Adapting green building practices and smart technology in developing countries: A review. </w:t>
      </w:r>
      <w:r w:rsidRPr="00B20A34">
        <w:rPr>
          <w:i/>
          <w:iCs/>
          <w:lang w:val="en-GB"/>
        </w:rPr>
        <w:t>African Journal of Environmental Sciences &amp; Renewable Energy</w:t>
      </w:r>
      <w:r w:rsidRPr="002A560B">
        <w:rPr>
          <w:lang w:val="en-GB"/>
        </w:rPr>
        <w:t xml:space="preserve">, </w:t>
      </w:r>
      <w:r w:rsidRPr="00B20A34">
        <w:rPr>
          <w:i/>
          <w:iCs/>
          <w:lang w:val="en-GB"/>
        </w:rPr>
        <w:t>16</w:t>
      </w:r>
      <w:r w:rsidRPr="00B20A34">
        <w:rPr>
          <w:lang w:val="en-GB"/>
        </w:rPr>
        <w:t xml:space="preserve">(1). </w:t>
      </w:r>
      <w:hyperlink r:id="rId36" w:history="1">
        <w:r w:rsidRPr="00B20A34">
          <w:rPr>
            <w:rStyle w:val="UyteHipercze"/>
            <w:color w:val="auto"/>
            <w:u w:val="none"/>
            <w:lang w:val="en-GB"/>
          </w:rPr>
          <w:t>https://doi.org/10.62154/ajesre.2024.016.010407</w:t>
        </w:r>
      </w:hyperlink>
    </w:p>
    <w:p w14:paraId="1F95B267" w14:textId="4212D72B" w:rsidR="00F15CB8" w:rsidRPr="00B20A34" w:rsidRDefault="00F15CB8" w:rsidP="00487F23">
      <w:pPr>
        <w:pStyle w:val="Rlit"/>
        <w:rPr>
          <w:rStyle w:val="Hipercze"/>
          <w:color w:val="auto"/>
          <w:u w:val="none"/>
          <w:lang w:val="en-GB"/>
        </w:rPr>
      </w:pPr>
      <w:r w:rsidRPr="00B20A34">
        <w:rPr>
          <w:rStyle w:val="Pogrubienie"/>
          <w:b w:val="0"/>
          <w:bCs w:val="0"/>
          <w:lang w:val="en-GB"/>
        </w:rPr>
        <w:t>Imran, M., Tufail, M., Mo, C., Wahab, S., Khan, M.K., Hoo, W.C., &amp; Ling, Z. (2025).</w:t>
      </w:r>
      <w:r w:rsidRPr="00B20A34">
        <w:rPr>
          <w:rStyle w:val="Uwydatnienie"/>
          <w:i w:val="0"/>
          <w:iCs w:val="0"/>
          <w:lang w:val="en-GB"/>
        </w:rPr>
        <w:t xml:space="preserve">From resources to resilience: Understanding the impact of standard of living and energy consumption on natural resource rent in </w:t>
      </w:r>
      <w:proofErr w:type="spellStart"/>
      <w:r w:rsidRPr="00B20A34">
        <w:rPr>
          <w:rStyle w:val="Uwydatnienie"/>
          <w:i w:val="0"/>
          <w:iCs w:val="0"/>
          <w:lang w:val="en-GB"/>
        </w:rPr>
        <w:t>Asia</w:t>
      </w:r>
      <w:r w:rsidRPr="00B20A34">
        <w:rPr>
          <w:rStyle w:val="Uwydatnienie"/>
          <w:lang w:val="en-GB"/>
        </w:rPr>
        <w:t>.</w:t>
      </w:r>
      <w:r w:rsidRPr="00B20A34">
        <w:rPr>
          <w:rStyle w:val="Pogrubienie"/>
          <w:b w:val="0"/>
          <w:bCs w:val="0"/>
          <w:i/>
          <w:iCs/>
          <w:lang w:val="en-GB"/>
        </w:rPr>
        <w:t>Energy</w:t>
      </w:r>
      <w:proofErr w:type="spellEnd"/>
      <w:r w:rsidRPr="00B20A34">
        <w:rPr>
          <w:rStyle w:val="Pogrubienie"/>
          <w:b w:val="0"/>
          <w:bCs w:val="0"/>
          <w:i/>
          <w:iCs/>
          <w:lang w:val="en-GB"/>
        </w:rPr>
        <w:t xml:space="preserve"> Strategy Reviews</w:t>
      </w:r>
      <w:r w:rsidRPr="002A560B">
        <w:rPr>
          <w:rStyle w:val="Pogrubienie"/>
          <w:b w:val="0"/>
          <w:bCs w:val="0"/>
          <w:lang w:val="en-GB"/>
        </w:rPr>
        <w:t xml:space="preserve">, </w:t>
      </w:r>
      <w:r w:rsidRPr="00B20A34">
        <w:rPr>
          <w:rStyle w:val="Pogrubienie"/>
          <w:b w:val="0"/>
          <w:bCs w:val="0"/>
          <w:lang w:val="en-GB"/>
        </w:rPr>
        <w:t xml:space="preserve">57, 101590. </w:t>
      </w:r>
      <w:hyperlink r:id="rId37" w:history="1">
        <w:r w:rsidRPr="00B20A34">
          <w:rPr>
            <w:rStyle w:val="Hipercze"/>
            <w:color w:val="auto"/>
            <w:u w:val="none"/>
            <w:lang w:val="en-GB"/>
          </w:rPr>
          <w:t>https://doi.org/10.1016/j.esr.2024.101590</w:t>
        </w:r>
      </w:hyperlink>
    </w:p>
    <w:p w14:paraId="4CE9DB94" w14:textId="77777777" w:rsidR="00F15CB8" w:rsidRPr="00B20A34" w:rsidRDefault="00F15CB8" w:rsidP="00487F23">
      <w:pPr>
        <w:pStyle w:val="Rlit"/>
        <w:rPr>
          <w:lang w:val="en-GB"/>
        </w:rPr>
      </w:pPr>
      <w:r w:rsidRPr="00B20A34">
        <w:rPr>
          <w:lang w:val="en-GB"/>
        </w:rPr>
        <w:t xml:space="preserve">Janicke, M. (2012). Green growth: From a growing eco-industry to economic sustainability. </w:t>
      </w:r>
      <w:r w:rsidRPr="00B20A34">
        <w:rPr>
          <w:rStyle w:val="Uwydatnienie"/>
          <w:lang w:val="en-GB"/>
        </w:rPr>
        <w:t>Energy Policy</w:t>
      </w:r>
      <w:r w:rsidRPr="002A560B">
        <w:rPr>
          <w:rStyle w:val="Uwydatnienie"/>
          <w:i w:val="0"/>
          <w:iCs w:val="0"/>
          <w:lang w:val="en-GB"/>
        </w:rPr>
        <w:t xml:space="preserve">, </w:t>
      </w:r>
      <w:r w:rsidRPr="00B20A34">
        <w:rPr>
          <w:rStyle w:val="Uwydatnienie"/>
          <w:lang w:val="en-GB"/>
        </w:rPr>
        <w:t>48</w:t>
      </w:r>
      <w:r w:rsidRPr="00B20A34">
        <w:rPr>
          <w:lang w:val="en-GB"/>
        </w:rPr>
        <w:t xml:space="preserve">, 13–21. </w:t>
      </w:r>
      <w:hyperlink r:id="rId38" w:tgtFrame="_new" w:history="1">
        <w:r w:rsidRPr="00B20A34">
          <w:rPr>
            <w:rStyle w:val="UyteHipercze"/>
            <w:color w:val="auto"/>
            <w:u w:val="none"/>
            <w:lang w:val="en-GB"/>
          </w:rPr>
          <w:t>https://doi.org/10.1016/j.enpol.2012.04.045</w:t>
        </w:r>
      </w:hyperlink>
    </w:p>
    <w:p w14:paraId="4299A584" w14:textId="00B46F73" w:rsidR="00F15CB8" w:rsidRPr="00B20A34" w:rsidRDefault="00F15CB8" w:rsidP="00487F23">
      <w:pPr>
        <w:pStyle w:val="Rlit"/>
        <w:rPr>
          <w:lang w:val="en-GB"/>
        </w:rPr>
      </w:pPr>
      <w:proofErr w:type="spellStart"/>
      <w:r w:rsidRPr="00B20A34">
        <w:rPr>
          <w:lang w:val="en-GB"/>
        </w:rPr>
        <w:t>Kaklauskas</w:t>
      </w:r>
      <w:proofErr w:type="spellEnd"/>
      <w:r w:rsidRPr="00B20A34">
        <w:rPr>
          <w:lang w:val="en-GB"/>
        </w:rPr>
        <w:t xml:space="preserve">, A., </w:t>
      </w:r>
      <w:proofErr w:type="spellStart"/>
      <w:r w:rsidRPr="00B20A34">
        <w:rPr>
          <w:lang w:val="en-GB"/>
        </w:rPr>
        <w:t>Zavadskas</w:t>
      </w:r>
      <w:proofErr w:type="spellEnd"/>
      <w:r w:rsidRPr="00B20A34">
        <w:rPr>
          <w:lang w:val="en-GB"/>
        </w:rPr>
        <w:t xml:space="preserve">, E.K., </w:t>
      </w:r>
      <w:proofErr w:type="spellStart"/>
      <w:r w:rsidRPr="00B20A34">
        <w:rPr>
          <w:lang w:val="en-GB"/>
        </w:rPr>
        <w:t>Lepkova</w:t>
      </w:r>
      <w:proofErr w:type="spellEnd"/>
      <w:r w:rsidRPr="00B20A34">
        <w:rPr>
          <w:lang w:val="en-GB"/>
        </w:rPr>
        <w:t xml:space="preserve">, N., </w:t>
      </w:r>
      <w:proofErr w:type="spellStart"/>
      <w:r w:rsidRPr="00B20A34">
        <w:rPr>
          <w:lang w:val="en-GB"/>
        </w:rPr>
        <w:t>Raslanas</w:t>
      </w:r>
      <w:proofErr w:type="spellEnd"/>
      <w:r w:rsidRPr="00B20A34">
        <w:rPr>
          <w:lang w:val="en-GB"/>
        </w:rPr>
        <w:t xml:space="preserve">, S., </w:t>
      </w:r>
      <w:proofErr w:type="spellStart"/>
      <w:r w:rsidRPr="00B20A34">
        <w:rPr>
          <w:lang w:val="en-GB"/>
        </w:rPr>
        <w:t>Dauksys</w:t>
      </w:r>
      <w:proofErr w:type="spellEnd"/>
      <w:r w:rsidRPr="00B20A34">
        <w:rPr>
          <w:lang w:val="en-GB"/>
        </w:rPr>
        <w:t xml:space="preserve">, K., </w:t>
      </w:r>
      <w:proofErr w:type="spellStart"/>
      <w:r w:rsidRPr="00B20A34">
        <w:rPr>
          <w:lang w:val="en-GB"/>
        </w:rPr>
        <w:t>Vetloviene</w:t>
      </w:r>
      <w:proofErr w:type="spellEnd"/>
      <w:r w:rsidRPr="00B20A34">
        <w:rPr>
          <w:lang w:val="en-GB"/>
        </w:rPr>
        <w:t xml:space="preserve">, I., &amp; </w:t>
      </w:r>
      <w:proofErr w:type="spellStart"/>
      <w:r w:rsidRPr="00B20A34">
        <w:rPr>
          <w:lang w:val="en-GB"/>
        </w:rPr>
        <w:t>Ubarte</w:t>
      </w:r>
      <w:proofErr w:type="spellEnd"/>
      <w:r w:rsidRPr="00B20A34">
        <w:rPr>
          <w:lang w:val="en-GB"/>
        </w:rPr>
        <w:t xml:space="preserve">, I. (2021). Sustainable construction investment, real estate development, and COVID-19: A review of literature in the field. </w:t>
      </w:r>
      <w:r w:rsidRPr="00B20A34">
        <w:rPr>
          <w:i/>
          <w:iCs/>
          <w:lang w:val="en-GB"/>
        </w:rPr>
        <w:t>Sustainability</w:t>
      </w:r>
      <w:r w:rsidRPr="002A560B">
        <w:rPr>
          <w:lang w:val="en-GB"/>
        </w:rPr>
        <w:t>,</w:t>
      </w:r>
      <w:r w:rsidR="002A560B" w:rsidRPr="002A560B">
        <w:rPr>
          <w:lang w:val="en-GB"/>
        </w:rPr>
        <w:t xml:space="preserve"> </w:t>
      </w:r>
      <w:r w:rsidRPr="00B20A34">
        <w:rPr>
          <w:i/>
          <w:iCs/>
          <w:lang w:val="en-GB"/>
        </w:rPr>
        <w:t>13</w:t>
      </w:r>
      <w:r w:rsidRPr="00B20A34">
        <w:rPr>
          <w:lang w:val="en-GB"/>
        </w:rPr>
        <w:t xml:space="preserve">(13),7420. </w:t>
      </w:r>
      <w:hyperlink r:id="rId39" w:history="1">
        <w:r w:rsidRPr="00B20A34">
          <w:rPr>
            <w:rStyle w:val="UyteHipercze"/>
            <w:color w:val="auto"/>
            <w:u w:val="none"/>
            <w:lang w:val="en-GB"/>
          </w:rPr>
          <w:t>https://doi.org/10.3390/su13137420</w:t>
        </w:r>
      </w:hyperlink>
    </w:p>
    <w:p w14:paraId="1B6F903F" w14:textId="79903A7C" w:rsidR="00F15CB8" w:rsidRPr="00B20A34" w:rsidRDefault="00F15CB8" w:rsidP="00487F23">
      <w:pPr>
        <w:pStyle w:val="Rlit"/>
        <w:rPr>
          <w:lang w:val="en-GB"/>
        </w:rPr>
      </w:pPr>
      <w:r w:rsidRPr="00B20A34">
        <w:rPr>
          <w:lang w:val="en-GB"/>
        </w:rPr>
        <w:t xml:space="preserve">Karakosta, C., </w:t>
      </w:r>
      <w:proofErr w:type="spellStart"/>
      <w:r w:rsidRPr="00B20A34">
        <w:rPr>
          <w:lang w:val="en-GB"/>
        </w:rPr>
        <w:t>Corovessi</w:t>
      </w:r>
      <w:proofErr w:type="spellEnd"/>
      <w:r w:rsidRPr="00B20A34">
        <w:rPr>
          <w:lang w:val="en-GB"/>
        </w:rPr>
        <w:t xml:space="preserve">, A., &amp; </w:t>
      </w:r>
      <w:proofErr w:type="spellStart"/>
      <w:r w:rsidRPr="00B20A34">
        <w:rPr>
          <w:lang w:val="en-GB"/>
        </w:rPr>
        <w:t>Vryzidis</w:t>
      </w:r>
      <w:proofErr w:type="spellEnd"/>
      <w:r w:rsidRPr="00B20A34">
        <w:rPr>
          <w:lang w:val="en-GB"/>
        </w:rPr>
        <w:t xml:space="preserve">, I. (2025). Unlocking sustainable financing practices for energy efficiency projects: A multi-country analysis. </w:t>
      </w:r>
      <w:r w:rsidRPr="00B20A34">
        <w:rPr>
          <w:rStyle w:val="Uwydatnienie"/>
          <w:lang w:val="en-GB"/>
        </w:rPr>
        <w:t>Energies</w:t>
      </w:r>
      <w:r w:rsidRPr="002A560B">
        <w:rPr>
          <w:rStyle w:val="Uwydatnienie"/>
          <w:i w:val="0"/>
          <w:iCs w:val="0"/>
          <w:lang w:val="en-GB"/>
        </w:rPr>
        <w:t>,</w:t>
      </w:r>
      <w:r w:rsidR="002A560B" w:rsidRPr="002A560B">
        <w:rPr>
          <w:rStyle w:val="Uwydatnienie"/>
          <w:i w:val="0"/>
          <w:iCs w:val="0"/>
          <w:lang w:val="en-GB"/>
        </w:rPr>
        <w:t xml:space="preserve"> </w:t>
      </w:r>
      <w:r w:rsidRPr="00B20A34">
        <w:rPr>
          <w:rStyle w:val="Uwydatnienie"/>
          <w:lang w:val="en-GB"/>
        </w:rPr>
        <w:t>18</w:t>
      </w:r>
      <w:r w:rsidRPr="00B20A34">
        <w:rPr>
          <w:rStyle w:val="Uwydatnienie"/>
          <w:i w:val="0"/>
          <w:iCs w:val="0"/>
          <w:lang w:val="en-GB"/>
        </w:rPr>
        <w:t>(5)</w:t>
      </w:r>
      <w:r w:rsidRPr="00B20A34">
        <w:rPr>
          <w:lang w:val="en-GB"/>
        </w:rPr>
        <w:t>,</w:t>
      </w:r>
      <w:r w:rsidR="002A560B">
        <w:rPr>
          <w:lang w:val="en-GB"/>
        </w:rPr>
        <w:t xml:space="preserve"> </w:t>
      </w:r>
      <w:r w:rsidRPr="00B20A34">
        <w:rPr>
          <w:lang w:val="en-GB"/>
        </w:rPr>
        <w:t>1107.</w:t>
      </w:r>
      <w:hyperlink r:id="rId40" w:history="1">
        <w:r w:rsidRPr="00B20A34">
          <w:rPr>
            <w:rStyle w:val="UyteHipercze"/>
            <w:color w:val="auto"/>
            <w:u w:val="none"/>
            <w:lang w:val="en-GB"/>
          </w:rPr>
          <w:t>https://doi.org/10.3390/en18051107</w:t>
        </w:r>
      </w:hyperlink>
    </w:p>
    <w:p w14:paraId="21FD8BD1" w14:textId="79B5E1F9" w:rsidR="00F15CB8" w:rsidRPr="00B20A34" w:rsidRDefault="00F15CB8" w:rsidP="002A560B">
      <w:pPr>
        <w:pStyle w:val="Rlit"/>
        <w:jc w:val="left"/>
        <w:rPr>
          <w:lang w:val="en-GB"/>
        </w:rPr>
      </w:pPr>
      <w:r w:rsidRPr="00B20A34">
        <w:rPr>
          <w:lang w:val="en-GB"/>
        </w:rPr>
        <w:t xml:space="preserve">Khan, A., Tripathi, S., &amp; Chandiramani, J. (2024). Smart city initiatives and economic growth in India: An empirical analysis. </w:t>
      </w:r>
      <w:r w:rsidRPr="00B20A34">
        <w:rPr>
          <w:rStyle w:val="Uwydatnienie"/>
          <w:lang w:val="en-GB"/>
        </w:rPr>
        <w:t>Sustainable Regional Development Scientific Journal</w:t>
      </w:r>
      <w:r w:rsidRPr="002A560B">
        <w:rPr>
          <w:rStyle w:val="Uwydatnienie"/>
          <w:i w:val="0"/>
          <w:iCs w:val="0"/>
          <w:lang w:val="en-GB"/>
        </w:rPr>
        <w:t xml:space="preserve">, </w:t>
      </w:r>
      <w:r w:rsidRPr="00B20A34">
        <w:rPr>
          <w:rStyle w:val="Uwydatnienie"/>
          <w:lang w:val="en-GB"/>
        </w:rPr>
        <w:t>1</w:t>
      </w:r>
      <w:r w:rsidRPr="00B20A34">
        <w:rPr>
          <w:lang w:val="en-GB"/>
        </w:rPr>
        <w:t>(2), 41</w:t>
      </w:r>
      <w:r w:rsidR="002A560B">
        <w:rPr>
          <w:lang w:val="en-GB"/>
        </w:rPr>
        <w:t>–</w:t>
      </w:r>
      <w:r w:rsidRPr="00B20A34">
        <w:rPr>
          <w:lang w:val="en-GB"/>
        </w:rPr>
        <w:t xml:space="preserve">56. </w:t>
      </w:r>
      <w:hyperlink r:id="rId41" w:history="1">
        <w:r w:rsidRPr="00B20A34">
          <w:rPr>
            <w:lang w:val="en-GB"/>
          </w:rPr>
          <w:t>https://www.srdsjournal.eu/articles/files/2024-2-Journal-SmartCity.pdf</w:t>
        </w:r>
      </w:hyperlink>
    </w:p>
    <w:p w14:paraId="16E99CFB" w14:textId="40BE24F8" w:rsidR="00F15CB8" w:rsidRPr="00B20A34" w:rsidRDefault="00F15CB8" w:rsidP="00487F23">
      <w:pPr>
        <w:pStyle w:val="Rlit"/>
        <w:rPr>
          <w:lang w:val="en-GB"/>
        </w:rPr>
      </w:pPr>
      <w:proofErr w:type="spellStart"/>
      <w:r w:rsidRPr="00B20A34">
        <w:rPr>
          <w:lang w:val="en-GB"/>
        </w:rPr>
        <w:t>Klymash</w:t>
      </w:r>
      <w:proofErr w:type="spellEnd"/>
      <w:r w:rsidRPr="00B20A34">
        <w:rPr>
          <w:lang w:val="en-GB"/>
        </w:rPr>
        <w:t xml:space="preserve">, N., </w:t>
      </w:r>
      <w:proofErr w:type="spellStart"/>
      <w:r w:rsidRPr="00B20A34">
        <w:rPr>
          <w:lang w:val="en-GB"/>
        </w:rPr>
        <w:t>Bagatska</w:t>
      </w:r>
      <w:proofErr w:type="spellEnd"/>
      <w:r w:rsidRPr="00B20A34">
        <w:rPr>
          <w:lang w:val="en-GB"/>
        </w:rPr>
        <w:t xml:space="preserve">, K., Melnychuk, O., Zhuk, O., Kondratiuk, O., Edeh, F.O. (2026). Determinants of investment potential in the context of ensuring the economic sustainability of enterprises. </w:t>
      </w:r>
      <w:proofErr w:type="spellStart"/>
      <w:r w:rsidRPr="00B20A34">
        <w:rPr>
          <w:i/>
          <w:iCs/>
          <w:lang w:val="en-GB"/>
        </w:rPr>
        <w:t>Naukovyi</w:t>
      </w:r>
      <w:proofErr w:type="spellEnd"/>
      <w:r w:rsidRPr="00B20A34">
        <w:rPr>
          <w:i/>
          <w:iCs/>
          <w:lang w:val="en-GB"/>
        </w:rPr>
        <w:t xml:space="preserve"> </w:t>
      </w:r>
      <w:proofErr w:type="spellStart"/>
      <w:r w:rsidRPr="00B20A34">
        <w:rPr>
          <w:i/>
          <w:iCs/>
          <w:lang w:val="en-GB"/>
        </w:rPr>
        <w:t>Visnyk</w:t>
      </w:r>
      <w:proofErr w:type="spellEnd"/>
      <w:r w:rsidRPr="00B20A34">
        <w:rPr>
          <w:i/>
          <w:iCs/>
          <w:lang w:val="en-GB"/>
        </w:rPr>
        <w:t xml:space="preserve"> </w:t>
      </w:r>
      <w:proofErr w:type="spellStart"/>
      <w:r w:rsidRPr="00B20A34">
        <w:rPr>
          <w:i/>
          <w:iCs/>
          <w:lang w:val="en-GB"/>
        </w:rPr>
        <w:t>Natsionalnoho</w:t>
      </w:r>
      <w:proofErr w:type="spellEnd"/>
      <w:r w:rsidRPr="00B20A34">
        <w:rPr>
          <w:i/>
          <w:iCs/>
          <w:lang w:val="en-GB"/>
        </w:rPr>
        <w:t xml:space="preserve"> </w:t>
      </w:r>
      <w:proofErr w:type="spellStart"/>
      <w:r w:rsidRPr="00B20A34">
        <w:rPr>
          <w:i/>
          <w:iCs/>
          <w:lang w:val="en-GB"/>
        </w:rPr>
        <w:t>Hirnychoho</w:t>
      </w:r>
      <w:proofErr w:type="spellEnd"/>
      <w:r w:rsidRPr="00B20A34">
        <w:rPr>
          <w:i/>
          <w:iCs/>
          <w:lang w:val="en-GB"/>
        </w:rPr>
        <w:t xml:space="preserve"> </w:t>
      </w:r>
      <w:proofErr w:type="spellStart"/>
      <w:r w:rsidRPr="00B20A34">
        <w:rPr>
          <w:i/>
          <w:iCs/>
          <w:lang w:val="en-GB"/>
        </w:rPr>
        <w:t>Universytetu</w:t>
      </w:r>
      <w:proofErr w:type="spellEnd"/>
      <w:r w:rsidRPr="00B20A34">
        <w:rPr>
          <w:lang w:val="en-GB"/>
        </w:rPr>
        <w:t xml:space="preserve">, </w:t>
      </w:r>
      <w:r w:rsidRPr="004558E4">
        <w:rPr>
          <w:i/>
          <w:iCs/>
          <w:lang w:val="en-GB"/>
        </w:rPr>
        <w:t>2</w:t>
      </w:r>
      <w:r w:rsidRPr="00B20A34">
        <w:rPr>
          <w:lang w:val="en-GB"/>
        </w:rPr>
        <w:t>, 167</w:t>
      </w:r>
      <w:r w:rsidR="004558E4">
        <w:rPr>
          <w:lang w:val="en-GB"/>
        </w:rPr>
        <w:t>–</w:t>
      </w:r>
      <w:r w:rsidRPr="00B20A34">
        <w:rPr>
          <w:lang w:val="en-GB"/>
        </w:rPr>
        <w:t>175. https://doi.org/10.33271/nvngu/2026-2/167</w:t>
      </w:r>
    </w:p>
    <w:p w14:paraId="1B380AAC" w14:textId="7ABD3CB8" w:rsidR="00F15CB8" w:rsidRPr="00B20A34" w:rsidRDefault="00F15CB8" w:rsidP="004558E4">
      <w:pPr>
        <w:pStyle w:val="Rlit"/>
        <w:jc w:val="left"/>
        <w:rPr>
          <w:lang w:val="en-GB"/>
        </w:rPr>
      </w:pPr>
      <w:proofErr w:type="spellStart"/>
      <w:r w:rsidRPr="00B20A34">
        <w:rPr>
          <w:lang w:val="en-GB"/>
        </w:rPr>
        <w:t>Kuzior</w:t>
      </w:r>
      <w:proofErr w:type="spellEnd"/>
      <w:r w:rsidRPr="00B20A34">
        <w:rPr>
          <w:lang w:val="en-GB"/>
        </w:rPr>
        <w:t xml:space="preserve">, A., </w:t>
      </w:r>
      <w:proofErr w:type="spellStart"/>
      <w:r w:rsidRPr="00B20A34">
        <w:rPr>
          <w:lang w:val="en-GB"/>
        </w:rPr>
        <w:t>Arefieva</w:t>
      </w:r>
      <w:proofErr w:type="spellEnd"/>
      <w:r w:rsidRPr="00B20A34">
        <w:rPr>
          <w:lang w:val="en-GB"/>
        </w:rPr>
        <w:t xml:space="preserve">, O., </w:t>
      </w:r>
      <w:proofErr w:type="spellStart"/>
      <w:r w:rsidRPr="00B20A34">
        <w:rPr>
          <w:lang w:val="en-GB"/>
        </w:rPr>
        <w:t>Poberezhna</w:t>
      </w:r>
      <w:proofErr w:type="spellEnd"/>
      <w:r w:rsidRPr="00B20A34">
        <w:rPr>
          <w:lang w:val="en-GB"/>
        </w:rPr>
        <w:t xml:space="preserve">, Z., &amp; </w:t>
      </w:r>
      <w:proofErr w:type="spellStart"/>
      <w:r w:rsidRPr="00B20A34">
        <w:rPr>
          <w:lang w:val="en-GB"/>
        </w:rPr>
        <w:t>Arefiev</w:t>
      </w:r>
      <w:proofErr w:type="spellEnd"/>
      <w:r w:rsidRPr="00B20A34">
        <w:rPr>
          <w:lang w:val="en-GB"/>
        </w:rPr>
        <w:t xml:space="preserve">, S. (2026). Digitalization of business processes in the integrated concept of “Industry 5.0” in ensuring investment and security management of transport enterprises. </w:t>
      </w:r>
      <w:r w:rsidRPr="00B20A34">
        <w:rPr>
          <w:i/>
          <w:iCs/>
          <w:lang w:val="en-GB"/>
        </w:rPr>
        <w:t>Scientific Journal of Silesian University of Technology. Series Transport</w:t>
      </w:r>
      <w:r w:rsidRPr="00B20A34">
        <w:rPr>
          <w:lang w:val="en-GB"/>
        </w:rPr>
        <w:t xml:space="preserve">, </w:t>
      </w:r>
      <w:r w:rsidRPr="004558E4">
        <w:rPr>
          <w:i/>
          <w:iCs/>
          <w:lang w:val="en-GB"/>
        </w:rPr>
        <w:t>130</w:t>
      </w:r>
      <w:r w:rsidRPr="00B20A34">
        <w:rPr>
          <w:lang w:val="en-GB"/>
        </w:rPr>
        <w:t>, 125</w:t>
      </w:r>
      <w:r w:rsidR="004558E4">
        <w:rPr>
          <w:lang w:val="en-GB"/>
        </w:rPr>
        <w:t>–</w:t>
      </w:r>
      <w:r w:rsidRPr="00B20A34">
        <w:rPr>
          <w:lang w:val="en-GB"/>
        </w:rPr>
        <w:t xml:space="preserve">140. </w:t>
      </w:r>
      <w:hyperlink r:id="rId42" w:history="1">
        <w:r w:rsidRPr="00B20A34">
          <w:rPr>
            <w:rStyle w:val="Hipercze"/>
            <w:color w:val="auto"/>
            <w:u w:val="none"/>
            <w:lang w:val="en-GB"/>
          </w:rPr>
          <w:t>https://doi.org/10.20858/sjsutst.2026.130.8</w:t>
        </w:r>
      </w:hyperlink>
    </w:p>
    <w:p w14:paraId="4FFE38E2" w14:textId="457C9C98" w:rsidR="00F15CB8" w:rsidRPr="00B20A34" w:rsidRDefault="00F15CB8" w:rsidP="00487F23">
      <w:pPr>
        <w:pStyle w:val="Rlit"/>
        <w:rPr>
          <w:lang w:val="en-GB"/>
        </w:rPr>
      </w:pPr>
      <w:r w:rsidRPr="00B20A34">
        <w:rPr>
          <w:lang w:val="en-GB"/>
        </w:rPr>
        <w:t xml:space="preserve">Lawal, Y.A., </w:t>
      </w:r>
      <w:proofErr w:type="spellStart"/>
      <w:r w:rsidRPr="00B20A34">
        <w:rPr>
          <w:lang w:val="en-GB"/>
        </w:rPr>
        <w:t>Sanwoolu</w:t>
      </w:r>
      <w:proofErr w:type="spellEnd"/>
      <w:r w:rsidRPr="00B20A34">
        <w:rPr>
          <w:lang w:val="en-GB"/>
        </w:rPr>
        <w:t xml:space="preserve">, J.A., Adebayo, O.T., &amp; </w:t>
      </w:r>
      <w:proofErr w:type="spellStart"/>
      <w:r w:rsidRPr="00B20A34">
        <w:rPr>
          <w:lang w:val="en-GB"/>
        </w:rPr>
        <w:t>Olateju</w:t>
      </w:r>
      <w:proofErr w:type="spellEnd"/>
      <w:r w:rsidRPr="00B20A34">
        <w:rPr>
          <w:lang w:val="en-GB"/>
        </w:rPr>
        <w:t xml:space="preserve">, O.I. (2024). Enhancing sustainability in project management through smart technology integration: A case study approach to green building projects. </w:t>
      </w:r>
      <w:r w:rsidRPr="00B20A34">
        <w:rPr>
          <w:i/>
          <w:iCs/>
          <w:lang w:val="en-GB"/>
        </w:rPr>
        <w:t>Dutch Journal of Finance and Management</w:t>
      </w:r>
      <w:r w:rsidRPr="00B20A34">
        <w:rPr>
          <w:lang w:val="en-GB"/>
        </w:rPr>
        <w:t xml:space="preserve">, </w:t>
      </w:r>
      <w:r w:rsidRPr="00B20A34">
        <w:rPr>
          <w:i/>
          <w:iCs/>
          <w:lang w:val="en-GB"/>
        </w:rPr>
        <w:t>7</w:t>
      </w:r>
      <w:r w:rsidRPr="00B20A34">
        <w:rPr>
          <w:lang w:val="en-GB"/>
        </w:rPr>
        <w:t xml:space="preserve">(2), 32823. </w:t>
      </w:r>
      <w:hyperlink r:id="rId43" w:history="1">
        <w:r w:rsidRPr="00B20A34">
          <w:rPr>
            <w:rStyle w:val="UyteHipercze"/>
            <w:color w:val="auto"/>
            <w:u w:val="none"/>
            <w:lang w:val="en-GB"/>
          </w:rPr>
          <w:t>https://doi.org/10.55267/djfm/15772</w:t>
        </w:r>
      </w:hyperlink>
    </w:p>
    <w:p w14:paraId="66D90C1E" w14:textId="35B4C9EB" w:rsidR="00F15CB8" w:rsidRPr="00B20A34" w:rsidRDefault="00F15CB8" w:rsidP="00487F23">
      <w:pPr>
        <w:pStyle w:val="Rlit"/>
        <w:rPr>
          <w:lang w:val="en-GB"/>
        </w:rPr>
      </w:pPr>
      <w:r w:rsidRPr="00B20A34">
        <w:rPr>
          <w:lang w:val="en-GB"/>
        </w:rPr>
        <w:t xml:space="preserve">Lewandowski, K. (2025). Modern energy sources for sustainable buildings: Innovations and energy efficiency in green construction. </w:t>
      </w:r>
      <w:r w:rsidRPr="00B20A34">
        <w:rPr>
          <w:rStyle w:val="Uwydatnienie"/>
          <w:lang w:val="en-GB"/>
        </w:rPr>
        <w:t>Energies</w:t>
      </w:r>
      <w:r w:rsidRPr="004558E4">
        <w:rPr>
          <w:rStyle w:val="Uwydatnienie"/>
          <w:i w:val="0"/>
          <w:iCs w:val="0"/>
          <w:lang w:val="en-GB"/>
        </w:rPr>
        <w:t>,</w:t>
      </w:r>
      <w:r w:rsidR="004558E4" w:rsidRPr="004558E4">
        <w:rPr>
          <w:rStyle w:val="Uwydatnienie"/>
          <w:i w:val="0"/>
          <w:iCs w:val="0"/>
          <w:lang w:val="en-GB"/>
        </w:rPr>
        <w:t xml:space="preserve"> </w:t>
      </w:r>
      <w:r w:rsidRPr="00B20A34">
        <w:rPr>
          <w:rStyle w:val="Uwydatnienie"/>
          <w:lang w:val="en-GB"/>
        </w:rPr>
        <w:t>18</w:t>
      </w:r>
      <w:r w:rsidRPr="004558E4">
        <w:rPr>
          <w:rStyle w:val="Uwydatnienie"/>
          <w:i w:val="0"/>
          <w:iCs w:val="0"/>
          <w:lang w:val="en-GB"/>
        </w:rPr>
        <w:t>(5)</w:t>
      </w:r>
      <w:r w:rsidRPr="00B20A34">
        <w:rPr>
          <w:lang w:val="en-GB"/>
        </w:rPr>
        <w:t>,</w:t>
      </w:r>
      <w:r w:rsidR="004558E4">
        <w:rPr>
          <w:lang w:val="en-GB"/>
        </w:rPr>
        <w:t xml:space="preserve"> </w:t>
      </w:r>
      <w:r w:rsidRPr="00B20A34">
        <w:rPr>
          <w:lang w:val="en-GB"/>
        </w:rPr>
        <w:t xml:space="preserve">1121. </w:t>
      </w:r>
      <w:hyperlink r:id="rId44" w:history="1">
        <w:r w:rsidRPr="00B20A34">
          <w:rPr>
            <w:rStyle w:val="UyteHipercze"/>
            <w:color w:val="auto"/>
            <w:u w:val="none"/>
            <w:lang w:val="en-GB"/>
          </w:rPr>
          <w:t>https://doi.org/10.3390/en18051121</w:t>
        </w:r>
      </w:hyperlink>
    </w:p>
    <w:p w14:paraId="2FB2C8D2" w14:textId="77777777" w:rsidR="00F15CB8" w:rsidRPr="00B20A34" w:rsidRDefault="00F15CB8" w:rsidP="00487F23">
      <w:pPr>
        <w:pStyle w:val="Rlit"/>
        <w:rPr>
          <w:lang w:val="en-GB"/>
        </w:rPr>
      </w:pPr>
      <w:r w:rsidRPr="00B20A34">
        <w:rPr>
          <w:lang w:val="en-GB"/>
        </w:rPr>
        <w:t xml:space="preserve">Liu, T., Chen, L., Yang, M., </w:t>
      </w:r>
      <w:proofErr w:type="spellStart"/>
      <w:r w:rsidRPr="00B20A34">
        <w:rPr>
          <w:lang w:val="en-GB"/>
        </w:rPr>
        <w:t>Sandanayake</w:t>
      </w:r>
      <w:proofErr w:type="spellEnd"/>
      <w:r w:rsidRPr="00B20A34">
        <w:rPr>
          <w:lang w:val="en-GB"/>
        </w:rPr>
        <w:t xml:space="preserve">, M., Miao, P., Shi, Y., &amp; Yap, P.S. (2022). Sustainability considerations of green buildings: A detailed overview on current advancements and future considerations. </w:t>
      </w:r>
      <w:r w:rsidRPr="00B20A34">
        <w:rPr>
          <w:i/>
          <w:iCs/>
          <w:lang w:val="en-GB"/>
        </w:rPr>
        <w:t>Sustainability</w:t>
      </w:r>
      <w:r w:rsidRPr="004558E4">
        <w:rPr>
          <w:lang w:val="en-GB"/>
        </w:rPr>
        <w:t xml:space="preserve">, </w:t>
      </w:r>
      <w:r w:rsidRPr="00B20A34">
        <w:rPr>
          <w:i/>
          <w:iCs/>
          <w:lang w:val="en-GB"/>
        </w:rPr>
        <w:t>14</w:t>
      </w:r>
      <w:r w:rsidRPr="00B20A34">
        <w:rPr>
          <w:lang w:val="en-GB"/>
        </w:rPr>
        <w:t xml:space="preserve">(21), 14393. </w:t>
      </w:r>
      <w:hyperlink r:id="rId45" w:history="1">
        <w:r w:rsidRPr="00B20A34">
          <w:rPr>
            <w:rStyle w:val="UyteHipercze"/>
            <w:color w:val="auto"/>
            <w:u w:val="none"/>
            <w:lang w:val="en-GB"/>
          </w:rPr>
          <w:t>https://doi.org/10.3390/su142114393</w:t>
        </w:r>
      </w:hyperlink>
    </w:p>
    <w:p w14:paraId="78CEE5AB" w14:textId="39C97762" w:rsidR="00F15CB8" w:rsidRPr="00B20A34" w:rsidRDefault="00F15CB8" w:rsidP="004558E4">
      <w:pPr>
        <w:pStyle w:val="Rlit"/>
        <w:jc w:val="left"/>
        <w:rPr>
          <w:lang w:val="en-GB"/>
        </w:rPr>
      </w:pPr>
      <w:r w:rsidRPr="00B20A34">
        <w:rPr>
          <w:lang w:val="en-GB"/>
        </w:rPr>
        <w:t xml:space="preserve">Meena, C.S., Kumar, A., Jain, S., Rehman, A. U., Mishra, S., Sharma, N. K., Bajaj, M., Shafiq, M., &amp; Eldin, E.T. (2022). Innovation in green building sector for sustainable future. </w:t>
      </w:r>
      <w:r w:rsidRPr="00B20A34">
        <w:rPr>
          <w:rStyle w:val="Uwydatnienie"/>
          <w:lang w:val="en-GB"/>
        </w:rPr>
        <w:t>Energies</w:t>
      </w:r>
      <w:r w:rsidRPr="004558E4">
        <w:rPr>
          <w:rStyle w:val="Uwydatnienie"/>
          <w:i w:val="0"/>
          <w:iCs w:val="0"/>
          <w:lang w:val="en-GB"/>
        </w:rPr>
        <w:t xml:space="preserve">, </w:t>
      </w:r>
      <w:r w:rsidRPr="00B20A34">
        <w:rPr>
          <w:rStyle w:val="Uwydatnienie"/>
          <w:lang w:val="en-GB"/>
        </w:rPr>
        <w:t>15</w:t>
      </w:r>
      <w:r w:rsidRPr="00B20A34">
        <w:rPr>
          <w:rStyle w:val="Uwydatnienie"/>
          <w:i w:val="0"/>
          <w:iCs w:val="0"/>
          <w:lang w:val="en-GB"/>
        </w:rPr>
        <w:t>(18)</w:t>
      </w:r>
      <w:r w:rsidRPr="00B20A34">
        <w:rPr>
          <w:lang w:val="en-GB"/>
        </w:rPr>
        <w:t xml:space="preserve">, 6631. </w:t>
      </w:r>
      <w:hyperlink r:id="rId46" w:history="1">
        <w:r w:rsidRPr="00B20A34">
          <w:rPr>
            <w:rStyle w:val="UyteHipercze"/>
            <w:color w:val="auto"/>
            <w:u w:val="none"/>
            <w:lang w:val="en-GB"/>
          </w:rPr>
          <w:t>https://doi.org/10.3390/en15186631</w:t>
        </w:r>
      </w:hyperlink>
    </w:p>
    <w:p w14:paraId="344DD8F8" w14:textId="77777777" w:rsidR="00F15CB8" w:rsidRPr="00B20A34" w:rsidRDefault="00F15CB8" w:rsidP="00487F23">
      <w:pPr>
        <w:pStyle w:val="Rlit"/>
        <w:rPr>
          <w:rStyle w:val="Hipercze"/>
          <w:color w:val="auto"/>
          <w:u w:val="none"/>
          <w:lang w:val="en-GB"/>
        </w:rPr>
      </w:pPr>
      <w:r w:rsidRPr="00B20A34">
        <w:rPr>
          <w:lang w:val="en-GB"/>
        </w:rPr>
        <w:t xml:space="preserve">Mishra, P., &amp; Singh, G. (2023). Energy management systems in sustainable smart cities based on the Internet of Energy: A technical review. </w:t>
      </w:r>
      <w:r w:rsidRPr="00B20A34">
        <w:rPr>
          <w:rStyle w:val="Uwydatnienie"/>
          <w:lang w:val="en-GB"/>
        </w:rPr>
        <w:t>Energies</w:t>
      </w:r>
      <w:r w:rsidRPr="004558E4">
        <w:rPr>
          <w:rStyle w:val="Uwydatnienie"/>
          <w:i w:val="0"/>
          <w:iCs w:val="0"/>
          <w:lang w:val="en-GB"/>
        </w:rPr>
        <w:t xml:space="preserve">, </w:t>
      </w:r>
      <w:r w:rsidRPr="00B20A34">
        <w:rPr>
          <w:rStyle w:val="Uwydatnienie"/>
          <w:lang w:val="en-GB"/>
        </w:rPr>
        <w:t>16</w:t>
      </w:r>
      <w:r w:rsidRPr="00B20A34">
        <w:rPr>
          <w:rStyle w:val="Uwydatnienie"/>
          <w:i w:val="0"/>
          <w:iCs w:val="0"/>
          <w:lang w:val="en-GB"/>
        </w:rPr>
        <w:t>(19)</w:t>
      </w:r>
      <w:r w:rsidRPr="00B20A34">
        <w:rPr>
          <w:lang w:val="en-GB"/>
        </w:rPr>
        <w:t xml:space="preserve">, 6903. </w:t>
      </w:r>
      <w:hyperlink r:id="rId47" w:history="1">
        <w:r w:rsidRPr="00B20A34">
          <w:rPr>
            <w:rStyle w:val="UyteHipercze"/>
            <w:color w:val="auto"/>
            <w:u w:val="none"/>
            <w:lang w:val="en-GB"/>
          </w:rPr>
          <w:t>https://doi.org/10.3390/en16196903</w:t>
        </w:r>
      </w:hyperlink>
    </w:p>
    <w:p w14:paraId="298961B6" w14:textId="00F5BBE7" w:rsidR="00F15CB8" w:rsidRPr="00B20A34" w:rsidRDefault="00F15CB8" w:rsidP="004558E4">
      <w:pPr>
        <w:pStyle w:val="Rlit"/>
        <w:jc w:val="left"/>
        <w:rPr>
          <w:lang w:val="en-GB"/>
        </w:rPr>
      </w:pPr>
      <w:r w:rsidRPr="00B20A34">
        <w:rPr>
          <w:lang w:val="en-GB"/>
        </w:rPr>
        <w:t xml:space="preserve">Moher, D., Liberati, A., Tetzlaff, J., Altman, D.G., &amp; The PRISMA Group. (2009). Preferred reporting items for systematic reviews and meta-analyses: The PRISMA statement. </w:t>
      </w:r>
      <w:proofErr w:type="spellStart"/>
      <w:r w:rsidRPr="00B20A34">
        <w:rPr>
          <w:i/>
          <w:iCs/>
          <w:lang w:val="en-GB"/>
        </w:rPr>
        <w:t>PLoS</w:t>
      </w:r>
      <w:proofErr w:type="spellEnd"/>
      <w:r w:rsidRPr="00B20A34">
        <w:rPr>
          <w:i/>
          <w:iCs/>
          <w:lang w:val="en-GB"/>
        </w:rPr>
        <w:t xml:space="preserve"> Medicine</w:t>
      </w:r>
      <w:r w:rsidRPr="00B20A34">
        <w:rPr>
          <w:lang w:val="en-GB"/>
        </w:rPr>
        <w:t xml:space="preserve">, </w:t>
      </w:r>
      <w:r w:rsidRPr="00B20A34">
        <w:rPr>
          <w:i/>
          <w:iCs/>
          <w:lang w:val="en-GB"/>
        </w:rPr>
        <w:t>6</w:t>
      </w:r>
      <w:r w:rsidRPr="00B20A34">
        <w:rPr>
          <w:lang w:val="en-GB"/>
        </w:rPr>
        <w:t xml:space="preserve">(7), e1000097. </w:t>
      </w:r>
      <w:hyperlink r:id="rId48" w:history="1">
        <w:r w:rsidRPr="00B20A34">
          <w:rPr>
            <w:rStyle w:val="UyteHipercze"/>
            <w:color w:val="auto"/>
            <w:u w:val="none"/>
            <w:lang w:val="en-GB"/>
          </w:rPr>
          <w:t>https://doi.org/10.1371/journal.pmed.1000097</w:t>
        </w:r>
      </w:hyperlink>
    </w:p>
    <w:p w14:paraId="16763EC3" w14:textId="32C70F10" w:rsidR="00F15CB8" w:rsidRPr="00B20A34" w:rsidRDefault="00F15CB8" w:rsidP="00487F23">
      <w:pPr>
        <w:pStyle w:val="Rlit"/>
        <w:rPr>
          <w:lang w:val="en-GB"/>
        </w:rPr>
      </w:pPr>
      <w:proofErr w:type="spellStart"/>
      <w:r w:rsidRPr="00B20A34">
        <w:rPr>
          <w:lang w:val="en-GB"/>
        </w:rPr>
        <w:t>Mpambane</w:t>
      </w:r>
      <w:proofErr w:type="spellEnd"/>
      <w:r w:rsidRPr="00B20A34">
        <w:rPr>
          <w:lang w:val="en-GB"/>
        </w:rPr>
        <w:t xml:space="preserve">, S., </w:t>
      </w:r>
      <w:proofErr w:type="spellStart"/>
      <w:r w:rsidRPr="00B20A34">
        <w:rPr>
          <w:lang w:val="en-GB"/>
        </w:rPr>
        <w:t>Gyadu</w:t>
      </w:r>
      <w:proofErr w:type="spellEnd"/>
      <w:r w:rsidRPr="00B20A34">
        <w:rPr>
          <w:lang w:val="en-GB"/>
        </w:rPr>
        <w:t xml:space="preserve">-Asiedu, N.A.A., &amp; </w:t>
      </w:r>
      <w:proofErr w:type="spellStart"/>
      <w:r w:rsidRPr="00B20A34">
        <w:rPr>
          <w:lang w:val="en-GB"/>
        </w:rPr>
        <w:t>Aigbavboa</w:t>
      </w:r>
      <w:proofErr w:type="spellEnd"/>
      <w:r w:rsidRPr="00B20A34">
        <w:rPr>
          <w:lang w:val="en-GB"/>
        </w:rPr>
        <w:t xml:space="preserve">, C. (2025). Bibliometric review of smart and sustainable student residence models in developing economies. </w:t>
      </w:r>
      <w:r w:rsidRPr="00B20A34">
        <w:rPr>
          <w:rStyle w:val="Uwydatnienie"/>
          <w:lang w:val="en-GB"/>
        </w:rPr>
        <w:t>International Journal for Housing Science and Its Applications</w:t>
      </w:r>
      <w:r w:rsidRPr="004558E4">
        <w:rPr>
          <w:rStyle w:val="Uwydatnienie"/>
          <w:i w:val="0"/>
          <w:iCs w:val="0"/>
          <w:lang w:val="en-GB"/>
        </w:rPr>
        <w:t xml:space="preserve">, </w:t>
      </w:r>
      <w:r w:rsidRPr="00B20A34">
        <w:rPr>
          <w:rStyle w:val="Uwydatnienie"/>
          <w:lang w:val="en-GB"/>
        </w:rPr>
        <w:t>46</w:t>
      </w:r>
      <w:r w:rsidRPr="00B20A34">
        <w:rPr>
          <w:lang w:val="en-GB"/>
        </w:rPr>
        <w:t xml:space="preserve">(2), 35–47. </w:t>
      </w:r>
      <w:hyperlink r:id="rId49" w:history="1">
        <w:r w:rsidRPr="00B20A34">
          <w:rPr>
            <w:rStyle w:val="UyteHipercze"/>
            <w:color w:val="auto"/>
            <w:u w:val="none"/>
            <w:lang w:val="en-GB"/>
          </w:rPr>
          <w:t>https://doi.org/10.70517/ijhsa46204</w:t>
        </w:r>
      </w:hyperlink>
    </w:p>
    <w:p w14:paraId="515288CB" w14:textId="5F218F28" w:rsidR="00F15CB8" w:rsidRPr="00B20A34" w:rsidRDefault="00F15CB8" w:rsidP="004A02DF">
      <w:pPr>
        <w:pStyle w:val="Rlit"/>
        <w:jc w:val="left"/>
        <w:rPr>
          <w:lang w:val="en-GB"/>
        </w:rPr>
      </w:pPr>
      <w:proofErr w:type="spellStart"/>
      <w:r w:rsidRPr="00B20A34">
        <w:rPr>
          <w:lang w:val="en-GB"/>
        </w:rPr>
        <w:lastRenderedPageBreak/>
        <w:t>Myslik</w:t>
      </w:r>
      <w:proofErr w:type="spellEnd"/>
      <w:r w:rsidRPr="00B20A34">
        <w:rPr>
          <w:lang w:val="en-GB"/>
        </w:rPr>
        <w:t xml:space="preserve">, A. (2025). Green deal and economic threats: the role of environmental diplomacy in overcoming the crisis. </w:t>
      </w:r>
      <w:r w:rsidRPr="00B20A34">
        <w:rPr>
          <w:i/>
          <w:iCs/>
          <w:lang w:val="en-GB"/>
        </w:rPr>
        <w:t>Collection of Scientific Papers "Scientific Notes"</w:t>
      </w:r>
      <w:r w:rsidRPr="004A02DF">
        <w:rPr>
          <w:lang w:val="en-GB"/>
        </w:rPr>
        <w:t xml:space="preserve">, </w:t>
      </w:r>
      <w:r w:rsidRPr="004A02DF">
        <w:rPr>
          <w:i/>
          <w:iCs/>
          <w:lang w:val="en-GB"/>
        </w:rPr>
        <w:t>41</w:t>
      </w:r>
      <w:r w:rsidRPr="00B20A34">
        <w:rPr>
          <w:lang w:val="en-GB"/>
        </w:rPr>
        <w:t>(4), 221</w:t>
      </w:r>
      <w:r w:rsidR="004A02DF">
        <w:rPr>
          <w:lang w:val="en-GB"/>
        </w:rPr>
        <w:t>–</w:t>
      </w:r>
      <w:r w:rsidRPr="00B20A34">
        <w:rPr>
          <w:lang w:val="en-GB"/>
        </w:rPr>
        <w:t xml:space="preserve">236. </w:t>
      </w:r>
      <w:hyperlink r:id="rId50" w:history="1">
        <w:r w:rsidRPr="00B20A34">
          <w:rPr>
            <w:rStyle w:val="UyteHipercze"/>
            <w:color w:val="auto"/>
            <w:u w:val="none"/>
            <w:lang w:val="en-GB"/>
          </w:rPr>
          <w:t>http://doi.org/10.33111/vz_kneu.41.25.04.15.103.109</w:t>
        </w:r>
      </w:hyperlink>
    </w:p>
    <w:p w14:paraId="6656B84C" w14:textId="66826696" w:rsidR="00F15CB8" w:rsidRPr="00B20A34" w:rsidRDefault="00F15CB8" w:rsidP="004A02DF">
      <w:pPr>
        <w:pStyle w:val="Rlit"/>
        <w:jc w:val="left"/>
        <w:rPr>
          <w:lang w:val="en-GB"/>
        </w:rPr>
      </w:pPr>
      <w:proofErr w:type="spellStart"/>
      <w:r w:rsidRPr="00B20A34">
        <w:rPr>
          <w:lang w:val="en-GB"/>
        </w:rPr>
        <w:t>Nagaj</w:t>
      </w:r>
      <w:proofErr w:type="spellEnd"/>
      <w:r w:rsidRPr="00B20A34">
        <w:rPr>
          <w:lang w:val="en-GB"/>
        </w:rPr>
        <w:t xml:space="preserve">, R., Vasilev, J., &amp; </w:t>
      </w:r>
      <w:proofErr w:type="spellStart"/>
      <w:r w:rsidRPr="00B20A34">
        <w:rPr>
          <w:lang w:val="en-GB"/>
        </w:rPr>
        <w:t>Žuromskaitė-Nagaj</w:t>
      </w:r>
      <w:proofErr w:type="spellEnd"/>
      <w:r w:rsidRPr="00B20A34">
        <w:rPr>
          <w:lang w:val="en-GB"/>
        </w:rPr>
        <w:t xml:space="preserve">, B. (2025). Hierarchical modelling of sustainable energy consumption profiles for developed and developing countries. </w:t>
      </w:r>
      <w:r w:rsidRPr="00B20A34">
        <w:rPr>
          <w:i/>
          <w:iCs/>
          <w:lang w:val="en-GB"/>
        </w:rPr>
        <w:t>Intellectual Economics</w:t>
      </w:r>
      <w:r w:rsidRPr="00B20A34">
        <w:rPr>
          <w:lang w:val="en-GB"/>
        </w:rPr>
        <w:t xml:space="preserve">, </w:t>
      </w:r>
      <w:r w:rsidRPr="004A02DF">
        <w:rPr>
          <w:i/>
          <w:iCs/>
          <w:lang w:val="en-GB"/>
        </w:rPr>
        <w:t>19</w:t>
      </w:r>
      <w:r w:rsidRPr="00B20A34">
        <w:rPr>
          <w:lang w:val="en-GB"/>
        </w:rPr>
        <w:t>(1), 234</w:t>
      </w:r>
      <w:r w:rsidR="004A02DF">
        <w:rPr>
          <w:lang w:val="en-GB"/>
        </w:rPr>
        <w:t>–</w:t>
      </w:r>
      <w:r w:rsidRPr="00B20A34">
        <w:rPr>
          <w:lang w:val="en-GB"/>
        </w:rPr>
        <w:t xml:space="preserve">259. </w:t>
      </w:r>
      <w:hyperlink r:id="rId51" w:history="1">
        <w:r w:rsidRPr="00B20A34">
          <w:rPr>
            <w:rStyle w:val="Hipercze"/>
            <w:color w:val="auto"/>
            <w:u w:val="none"/>
            <w:lang w:val="en-GB"/>
          </w:rPr>
          <w:t>https://doi.org/10.13165/IE-25-19-1-10</w:t>
        </w:r>
      </w:hyperlink>
    </w:p>
    <w:p w14:paraId="27E932AC" w14:textId="77777777" w:rsidR="00F15CB8" w:rsidRPr="00B20A34" w:rsidRDefault="00F15CB8" w:rsidP="00487F23">
      <w:pPr>
        <w:pStyle w:val="Rlit"/>
        <w:rPr>
          <w:lang w:val="en-GB"/>
        </w:rPr>
      </w:pPr>
      <w:proofErr w:type="spellStart"/>
      <w:r w:rsidRPr="00B20A34">
        <w:rPr>
          <w:lang w:val="en-GB"/>
        </w:rPr>
        <w:t>Odebode</w:t>
      </w:r>
      <w:proofErr w:type="spellEnd"/>
      <w:r w:rsidRPr="00B20A34">
        <w:rPr>
          <w:lang w:val="en-GB"/>
        </w:rPr>
        <w:t xml:space="preserve">, J. (2025). Harnessing interdisciplinary architectural project management to integrate smart technologies, renewable energy systems, and green certifications for sustainable built environments. </w:t>
      </w:r>
      <w:r w:rsidRPr="00B20A34">
        <w:rPr>
          <w:rStyle w:val="Uwydatnienie"/>
          <w:lang w:val="en-GB"/>
        </w:rPr>
        <w:t>International Journal of Science and Engineering Applications</w:t>
      </w:r>
      <w:r w:rsidRPr="004A02DF">
        <w:rPr>
          <w:rStyle w:val="Uwydatnienie"/>
          <w:i w:val="0"/>
          <w:iCs w:val="0"/>
          <w:lang w:val="en-GB"/>
        </w:rPr>
        <w:t xml:space="preserve">, </w:t>
      </w:r>
      <w:r w:rsidRPr="00B20A34">
        <w:rPr>
          <w:rStyle w:val="Uwydatnienie"/>
          <w:lang w:val="en-GB"/>
        </w:rPr>
        <w:t>14</w:t>
      </w:r>
      <w:r w:rsidRPr="00B20A34">
        <w:rPr>
          <w:lang w:val="en-GB"/>
        </w:rPr>
        <w:t xml:space="preserve">(6), 59–73. </w:t>
      </w:r>
      <w:hyperlink r:id="rId52" w:history="1">
        <w:r w:rsidRPr="00B20A34">
          <w:rPr>
            <w:rStyle w:val="UyteHipercze"/>
            <w:color w:val="auto"/>
            <w:u w:val="none"/>
            <w:lang w:val="en-GB"/>
          </w:rPr>
          <w:t>https://doi.org/10.7753/IJSEA1406.1011</w:t>
        </w:r>
      </w:hyperlink>
      <w:r w:rsidRPr="00B20A34">
        <w:rPr>
          <w:lang w:val="en-GB"/>
        </w:rPr>
        <w:t xml:space="preserve"> </w:t>
      </w:r>
    </w:p>
    <w:p w14:paraId="3849BC03" w14:textId="77777777" w:rsidR="00F15CB8" w:rsidRPr="00B20A34" w:rsidRDefault="00F15CB8" w:rsidP="00487F23">
      <w:pPr>
        <w:pStyle w:val="Rlit"/>
        <w:rPr>
          <w:rStyle w:val="Hipercze"/>
          <w:color w:val="auto"/>
          <w:u w:val="none"/>
          <w:lang w:val="en-GB"/>
        </w:rPr>
      </w:pPr>
      <w:proofErr w:type="spellStart"/>
      <w:r w:rsidRPr="00B20A34">
        <w:rPr>
          <w:lang w:val="en-GB"/>
        </w:rPr>
        <w:t>Ozili</w:t>
      </w:r>
      <w:proofErr w:type="spellEnd"/>
      <w:r w:rsidRPr="00B20A34">
        <w:rPr>
          <w:lang w:val="en-GB"/>
        </w:rPr>
        <w:t xml:space="preserve">, P. K. (2022). Green finance research around the world: A review of literature. </w:t>
      </w:r>
      <w:r w:rsidRPr="00B20A34">
        <w:rPr>
          <w:i/>
          <w:iCs/>
          <w:lang w:val="en-GB"/>
        </w:rPr>
        <w:t>International Journal of Green Economics</w:t>
      </w:r>
      <w:r w:rsidRPr="004A02DF">
        <w:rPr>
          <w:lang w:val="en-GB"/>
        </w:rPr>
        <w:t xml:space="preserve">, </w:t>
      </w:r>
      <w:r w:rsidRPr="00B20A34">
        <w:rPr>
          <w:i/>
          <w:iCs/>
          <w:lang w:val="en-GB"/>
        </w:rPr>
        <w:t>16</w:t>
      </w:r>
      <w:r w:rsidRPr="00B20A34">
        <w:rPr>
          <w:lang w:val="en-GB"/>
        </w:rPr>
        <w:t xml:space="preserve">(1), 56–75. </w:t>
      </w:r>
      <w:hyperlink r:id="rId53" w:history="1">
        <w:r w:rsidRPr="00B20A34">
          <w:rPr>
            <w:rStyle w:val="UyteHipercze"/>
            <w:color w:val="auto"/>
            <w:u w:val="none"/>
            <w:lang w:val="en-GB"/>
          </w:rPr>
          <w:t>https://doi.org/10.1504/IJGE.2022.125554</w:t>
        </w:r>
      </w:hyperlink>
    </w:p>
    <w:p w14:paraId="7FBE9C86" w14:textId="77777777" w:rsidR="00F15CB8" w:rsidRPr="00B20A34" w:rsidRDefault="00F15CB8" w:rsidP="004A02DF">
      <w:pPr>
        <w:pStyle w:val="Rlit"/>
        <w:jc w:val="left"/>
        <w:rPr>
          <w:rStyle w:val="Hipercze"/>
          <w:color w:val="auto"/>
          <w:u w:val="none"/>
          <w:lang w:val="en-GB"/>
        </w:rPr>
      </w:pPr>
      <w:r w:rsidRPr="00B20A34">
        <w:rPr>
          <w:lang w:val="en-GB"/>
        </w:rPr>
        <w:t xml:space="preserve">Patil, M., </w:t>
      </w:r>
      <w:proofErr w:type="spellStart"/>
      <w:r w:rsidRPr="00B20A34">
        <w:rPr>
          <w:lang w:val="en-GB"/>
        </w:rPr>
        <w:t>Boraste</w:t>
      </w:r>
      <w:proofErr w:type="spellEnd"/>
      <w:r w:rsidRPr="00B20A34">
        <w:rPr>
          <w:lang w:val="en-GB"/>
        </w:rPr>
        <w:t xml:space="preserve">, S., &amp; Minde, P. (2022). A comprehensive review on emerging trends in smart green building technologies and sustainable materials. </w:t>
      </w:r>
      <w:r w:rsidRPr="00B20A34">
        <w:rPr>
          <w:i/>
          <w:iCs/>
          <w:lang w:val="en-GB"/>
        </w:rPr>
        <w:t>Materials Today: Proceedings</w:t>
      </w:r>
      <w:r w:rsidRPr="00B20A34">
        <w:rPr>
          <w:lang w:val="en-GB"/>
        </w:rPr>
        <w:t xml:space="preserve">, </w:t>
      </w:r>
      <w:r w:rsidRPr="00B20A34">
        <w:rPr>
          <w:i/>
          <w:iCs/>
          <w:lang w:val="en-GB"/>
        </w:rPr>
        <w:t>65</w:t>
      </w:r>
      <w:r w:rsidRPr="00B20A34">
        <w:rPr>
          <w:lang w:val="en-GB"/>
        </w:rPr>
        <w:t xml:space="preserve">(Part 2), 1813–1822. </w:t>
      </w:r>
      <w:hyperlink r:id="rId54" w:tgtFrame="_blank" w:history="1">
        <w:r w:rsidRPr="00B20A34">
          <w:rPr>
            <w:rStyle w:val="UyteHipercze"/>
            <w:color w:val="auto"/>
            <w:u w:val="none"/>
            <w:lang w:val="en-GB"/>
          </w:rPr>
          <w:t>https://doi.org/10.1016/j.matpr.2022.04.866</w:t>
        </w:r>
      </w:hyperlink>
    </w:p>
    <w:p w14:paraId="4E87ADED" w14:textId="77777777" w:rsidR="00F15CB8" w:rsidRPr="00B20A34" w:rsidRDefault="00F15CB8" w:rsidP="004A02DF">
      <w:pPr>
        <w:pStyle w:val="Rlit"/>
        <w:jc w:val="left"/>
        <w:rPr>
          <w:lang w:val="en-GB"/>
        </w:rPr>
      </w:pPr>
      <w:r w:rsidRPr="00B20A34">
        <w:rPr>
          <w:lang w:val="en-GB"/>
        </w:rPr>
        <w:t xml:space="preserve">Peng, X., Guan, X., Zeng, Y., &amp; Zhang, J. (2024). Artificial intelligence-driven multi-energy optimization: Promoting green transition of rural energy planning and sustainable energy economy. </w:t>
      </w:r>
      <w:r w:rsidRPr="00B20A34">
        <w:rPr>
          <w:i/>
          <w:iCs/>
          <w:lang w:val="en-GB"/>
        </w:rPr>
        <w:t>Sustainability</w:t>
      </w:r>
      <w:r w:rsidRPr="004A02DF">
        <w:rPr>
          <w:lang w:val="en-GB"/>
        </w:rPr>
        <w:t xml:space="preserve">, </w:t>
      </w:r>
      <w:r w:rsidRPr="00B20A34">
        <w:rPr>
          <w:i/>
          <w:iCs/>
          <w:lang w:val="en-GB"/>
        </w:rPr>
        <w:t>16</w:t>
      </w:r>
      <w:r w:rsidRPr="00B20A34">
        <w:rPr>
          <w:lang w:val="en-GB"/>
        </w:rPr>
        <w:t xml:space="preserve">(10), 4111. </w:t>
      </w:r>
      <w:hyperlink r:id="rId55" w:history="1">
        <w:r w:rsidRPr="00B20A34">
          <w:rPr>
            <w:rStyle w:val="UyteHipercze"/>
            <w:color w:val="auto"/>
            <w:u w:val="none"/>
            <w:lang w:val="en-GB"/>
          </w:rPr>
          <w:t>https://doi.org/10.3390/su16104111</w:t>
        </w:r>
      </w:hyperlink>
    </w:p>
    <w:p w14:paraId="462830A5" w14:textId="77777777" w:rsidR="00F15CB8" w:rsidRPr="00B20A34" w:rsidRDefault="00F15CB8" w:rsidP="00487F23">
      <w:pPr>
        <w:pStyle w:val="Rlit"/>
        <w:rPr>
          <w:lang w:val="en-GB"/>
        </w:rPr>
      </w:pPr>
      <w:proofErr w:type="spellStart"/>
      <w:r w:rsidRPr="00B20A34">
        <w:rPr>
          <w:lang w:val="en-GB"/>
        </w:rPr>
        <w:t>Radziejowska</w:t>
      </w:r>
      <w:proofErr w:type="spellEnd"/>
      <w:r w:rsidRPr="00B20A34">
        <w:rPr>
          <w:lang w:val="en-GB"/>
        </w:rPr>
        <w:t xml:space="preserve">, A., &amp; Sobotka, B. (2021). Analysis of the social aspect of smart cities development for the example of smart sustainable buildings. </w:t>
      </w:r>
      <w:r w:rsidRPr="00B20A34">
        <w:rPr>
          <w:rStyle w:val="Uwydatnienie"/>
          <w:lang w:val="en-GB"/>
        </w:rPr>
        <w:t>Energies</w:t>
      </w:r>
      <w:r w:rsidRPr="004A02DF">
        <w:rPr>
          <w:rStyle w:val="Uwydatnienie"/>
          <w:i w:val="0"/>
          <w:iCs w:val="0"/>
          <w:lang w:val="en-GB"/>
        </w:rPr>
        <w:t xml:space="preserve">, </w:t>
      </w:r>
      <w:r w:rsidRPr="00B20A34">
        <w:rPr>
          <w:rStyle w:val="Uwydatnienie"/>
          <w:lang w:val="en-GB"/>
        </w:rPr>
        <w:t>14</w:t>
      </w:r>
      <w:r w:rsidRPr="00B20A34">
        <w:rPr>
          <w:rStyle w:val="Uwydatnienie"/>
          <w:i w:val="0"/>
          <w:iCs w:val="0"/>
          <w:lang w:val="en-GB"/>
        </w:rPr>
        <w:t>(14)</w:t>
      </w:r>
      <w:r w:rsidRPr="00B20A34">
        <w:rPr>
          <w:lang w:val="en-GB"/>
        </w:rPr>
        <w:t xml:space="preserve">, 4330. </w:t>
      </w:r>
      <w:hyperlink r:id="rId56" w:history="1">
        <w:r w:rsidRPr="00B20A34">
          <w:rPr>
            <w:rStyle w:val="UyteHipercze"/>
            <w:color w:val="auto"/>
            <w:u w:val="none"/>
            <w:lang w:val="en-GB"/>
          </w:rPr>
          <w:t>https://doi.org/10.3390/en14144330</w:t>
        </w:r>
      </w:hyperlink>
    </w:p>
    <w:p w14:paraId="0EDEF1BA" w14:textId="00EF19EA" w:rsidR="00F15CB8" w:rsidRPr="00D50BD6" w:rsidRDefault="00F15CB8" w:rsidP="001C3E75">
      <w:pPr>
        <w:pStyle w:val="Rlit"/>
        <w:jc w:val="left"/>
        <w:rPr>
          <w:lang w:val="pl-PL"/>
        </w:rPr>
      </w:pPr>
      <w:r w:rsidRPr="00B20A34">
        <w:rPr>
          <w:lang w:val="en-GB"/>
        </w:rPr>
        <w:t xml:space="preserve">Rahman, M., Chowdhury, S., Zayed, N.M., Imran, M.A., Hanzhurenko, I., &amp; </w:t>
      </w:r>
      <w:proofErr w:type="spellStart"/>
      <w:r w:rsidRPr="00B20A34">
        <w:rPr>
          <w:lang w:val="en-GB"/>
        </w:rPr>
        <w:t>Nitsenko</w:t>
      </w:r>
      <w:proofErr w:type="spellEnd"/>
      <w:r w:rsidRPr="00B20A34">
        <w:rPr>
          <w:lang w:val="en-GB"/>
        </w:rPr>
        <w:t xml:space="preserve">, V. (2022). Does globalization trigger an ecological footprint? A time series analysis of Bangladesh. </w:t>
      </w:r>
      <w:r w:rsidRPr="00D50BD6">
        <w:rPr>
          <w:i/>
          <w:iCs/>
          <w:lang w:val="pl-PL"/>
        </w:rPr>
        <w:t>Rocznik Ochrona Środowiska</w:t>
      </w:r>
      <w:r w:rsidRPr="00D50BD6">
        <w:rPr>
          <w:lang w:val="pl-PL"/>
        </w:rPr>
        <w:t xml:space="preserve">, </w:t>
      </w:r>
      <w:r w:rsidRPr="00D50BD6">
        <w:rPr>
          <w:i/>
          <w:iCs/>
          <w:lang w:val="pl-PL"/>
        </w:rPr>
        <w:t>24</w:t>
      </w:r>
      <w:r w:rsidRPr="00D50BD6">
        <w:rPr>
          <w:lang w:val="pl-PL"/>
        </w:rPr>
        <w:t xml:space="preserve">, </w:t>
      </w:r>
      <w:r w:rsidR="001C3E75" w:rsidRPr="00D50BD6">
        <w:rPr>
          <w:lang w:val="pl-PL"/>
        </w:rPr>
        <w:br/>
      </w:r>
      <w:r w:rsidRPr="00D50BD6">
        <w:rPr>
          <w:lang w:val="pl-PL"/>
        </w:rPr>
        <w:t>141</w:t>
      </w:r>
      <w:r w:rsidR="001C3E75" w:rsidRPr="00D50BD6">
        <w:rPr>
          <w:lang w:val="pl-PL"/>
        </w:rPr>
        <w:t>–</w:t>
      </w:r>
      <w:r w:rsidRPr="00D50BD6">
        <w:rPr>
          <w:lang w:val="pl-PL"/>
        </w:rPr>
        <w:t>162. </w:t>
      </w:r>
      <w:hyperlink r:id="rId57" w:tgtFrame="_blank" w:history="1">
        <w:r w:rsidRPr="00D50BD6">
          <w:rPr>
            <w:rStyle w:val="UyteHipercze"/>
            <w:color w:val="auto"/>
            <w:u w:val="none"/>
            <w:lang w:val="pl-PL"/>
          </w:rPr>
          <w:t>https://doi.org/10.54740/ros.2022.011</w:t>
        </w:r>
      </w:hyperlink>
    </w:p>
    <w:p w14:paraId="19EC2080" w14:textId="6FC1D3CA" w:rsidR="00F15CB8" w:rsidRPr="00B20A34" w:rsidRDefault="00F15CB8" w:rsidP="00487F23">
      <w:pPr>
        <w:pStyle w:val="Rlit"/>
        <w:rPr>
          <w:lang w:val="en-GB"/>
        </w:rPr>
      </w:pPr>
      <w:proofErr w:type="spellStart"/>
      <w:r w:rsidRPr="00D50BD6">
        <w:rPr>
          <w:lang w:val="pl-PL"/>
        </w:rPr>
        <w:t>Raihan</w:t>
      </w:r>
      <w:proofErr w:type="spellEnd"/>
      <w:r w:rsidRPr="00D50BD6">
        <w:rPr>
          <w:lang w:val="pl-PL"/>
        </w:rPr>
        <w:t xml:space="preserve">, A., </w:t>
      </w:r>
      <w:proofErr w:type="spellStart"/>
      <w:r w:rsidRPr="00D50BD6">
        <w:rPr>
          <w:lang w:val="pl-PL"/>
        </w:rPr>
        <w:t>Rashid</w:t>
      </w:r>
      <w:proofErr w:type="spellEnd"/>
      <w:r w:rsidRPr="00D50BD6">
        <w:rPr>
          <w:lang w:val="pl-PL"/>
        </w:rPr>
        <w:t xml:space="preserve">, M., </w:t>
      </w:r>
      <w:proofErr w:type="spellStart"/>
      <w:r w:rsidRPr="00D50BD6">
        <w:rPr>
          <w:lang w:val="pl-PL"/>
        </w:rPr>
        <w:t>Voumik</w:t>
      </w:r>
      <w:proofErr w:type="spellEnd"/>
      <w:r w:rsidRPr="00D50BD6">
        <w:rPr>
          <w:lang w:val="pl-PL"/>
        </w:rPr>
        <w:t xml:space="preserve">, L.C., </w:t>
      </w:r>
      <w:proofErr w:type="spellStart"/>
      <w:r w:rsidRPr="00D50BD6">
        <w:rPr>
          <w:lang w:val="pl-PL"/>
        </w:rPr>
        <w:t>Akter</w:t>
      </w:r>
      <w:proofErr w:type="spellEnd"/>
      <w:r w:rsidRPr="00D50BD6">
        <w:rPr>
          <w:lang w:val="pl-PL"/>
        </w:rPr>
        <w:t xml:space="preserve">, S., &amp; </w:t>
      </w:r>
      <w:proofErr w:type="spellStart"/>
      <w:r w:rsidRPr="00D50BD6">
        <w:rPr>
          <w:lang w:val="pl-PL"/>
        </w:rPr>
        <w:t>Esquivias</w:t>
      </w:r>
      <w:proofErr w:type="spellEnd"/>
      <w:r w:rsidRPr="00D50BD6">
        <w:rPr>
          <w:lang w:val="pl-PL"/>
        </w:rPr>
        <w:t xml:space="preserve">, M. A. (2023). </w:t>
      </w:r>
      <w:r w:rsidRPr="00B20A34">
        <w:rPr>
          <w:lang w:val="en-GB"/>
        </w:rPr>
        <w:t xml:space="preserve">The dynamic impacts of economic growth, financial globalization, fossil fuel, renewable energy, and urbanization on load capacity factor in Mexico. </w:t>
      </w:r>
      <w:r w:rsidRPr="00B20A34">
        <w:rPr>
          <w:i/>
          <w:iCs/>
          <w:lang w:val="en-GB"/>
        </w:rPr>
        <w:t>Sustainability</w:t>
      </w:r>
      <w:r w:rsidRPr="001C3E75">
        <w:rPr>
          <w:lang w:val="en-GB"/>
        </w:rPr>
        <w:t xml:space="preserve">, </w:t>
      </w:r>
      <w:r w:rsidRPr="00B20A34">
        <w:rPr>
          <w:i/>
          <w:iCs/>
          <w:lang w:val="en-GB"/>
        </w:rPr>
        <w:t>15</w:t>
      </w:r>
      <w:r w:rsidRPr="00B20A34">
        <w:rPr>
          <w:lang w:val="en-GB"/>
        </w:rPr>
        <w:t xml:space="preserve">(18), 13462. </w:t>
      </w:r>
      <w:hyperlink r:id="rId58" w:history="1">
        <w:r w:rsidRPr="00B20A34">
          <w:rPr>
            <w:rStyle w:val="UyteHipercze"/>
            <w:color w:val="auto"/>
            <w:u w:val="none"/>
            <w:lang w:val="en-GB"/>
          </w:rPr>
          <w:t>https://doi.org/10.3390/su151813462</w:t>
        </w:r>
      </w:hyperlink>
    </w:p>
    <w:p w14:paraId="12A77D42" w14:textId="1C2B61FE" w:rsidR="00F15CB8" w:rsidRPr="001C3E75" w:rsidRDefault="00F15CB8" w:rsidP="001C3E75">
      <w:pPr>
        <w:pStyle w:val="Rlit"/>
        <w:jc w:val="left"/>
        <w:rPr>
          <w:spacing w:val="2"/>
          <w:lang w:val="en-GB"/>
        </w:rPr>
      </w:pPr>
      <w:proofErr w:type="spellStart"/>
      <w:r w:rsidRPr="00B20A34">
        <w:rPr>
          <w:lang w:val="en-GB"/>
        </w:rPr>
        <w:t>Saduakasovna</w:t>
      </w:r>
      <w:proofErr w:type="spellEnd"/>
      <w:r w:rsidRPr="00B20A34">
        <w:rPr>
          <w:lang w:val="en-GB"/>
        </w:rPr>
        <w:t xml:space="preserve">, A.A., </w:t>
      </w:r>
      <w:proofErr w:type="spellStart"/>
      <w:r w:rsidRPr="00B20A34">
        <w:rPr>
          <w:lang w:val="en-GB"/>
        </w:rPr>
        <w:t>Kuandykovna</w:t>
      </w:r>
      <w:proofErr w:type="spellEnd"/>
      <w:r w:rsidRPr="00B20A34">
        <w:rPr>
          <w:lang w:val="en-GB"/>
        </w:rPr>
        <w:t xml:space="preserve">, K.A., </w:t>
      </w:r>
      <w:proofErr w:type="spellStart"/>
      <w:r w:rsidRPr="00B20A34">
        <w:rPr>
          <w:lang w:val="en-GB"/>
        </w:rPr>
        <w:t>Karahanovna</w:t>
      </w:r>
      <w:proofErr w:type="spellEnd"/>
      <w:r w:rsidRPr="00B20A34">
        <w:rPr>
          <w:lang w:val="en-GB"/>
        </w:rPr>
        <w:t xml:space="preserve">, S.U., </w:t>
      </w:r>
      <w:proofErr w:type="spellStart"/>
      <w:r w:rsidRPr="00B20A34">
        <w:rPr>
          <w:lang w:val="en-GB"/>
        </w:rPr>
        <w:t>Kuanyshbekovna</w:t>
      </w:r>
      <w:proofErr w:type="spellEnd"/>
      <w:r w:rsidRPr="00B20A34">
        <w:rPr>
          <w:lang w:val="en-GB"/>
        </w:rPr>
        <w:t xml:space="preserve">, M.A., </w:t>
      </w:r>
      <w:proofErr w:type="spellStart"/>
      <w:r w:rsidRPr="00B20A34">
        <w:rPr>
          <w:lang w:val="en-GB"/>
        </w:rPr>
        <w:t>Amangeldievna</w:t>
      </w:r>
      <w:proofErr w:type="spellEnd"/>
      <w:r w:rsidRPr="00B20A34">
        <w:rPr>
          <w:lang w:val="en-GB"/>
        </w:rPr>
        <w:t xml:space="preserve">, D.S., </w:t>
      </w:r>
      <w:proofErr w:type="spellStart"/>
      <w:r w:rsidRPr="00B20A34">
        <w:rPr>
          <w:lang w:val="en-GB"/>
        </w:rPr>
        <w:t>Muhtarovich</w:t>
      </w:r>
      <w:proofErr w:type="spellEnd"/>
      <w:r w:rsidRPr="00B20A34">
        <w:rPr>
          <w:lang w:val="en-GB"/>
        </w:rPr>
        <w:t>, B.N., &amp;</w:t>
      </w:r>
      <w:r w:rsidR="001C3E75">
        <w:rPr>
          <w:lang w:val="en-GB"/>
        </w:rPr>
        <w:t xml:space="preserve"> </w:t>
      </w:r>
      <w:r w:rsidRPr="00B20A34">
        <w:rPr>
          <w:lang w:val="en-GB"/>
        </w:rPr>
        <w:t>Zayed, N.M.</w:t>
      </w:r>
      <w:r w:rsidR="001C3E75">
        <w:rPr>
          <w:lang w:val="en-GB"/>
        </w:rPr>
        <w:t xml:space="preserve"> </w:t>
      </w:r>
      <w:r w:rsidRPr="00B20A34">
        <w:rPr>
          <w:lang w:val="en-GB"/>
        </w:rPr>
        <w:t xml:space="preserve">(2021). Theoretical and applied aspects of the regulation characteristics of a lease of commercial housing. </w:t>
      </w:r>
      <w:r w:rsidRPr="00B20A34">
        <w:rPr>
          <w:i/>
          <w:iCs/>
          <w:lang w:val="en-GB"/>
        </w:rPr>
        <w:t>Journal of Legal, Ethical and Regulatory Issues</w:t>
      </w:r>
      <w:r w:rsidRPr="00B20A34">
        <w:rPr>
          <w:lang w:val="en-GB"/>
        </w:rPr>
        <w:t xml:space="preserve">, </w:t>
      </w:r>
      <w:r w:rsidRPr="00B20A34">
        <w:rPr>
          <w:i/>
          <w:iCs/>
          <w:lang w:val="en-GB"/>
        </w:rPr>
        <w:t>24</w:t>
      </w:r>
      <w:r w:rsidRPr="00B20A34">
        <w:rPr>
          <w:lang w:val="en-GB"/>
        </w:rPr>
        <w:t>(3), 1</w:t>
      </w:r>
      <w:r w:rsidR="001C3E75">
        <w:rPr>
          <w:lang w:val="en-GB"/>
        </w:rPr>
        <w:t>–</w:t>
      </w:r>
      <w:r w:rsidRPr="00B20A34">
        <w:rPr>
          <w:lang w:val="en-GB"/>
        </w:rPr>
        <w:t>7.</w:t>
      </w:r>
      <w:r w:rsidR="001C3E75">
        <w:rPr>
          <w:lang w:val="en-GB"/>
        </w:rPr>
        <w:t xml:space="preserve"> </w:t>
      </w:r>
      <w:hyperlink r:id="rId59" w:tgtFrame="_blank" w:history="1">
        <w:r w:rsidRPr="009C35B9">
          <w:rPr>
            <w:rStyle w:val="UyteHipercze"/>
            <w:color w:val="auto"/>
            <w:spacing w:val="-2"/>
            <w:u w:val="none"/>
            <w:lang w:val="en-GB"/>
          </w:rPr>
          <w:t>https://www.abacademies.org/articles/theoretical-and-applied-aspects-of-the-regulation-C-1544-0044-24-4-679.pdf</w:t>
        </w:r>
      </w:hyperlink>
    </w:p>
    <w:p w14:paraId="3E7D0DA4" w14:textId="4FCC2F14" w:rsidR="00F15CB8" w:rsidRPr="00B20A34" w:rsidRDefault="00F15CB8" w:rsidP="001C3E75">
      <w:pPr>
        <w:pStyle w:val="Rlit"/>
        <w:jc w:val="left"/>
        <w:rPr>
          <w:lang w:val="en-GB"/>
        </w:rPr>
      </w:pPr>
      <w:r w:rsidRPr="00B20A34">
        <w:rPr>
          <w:lang w:val="en-GB"/>
        </w:rPr>
        <w:t xml:space="preserve">Svyrydenko, D., &amp; Revin, F. (2024). Public-public Partnership Through the Prism of Responsible Citizenship Philosophy: Global Tendencies and Ukrainian Perspective. </w:t>
      </w:r>
      <w:r w:rsidRPr="00B20A34">
        <w:rPr>
          <w:i/>
          <w:iCs/>
          <w:lang w:val="en-GB"/>
        </w:rPr>
        <w:t>Philosophy and Cosmology</w:t>
      </w:r>
      <w:r w:rsidRPr="00B20A34">
        <w:rPr>
          <w:lang w:val="en-GB"/>
        </w:rPr>
        <w:t xml:space="preserve">, </w:t>
      </w:r>
      <w:r w:rsidRPr="001C3E75">
        <w:rPr>
          <w:i/>
          <w:iCs/>
          <w:lang w:val="en-GB"/>
        </w:rPr>
        <w:t>33</w:t>
      </w:r>
      <w:r w:rsidRPr="00B20A34">
        <w:rPr>
          <w:lang w:val="en-GB"/>
        </w:rPr>
        <w:t>, 134</w:t>
      </w:r>
      <w:r w:rsidR="001C3E75">
        <w:rPr>
          <w:lang w:val="en-GB"/>
        </w:rPr>
        <w:t>–</w:t>
      </w:r>
      <w:r w:rsidRPr="00B20A34">
        <w:rPr>
          <w:lang w:val="en-GB"/>
        </w:rPr>
        <w:t>146. https://doi.org/10.29202/phil-cosm/33/5</w:t>
      </w:r>
    </w:p>
    <w:p w14:paraId="5E811D0D" w14:textId="628D6FB9" w:rsidR="00F15CB8" w:rsidRPr="00B20A34" w:rsidRDefault="00F15CB8" w:rsidP="001C3E75">
      <w:pPr>
        <w:pStyle w:val="Rlit"/>
        <w:jc w:val="left"/>
        <w:rPr>
          <w:lang w:val="en-GB"/>
        </w:rPr>
      </w:pPr>
      <w:proofErr w:type="spellStart"/>
      <w:r w:rsidRPr="00B20A34">
        <w:rPr>
          <w:lang w:val="en-GB"/>
        </w:rPr>
        <w:t>Vadgama</w:t>
      </w:r>
      <w:proofErr w:type="spellEnd"/>
      <w:r w:rsidRPr="00B20A34">
        <w:rPr>
          <w:lang w:val="en-GB"/>
        </w:rPr>
        <w:t xml:space="preserve">, C., </w:t>
      </w:r>
      <w:proofErr w:type="spellStart"/>
      <w:r w:rsidRPr="00B20A34">
        <w:rPr>
          <w:lang w:val="en-GB"/>
        </w:rPr>
        <w:t>Khutwad</w:t>
      </w:r>
      <w:proofErr w:type="spellEnd"/>
      <w:r w:rsidRPr="00B20A34">
        <w:rPr>
          <w:lang w:val="en-GB"/>
        </w:rPr>
        <w:t xml:space="preserve">, A., Damle, M., &amp; Patil, S. (2015). </w:t>
      </w:r>
      <w:r w:rsidRPr="00B20A34">
        <w:rPr>
          <w:rStyle w:val="Uwydatnienie"/>
          <w:i w:val="0"/>
          <w:iCs w:val="0"/>
          <w:lang w:val="en-GB"/>
        </w:rPr>
        <w:t>Smart funding options for developing smart cities: A proposal for India.</w:t>
      </w:r>
      <w:r w:rsidRPr="00B20A34">
        <w:rPr>
          <w:i/>
          <w:iCs/>
          <w:lang w:val="en-GB"/>
        </w:rPr>
        <w:t xml:space="preserve"> Indian Journal of Science and Technology</w:t>
      </w:r>
      <w:r w:rsidRPr="001C3E75">
        <w:rPr>
          <w:lang w:val="en-GB"/>
        </w:rPr>
        <w:t xml:space="preserve">, </w:t>
      </w:r>
      <w:r w:rsidRPr="001C3E75">
        <w:rPr>
          <w:i/>
          <w:iCs/>
          <w:lang w:val="en-GB"/>
        </w:rPr>
        <w:t>8</w:t>
      </w:r>
      <w:r w:rsidRPr="00B20A34">
        <w:rPr>
          <w:lang w:val="en-GB"/>
        </w:rPr>
        <w:t>(34),</w:t>
      </w:r>
      <w:r w:rsidR="001C3E75">
        <w:rPr>
          <w:lang w:val="en-GB"/>
        </w:rPr>
        <w:t xml:space="preserve"> </w:t>
      </w:r>
      <w:r w:rsidRPr="00B20A34">
        <w:rPr>
          <w:lang w:val="en-GB"/>
        </w:rPr>
        <w:t>1</w:t>
      </w:r>
      <w:r w:rsidR="001C3E75">
        <w:rPr>
          <w:lang w:val="en-GB"/>
        </w:rPr>
        <w:t>–</w:t>
      </w:r>
      <w:r w:rsidRPr="00B20A34">
        <w:rPr>
          <w:lang w:val="en-GB"/>
        </w:rPr>
        <w:t>12</w:t>
      </w:r>
      <w:r w:rsidRPr="00B20A34">
        <w:rPr>
          <w:i/>
          <w:iCs/>
          <w:lang w:val="en-GB"/>
        </w:rPr>
        <w:t>.</w:t>
      </w:r>
      <w:r w:rsidRPr="00B20A34">
        <w:rPr>
          <w:lang w:val="en-GB"/>
        </w:rPr>
        <w:t xml:space="preserve"> </w:t>
      </w:r>
      <w:hyperlink r:id="rId60" w:history="1">
        <w:r w:rsidRPr="00B20A34">
          <w:rPr>
            <w:rStyle w:val="UyteHipercze"/>
            <w:color w:val="auto"/>
            <w:u w:val="none"/>
            <w:lang w:val="en-GB"/>
          </w:rPr>
          <w:t>https://doi.org/10.17485/ijst/2015/v8i34/85418</w:t>
        </w:r>
      </w:hyperlink>
    </w:p>
    <w:p w14:paraId="1A4458B6" w14:textId="77777777" w:rsidR="00F15CB8" w:rsidRPr="00B20A34" w:rsidRDefault="00F15CB8" w:rsidP="001C3E75">
      <w:pPr>
        <w:pStyle w:val="Rlit"/>
        <w:jc w:val="left"/>
        <w:rPr>
          <w:lang w:val="en-GB"/>
        </w:rPr>
      </w:pPr>
      <w:r w:rsidRPr="00B20A34">
        <w:rPr>
          <w:lang w:val="en-GB"/>
        </w:rPr>
        <w:t xml:space="preserve">Viitanen, J., &amp; Kingston, R. (2014). Smart cities and green growth: Outsourcing democratic and environmental resilience to the global technology sector. </w:t>
      </w:r>
      <w:r w:rsidRPr="00B20A34">
        <w:rPr>
          <w:i/>
          <w:iCs/>
          <w:lang w:val="en-GB"/>
        </w:rPr>
        <w:t>Environment and Planning A: Economy and Space</w:t>
      </w:r>
      <w:r w:rsidRPr="001C3E75">
        <w:rPr>
          <w:lang w:val="en-GB"/>
        </w:rPr>
        <w:t xml:space="preserve">, </w:t>
      </w:r>
      <w:r w:rsidRPr="00B20A34">
        <w:rPr>
          <w:i/>
          <w:iCs/>
          <w:lang w:val="en-GB"/>
        </w:rPr>
        <w:t>46</w:t>
      </w:r>
      <w:r w:rsidRPr="00B20A34">
        <w:rPr>
          <w:lang w:val="en-GB"/>
        </w:rPr>
        <w:t xml:space="preserve">(4), 803–819. </w:t>
      </w:r>
      <w:hyperlink r:id="rId61" w:history="1">
        <w:r w:rsidRPr="00B20A34">
          <w:rPr>
            <w:rStyle w:val="UyteHipercze"/>
            <w:color w:val="auto"/>
            <w:u w:val="none"/>
            <w:lang w:val="en-GB"/>
          </w:rPr>
          <w:t>https://doi.org/10.1068/a46242</w:t>
        </w:r>
      </w:hyperlink>
    </w:p>
    <w:p w14:paraId="4B0C018D" w14:textId="77777777" w:rsidR="00F15CB8" w:rsidRPr="00B20A34" w:rsidRDefault="00F15CB8" w:rsidP="001C3E75">
      <w:pPr>
        <w:pStyle w:val="Rlit"/>
        <w:jc w:val="left"/>
        <w:rPr>
          <w:lang w:val="en-GB"/>
        </w:rPr>
      </w:pPr>
      <w:proofErr w:type="spellStart"/>
      <w:r w:rsidRPr="00B20A34">
        <w:rPr>
          <w:lang w:val="en-GB"/>
        </w:rPr>
        <w:t>Vuruşan</w:t>
      </w:r>
      <w:proofErr w:type="spellEnd"/>
      <w:r w:rsidRPr="00B20A34">
        <w:rPr>
          <w:lang w:val="en-GB"/>
        </w:rPr>
        <w:t xml:space="preserve">, O., &amp; Nafa, H. (2026). Improving the energy performance of residential buildings through solar renewable energy systems and smart building technologies: The Cyprus example. </w:t>
      </w:r>
      <w:r w:rsidRPr="00B20A34">
        <w:rPr>
          <w:i/>
          <w:iCs/>
          <w:lang w:val="en-GB"/>
        </w:rPr>
        <w:t>Sustainability</w:t>
      </w:r>
      <w:r w:rsidRPr="00B20A34">
        <w:rPr>
          <w:lang w:val="en-GB"/>
        </w:rPr>
        <w:t xml:space="preserve">, </w:t>
      </w:r>
      <w:r w:rsidRPr="00B20A34">
        <w:rPr>
          <w:i/>
          <w:iCs/>
          <w:lang w:val="en-GB"/>
        </w:rPr>
        <w:t>18</w:t>
      </w:r>
      <w:r w:rsidRPr="00B20A34">
        <w:rPr>
          <w:lang w:val="en-GB"/>
        </w:rPr>
        <w:t xml:space="preserve">(3), 1195. </w:t>
      </w:r>
      <w:hyperlink r:id="rId62" w:history="1">
        <w:r w:rsidRPr="00B20A34">
          <w:rPr>
            <w:rStyle w:val="UyteHipercze"/>
            <w:color w:val="auto"/>
            <w:u w:val="none"/>
            <w:lang w:val="en-GB"/>
          </w:rPr>
          <w:t>https://doi.org/10.3390/su18031195</w:t>
        </w:r>
      </w:hyperlink>
    </w:p>
    <w:p w14:paraId="26A46A59" w14:textId="77777777" w:rsidR="00F15CB8" w:rsidRPr="00B20A34" w:rsidRDefault="00F15CB8" w:rsidP="00487F23">
      <w:pPr>
        <w:pStyle w:val="Rlit"/>
        <w:rPr>
          <w:lang w:val="en-GB"/>
        </w:rPr>
      </w:pPr>
      <w:r w:rsidRPr="00B20A34">
        <w:rPr>
          <w:lang w:val="en-GB"/>
        </w:rPr>
        <w:t xml:space="preserve">Yaremenko, V. (2025). Digital technologies in green entrepreneurship. </w:t>
      </w:r>
      <w:r w:rsidRPr="00B20A34">
        <w:rPr>
          <w:i/>
          <w:iCs/>
          <w:lang w:val="en-GB"/>
        </w:rPr>
        <w:t>Collection of Scientific Papers "Scientific Notes"</w:t>
      </w:r>
      <w:r w:rsidRPr="001C3E75">
        <w:rPr>
          <w:lang w:val="en-GB"/>
        </w:rPr>
        <w:t xml:space="preserve">, </w:t>
      </w:r>
      <w:r w:rsidRPr="00B20A34">
        <w:rPr>
          <w:lang w:val="en-GB"/>
        </w:rPr>
        <w:t xml:space="preserve">40(3), 309–319. </w:t>
      </w:r>
      <w:hyperlink r:id="rId63" w:history="1">
        <w:r w:rsidRPr="00B20A34">
          <w:rPr>
            <w:rStyle w:val="UyteHipercze"/>
            <w:color w:val="auto"/>
            <w:u w:val="none"/>
            <w:lang w:val="en-GB"/>
          </w:rPr>
          <w:t>http://doi.org/10.33111/vz_kneu.40.25.03.26.178.184</w:t>
        </w:r>
      </w:hyperlink>
    </w:p>
    <w:p w14:paraId="0C908FEF" w14:textId="77777777" w:rsidR="00F15CB8" w:rsidRPr="00B20A34" w:rsidRDefault="00F15CB8" w:rsidP="00487F23">
      <w:pPr>
        <w:pStyle w:val="Rlit"/>
        <w:rPr>
          <w:lang w:val="en-GB"/>
        </w:rPr>
      </w:pPr>
      <w:proofErr w:type="spellStart"/>
      <w:r w:rsidRPr="00B20A34">
        <w:rPr>
          <w:lang w:val="en-GB"/>
        </w:rPr>
        <w:t>Yigitcanlar</w:t>
      </w:r>
      <w:proofErr w:type="spellEnd"/>
      <w:r w:rsidRPr="00B20A34">
        <w:rPr>
          <w:lang w:val="en-GB"/>
        </w:rPr>
        <w:t xml:space="preserve">, T., &amp; Lee, S.H. (2014). </w:t>
      </w:r>
      <w:r w:rsidRPr="00B20A34">
        <w:rPr>
          <w:rStyle w:val="Uwydatnienie"/>
          <w:i w:val="0"/>
          <w:iCs w:val="0"/>
          <w:lang w:val="en-GB"/>
        </w:rPr>
        <w:t>Korean ubiquitous-eco-city: A smart</w:t>
      </w:r>
      <w:r w:rsidRPr="00B20A34">
        <w:rPr>
          <w:rStyle w:val="Uwydatnienie"/>
          <w:i w:val="0"/>
          <w:iCs w:val="0"/>
          <w:lang w:val="en-GB"/>
        </w:rPr>
        <w:noBreakHyphen/>
        <w:t>sustainable urban form or a branding hoax?</w:t>
      </w:r>
      <w:r w:rsidRPr="00B20A34">
        <w:rPr>
          <w:lang w:val="en-GB"/>
        </w:rPr>
        <w:t xml:space="preserve"> </w:t>
      </w:r>
      <w:r w:rsidRPr="00B20A34">
        <w:rPr>
          <w:rStyle w:val="Uwydatnienie"/>
          <w:lang w:val="en-GB"/>
        </w:rPr>
        <w:t xml:space="preserve">Technological Forecasting and Social Change, </w:t>
      </w:r>
      <w:r w:rsidRPr="00B20A34">
        <w:rPr>
          <w:rStyle w:val="Uwydatnienie"/>
          <w:i w:val="0"/>
          <w:iCs w:val="0"/>
          <w:lang w:val="en-GB"/>
        </w:rPr>
        <w:t>89</w:t>
      </w:r>
      <w:r w:rsidRPr="00B20A34">
        <w:rPr>
          <w:i/>
          <w:iCs/>
          <w:lang w:val="en-GB"/>
        </w:rPr>
        <w:t xml:space="preserve">, </w:t>
      </w:r>
      <w:r w:rsidRPr="00B20A34">
        <w:rPr>
          <w:lang w:val="en-GB"/>
        </w:rPr>
        <w:t xml:space="preserve">100–114. </w:t>
      </w:r>
      <w:hyperlink r:id="rId64" w:history="1">
        <w:r w:rsidRPr="00B20A34">
          <w:rPr>
            <w:rStyle w:val="UyteHipercze"/>
            <w:color w:val="auto"/>
            <w:u w:val="none"/>
            <w:lang w:val="en-GB"/>
          </w:rPr>
          <w:t>https://doi.org/10.1016/j.techfore.2013.08.034</w:t>
        </w:r>
      </w:hyperlink>
    </w:p>
    <w:p w14:paraId="20EE6EC3" w14:textId="77777777" w:rsidR="00F15CB8" w:rsidRPr="00B20A34" w:rsidRDefault="00F15CB8" w:rsidP="00487F23">
      <w:pPr>
        <w:pStyle w:val="Rlit"/>
        <w:rPr>
          <w:lang w:val="en-GB"/>
        </w:rPr>
      </w:pPr>
      <w:r w:rsidRPr="00B20A34">
        <w:rPr>
          <w:lang w:val="en-GB"/>
        </w:rPr>
        <w:t>Zaidan, E. (2023). From planning cities to sustaining communities: Smart and sustainable urban strategies for the post-carbon transition in the Gulf states</w:t>
      </w:r>
      <w:r w:rsidRPr="00B20A34">
        <w:rPr>
          <w:i/>
          <w:iCs/>
          <w:lang w:val="en-GB"/>
        </w:rPr>
        <w:t xml:space="preserve">. </w:t>
      </w:r>
      <w:r w:rsidRPr="00B20A34">
        <w:rPr>
          <w:lang w:val="en-GB"/>
        </w:rPr>
        <w:t>In L. Cochrane &amp; R. Al-</w:t>
      </w:r>
      <w:proofErr w:type="spellStart"/>
      <w:r w:rsidRPr="00B20A34">
        <w:rPr>
          <w:lang w:val="en-GB"/>
        </w:rPr>
        <w:t>Hababi</w:t>
      </w:r>
      <w:proofErr w:type="spellEnd"/>
      <w:r w:rsidRPr="00B20A34">
        <w:rPr>
          <w:lang w:val="en-GB"/>
        </w:rPr>
        <w:t xml:space="preserve"> (Eds.). </w:t>
      </w:r>
      <w:r w:rsidRPr="00B20A34">
        <w:rPr>
          <w:rStyle w:val="Uwydatnienie"/>
          <w:lang w:val="en-GB"/>
        </w:rPr>
        <w:t>Sustainable Qatar</w:t>
      </w:r>
      <w:r w:rsidRPr="00B20A34">
        <w:rPr>
          <w:lang w:val="en-GB"/>
        </w:rPr>
        <w:t xml:space="preserve"> </w:t>
      </w:r>
      <w:r w:rsidRPr="00B20A34">
        <w:rPr>
          <w:i/>
          <w:iCs/>
          <w:lang w:val="en-GB"/>
        </w:rPr>
        <w:t xml:space="preserve">(Gulf Studies, 9). </w:t>
      </w:r>
      <w:r w:rsidRPr="00B20A34">
        <w:rPr>
          <w:lang w:val="en-GB"/>
        </w:rPr>
        <w:t xml:space="preserve">Springer. </w:t>
      </w:r>
      <w:hyperlink r:id="rId65" w:history="1">
        <w:r w:rsidRPr="00B20A34">
          <w:rPr>
            <w:rStyle w:val="UyteHipercze"/>
            <w:color w:val="auto"/>
            <w:u w:val="none"/>
            <w:lang w:val="en-GB"/>
          </w:rPr>
          <w:t>https://doi.org/10.1007/978-981-19-7398-7_15</w:t>
        </w:r>
      </w:hyperlink>
    </w:p>
    <w:p w14:paraId="761BE562" w14:textId="21307230" w:rsidR="00F15CB8" w:rsidRPr="00B20A34" w:rsidRDefault="00F15CB8" w:rsidP="00487F23">
      <w:pPr>
        <w:pStyle w:val="Rlit"/>
        <w:rPr>
          <w:lang w:val="en-GB"/>
        </w:rPr>
      </w:pPr>
      <w:r w:rsidRPr="00B20A34">
        <w:rPr>
          <w:lang w:val="en-GB"/>
        </w:rPr>
        <w:t xml:space="preserve">Zayed N. M, Nahid, N. R., Ani, N. A., Tkachenko, O., </w:t>
      </w:r>
      <w:proofErr w:type="spellStart"/>
      <w:r w:rsidRPr="00B20A34">
        <w:rPr>
          <w:lang w:val="en-GB"/>
        </w:rPr>
        <w:t>Varaksina</w:t>
      </w:r>
      <w:proofErr w:type="spellEnd"/>
      <w:r w:rsidRPr="00B20A34">
        <w:rPr>
          <w:lang w:val="en-GB"/>
        </w:rPr>
        <w:t xml:space="preserve">, E., &amp; </w:t>
      </w:r>
      <w:proofErr w:type="spellStart"/>
      <w:r w:rsidRPr="00B20A34">
        <w:rPr>
          <w:lang w:val="en-GB"/>
        </w:rPr>
        <w:t>Shyriaieva</w:t>
      </w:r>
      <w:proofErr w:type="spellEnd"/>
      <w:r w:rsidRPr="00B20A34">
        <w:rPr>
          <w:lang w:val="en-GB"/>
        </w:rPr>
        <w:t>, N. (2026). Impact of urbanization and CO</w:t>
      </w:r>
      <w:r w:rsidRPr="001C3E75">
        <w:rPr>
          <w:vertAlign w:val="subscript"/>
          <w:lang w:val="en-GB"/>
        </w:rPr>
        <w:t>2</w:t>
      </w:r>
      <w:r w:rsidRPr="00B20A34">
        <w:rPr>
          <w:lang w:val="en-GB"/>
        </w:rPr>
        <w:t xml:space="preserve"> emission on GDP: A case study of Ukraine. </w:t>
      </w:r>
      <w:proofErr w:type="spellStart"/>
      <w:r w:rsidRPr="00B20A34">
        <w:rPr>
          <w:i/>
          <w:iCs/>
          <w:lang w:val="en-GB"/>
        </w:rPr>
        <w:t>Naukovyi</w:t>
      </w:r>
      <w:proofErr w:type="spellEnd"/>
      <w:r w:rsidRPr="00B20A34">
        <w:rPr>
          <w:i/>
          <w:iCs/>
          <w:lang w:val="en-GB"/>
        </w:rPr>
        <w:t xml:space="preserve"> </w:t>
      </w:r>
      <w:proofErr w:type="spellStart"/>
      <w:r w:rsidRPr="00B20A34">
        <w:rPr>
          <w:i/>
          <w:iCs/>
          <w:lang w:val="en-GB"/>
        </w:rPr>
        <w:t>Visnyk</w:t>
      </w:r>
      <w:proofErr w:type="spellEnd"/>
      <w:r w:rsidRPr="00B20A34">
        <w:rPr>
          <w:i/>
          <w:iCs/>
          <w:lang w:val="en-GB"/>
        </w:rPr>
        <w:t xml:space="preserve"> </w:t>
      </w:r>
      <w:proofErr w:type="spellStart"/>
      <w:r w:rsidRPr="00B20A34">
        <w:rPr>
          <w:i/>
          <w:iCs/>
          <w:lang w:val="en-GB"/>
        </w:rPr>
        <w:t>Natsionalnoho</w:t>
      </w:r>
      <w:proofErr w:type="spellEnd"/>
      <w:r w:rsidRPr="00B20A34">
        <w:rPr>
          <w:i/>
          <w:iCs/>
          <w:lang w:val="en-GB"/>
        </w:rPr>
        <w:t xml:space="preserve"> </w:t>
      </w:r>
      <w:proofErr w:type="spellStart"/>
      <w:r w:rsidRPr="00B20A34">
        <w:rPr>
          <w:i/>
          <w:iCs/>
          <w:lang w:val="en-GB"/>
        </w:rPr>
        <w:t>Hirnychoho</w:t>
      </w:r>
      <w:proofErr w:type="spellEnd"/>
      <w:r w:rsidRPr="00B20A34">
        <w:rPr>
          <w:i/>
          <w:iCs/>
          <w:lang w:val="en-GB"/>
        </w:rPr>
        <w:t xml:space="preserve"> </w:t>
      </w:r>
      <w:proofErr w:type="spellStart"/>
      <w:r w:rsidRPr="00B20A34">
        <w:rPr>
          <w:i/>
          <w:iCs/>
          <w:lang w:val="en-GB"/>
        </w:rPr>
        <w:t>Universytetu</w:t>
      </w:r>
      <w:proofErr w:type="spellEnd"/>
      <w:r w:rsidRPr="001C3E75">
        <w:rPr>
          <w:lang w:val="en-GB"/>
        </w:rPr>
        <w:t xml:space="preserve">, </w:t>
      </w:r>
      <w:r w:rsidRPr="00B20A34">
        <w:rPr>
          <w:i/>
          <w:iCs/>
          <w:lang w:val="en-GB"/>
        </w:rPr>
        <w:t>1</w:t>
      </w:r>
      <w:r w:rsidRPr="00B20A34">
        <w:rPr>
          <w:lang w:val="en-GB"/>
        </w:rPr>
        <w:t>, 93</w:t>
      </w:r>
      <w:r w:rsidR="001C3E75">
        <w:rPr>
          <w:lang w:val="en-GB"/>
        </w:rPr>
        <w:t>–</w:t>
      </w:r>
      <w:r w:rsidRPr="00B20A34">
        <w:rPr>
          <w:lang w:val="en-GB"/>
        </w:rPr>
        <w:t>99.</w:t>
      </w:r>
      <w:r w:rsidR="001C3E75">
        <w:rPr>
          <w:lang w:val="en-GB"/>
        </w:rPr>
        <w:t xml:space="preserve"> </w:t>
      </w:r>
      <w:hyperlink r:id="rId66" w:tgtFrame="_blank" w:history="1">
        <w:r w:rsidRPr="00B20A34">
          <w:rPr>
            <w:rStyle w:val="UyteHipercze"/>
            <w:color w:val="auto"/>
            <w:u w:val="none"/>
            <w:lang w:val="en-GB"/>
          </w:rPr>
          <w:t>https://doi.org/10.33271/nvngu/2026-1/093</w:t>
        </w:r>
      </w:hyperlink>
    </w:p>
    <w:p w14:paraId="273BE9CC" w14:textId="42FCBB24" w:rsidR="00F15CB8" w:rsidRPr="00D50BD6" w:rsidRDefault="00F15CB8" w:rsidP="00487F23">
      <w:pPr>
        <w:pStyle w:val="Rlit"/>
        <w:rPr>
          <w:lang w:val="pl-PL"/>
        </w:rPr>
      </w:pPr>
      <w:r w:rsidRPr="00B20A34">
        <w:rPr>
          <w:lang w:val="en-GB"/>
        </w:rPr>
        <w:t>Zayed N.M., </w:t>
      </w:r>
      <w:proofErr w:type="spellStart"/>
      <w:r w:rsidRPr="00B20A34">
        <w:rPr>
          <w:lang w:val="en-GB"/>
        </w:rPr>
        <w:t>Beruni</w:t>
      </w:r>
      <w:proofErr w:type="spellEnd"/>
      <w:r w:rsidRPr="00B20A34">
        <w:rPr>
          <w:lang w:val="en-GB"/>
        </w:rPr>
        <w:t xml:space="preserve"> M., Akter S., </w:t>
      </w:r>
      <w:proofErr w:type="spellStart"/>
      <w:r w:rsidRPr="00B20A34">
        <w:rPr>
          <w:lang w:val="en-GB"/>
        </w:rPr>
        <w:t>Dobrіanska</w:t>
      </w:r>
      <w:proofErr w:type="spellEnd"/>
      <w:r w:rsidRPr="00B20A34">
        <w:rPr>
          <w:lang w:val="en-GB"/>
        </w:rPr>
        <w:t xml:space="preserve"> N., Savchenko T., </w:t>
      </w:r>
      <w:proofErr w:type="spellStart"/>
      <w:r w:rsidRPr="00B20A34">
        <w:rPr>
          <w:lang w:val="en-GB"/>
        </w:rPr>
        <w:t>Sysoiev</w:t>
      </w:r>
      <w:proofErr w:type="spellEnd"/>
      <w:r w:rsidRPr="00B20A34">
        <w:rPr>
          <w:lang w:val="en-GB"/>
        </w:rPr>
        <w:t xml:space="preserve"> O., </w:t>
      </w:r>
      <w:proofErr w:type="spellStart"/>
      <w:r w:rsidRPr="00B20A34">
        <w:rPr>
          <w:lang w:val="en-GB"/>
        </w:rPr>
        <w:t>Nitsenko</w:t>
      </w:r>
      <w:proofErr w:type="spellEnd"/>
      <w:r w:rsidRPr="00B20A34">
        <w:rPr>
          <w:lang w:val="en-GB"/>
        </w:rPr>
        <w:t xml:space="preserve"> V., &amp; </w:t>
      </w:r>
      <w:proofErr w:type="spellStart"/>
      <w:r w:rsidRPr="00B20A34">
        <w:rPr>
          <w:lang w:val="en-GB"/>
        </w:rPr>
        <w:t>Litovka-Demenina</w:t>
      </w:r>
      <w:proofErr w:type="spellEnd"/>
      <w:r w:rsidRPr="00B20A34">
        <w:rPr>
          <w:lang w:val="en-GB"/>
        </w:rPr>
        <w:t xml:space="preserve"> S. (2026). Systematic literature review on sustainable ecotourism and marketing management: A case study. </w:t>
      </w:r>
      <w:r w:rsidRPr="00D50BD6">
        <w:rPr>
          <w:i/>
          <w:iCs/>
          <w:lang w:val="pl-PL"/>
        </w:rPr>
        <w:t>Rocznik Ochrona Środowiska</w:t>
      </w:r>
      <w:r w:rsidRPr="00D50BD6">
        <w:rPr>
          <w:lang w:val="pl-PL"/>
        </w:rPr>
        <w:t xml:space="preserve">, </w:t>
      </w:r>
      <w:r w:rsidRPr="00D50BD6">
        <w:rPr>
          <w:i/>
          <w:iCs/>
          <w:lang w:val="pl-PL"/>
        </w:rPr>
        <w:t>28</w:t>
      </w:r>
      <w:r w:rsidRPr="00D50BD6">
        <w:rPr>
          <w:lang w:val="pl-PL"/>
        </w:rPr>
        <w:t>,</w:t>
      </w:r>
      <w:r w:rsidR="001C3E75" w:rsidRPr="00D50BD6">
        <w:rPr>
          <w:lang w:val="pl-PL"/>
        </w:rPr>
        <w:t xml:space="preserve"> </w:t>
      </w:r>
      <w:r w:rsidRPr="00D50BD6">
        <w:rPr>
          <w:lang w:val="pl-PL"/>
        </w:rPr>
        <w:t>58</w:t>
      </w:r>
      <w:r w:rsidR="001C3E75" w:rsidRPr="00D50BD6">
        <w:rPr>
          <w:lang w:val="pl-PL"/>
        </w:rPr>
        <w:t>–</w:t>
      </w:r>
      <w:r w:rsidRPr="00D50BD6">
        <w:rPr>
          <w:lang w:val="pl-PL"/>
        </w:rPr>
        <w:t>74.</w:t>
      </w:r>
      <w:r w:rsidR="001C3E75" w:rsidRPr="00D50BD6">
        <w:rPr>
          <w:lang w:val="pl-PL"/>
        </w:rPr>
        <w:t xml:space="preserve"> </w:t>
      </w:r>
      <w:hyperlink r:id="rId67" w:tgtFrame="_blank" w:history="1">
        <w:r w:rsidRPr="00D50BD6">
          <w:rPr>
            <w:rStyle w:val="UyteHipercze"/>
            <w:color w:val="auto"/>
            <w:u w:val="none"/>
            <w:lang w:val="pl-PL"/>
          </w:rPr>
          <w:t>https://doi.org/10.54740/ros.2026.005</w:t>
        </w:r>
      </w:hyperlink>
    </w:p>
    <w:p w14:paraId="40850110" w14:textId="74A439FA" w:rsidR="00F15CB8" w:rsidRPr="00B20A34" w:rsidRDefault="00F15CB8" w:rsidP="00487F23">
      <w:pPr>
        <w:pStyle w:val="Rlit"/>
        <w:rPr>
          <w:lang w:val="en-GB"/>
        </w:rPr>
      </w:pPr>
      <w:proofErr w:type="spellStart"/>
      <w:r w:rsidRPr="00D50BD6">
        <w:rPr>
          <w:lang w:val="pl-PL"/>
        </w:rPr>
        <w:t>Zhang</w:t>
      </w:r>
      <w:proofErr w:type="spellEnd"/>
      <w:r w:rsidRPr="00D50BD6">
        <w:rPr>
          <w:lang w:val="pl-PL"/>
        </w:rPr>
        <w:t xml:space="preserve">, Y., &amp; </w:t>
      </w:r>
      <w:proofErr w:type="spellStart"/>
      <w:r w:rsidRPr="00D50BD6">
        <w:rPr>
          <w:lang w:val="pl-PL"/>
        </w:rPr>
        <w:t>Khaskheli</w:t>
      </w:r>
      <w:proofErr w:type="spellEnd"/>
      <w:r w:rsidRPr="00D50BD6">
        <w:rPr>
          <w:lang w:val="pl-PL"/>
        </w:rPr>
        <w:t xml:space="preserve">, M.B. (2025). </w:t>
      </w:r>
      <w:r w:rsidRPr="00B20A34">
        <w:rPr>
          <w:lang w:val="en-GB"/>
        </w:rPr>
        <w:t xml:space="preserve">The role of digital technologies in advancing sustainable economic development into intersections of policy, law, environmental economics, and a comparative study of China, the EU, and the USA. </w:t>
      </w:r>
      <w:r w:rsidRPr="00B20A34">
        <w:rPr>
          <w:i/>
          <w:iCs/>
          <w:lang w:val="en-GB"/>
        </w:rPr>
        <w:t xml:space="preserve">Sustainability, </w:t>
      </w:r>
      <w:r w:rsidRPr="00B20A34">
        <w:rPr>
          <w:lang w:val="en-GB"/>
        </w:rPr>
        <w:t xml:space="preserve">17(19), 8666. </w:t>
      </w:r>
      <w:hyperlink r:id="rId68" w:history="1">
        <w:r w:rsidRPr="00B20A34">
          <w:rPr>
            <w:rStyle w:val="UyteHipercze"/>
            <w:color w:val="auto"/>
            <w:u w:val="none"/>
            <w:lang w:val="en-GB"/>
          </w:rPr>
          <w:t>https://doi.org/10.3390/su17198666</w:t>
        </w:r>
      </w:hyperlink>
    </w:p>
    <w:p w14:paraId="4986A75E" w14:textId="5B512D38" w:rsidR="00F15CB8" w:rsidRPr="00B20A34" w:rsidRDefault="00F15CB8" w:rsidP="00487F23">
      <w:pPr>
        <w:pStyle w:val="Rlit"/>
        <w:rPr>
          <w:rStyle w:val="UyteHipercze"/>
          <w:color w:val="auto"/>
          <w:u w:val="none"/>
          <w:lang w:val="en-GB"/>
        </w:rPr>
      </w:pPr>
      <w:r w:rsidRPr="00B20A34">
        <w:rPr>
          <w:lang w:val="en-GB"/>
        </w:rPr>
        <w:t xml:space="preserve">Zhou, B., Li, W., Chan, K.W., Cao, Y., Kuang, Y., Liu, X., &amp; Wang, X. (2016). </w:t>
      </w:r>
      <w:r w:rsidRPr="00B20A34">
        <w:rPr>
          <w:rStyle w:val="Uwydatnienie"/>
          <w:i w:val="0"/>
          <w:iCs w:val="0"/>
          <w:lang w:val="en-GB"/>
        </w:rPr>
        <w:t xml:space="preserve">Smart home energy management systems: Concept, configurations, and scheduling strategies. </w:t>
      </w:r>
      <w:r w:rsidRPr="00B20A34">
        <w:rPr>
          <w:i/>
          <w:iCs/>
          <w:lang w:val="en-GB"/>
        </w:rPr>
        <w:t>Renewable and Sustainable Energy Reviews</w:t>
      </w:r>
      <w:r w:rsidRPr="00B20A34">
        <w:rPr>
          <w:lang w:val="en-GB"/>
        </w:rPr>
        <w:t xml:space="preserve">, </w:t>
      </w:r>
      <w:r w:rsidRPr="00B20A34">
        <w:rPr>
          <w:i/>
          <w:iCs/>
          <w:lang w:val="en-GB"/>
        </w:rPr>
        <w:t>61</w:t>
      </w:r>
      <w:r w:rsidRPr="00B20A34">
        <w:rPr>
          <w:lang w:val="en-GB"/>
        </w:rPr>
        <w:t xml:space="preserve">, 30–40. </w:t>
      </w:r>
      <w:hyperlink r:id="rId69" w:history="1">
        <w:r w:rsidRPr="00B20A34">
          <w:rPr>
            <w:rStyle w:val="UyteHipercze"/>
            <w:color w:val="auto"/>
            <w:u w:val="none"/>
            <w:lang w:val="en-GB"/>
          </w:rPr>
          <w:t>https://doi.org/10.1016/j.rser.2016.03.047</w:t>
        </w:r>
      </w:hyperlink>
      <w:r w:rsidRPr="00B20A34">
        <w:rPr>
          <w:rStyle w:val="UyteHipercze"/>
          <w:color w:val="auto"/>
          <w:u w:val="none"/>
          <w:lang w:val="en-GB"/>
        </w:rPr>
        <w:t xml:space="preserve"> </w:t>
      </w:r>
    </w:p>
    <w:p w14:paraId="2625CD48" w14:textId="77777777" w:rsidR="003E3CC1" w:rsidRPr="00B20A34" w:rsidRDefault="003E3CC1" w:rsidP="00487F23">
      <w:pPr>
        <w:pStyle w:val="Rlit"/>
        <w:rPr>
          <w:rStyle w:val="Hipercze"/>
          <w:color w:val="auto"/>
          <w:u w:val="none"/>
          <w:lang w:val="en-GB"/>
        </w:rPr>
      </w:pPr>
    </w:p>
    <w:sectPr w:rsidR="003E3CC1" w:rsidRPr="00B20A34" w:rsidSect="00D50BD6">
      <w:headerReference w:type="even" r:id="rId70"/>
      <w:headerReference w:type="default" r:id="rId71"/>
      <w:footerReference w:type="first" r:id="rId72"/>
      <w:pgSz w:w="11906" w:h="16838" w:code="9"/>
      <w:pgMar w:top="1134" w:right="1134" w:bottom="1134" w:left="1134" w:header="567" w:footer="567" w:gutter="0"/>
      <w:pgNumType w:start="4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F219" w14:textId="77777777" w:rsidR="008E6185" w:rsidRDefault="008E6185">
      <w:r>
        <w:separator/>
      </w:r>
    </w:p>
  </w:endnote>
  <w:endnote w:type="continuationSeparator" w:id="0">
    <w:p w14:paraId="30921EBF" w14:textId="77777777" w:rsidR="008E6185" w:rsidRDefault="008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B20A34" w:rsidRPr="000E2187" w14:paraId="2F2E797D" w14:textId="77777777" w:rsidTr="004B7234">
      <w:trPr>
        <w:trHeight w:val="198"/>
      </w:trPr>
      <w:tc>
        <w:tcPr>
          <w:tcW w:w="1384" w:type="dxa"/>
          <w:vAlign w:val="center"/>
        </w:tcPr>
        <w:p w14:paraId="5968CE72" w14:textId="77777777" w:rsidR="00B20A34" w:rsidRPr="000E2187" w:rsidRDefault="00B20A34" w:rsidP="00B20A34">
          <w:pPr>
            <w:rPr>
              <w:rFonts w:ascii="Times New Roman" w:hAnsi="Times New Roman" w:cs="Times New Roman"/>
            </w:rPr>
          </w:pPr>
          <w:bookmarkStart w:id="5" w:name="_Hlk104286226"/>
          <w:bookmarkStart w:id="6" w:name="_Hlk104286227"/>
          <w:bookmarkStart w:id="7" w:name="_Hlk154270864"/>
          <w:bookmarkStart w:id="8" w:name="_Hlk154270865"/>
          <w:r w:rsidRPr="000E2187">
            <w:rPr>
              <w:rFonts w:ascii="Times New Roman" w:hAnsi="Times New Roman" w:cs="Times New Roman"/>
              <w:noProof/>
            </w:rPr>
            <w:drawing>
              <wp:inline distT="0" distB="0" distL="0" distR="0" wp14:anchorId="4620DAB3" wp14:editId="7572E276">
                <wp:extent cx="688975" cy="237490"/>
                <wp:effectExtent l="0" t="0" r="0" b="0"/>
                <wp:docPr id="98485305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24C4DBBC" w14:textId="77777777" w:rsidR="00B20A34" w:rsidRPr="000E2187" w:rsidRDefault="00B20A34" w:rsidP="00B20A34">
          <w:pPr>
            <w:suppressAutoHyphens/>
            <w:ind w:left="30"/>
            <w:rPr>
              <w:rFonts w:ascii="Times New Roman" w:hAnsi="Times New Roman" w:cs="Times New Roman"/>
              <w:sz w:val="18"/>
              <w:szCs w:val="18"/>
            </w:rPr>
          </w:pPr>
          <w:r w:rsidRPr="000E2187">
            <w:rPr>
              <w:rFonts w:ascii="Times New Roman" w:hAnsi="Times New Roman" w:cs="Times New Roman"/>
              <w:sz w:val="18"/>
              <w:szCs w:val="18"/>
            </w:rPr>
            <w:t>© 2026. Author(s). This work is licensed under a Creative Commons Attribution 4.0 International License (CC BY-SA)</w:t>
          </w:r>
        </w:p>
      </w:tc>
    </w:tr>
    <w:bookmarkEnd w:id="5"/>
    <w:bookmarkEnd w:id="6"/>
    <w:bookmarkEnd w:id="7"/>
    <w:bookmarkEnd w:id="8"/>
  </w:tbl>
  <w:p w14:paraId="24F7811C" w14:textId="77777777" w:rsidR="00B20A34" w:rsidRPr="000E2187" w:rsidRDefault="00B20A34" w:rsidP="00B20A34">
    <w:pPr>
      <w:pStyle w:val="Stopka"/>
      <w:rPr>
        <w:rFonts w:ascii="Times New Roman" w:hAnsi="Times New Roman" w:cs="Times New Roman"/>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8A0E" w14:textId="77777777" w:rsidR="008E6185" w:rsidRDefault="008E6185">
      <w:r>
        <w:separator/>
      </w:r>
    </w:p>
  </w:footnote>
  <w:footnote w:type="continuationSeparator" w:id="0">
    <w:p w14:paraId="7B8BFB74" w14:textId="77777777" w:rsidR="008E6185" w:rsidRDefault="008E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B20A34" w:rsidRPr="000E2187" w14:paraId="7D5A7F9B" w14:textId="77777777" w:rsidTr="004B7234">
      <w:trPr>
        <w:trHeight w:hRule="exact" w:val="284"/>
      </w:trPr>
      <w:tc>
        <w:tcPr>
          <w:tcW w:w="397" w:type="dxa"/>
          <w:vAlign w:val="center"/>
        </w:tcPr>
        <w:p w14:paraId="33BAAA28" w14:textId="77777777" w:rsidR="00B20A34" w:rsidRPr="000E2187" w:rsidRDefault="00B20A34" w:rsidP="00B20A34">
          <w:pPr>
            <w:pStyle w:val="Nagwek"/>
            <w:rPr>
              <w:rFonts w:ascii="Arial" w:hAnsi="Arial" w:cs="Arial"/>
              <w:i/>
            </w:rPr>
          </w:pPr>
          <w:r w:rsidRPr="000E2187">
            <w:rPr>
              <w:rFonts w:ascii="Arial" w:hAnsi="Arial" w:cs="Arial"/>
            </w:rPr>
            <w:fldChar w:fldCharType="begin"/>
          </w:r>
          <w:r w:rsidRPr="000E2187">
            <w:rPr>
              <w:rFonts w:ascii="Arial" w:hAnsi="Arial" w:cs="Arial"/>
            </w:rPr>
            <w:instrText xml:space="preserve"> PAGE   \* MERGEFORMAT </w:instrText>
          </w:r>
          <w:r w:rsidRPr="000E2187">
            <w:rPr>
              <w:rFonts w:ascii="Arial" w:hAnsi="Arial" w:cs="Arial"/>
            </w:rPr>
            <w:fldChar w:fldCharType="separate"/>
          </w:r>
          <w:r>
            <w:rPr>
              <w:rFonts w:ascii="Arial" w:hAnsi="Arial" w:cs="Arial"/>
            </w:rPr>
            <w:t>2</w:t>
          </w:r>
          <w:r w:rsidRPr="000E2187">
            <w:rPr>
              <w:rFonts w:ascii="Arial" w:hAnsi="Arial" w:cs="Arial"/>
            </w:rPr>
            <w:fldChar w:fldCharType="end"/>
          </w:r>
        </w:p>
      </w:tc>
      <w:tc>
        <w:tcPr>
          <w:tcW w:w="9242" w:type="dxa"/>
          <w:vAlign w:val="center"/>
        </w:tcPr>
        <w:p w14:paraId="1B1E882A" w14:textId="40BB2A96" w:rsidR="00B20A34" w:rsidRPr="000E2187" w:rsidRDefault="00B20A34" w:rsidP="00B20A34">
          <w:pPr>
            <w:pStyle w:val="Nagwek"/>
            <w:jc w:val="center"/>
            <w:rPr>
              <w:rFonts w:ascii="Arial" w:hAnsi="Arial" w:cs="Arial"/>
              <w:i/>
            </w:rPr>
          </w:pPr>
          <w:r w:rsidRPr="00B20A34">
            <w:rPr>
              <w:rFonts w:ascii="Arial" w:hAnsi="Arial" w:cs="Arial"/>
              <w:i/>
            </w:rPr>
            <w:t>Nurul Mohammad Zayed</w:t>
          </w:r>
          <w:r>
            <w:rPr>
              <w:rFonts w:ascii="Arial" w:hAnsi="Arial" w:cs="Arial"/>
              <w:i/>
            </w:rPr>
            <w:t xml:space="preserve"> et al.</w:t>
          </w:r>
        </w:p>
      </w:tc>
    </w:tr>
  </w:tbl>
  <w:p w14:paraId="13DE6109" w14:textId="77777777" w:rsidR="00B20A34" w:rsidRPr="005265A7" w:rsidRDefault="00B20A34" w:rsidP="00B20A34">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B20A34" w:rsidRPr="003337FB" w14:paraId="5951C5E1" w14:textId="77777777" w:rsidTr="004B7234">
      <w:trPr>
        <w:trHeight w:hRule="exact" w:val="284"/>
        <w:jc w:val="right"/>
      </w:trPr>
      <w:tc>
        <w:tcPr>
          <w:tcW w:w="9243" w:type="dxa"/>
          <w:vAlign w:val="center"/>
        </w:tcPr>
        <w:p w14:paraId="658F7745" w14:textId="08E52590" w:rsidR="00B20A34" w:rsidRPr="003337FB" w:rsidRDefault="00D50BD6" w:rsidP="00B20A34">
          <w:pPr>
            <w:pStyle w:val="Nagwek"/>
            <w:jc w:val="center"/>
            <w:rPr>
              <w:rFonts w:ascii="Arial" w:hAnsi="Arial" w:cs="Arial"/>
              <w:i/>
              <w:szCs w:val="16"/>
              <w:lang w:val="en-GB"/>
            </w:rPr>
          </w:pPr>
          <w:r w:rsidRPr="00D50BD6">
            <w:rPr>
              <w:rFonts w:ascii="Arial" w:hAnsi="Arial" w:cs="Arial"/>
              <w:i/>
              <w:szCs w:val="16"/>
              <w:lang w:val="en-GB"/>
            </w:rPr>
            <w:t>Sustainable Smart and Green Housing Investment: Integrating Technology</w:t>
          </w:r>
          <w:r>
            <w:rPr>
              <w:rFonts w:ascii="Arial" w:hAnsi="Arial" w:cs="Arial"/>
              <w:i/>
              <w:szCs w:val="16"/>
              <w:lang w:val="en-GB"/>
            </w:rPr>
            <w:t>…</w:t>
          </w:r>
        </w:p>
      </w:tc>
      <w:tc>
        <w:tcPr>
          <w:tcW w:w="397" w:type="dxa"/>
          <w:vAlign w:val="center"/>
        </w:tcPr>
        <w:p w14:paraId="4BDF872E" w14:textId="77777777" w:rsidR="00B20A34" w:rsidRPr="003337FB" w:rsidRDefault="00B20A34" w:rsidP="00B20A34">
          <w:pPr>
            <w:pStyle w:val="Nagwek"/>
            <w:jc w:val="right"/>
            <w:rPr>
              <w:rFonts w:ascii="Arial" w:hAnsi="Arial" w:cs="Arial"/>
              <w:i/>
              <w:szCs w:val="16"/>
            </w:rPr>
          </w:pPr>
          <w:r w:rsidRPr="003337FB">
            <w:rPr>
              <w:rFonts w:ascii="Arial" w:hAnsi="Arial" w:cs="Arial"/>
              <w:szCs w:val="16"/>
            </w:rPr>
            <w:fldChar w:fldCharType="begin"/>
          </w:r>
          <w:r w:rsidRPr="003337FB">
            <w:rPr>
              <w:rFonts w:ascii="Arial" w:hAnsi="Arial" w:cs="Arial"/>
              <w:szCs w:val="16"/>
            </w:rPr>
            <w:instrText xml:space="preserve"> PAGE   \* MERGEFORMAT </w:instrText>
          </w:r>
          <w:r w:rsidRPr="003337FB">
            <w:rPr>
              <w:rFonts w:ascii="Arial" w:hAnsi="Arial" w:cs="Arial"/>
              <w:szCs w:val="16"/>
            </w:rPr>
            <w:fldChar w:fldCharType="separate"/>
          </w:r>
          <w:r>
            <w:rPr>
              <w:rFonts w:ascii="Arial" w:hAnsi="Arial" w:cs="Arial"/>
              <w:szCs w:val="16"/>
            </w:rPr>
            <w:t>3</w:t>
          </w:r>
          <w:r w:rsidRPr="003337FB">
            <w:rPr>
              <w:rFonts w:ascii="Arial" w:hAnsi="Arial" w:cs="Arial"/>
              <w:szCs w:val="16"/>
            </w:rPr>
            <w:fldChar w:fldCharType="end"/>
          </w:r>
        </w:p>
      </w:tc>
    </w:tr>
  </w:tbl>
  <w:p w14:paraId="31211E3C" w14:textId="77777777" w:rsidR="00B20A34" w:rsidRPr="003337FB" w:rsidRDefault="00B20A34" w:rsidP="00B20A34">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F20C7"/>
    <w:multiLevelType w:val="multilevel"/>
    <w:tmpl w:val="325F2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1391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mirrorMargins/>
  <w:hideSpellingErrors/>
  <w:hideGrammaticalErrors/>
  <w:proofState w:spelling="clean"/>
  <w:defaultTabStop w:val="720"/>
  <w:autoHyphenation/>
  <w:hyphenationZone w:val="425"/>
  <w:evenAndOddHeaders/>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yMDI0MTUwMTMxMjVW0lEKTi0uzszPAykwrAUACITQ4iwAAAA="/>
  </w:docVars>
  <w:rsids>
    <w:rsidRoot w:val="46193F74"/>
    <w:rsid w:val="000057E0"/>
    <w:rsid w:val="00026E2B"/>
    <w:rsid w:val="00050320"/>
    <w:rsid w:val="00091AB7"/>
    <w:rsid w:val="000B0208"/>
    <w:rsid w:val="000B1A5D"/>
    <w:rsid w:val="000C24B8"/>
    <w:rsid w:val="000C6F75"/>
    <w:rsid w:val="000D3E21"/>
    <w:rsid w:val="000E0905"/>
    <w:rsid w:val="000F40DF"/>
    <w:rsid w:val="00113944"/>
    <w:rsid w:val="00137F69"/>
    <w:rsid w:val="00144AB1"/>
    <w:rsid w:val="001A3765"/>
    <w:rsid w:val="001A6357"/>
    <w:rsid w:val="001B614E"/>
    <w:rsid w:val="001C3677"/>
    <w:rsid w:val="001C3E75"/>
    <w:rsid w:val="001D3E2B"/>
    <w:rsid w:val="002271A3"/>
    <w:rsid w:val="00242784"/>
    <w:rsid w:val="00253667"/>
    <w:rsid w:val="002560F5"/>
    <w:rsid w:val="00280F35"/>
    <w:rsid w:val="002813AC"/>
    <w:rsid w:val="00284523"/>
    <w:rsid w:val="002854ED"/>
    <w:rsid w:val="002A560B"/>
    <w:rsid w:val="002C1AAC"/>
    <w:rsid w:val="002F2E40"/>
    <w:rsid w:val="00315CD8"/>
    <w:rsid w:val="003219D1"/>
    <w:rsid w:val="003275E4"/>
    <w:rsid w:val="00333A24"/>
    <w:rsid w:val="00362F95"/>
    <w:rsid w:val="00365E83"/>
    <w:rsid w:val="00366188"/>
    <w:rsid w:val="00366346"/>
    <w:rsid w:val="0036679A"/>
    <w:rsid w:val="00372861"/>
    <w:rsid w:val="00384212"/>
    <w:rsid w:val="0038610B"/>
    <w:rsid w:val="00387AB0"/>
    <w:rsid w:val="003E3CC1"/>
    <w:rsid w:val="003F74DC"/>
    <w:rsid w:val="00407179"/>
    <w:rsid w:val="004072C8"/>
    <w:rsid w:val="004558E4"/>
    <w:rsid w:val="004737E3"/>
    <w:rsid w:val="004874DC"/>
    <w:rsid w:val="00487F23"/>
    <w:rsid w:val="00490BEE"/>
    <w:rsid w:val="004A02DF"/>
    <w:rsid w:val="004A5FE1"/>
    <w:rsid w:val="004B62AF"/>
    <w:rsid w:val="004F49BA"/>
    <w:rsid w:val="005027ED"/>
    <w:rsid w:val="00524DD2"/>
    <w:rsid w:val="00527404"/>
    <w:rsid w:val="005344AE"/>
    <w:rsid w:val="005358DE"/>
    <w:rsid w:val="00543E12"/>
    <w:rsid w:val="00566159"/>
    <w:rsid w:val="00585720"/>
    <w:rsid w:val="00594001"/>
    <w:rsid w:val="005A317D"/>
    <w:rsid w:val="005B1543"/>
    <w:rsid w:val="005B7519"/>
    <w:rsid w:val="005C6FA8"/>
    <w:rsid w:val="005D40E4"/>
    <w:rsid w:val="005D5157"/>
    <w:rsid w:val="005F3574"/>
    <w:rsid w:val="0061374A"/>
    <w:rsid w:val="006168D0"/>
    <w:rsid w:val="00625561"/>
    <w:rsid w:val="0063191E"/>
    <w:rsid w:val="006450E2"/>
    <w:rsid w:val="006B1B9E"/>
    <w:rsid w:val="006B2C73"/>
    <w:rsid w:val="006C252E"/>
    <w:rsid w:val="006E6428"/>
    <w:rsid w:val="00736204"/>
    <w:rsid w:val="0075372C"/>
    <w:rsid w:val="00755CC5"/>
    <w:rsid w:val="007719B5"/>
    <w:rsid w:val="007723DE"/>
    <w:rsid w:val="00772C09"/>
    <w:rsid w:val="00787E92"/>
    <w:rsid w:val="007B36F3"/>
    <w:rsid w:val="007B6F91"/>
    <w:rsid w:val="007C3E50"/>
    <w:rsid w:val="007D27F1"/>
    <w:rsid w:val="007F4061"/>
    <w:rsid w:val="00811DBD"/>
    <w:rsid w:val="00820EFE"/>
    <w:rsid w:val="0083080A"/>
    <w:rsid w:val="00861F7A"/>
    <w:rsid w:val="008A4CA0"/>
    <w:rsid w:val="008A751F"/>
    <w:rsid w:val="008B151D"/>
    <w:rsid w:val="008C59A3"/>
    <w:rsid w:val="008C606A"/>
    <w:rsid w:val="008D00C9"/>
    <w:rsid w:val="008D634C"/>
    <w:rsid w:val="008E6185"/>
    <w:rsid w:val="008F2CB5"/>
    <w:rsid w:val="00901218"/>
    <w:rsid w:val="009025DD"/>
    <w:rsid w:val="009053B3"/>
    <w:rsid w:val="00906EA6"/>
    <w:rsid w:val="00913EDF"/>
    <w:rsid w:val="00914E2C"/>
    <w:rsid w:val="00923937"/>
    <w:rsid w:val="00930AD3"/>
    <w:rsid w:val="009462F7"/>
    <w:rsid w:val="00961BBE"/>
    <w:rsid w:val="00970643"/>
    <w:rsid w:val="00974B93"/>
    <w:rsid w:val="00993E85"/>
    <w:rsid w:val="009B0056"/>
    <w:rsid w:val="009B1D6B"/>
    <w:rsid w:val="009C0BAC"/>
    <w:rsid w:val="009C35B9"/>
    <w:rsid w:val="009D1F1E"/>
    <w:rsid w:val="009E70A8"/>
    <w:rsid w:val="009F301B"/>
    <w:rsid w:val="009F40D9"/>
    <w:rsid w:val="009F77DB"/>
    <w:rsid w:val="00A17467"/>
    <w:rsid w:val="00A22267"/>
    <w:rsid w:val="00A22F4F"/>
    <w:rsid w:val="00A24D51"/>
    <w:rsid w:val="00A26221"/>
    <w:rsid w:val="00A35D8B"/>
    <w:rsid w:val="00A44263"/>
    <w:rsid w:val="00A47339"/>
    <w:rsid w:val="00A744DB"/>
    <w:rsid w:val="00A977A4"/>
    <w:rsid w:val="00AA627D"/>
    <w:rsid w:val="00AB0443"/>
    <w:rsid w:val="00AB7A2D"/>
    <w:rsid w:val="00AC16B5"/>
    <w:rsid w:val="00AD248D"/>
    <w:rsid w:val="00AE24E7"/>
    <w:rsid w:val="00AF1AA9"/>
    <w:rsid w:val="00AF5196"/>
    <w:rsid w:val="00B20A34"/>
    <w:rsid w:val="00B50B58"/>
    <w:rsid w:val="00B53010"/>
    <w:rsid w:val="00B57291"/>
    <w:rsid w:val="00B65083"/>
    <w:rsid w:val="00B72588"/>
    <w:rsid w:val="00B94404"/>
    <w:rsid w:val="00BB24AE"/>
    <w:rsid w:val="00BB3739"/>
    <w:rsid w:val="00BC3836"/>
    <w:rsid w:val="00BC6A52"/>
    <w:rsid w:val="00BD1E56"/>
    <w:rsid w:val="00BF74FE"/>
    <w:rsid w:val="00C00B93"/>
    <w:rsid w:val="00C04A3F"/>
    <w:rsid w:val="00C124E0"/>
    <w:rsid w:val="00C1481F"/>
    <w:rsid w:val="00C222BF"/>
    <w:rsid w:val="00C32E58"/>
    <w:rsid w:val="00C50A84"/>
    <w:rsid w:val="00C56864"/>
    <w:rsid w:val="00C6182A"/>
    <w:rsid w:val="00C87582"/>
    <w:rsid w:val="00C90B10"/>
    <w:rsid w:val="00C9154F"/>
    <w:rsid w:val="00C94D8D"/>
    <w:rsid w:val="00CA3C97"/>
    <w:rsid w:val="00CA763A"/>
    <w:rsid w:val="00CB7C9A"/>
    <w:rsid w:val="00CD635C"/>
    <w:rsid w:val="00D14928"/>
    <w:rsid w:val="00D33FA5"/>
    <w:rsid w:val="00D363FE"/>
    <w:rsid w:val="00D4052E"/>
    <w:rsid w:val="00D44535"/>
    <w:rsid w:val="00D50BD6"/>
    <w:rsid w:val="00D719AA"/>
    <w:rsid w:val="00D82824"/>
    <w:rsid w:val="00D97C10"/>
    <w:rsid w:val="00DA4D5C"/>
    <w:rsid w:val="00DD1E21"/>
    <w:rsid w:val="00DD6BFD"/>
    <w:rsid w:val="00E03EE4"/>
    <w:rsid w:val="00E06CF5"/>
    <w:rsid w:val="00E24D05"/>
    <w:rsid w:val="00E558CB"/>
    <w:rsid w:val="00E66C40"/>
    <w:rsid w:val="00E70866"/>
    <w:rsid w:val="00E73207"/>
    <w:rsid w:val="00EA3646"/>
    <w:rsid w:val="00EB090B"/>
    <w:rsid w:val="00EC5CE5"/>
    <w:rsid w:val="00EE0A8E"/>
    <w:rsid w:val="00F01318"/>
    <w:rsid w:val="00F01699"/>
    <w:rsid w:val="00F063C6"/>
    <w:rsid w:val="00F15CB8"/>
    <w:rsid w:val="00F35D2E"/>
    <w:rsid w:val="00F4305D"/>
    <w:rsid w:val="00F53ACD"/>
    <w:rsid w:val="00F6177F"/>
    <w:rsid w:val="00F70EB8"/>
    <w:rsid w:val="00F717D5"/>
    <w:rsid w:val="00F723A2"/>
    <w:rsid w:val="00F87CF8"/>
    <w:rsid w:val="00FB496C"/>
    <w:rsid w:val="00FB77F5"/>
    <w:rsid w:val="00FF33D8"/>
    <w:rsid w:val="00FF663B"/>
    <w:rsid w:val="077C7554"/>
    <w:rsid w:val="127C66E3"/>
    <w:rsid w:val="17F317AF"/>
    <w:rsid w:val="282E27FD"/>
    <w:rsid w:val="28CC0060"/>
    <w:rsid w:val="32102EC9"/>
    <w:rsid w:val="46193F74"/>
    <w:rsid w:val="5A7A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51312A"/>
  <w15:docId w15:val="{8542ECB6-B722-4782-B1B0-2EFB81C5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FollowedHyperlink"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heme="minorHAnsi" w:eastAsiaTheme="minorEastAsia" w:hAnsiTheme="minorHAnsi" w:cstheme="minorBidi"/>
      <w:lang w:eastAsia="zh-CN"/>
    </w:rPr>
  </w:style>
  <w:style w:type="paragraph" w:styleId="Nagwek1">
    <w:name w:val="heading 1"/>
    <w:basedOn w:val="Normalny"/>
    <w:next w:val="Normalny"/>
    <w:link w:val="Nagwek1Znak"/>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next w:val="Normalny"/>
    <w:unhideWhenUsed/>
    <w:pPr>
      <w:spacing w:beforeAutospacing="1" w:afterAutospacing="1"/>
      <w:outlineLvl w:val="2"/>
    </w:pPr>
    <w:rPr>
      <w:rFonts w:ascii="SimSun" w:hAnsi="SimSun" w:hint="eastAsia"/>
      <w:b/>
      <w:bCs/>
      <w:sz w:val="27"/>
      <w:szCs w:val="27"/>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qFormat/>
    <w:rPr>
      <w:i/>
      <w:iCs/>
    </w:rPr>
  </w:style>
  <w:style w:type="character" w:styleId="UyteHipercze">
    <w:name w:val="FollowedHyperlink"/>
    <w:basedOn w:val="Domylnaczcionkaakapitu"/>
    <w:qFormat/>
    <w:rPr>
      <w:color w:val="800080"/>
      <w:u w:val="single"/>
    </w:rPr>
  </w:style>
  <w:style w:type="paragraph" w:styleId="Stopka">
    <w:name w:val="footer"/>
    <w:basedOn w:val="Normalny"/>
    <w:link w:val="StopkaZnak"/>
    <w:uiPriority w:val="99"/>
    <w:qFormat/>
    <w:pPr>
      <w:tabs>
        <w:tab w:val="center" w:pos="4680"/>
        <w:tab w:val="right" w:pos="9360"/>
      </w:tabs>
    </w:pPr>
  </w:style>
  <w:style w:type="paragraph" w:styleId="Nagwek">
    <w:name w:val="header"/>
    <w:basedOn w:val="Normalny"/>
    <w:link w:val="NagwekZnak"/>
    <w:uiPriority w:val="99"/>
    <w:pPr>
      <w:tabs>
        <w:tab w:val="center" w:pos="4680"/>
        <w:tab w:val="right" w:pos="9360"/>
      </w:tabs>
    </w:pPr>
  </w:style>
  <w:style w:type="character" w:styleId="Hipercze">
    <w:name w:val="Hyperlink"/>
    <w:basedOn w:val="Domylnaczcionkaakapitu"/>
    <w:rPr>
      <w:color w:val="0000FF"/>
      <w:u w:val="single"/>
    </w:rPr>
  </w:style>
  <w:style w:type="paragraph" w:styleId="NormalnyWeb">
    <w:name w:val="Normal (Web)"/>
    <w:uiPriority w:val="99"/>
    <w:qFormat/>
    <w:pPr>
      <w:spacing w:beforeAutospacing="1" w:afterAutospacing="1"/>
    </w:pPr>
    <w:rPr>
      <w:sz w:val="24"/>
      <w:szCs w:val="24"/>
      <w:lang w:eastAsia="zh-CN"/>
    </w:rPr>
  </w:style>
  <w:style w:type="character" w:styleId="Pogrubienie">
    <w:name w:val="Strong"/>
    <w:basedOn w:val="Domylnaczcionkaakapitu"/>
    <w:rPr>
      <w:b/>
      <w:bCs/>
    </w:rPr>
  </w:style>
  <w:style w:type="table" w:styleId="Tabela-Siatka">
    <w:name w:val="Table Grid"/>
    <w:basedOn w:val="Standardowy"/>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61">
    <w:name w:val="Grid Table 3 - Accent 61"/>
    <w:basedOn w:val="Standardowy"/>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1">
    <w:name w:val="Grid Table 5 Dark - Accent 61"/>
    <w:basedOn w:val="Standardowy"/>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61">
    <w:name w:val="Grid Table 6 Colorful - Accent 61"/>
    <w:basedOn w:val="Standardowy"/>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omylnaczcionkaakapitu"/>
    <w:uiPriority w:val="99"/>
    <w:semiHidden/>
    <w:unhideWhenUsed/>
    <w:qFormat/>
    <w:rPr>
      <w:color w:val="605E5C"/>
      <w:shd w:val="clear" w:color="auto" w:fill="E1DFDD"/>
    </w:rPr>
  </w:style>
  <w:style w:type="table" w:customStyle="1" w:styleId="GridTable1Light-Accent61">
    <w:name w:val="Grid Table 1 Light - Accent 61"/>
    <w:basedOn w:val="Standardowy"/>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qFormat/>
    <w:rPr>
      <w:rFonts w:asciiTheme="majorHAnsi" w:eastAsiaTheme="majorEastAsia" w:hAnsiTheme="majorHAnsi" w:cstheme="majorBidi"/>
      <w:color w:val="2E74B5" w:themeColor="accent1" w:themeShade="BF"/>
      <w:sz w:val="32"/>
      <w:szCs w:val="32"/>
      <w:lang w:eastAsia="zh-CN"/>
    </w:rPr>
  </w:style>
  <w:style w:type="character" w:customStyle="1" w:styleId="citation-698">
    <w:name w:val="citation-698"/>
    <w:basedOn w:val="Domylnaczcionkaakapitu"/>
  </w:style>
  <w:style w:type="character" w:customStyle="1" w:styleId="citation-715">
    <w:name w:val="citation-715"/>
    <w:basedOn w:val="Domylnaczcionkaakapitu"/>
  </w:style>
  <w:style w:type="character" w:styleId="Tekstzastpczy">
    <w:name w:val="Placeholder Text"/>
    <w:basedOn w:val="Domylnaczcionkaakapitu"/>
    <w:uiPriority w:val="99"/>
    <w:unhideWhenUsed/>
    <w:qFormat/>
    <w:rPr>
      <w:color w:val="666666"/>
    </w:rPr>
  </w:style>
  <w:style w:type="character" w:customStyle="1" w:styleId="math-inline">
    <w:name w:val="math-inline"/>
    <w:basedOn w:val="Domylnaczcionkaakapitu"/>
  </w:style>
  <w:style w:type="paragraph" w:styleId="Akapitzlist">
    <w:name w:val="List Paragraph"/>
    <w:basedOn w:val="Normalny"/>
    <w:uiPriority w:val="99"/>
    <w:unhideWhenUsed/>
    <w:qFormat/>
    <w:pPr>
      <w:ind w:left="720"/>
      <w:contextualSpacing/>
    </w:pPr>
  </w:style>
  <w:style w:type="character" w:customStyle="1" w:styleId="NagwekZnak">
    <w:name w:val="Nagłówek Znak"/>
    <w:basedOn w:val="Domylnaczcionkaakapitu"/>
    <w:link w:val="Nagwek"/>
    <w:uiPriority w:val="99"/>
    <w:qFormat/>
    <w:rPr>
      <w:rFonts w:asciiTheme="minorHAnsi" w:eastAsiaTheme="minorEastAsia" w:hAnsiTheme="minorHAnsi" w:cstheme="minorBidi"/>
      <w:lang w:eastAsia="zh-CN"/>
    </w:rPr>
  </w:style>
  <w:style w:type="character" w:customStyle="1" w:styleId="StopkaZnak">
    <w:name w:val="Stopka Znak"/>
    <w:basedOn w:val="Domylnaczcionkaakapitu"/>
    <w:link w:val="Stopka"/>
    <w:uiPriority w:val="99"/>
    <w:qFormat/>
    <w:rPr>
      <w:rFonts w:asciiTheme="minorHAnsi" w:eastAsiaTheme="minorEastAsia" w:hAnsiTheme="minorHAnsi" w:cstheme="minorBidi"/>
      <w:lang w:eastAsia="zh-CN"/>
    </w:rPr>
  </w:style>
  <w:style w:type="table" w:customStyle="1" w:styleId="GridTable1Light-Accent51">
    <w:name w:val="Grid Table 1 Light - Accent 51"/>
    <w:basedOn w:val="Standardowy"/>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regular">
    <w:name w:val="regular"/>
    <w:basedOn w:val="Normalny"/>
    <w:qFormat/>
    <w:pPr>
      <w:ind w:firstLine="720"/>
      <w:jc w:val="both"/>
    </w:pPr>
    <w:rPr>
      <w:rFonts w:ascii="Times New Roman" w:hAnsi="Times New Roman" w:cs="Times New Roman"/>
      <w:color w:val="002060"/>
      <w:sz w:val="18"/>
      <w:szCs w:val="18"/>
    </w:rPr>
  </w:style>
  <w:style w:type="table" w:customStyle="1" w:styleId="GridTable1Light1">
    <w:name w:val="Grid Table 1 Light1"/>
    <w:basedOn w:val="Standardowy"/>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Standardowy"/>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Standardowy"/>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erozpoznanawzmianka">
    <w:name w:val="Unresolved Mention"/>
    <w:basedOn w:val="Domylnaczcionkaakapitu"/>
    <w:uiPriority w:val="99"/>
    <w:semiHidden/>
    <w:unhideWhenUsed/>
    <w:rsid w:val="002560F5"/>
    <w:rPr>
      <w:color w:val="605E5C"/>
      <w:shd w:val="clear" w:color="auto" w:fill="E1DFDD"/>
    </w:rPr>
  </w:style>
  <w:style w:type="paragraph" w:customStyle="1" w:styleId="Rab1">
    <w:name w:val="R_ab1"/>
    <w:next w:val="Normalny"/>
    <w:autoRedefine/>
    <w:qFormat/>
    <w:rsid w:val="00BC6A52"/>
    <w:pPr>
      <w:suppressAutoHyphens/>
      <w:spacing w:before="120"/>
      <w:ind w:left="567" w:right="567"/>
      <w:jc w:val="both"/>
    </w:pPr>
    <w:rPr>
      <w:kern w:val="2"/>
      <w:sz w:val="18"/>
      <w:lang w:val="en-GB" w:eastAsia="pl-PL"/>
      <w14:ligatures w14:val="standardContextual"/>
    </w:rPr>
  </w:style>
  <w:style w:type="paragraph" w:customStyle="1" w:styleId="Rab2">
    <w:name w:val="R_ab2"/>
    <w:basedOn w:val="Rab1"/>
    <w:next w:val="Normalny"/>
    <w:autoRedefine/>
    <w:qFormat/>
    <w:rsid w:val="00BC6A52"/>
    <w:pPr>
      <w:spacing w:before="60"/>
    </w:pPr>
  </w:style>
  <w:style w:type="paragraph" w:customStyle="1" w:styleId="Rafiliacja">
    <w:name w:val="R_afiliacja"/>
    <w:basedOn w:val="Normalny"/>
    <w:link w:val="RafiliacjaZnak"/>
    <w:qFormat/>
    <w:rsid w:val="00BC6A52"/>
    <w:pPr>
      <w:suppressAutoHyphens/>
      <w:jc w:val="center"/>
    </w:pPr>
    <w:rPr>
      <w:rFonts w:ascii="Times New Roman" w:eastAsiaTheme="minorHAnsi" w:hAnsi="Times New Roman" w:cs="Times New Roman"/>
      <w:i/>
      <w:kern w:val="2"/>
      <w:szCs w:val="28"/>
      <w:lang w:val="pl-PL" w:eastAsia="en-US"/>
      <w14:ligatures w14:val="standardContextual"/>
    </w:rPr>
  </w:style>
  <w:style w:type="character" w:customStyle="1" w:styleId="RafiliacjaZnak">
    <w:name w:val="R_afiliacja Znak"/>
    <w:basedOn w:val="Domylnaczcionkaakapitu"/>
    <w:link w:val="Rafiliacja"/>
    <w:rsid w:val="00BC6A52"/>
    <w:rPr>
      <w:rFonts w:eastAsiaTheme="minorHAnsi"/>
      <w:i/>
      <w:kern w:val="2"/>
      <w:szCs w:val="28"/>
      <w:lang w:val="pl-PL"/>
      <w14:ligatures w14:val="standardContextual"/>
    </w:rPr>
  </w:style>
  <w:style w:type="paragraph" w:customStyle="1" w:styleId="Rauco">
    <w:name w:val="R_au_co"/>
    <w:basedOn w:val="Rafiliacja"/>
    <w:autoRedefine/>
    <w:qFormat/>
    <w:rsid w:val="00BC6A52"/>
    <w:pPr>
      <w:spacing w:before="120"/>
    </w:pPr>
    <w:rPr>
      <w:lang w:val="en-GB"/>
    </w:rPr>
  </w:style>
  <w:style w:type="paragraph" w:customStyle="1" w:styleId="Rn1">
    <w:name w:val="R_n1"/>
    <w:basedOn w:val="Normalny"/>
    <w:link w:val="Rn1Znak"/>
    <w:qFormat/>
    <w:rsid w:val="00BC6A52"/>
    <w:pPr>
      <w:suppressAutoHyphens/>
      <w:spacing w:before="240" w:after="120"/>
      <w:jc w:val="both"/>
    </w:pPr>
    <w:rPr>
      <w:rFonts w:ascii="Times New Roman" w:eastAsiaTheme="minorHAnsi" w:hAnsi="Times New Roman"/>
      <w:b/>
      <w:kern w:val="2"/>
      <w:sz w:val="24"/>
      <w:szCs w:val="22"/>
      <w:lang w:val="pl-PL" w:eastAsia="en-US"/>
      <w14:ligatures w14:val="standardContextual"/>
    </w:rPr>
  </w:style>
  <w:style w:type="character" w:customStyle="1" w:styleId="Rn1Znak">
    <w:name w:val="R_n1 Znak"/>
    <w:basedOn w:val="Domylnaczcionkaakapitu"/>
    <w:link w:val="Rn1"/>
    <w:rsid w:val="00BC6A52"/>
    <w:rPr>
      <w:rFonts w:eastAsiaTheme="minorHAnsi" w:cstheme="minorBidi"/>
      <w:b/>
      <w:kern w:val="2"/>
      <w:sz w:val="24"/>
      <w:szCs w:val="22"/>
      <w:lang w:val="pl-PL"/>
      <w14:ligatures w14:val="standardContextual"/>
    </w:rPr>
  </w:style>
  <w:style w:type="paragraph" w:customStyle="1" w:styleId="Rn2">
    <w:name w:val="R_n2"/>
    <w:basedOn w:val="Rn1"/>
    <w:link w:val="Rn2Znak"/>
    <w:qFormat/>
    <w:rsid w:val="00BC6A52"/>
    <w:pPr>
      <w:spacing w:before="120"/>
      <w:jc w:val="left"/>
    </w:pPr>
    <w:rPr>
      <w:sz w:val="22"/>
    </w:rPr>
  </w:style>
  <w:style w:type="character" w:customStyle="1" w:styleId="Rn2Znak">
    <w:name w:val="R_n2 Znak"/>
    <w:link w:val="Rn2"/>
    <w:rsid w:val="00BC6A52"/>
    <w:rPr>
      <w:rFonts w:eastAsiaTheme="minorHAnsi" w:cstheme="minorBidi"/>
      <w:b/>
      <w:kern w:val="2"/>
      <w:sz w:val="22"/>
      <w:szCs w:val="22"/>
      <w:lang w:val="pl-PL"/>
      <w14:ligatures w14:val="standardContextual"/>
    </w:rPr>
  </w:style>
  <w:style w:type="paragraph" w:customStyle="1" w:styleId="Rtytu">
    <w:name w:val="R_tytuł"/>
    <w:basedOn w:val="Rn2"/>
    <w:link w:val="RtytuZnak"/>
    <w:autoRedefine/>
    <w:qFormat/>
    <w:rsid w:val="00BC6A52"/>
    <w:pPr>
      <w:spacing w:before="240" w:after="0"/>
      <w:jc w:val="center"/>
    </w:pPr>
    <w:rPr>
      <w:sz w:val="24"/>
      <w:szCs w:val="28"/>
    </w:rPr>
  </w:style>
  <w:style w:type="character" w:customStyle="1" w:styleId="RtytuZnak">
    <w:name w:val="R_tytuł Znak"/>
    <w:basedOn w:val="Rn2Znak"/>
    <w:link w:val="Rtytu"/>
    <w:rsid w:val="00BC6A52"/>
    <w:rPr>
      <w:rFonts w:eastAsiaTheme="minorHAnsi" w:cstheme="minorBidi"/>
      <w:b/>
      <w:kern w:val="2"/>
      <w:sz w:val="24"/>
      <w:szCs w:val="28"/>
      <w:lang w:val="pl-PL"/>
      <w14:ligatures w14:val="standardContextual"/>
    </w:rPr>
  </w:style>
  <w:style w:type="paragraph" w:customStyle="1" w:styleId="Rautor">
    <w:name w:val="R_autor"/>
    <w:basedOn w:val="Rtytu"/>
    <w:link w:val="RautorZnak"/>
    <w:autoRedefine/>
    <w:qFormat/>
    <w:rsid w:val="00BC6A52"/>
    <w:pPr>
      <w:spacing w:before="120"/>
    </w:pPr>
    <w:rPr>
      <w:rFonts w:eastAsia="Calibri" w:cs="Times New Roman"/>
      <w:b w:val="0"/>
      <w:i/>
    </w:rPr>
  </w:style>
  <w:style w:type="character" w:customStyle="1" w:styleId="RautorZnak">
    <w:name w:val="R_autor Znak"/>
    <w:link w:val="Rautor"/>
    <w:rsid w:val="00BC6A52"/>
    <w:rPr>
      <w:rFonts w:eastAsia="Calibri"/>
      <w:i/>
      <w:kern w:val="2"/>
      <w:sz w:val="24"/>
      <w:szCs w:val="28"/>
      <w:lang w:val="pl-PL"/>
      <w14:ligatures w14:val="standardContextual"/>
    </w:rPr>
  </w:style>
  <w:style w:type="paragraph" w:customStyle="1" w:styleId="Rlit">
    <w:name w:val="R_lit"/>
    <w:basedOn w:val="Normalny"/>
    <w:link w:val="RlitZnak"/>
    <w:qFormat/>
    <w:rsid w:val="00BC6A52"/>
    <w:pPr>
      <w:ind w:left="425" w:hanging="425"/>
      <w:jc w:val="both"/>
    </w:pPr>
    <w:rPr>
      <w:rFonts w:ascii="Times New Roman" w:eastAsia="Times New Roman" w:hAnsi="Times New Roman" w:cs="Times New Roman"/>
      <w:kern w:val="2"/>
      <w:lang w:eastAsia="pl-PL"/>
      <w14:ligatures w14:val="standardContextual"/>
    </w:rPr>
  </w:style>
  <w:style w:type="character" w:customStyle="1" w:styleId="RlitZnak">
    <w:name w:val="R_lit Znak"/>
    <w:basedOn w:val="Domylnaczcionkaakapitu"/>
    <w:link w:val="Rlit"/>
    <w:rsid w:val="00BC6A52"/>
    <w:rPr>
      <w:rFonts w:eastAsia="Times New Roman"/>
      <w:kern w:val="2"/>
      <w:lang w:eastAsia="pl-PL"/>
      <w14:ligatures w14:val="standardContextual"/>
    </w:rPr>
  </w:style>
  <w:style w:type="paragraph" w:customStyle="1" w:styleId="Rtab">
    <w:name w:val="R_tab"/>
    <w:basedOn w:val="Normalny"/>
    <w:link w:val="RtabZnak"/>
    <w:qFormat/>
    <w:rsid w:val="00BC6A52"/>
    <w:pPr>
      <w:suppressAutoHyphens/>
      <w:spacing w:after="120"/>
    </w:pPr>
    <w:rPr>
      <w:rFonts w:ascii="Times New Roman" w:eastAsiaTheme="minorHAnsi" w:hAnsi="Times New Roman"/>
      <w:kern w:val="2"/>
      <w:szCs w:val="22"/>
      <w:lang w:val="pl-PL" w:eastAsia="en-US"/>
      <w14:ligatures w14:val="standardContextual"/>
    </w:rPr>
  </w:style>
  <w:style w:type="character" w:customStyle="1" w:styleId="RtabZnak">
    <w:name w:val="R_tab Znak"/>
    <w:basedOn w:val="Domylnaczcionkaakapitu"/>
    <w:link w:val="Rtab"/>
    <w:rsid w:val="00BC6A52"/>
    <w:rPr>
      <w:rFonts w:eastAsiaTheme="minorHAnsi" w:cstheme="minorBidi"/>
      <w:kern w:val="2"/>
      <w:szCs w:val="22"/>
      <w:lang w:val="pl-PL"/>
      <w14:ligatures w14:val="standardContextual"/>
    </w:rPr>
  </w:style>
  <w:style w:type="paragraph" w:customStyle="1" w:styleId="Rn3">
    <w:name w:val="R_n3"/>
    <w:basedOn w:val="Rtab"/>
    <w:link w:val="Rn3Znak"/>
    <w:autoRedefine/>
    <w:qFormat/>
    <w:rsid w:val="00BC6A52"/>
    <w:pPr>
      <w:spacing w:before="120"/>
      <w:jc w:val="both"/>
    </w:pPr>
    <w:rPr>
      <w:i/>
    </w:rPr>
  </w:style>
  <w:style w:type="character" w:customStyle="1" w:styleId="Rn3Znak">
    <w:name w:val="R_n3 Znak"/>
    <w:basedOn w:val="RtabZnak"/>
    <w:link w:val="Rn3"/>
    <w:rsid w:val="00BC6A52"/>
    <w:rPr>
      <w:rFonts w:eastAsiaTheme="minorHAnsi" w:cstheme="minorBidi"/>
      <w:i/>
      <w:kern w:val="2"/>
      <w:szCs w:val="22"/>
      <w:lang w:val="pl-PL"/>
      <w14:ligatures w14:val="standardContextual"/>
    </w:rPr>
  </w:style>
  <w:style w:type="paragraph" w:customStyle="1" w:styleId="Rrys">
    <w:name w:val="R_rys"/>
    <w:basedOn w:val="Rafiliacja"/>
    <w:link w:val="RrysZnak"/>
    <w:qFormat/>
    <w:rsid w:val="00BC6A52"/>
    <w:pPr>
      <w:spacing w:before="120"/>
      <w:jc w:val="left"/>
    </w:pPr>
    <w:rPr>
      <w:i w:val="0"/>
    </w:rPr>
  </w:style>
  <w:style w:type="character" w:customStyle="1" w:styleId="RrysZnak">
    <w:name w:val="R_rys Znak"/>
    <w:basedOn w:val="RafiliacjaZnak"/>
    <w:link w:val="Rrys"/>
    <w:rsid w:val="00BC6A52"/>
    <w:rPr>
      <w:rFonts w:eastAsiaTheme="minorHAnsi"/>
      <w:i w:val="0"/>
      <w:kern w:val="2"/>
      <w:szCs w:val="28"/>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5587/2706-5448.2024.318702" TargetMode="External"/><Relationship Id="rId26" Type="http://schemas.openxmlformats.org/officeDocument/2006/relationships/hyperlink" Target="https://doi.org/10.1016/j.joi.2010.10.002" TargetMode="External"/><Relationship Id="rId39" Type="http://schemas.openxmlformats.org/officeDocument/2006/relationships/hyperlink" Target="https://doi.org/10.3390/su13137420" TargetMode="External"/><Relationship Id="rId21" Type="http://schemas.openxmlformats.org/officeDocument/2006/relationships/hyperlink" Target="https://doi.org/10.3390/su151612288" TargetMode="External"/><Relationship Id="rId34" Type="http://schemas.openxmlformats.org/officeDocument/2006/relationships/hyperlink" Target="https://doi.org/10.20858/sjsutst.2025.129.5" TargetMode="External"/><Relationship Id="rId42" Type="http://schemas.openxmlformats.org/officeDocument/2006/relationships/hyperlink" Target="https://doi.org/10.20858/sjsutst.2026.130.8" TargetMode="External"/><Relationship Id="rId47" Type="http://schemas.openxmlformats.org/officeDocument/2006/relationships/hyperlink" Target="https://doi.org/10.3390/en16196903" TargetMode="External"/><Relationship Id="rId50" Type="http://schemas.openxmlformats.org/officeDocument/2006/relationships/hyperlink" Target="http://doi.org/10.33111/vz_kneu.41.25.04.15.103.109" TargetMode="External"/><Relationship Id="rId55" Type="http://schemas.openxmlformats.org/officeDocument/2006/relationships/hyperlink" Target="https://doi.org/10.3390/su16104111" TargetMode="External"/><Relationship Id="rId63" Type="http://schemas.openxmlformats.org/officeDocument/2006/relationships/hyperlink" Target="http://doi.org/10.33111/vz_kneu.40.25.03.26.178.184" TargetMode="External"/><Relationship Id="rId68" Type="http://schemas.openxmlformats.org/officeDocument/2006/relationships/hyperlink" Target="https://doi.org/10.3390/su17198666" TargetMode="Externa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smartcities5040071" TargetMode="External"/><Relationship Id="rId29" Type="http://schemas.openxmlformats.org/officeDocument/2006/relationships/hyperlink" Target="https://doi.org/10.1108/PM-08-2024-0092" TargetMode="External"/><Relationship Id="rId11" Type="http://schemas.openxmlformats.org/officeDocument/2006/relationships/hyperlink" Target="mailto:vitalii.nitsenko@nung.edu.ua" TargetMode="External"/><Relationship Id="rId24" Type="http://schemas.openxmlformats.org/officeDocument/2006/relationships/hyperlink" Target="https://doi.org/10.3390/su142215043" TargetMode="External"/><Relationship Id="rId32" Type="http://schemas.openxmlformats.org/officeDocument/2006/relationships/hyperlink" Target="https://doi.org/10.1007/s43621-024-00295-2" TargetMode="External"/><Relationship Id="rId37" Type="http://schemas.openxmlformats.org/officeDocument/2006/relationships/hyperlink" Target="https://doi.org/10.1016/j.esr.2024.101590" TargetMode="External"/><Relationship Id="rId40" Type="http://schemas.openxmlformats.org/officeDocument/2006/relationships/hyperlink" Target="https://doi.org/10.3390/en18051107" TargetMode="External"/><Relationship Id="rId45" Type="http://schemas.openxmlformats.org/officeDocument/2006/relationships/hyperlink" Target="https://doi.org/10.3390/su142114393" TargetMode="External"/><Relationship Id="rId53" Type="http://schemas.openxmlformats.org/officeDocument/2006/relationships/hyperlink" Target="https://doi.org/10.1504/IJGE.2022.125554" TargetMode="External"/><Relationship Id="rId58" Type="http://schemas.openxmlformats.org/officeDocument/2006/relationships/hyperlink" Target="https://doi.org/10.3390/su151813462" TargetMode="External"/><Relationship Id="rId66" Type="http://schemas.openxmlformats.org/officeDocument/2006/relationships/hyperlink" Target="https://doi.org/10.33271/nvngu/2026-1/093"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sd.3194" TargetMode="External"/><Relationship Id="rId23" Type="http://schemas.openxmlformats.org/officeDocument/2006/relationships/hyperlink" Target="https://doi.org/10.3390/systems13040219" TargetMode="External"/><Relationship Id="rId28" Type="http://schemas.openxmlformats.org/officeDocument/2006/relationships/hyperlink" Target="https://doi.org/10.3390/su172210313" TargetMode="External"/><Relationship Id="rId36" Type="http://schemas.openxmlformats.org/officeDocument/2006/relationships/hyperlink" Target="https://doi.org/10.62154/ajesre.2024.016.010407" TargetMode="External"/><Relationship Id="rId49" Type="http://schemas.openxmlformats.org/officeDocument/2006/relationships/hyperlink" Target="https://doi.org/10.70517/ijhsa46204" TargetMode="External"/><Relationship Id="rId57" Type="http://schemas.openxmlformats.org/officeDocument/2006/relationships/hyperlink" Target="https://doi.org/10.54740/ros.2022.011" TargetMode="External"/><Relationship Id="rId61" Type="http://schemas.openxmlformats.org/officeDocument/2006/relationships/hyperlink" Target="https://doi.org/10.1068/a46242" TargetMode="External"/><Relationship Id="rId10" Type="http://schemas.openxmlformats.org/officeDocument/2006/relationships/hyperlink" Target="https://orcid.org/0000-0002-4594-2160" TargetMode="External"/><Relationship Id="rId19" Type="http://schemas.openxmlformats.org/officeDocument/2006/relationships/hyperlink" Target="https://doi.org/10.3390/smartcities6040085" TargetMode="External"/><Relationship Id="rId31" Type="http://schemas.openxmlformats.org/officeDocument/2006/relationships/hyperlink" Target="https://doi.org/10.1162/REST_a_00291" TargetMode="External"/><Relationship Id="rId44" Type="http://schemas.openxmlformats.org/officeDocument/2006/relationships/hyperlink" Target="https://doi.org/10.3390/en18051121" TargetMode="External"/><Relationship Id="rId52" Type="http://schemas.openxmlformats.org/officeDocument/2006/relationships/hyperlink" Target="https://doi.org/10.7753/IJSEA1406.1011" TargetMode="External"/><Relationship Id="rId60" Type="http://schemas.openxmlformats.org/officeDocument/2006/relationships/hyperlink" Target="https://doi.org/10.17485/ijst/2015/v8i34/85418" TargetMode="External"/><Relationship Id="rId65" Type="http://schemas.openxmlformats.org/officeDocument/2006/relationships/hyperlink" Target="https://doi.org/10.1007/978-981-19-7398-7_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7519-6552" TargetMode="External"/><Relationship Id="rId14" Type="http://schemas.openxmlformats.org/officeDocument/2006/relationships/image" Target="media/image4.jpeg"/><Relationship Id="rId22" Type="http://schemas.openxmlformats.org/officeDocument/2006/relationships/hyperlink" Target="https://escholarship.org/uc/item/5b92f0q0" TargetMode="External"/><Relationship Id="rId27" Type="http://schemas.openxmlformats.org/officeDocument/2006/relationships/hyperlink" Target="https://theses.lib.polyu.edu.hk/handle/200/9924" TargetMode="External"/><Relationship Id="rId30" Type="http://schemas.openxmlformats.org/officeDocument/2006/relationships/hyperlink" Target="https://doi.org/10.1257/aer.100.5.2492" TargetMode="External"/><Relationship Id="rId35" Type="http://schemas.openxmlformats.org/officeDocument/2006/relationships/hyperlink" Target="https://doi.org/10.33271/nvngu/2025-4/237" TargetMode="External"/><Relationship Id="rId43" Type="http://schemas.openxmlformats.org/officeDocument/2006/relationships/hyperlink" Target="https://doi.org/10.55267/djfm/15772" TargetMode="External"/><Relationship Id="rId48" Type="http://schemas.openxmlformats.org/officeDocument/2006/relationships/hyperlink" Target="https://doi.org/10.1371/journal.pmed.1000097" TargetMode="External"/><Relationship Id="rId56" Type="http://schemas.openxmlformats.org/officeDocument/2006/relationships/hyperlink" Target="https://doi.org/10.3390/en14144330" TargetMode="External"/><Relationship Id="rId64" Type="http://schemas.openxmlformats.org/officeDocument/2006/relationships/hyperlink" Target="https://doi.org/10.1016/j.techfore.2013.08.034" TargetMode="External"/><Relationship Id="rId69" Type="http://schemas.openxmlformats.org/officeDocument/2006/relationships/hyperlink" Target="https://doi.org/10.1016/j.rser.2016.03.047" TargetMode="External"/><Relationship Id="rId8" Type="http://schemas.openxmlformats.org/officeDocument/2006/relationships/image" Target="media/image1.png"/><Relationship Id="rId51" Type="http://schemas.openxmlformats.org/officeDocument/2006/relationships/hyperlink" Target="https://doi.org/10.13165/IE-25-19-1-10"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researchgate.net/publication/395130175_Smart_Cities_and_Sustainable_Economics_Policy_Frameworks_for_Integrating_Green_Technologies_into_Urban_Development" TargetMode="External"/><Relationship Id="rId25" Type="http://schemas.openxmlformats.org/officeDocument/2006/relationships/hyperlink" Target="https://doi.org/10.13165/IE-25-19-2-01" TargetMode="External"/><Relationship Id="rId33" Type="http://schemas.openxmlformats.org/officeDocument/2006/relationships/hyperlink" Target="https://doi.org/10.18280/ijsdp.190612" TargetMode="External"/><Relationship Id="rId38" Type="http://schemas.openxmlformats.org/officeDocument/2006/relationships/hyperlink" Target="https://doi.org/10.1016/j.enpol.2012.04.045" TargetMode="External"/><Relationship Id="rId46" Type="http://schemas.openxmlformats.org/officeDocument/2006/relationships/hyperlink" Target="https://doi.org/10.3390/en15186631" TargetMode="External"/><Relationship Id="rId59" Type="http://schemas.openxmlformats.org/officeDocument/2006/relationships/hyperlink" Target="https://www.abacademies.org/articles/theoretical-and-applied-aspects-of-the-regulation-C-1544-0044-24-4-679.pdf" TargetMode="External"/><Relationship Id="rId67" Type="http://schemas.openxmlformats.org/officeDocument/2006/relationships/hyperlink" Target="https://doi.org/10.54740/ros.2026.005" TargetMode="External"/><Relationship Id="rId20" Type="http://schemas.openxmlformats.org/officeDocument/2006/relationships/hyperlink" Target="https://doi.org/10.1016/j.techfore.2018.12.018" TargetMode="External"/><Relationship Id="rId41" Type="http://schemas.openxmlformats.org/officeDocument/2006/relationships/hyperlink" Target="https://www.srdsjournal.eu/articles/files/2024-2-Journal-SmartCity.pdf" TargetMode="External"/><Relationship Id="rId54" Type="http://schemas.openxmlformats.org/officeDocument/2006/relationships/hyperlink" Target="https://www.google.com/search?q=https://doi.org/10.1016/j.matpr.2022.04.866" TargetMode="External"/><Relationship Id="rId62" Type="http://schemas.openxmlformats.org/officeDocument/2006/relationships/hyperlink" Target="https://doi.org/10.3390/su18031195"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8A85-A983-4F74-A6B2-7121E5C5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8514</Words>
  <Characters>51086</Characters>
  <Application>Microsoft Office Word</Application>
  <DocSecurity>0</DocSecurity>
  <Lines>425</Lines>
  <Paragraphs>118</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Janusz Dabrowski NA</cp:lastModifiedBy>
  <cp:revision>20</cp:revision>
  <cp:lastPrinted>2026-06-30T08:50:00Z</cp:lastPrinted>
  <dcterms:created xsi:type="dcterms:W3CDTF">2026-06-23T08:57:00Z</dcterms:created>
  <dcterms:modified xsi:type="dcterms:W3CDTF">2026-06-30T08:51:00Z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D26F5F4051F0463191EB40B93233FB64_13</vt:lpwstr>
  </property>
  <property fmtid="{D5CDD505-2E9C-101B-9397-08002B2CF9AE}" pid="4" name="KSOTemplateDocerSaveRecord">
    <vt:lpwstr>eyJoZGlkIjoiYWQ3MTZlOWYxMTg4ZjQyNzg1NTk1MmY3MmZiYWYxYzAiLCJ1c2VySWQiOiI1NjczODA1NDAwMDIifQ==</vt:lpwstr>
  </property>
  <property fmtid="{D5CDD505-2E9C-101B-9397-08002B2CF9AE}" pid="5" name="GrammarlyDocumentId">
    <vt:lpwstr>e7750eb3-5125-48d5-9fdf-e48c3799cd35</vt:lpwstr>
  </property>
</Properties>
</file>