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024DA4" w:rsidRPr="00B013F4" w14:paraId="7D36168D" w14:textId="77777777" w:rsidTr="006E1D6D">
        <w:trPr>
          <w:trHeight w:hRule="exact" w:val="142"/>
        </w:trPr>
        <w:tc>
          <w:tcPr>
            <w:tcW w:w="709" w:type="dxa"/>
            <w:vMerge w:val="restart"/>
            <w:vAlign w:val="center"/>
          </w:tcPr>
          <w:p w14:paraId="5E6B3E1A" w14:textId="77777777" w:rsidR="00024DA4" w:rsidRPr="00B013F4" w:rsidRDefault="00024DA4" w:rsidP="006E1D6D">
            <w:pPr>
              <w:spacing w:line="240" w:lineRule="auto"/>
            </w:pPr>
            <w:bookmarkStart w:id="0" w:name="_jlde0bfez6jg" w:colFirst="0" w:colLast="0"/>
            <w:bookmarkStart w:id="1" w:name="_Hlk184284483"/>
            <w:bookmarkStart w:id="2" w:name="_Hlk145412337"/>
            <w:bookmarkStart w:id="3" w:name="_Hlk103340665"/>
            <w:bookmarkStart w:id="4" w:name="_Hlk24804592"/>
            <w:bookmarkEnd w:id="0"/>
            <w:bookmarkEnd w:id="1"/>
            <w:bookmarkEnd w:id="2"/>
            <w:bookmarkEnd w:id="3"/>
            <w:r w:rsidRPr="00B013F4">
              <w:rPr>
                <w:noProof/>
              </w:rPr>
              <w:drawing>
                <wp:anchor distT="0" distB="0" distL="114300" distR="114300" simplePos="0" relativeHeight="251659264" behindDoc="0" locked="0" layoutInCell="1" allowOverlap="1" wp14:anchorId="365E78BD" wp14:editId="614AC147">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vAlign w:val="center"/>
          </w:tcPr>
          <w:p w14:paraId="533A4356" w14:textId="77777777" w:rsidR="00024DA4" w:rsidRPr="00B013F4" w:rsidRDefault="00024DA4" w:rsidP="006E1D6D">
            <w:pPr>
              <w:spacing w:line="240" w:lineRule="auto"/>
              <w:jc w:val="center"/>
            </w:pPr>
          </w:p>
        </w:tc>
      </w:tr>
      <w:tr w:rsidR="00024DA4" w:rsidRPr="00B013F4" w14:paraId="7E143E92" w14:textId="77777777" w:rsidTr="006E1D6D">
        <w:trPr>
          <w:trHeight w:hRule="exact" w:val="283"/>
        </w:trPr>
        <w:tc>
          <w:tcPr>
            <w:tcW w:w="709" w:type="dxa"/>
            <w:vMerge/>
          </w:tcPr>
          <w:p w14:paraId="1F0C1709" w14:textId="77777777" w:rsidR="00024DA4" w:rsidRPr="00B013F4" w:rsidRDefault="00024DA4" w:rsidP="006E1D6D">
            <w:pPr>
              <w:spacing w:line="240" w:lineRule="auto"/>
              <w:jc w:val="center"/>
            </w:pPr>
          </w:p>
        </w:tc>
        <w:tc>
          <w:tcPr>
            <w:tcW w:w="8930" w:type="dxa"/>
            <w:gridSpan w:val="3"/>
            <w:tcBorders>
              <w:bottom w:val="single" w:sz="2" w:space="0" w:color="auto"/>
            </w:tcBorders>
            <w:vAlign w:val="center"/>
          </w:tcPr>
          <w:p w14:paraId="2DDC78D5" w14:textId="77777777" w:rsidR="00024DA4" w:rsidRPr="00B013F4" w:rsidRDefault="00024DA4" w:rsidP="006E1D6D">
            <w:pPr>
              <w:spacing w:line="240" w:lineRule="auto"/>
              <w:jc w:val="center"/>
            </w:pPr>
            <w:proofErr w:type="spellStart"/>
            <w:r w:rsidRPr="00B013F4">
              <w:rPr>
                <w:b/>
                <w:sz w:val="20"/>
              </w:rPr>
              <w:t>Rocznik</w:t>
            </w:r>
            <w:proofErr w:type="spellEnd"/>
            <w:r w:rsidRPr="00B013F4">
              <w:rPr>
                <w:b/>
                <w:sz w:val="20"/>
              </w:rPr>
              <w:t xml:space="preserve"> </w:t>
            </w:r>
            <w:proofErr w:type="spellStart"/>
            <w:r w:rsidRPr="00B013F4">
              <w:rPr>
                <w:b/>
                <w:sz w:val="20"/>
              </w:rPr>
              <w:t>Ochrona</w:t>
            </w:r>
            <w:proofErr w:type="spellEnd"/>
            <w:r w:rsidRPr="00B013F4">
              <w:rPr>
                <w:b/>
                <w:sz w:val="20"/>
              </w:rPr>
              <w:t xml:space="preserve"> </w:t>
            </w:r>
            <w:proofErr w:type="spellStart"/>
            <w:r w:rsidRPr="00B013F4">
              <w:rPr>
                <w:b/>
                <w:sz w:val="20"/>
              </w:rPr>
              <w:t>Środowiska</w:t>
            </w:r>
            <w:proofErr w:type="spellEnd"/>
          </w:p>
        </w:tc>
      </w:tr>
      <w:tr w:rsidR="00024DA4" w:rsidRPr="00B013F4" w14:paraId="76A6CD50" w14:textId="77777777" w:rsidTr="006E1D6D">
        <w:trPr>
          <w:trHeight w:hRule="exact" w:val="283"/>
        </w:trPr>
        <w:tc>
          <w:tcPr>
            <w:tcW w:w="709" w:type="dxa"/>
            <w:vMerge/>
          </w:tcPr>
          <w:p w14:paraId="69B153E8" w14:textId="77777777" w:rsidR="00024DA4" w:rsidRPr="00B013F4" w:rsidRDefault="00024DA4" w:rsidP="006E1D6D">
            <w:pPr>
              <w:spacing w:line="240" w:lineRule="auto"/>
              <w:jc w:val="center"/>
            </w:pPr>
          </w:p>
        </w:tc>
        <w:tc>
          <w:tcPr>
            <w:tcW w:w="992" w:type="dxa"/>
            <w:tcBorders>
              <w:top w:val="single" w:sz="2" w:space="0" w:color="auto"/>
              <w:bottom w:val="single" w:sz="2" w:space="0" w:color="auto"/>
            </w:tcBorders>
            <w:vAlign w:val="center"/>
          </w:tcPr>
          <w:p w14:paraId="52ECE8A3" w14:textId="77777777" w:rsidR="00024DA4" w:rsidRPr="00B013F4" w:rsidRDefault="00024DA4" w:rsidP="006E1D6D">
            <w:pPr>
              <w:spacing w:line="240" w:lineRule="auto"/>
              <w:rPr>
                <w:kern w:val="18"/>
                <w:sz w:val="18"/>
              </w:rPr>
            </w:pPr>
            <w:r w:rsidRPr="00B013F4">
              <w:rPr>
                <w:kern w:val="18"/>
                <w:sz w:val="18"/>
              </w:rPr>
              <w:t>Volume 28</w:t>
            </w:r>
          </w:p>
        </w:tc>
        <w:tc>
          <w:tcPr>
            <w:tcW w:w="6304" w:type="dxa"/>
            <w:tcBorders>
              <w:top w:val="single" w:sz="2" w:space="0" w:color="auto"/>
              <w:bottom w:val="single" w:sz="2" w:space="0" w:color="auto"/>
            </w:tcBorders>
            <w:vAlign w:val="center"/>
          </w:tcPr>
          <w:p w14:paraId="65A58AA2" w14:textId="77777777" w:rsidR="00024DA4" w:rsidRPr="00B013F4" w:rsidRDefault="00024DA4" w:rsidP="006E1D6D">
            <w:pPr>
              <w:tabs>
                <w:tab w:val="left" w:pos="3057"/>
              </w:tabs>
              <w:spacing w:line="240" w:lineRule="auto"/>
              <w:rPr>
                <w:kern w:val="18"/>
                <w:sz w:val="18"/>
              </w:rPr>
            </w:pPr>
            <w:r w:rsidRPr="00B013F4">
              <w:rPr>
                <w:kern w:val="18"/>
                <w:sz w:val="18"/>
              </w:rPr>
              <w:t>Year 2026</w:t>
            </w:r>
            <w:r w:rsidRPr="00B013F4">
              <w:rPr>
                <w:kern w:val="18"/>
                <w:sz w:val="18"/>
              </w:rPr>
              <w:tab/>
              <w:t>ISSN 2720-7501</w:t>
            </w:r>
          </w:p>
        </w:tc>
        <w:tc>
          <w:tcPr>
            <w:tcW w:w="1634" w:type="dxa"/>
            <w:tcBorders>
              <w:top w:val="single" w:sz="2" w:space="0" w:color="auto"/>
              <w:bottom w:val="single" w:sz="2" w:space="0" w:color="auto"/>
            </w:tcBorders>
            <w:vAlign w:val="center"/>
          </w:tcPr>
          <w:p w14:paraId="1AC44564" w14:textId="225DBF6B" w:rsidR="00024DA4" w:rsidRPr="00B013F4" w:rsidRDefault="00024DA4" w:rsidP="006E1D6D">
            <w:pPr>
              <w:spacing w:line="240" w:lineRule="auto"/>
              <w:jc w:val="right"/>
              <w:rPr>
                <w:sz w:val="18"/>
              </w:rPr>
            </w:pPr>
            <w:r w:rsidRPr="00B013F4">
              <w:rPr>
                <w:sz w:val="18"/>
              </w:rPr>
              <w:t xml:space="preserve">pp. </w:t>
            </w:r>
            <w:r w:rsidR="002E4748">
              <w:rPr>
                <w:sz w:val="18"/>
              </w:rPr>
              <w:t>139</w:t>
            </w:r>
            <w:r w:rsidRPr="00B013F4">
              <w:rPr>
                <w:sz w:val="18"/>
              </w:rPr>
              <w:t>-</w:t>
            </w:r>
            <w:r w:rsidR="002E4748">
              <w:rPr>
                <w:sz w:val="18"/>
              </w:rPr>
              <w:t>152</w:t>
            </w:r>
            <w:r w:rsidRPr="00B013F4">
              <w:rPr>
                <w:sz w:val="18"/>
              </w:rPr>
              <w:t xml:space="preserve"> </w:t>
            </w:r>
          </w:p>
        </w:tc>
      </w:tr>
      <w:tr w:rsidR="00024DA4" w:rsidRPr="00B013F4" w14:paraId="26A5216F" w14:textId="77777777" w:rsidTr="006E1D6D">
        <w:trPr>
          <w:trHeight w:hRule="exact" w:val="283"/>
        </w:trPr>
        <w:tc>
          <w:tcPr>
            <w:tcW w:w="709" w:type="dxa"/>
          </w:tcPr>
          <w:p w14:paraId="781F7AE8" w14:textId="77777777" w:rsidR="00024DA4" w:rsidRPr="00B013F4" w:rsidRDefault="00024DA4" w:rsidP="006E1D6D">
            <w:pPr>
              <w:spacing w:line="240" w:lineRule="auto"/>
              <w:jc w:val="center"/>
            </w:pPr>
          </w:p>
        </w:tc>
        <w:tc>
          <w:tcPr>
            <w:tcW w:w="8930" w:type="dxa"/>
            <w:gridSpan w:val="3"/>
            <w:tcBorders>
              <w:top w:val="single" w:sz="2" w:space="0" w:color="auto"/>
              <w:bottom w:val="single" w:sz="2" w:space="0" w:color="auto"/>
            </w:tcBorders>
            <w:vAlign w:val="center"/>
          </w:tcPr>
          <w:p w14:paraId="6ABB186E" w14:textId="39A24317" w:rsidR="00024DA4" w:rsidRPr="00B013F4" w:rsidRDefault="00024DA4" w:rsidP="006E1D6D">
            <w:pPr>
              <w:tabs>
                <w:tab w:val="right" w:pos="8928"/>
              </w:tabs>
              <w:spacing w:line="240" w:lineRule="auto"/>
              <w:rPr>
                <w:sz w:val="18"/>
              </w:rPr>
            </w:pPr>
            <w:r w:rsidRPr="00B013F4">
              <w:rPr>
                <w:sz w:val="18"/>
              </w:rPr>
              <w:t>https://doi.org/10.54740/ros.2026.0</w:t>
            </w:r>
            <w:r w:rsidR="004C1435">
              <w:rPr>
                <w:sz w:val="18"/>
              </w:rPr>
              <w:t>11</w:t>
            </w:r>
            <w:r w:rsidRPr="00B013F4">
              <w:rPr>
                <w:sz w:val="18"/>
              </w:rPr>
              <w:tab/>
              <w:t>open access</w:t>
            </w:r>
          </w:p>
        </w:tc>
      </w:tr>
      <w:tr w:rsidR="00024DA4" w:rsidRPr="00B013F4" w14:paraId="663FBDBA" w14:textId="77777777" w:rsidTr="006E1D6D">
        <w:trPr>
          <w:trHeight w:hRule="exact" w:val="283"/>
        </w:trPr>
        <w:tc>
          <w:tcPr>
            <w:tcW w:w="709" w:type="dxa"/>
          </w:tcPr>
          <w:p w14:paraId="28006143" w14:textId="77777777" w:rsidR="00024DA4" w:rsidRPr="00B013F4" w:rsidRDefault="00024DA4" w:rsidP="006E1D6D">
            <w:pPr>
              <w:spacing w:line="240" w:lineRule="auto"/>
              <w:jc w:val="center"/>
            </w:pPr>
          </w:p>
        </w:tc>
        <w:tc>
          <w:tcPr>
            <w:tcW w:w="8930" w:type="dxa"/>
            <w:gridSpan w:val="3"/>
            <w:tcBorders>
              <w:top w:val="single" w:sz="2" w:space="0" w:color="auto"/>
            </w:tcBorders>
            <w:vAlign w:val="center"/>
          </w:tcPr>
          <w:p w14:paraId="31A01B30" w14:textId="0AC057D3" w:rsidR="00024DA4" w:rsidRPr="00B013F4" w:rsidRDefault="00024DA4" w:rsidP="006E1D6D">
            <w:pPr>
              <w:tabs>
                <w:tab w:val="left" w:pos="3740"/>
                <w:tab w:val="right" w:pos="8928"/>
              </w:tabs>
              <w:spacing w:line="240" w:lineRule="auto"/>
              <w:rPr>
                <w:sz w:val="18"/>
              </w:rPr>
            </w:pPr>
            <w:r w:rsidRPr="00B013F4">
              <w:rPr>
                <w:sz w:val="18"/>
              </w:rPr>
              <w:t>Received: February 202</w:t>
            </w:r>
            <w:r>
              <w:rPr>
                <w:sz w:val="18"/>
              </w:rPr>
              <w:t>5</w:t>
            </w:r>
            <w:r w:rsidRPr="00B013F4">
              <w:rPr>
                <w:sz w:val="18"/>
              </w:rPr>
              <w:tab/>
              <w:t xml:space="preserve">Accepted: </w:t>
            </w:r>
            <w:r>
              <w:rPr>
                <w:sz w:val="18"/>
              </w:rPr>
              <w:t>March</w:t>
            </w:r>
            <w:r w:rsidRPr="00B013F4">
              <w:rPr>
                <w:sz w:val="18"/>
              </w:rPr>
              <w:t xml:space="preserve"> 2026</w:t>
            </w:r>
            <w:r w:rsidRPr="00B013F4">
              <w:rPr>
                <w:sz w:val="18"/>
              </w:rPr>
              <w:tab/>
              <w:t xml:space="preserve">Published: </w:t>
            </w:r>
            <w:r w:rsidR="002E4748" w:rsidRPr="002E4748">
              <w:rPr>
                <w:sz w:val="18"/>
              </w:rPr>
              <w:t>March</w:t>
            </w:r>
            <w:r w:rsidRPr="00B013F4">
              <w:rPr>
                <w:sz w:val="18"/>
              </w:rPr>
              <w:t xml:space="preserve"> 2026</w:t>
            </w:r>
          </w:p>
        </w:tc>
      </w:tr>
    </w:tbl>
    <w:bookmarkEnd w:id="4"/>
    <w:p w14:paraId="31221B86" w14:textId="29FC552C" w:rsidR="00661045" w:rsidRPr="00024DA4" w:rsidRDefault="007014CF" w:rsidP="0035185A">
      <w:pPr>
        <w:pStyle w:val="Rtytu"/>
        <w:rPr>
          <w:lang w:val="en-US"/>
        </w:rPr>
      </w:pPr>
      <w:r w:rsidRPr="00024DA4">
        <w:rPr>
          <w:lang w:val="en-US"/>
        </w:rPr>
        <w:t xml:space="preserve">Climate-Induced Evaporation and Salinity Dynamics in Southwestern </w:t>
      </w:r>
      <w:r w:rsidR="00B81DE9" w:rsidRPr="00024DA4">
        <w:rPr>
          <w:lang w:val="en-US"/>
        </w:rPr>
        <w:t>Türkiye</w:t>
      </w:r>
      <w:r w:rsidR="00D712DC">
        <w:rPr>
          <w:lang w:val="en-US"/>
        </w:rPr>
        <w:t>'</w:t>
      </w:r>
      <w:r w:rsidR="00B81DE9" w:rsidRPr="00024DA4">
        <w:rPr>
          <w:lang w:val="en-US"/>
        </w:rPr>
        <w:t>s</w:t>
      </w:r>
      <w:r w:rsidRPr="00024DA4">
        <w:rPr>
          <w:lang w:val="en-US"/>
        </w:rPr>
        <w:t xml:space="preserve"> Endorheic Lakes: A Multi-Year Remote Sensing and </w:t>
      </w:r>
      <w:proofErr w:type="spellStart"/>
      <w:r w:rsidRPr="00024DA4">
        <w:rPr>
          <w:lang w:val="en-US"/>
        </w:rPr>
        <w:t>Hydrostatistical</w:t>
      </w:r>
      <w:proofErr w:type="spellEnd"/>
      <w:r w:rsidRPr="00024DA4">
        <w:rPr>
          <w:lang w:val="en-US"/>
        </w:rPr>
        <w:t xml:space="preserve"> Analysis</w:t>
      </w:r>
    </w:p>
    <w:p w14:paraId="3F60D1A7" w14:textId="787A1E68" w:rsidR="00442B9C" w:rsidRPr="00593405" w:rsidRDefault="004B5473" w:rsidP="0035185A">
      <w:pPr>
        <w:pStyle w:val="Rautor"/>
        <w:rPr>
          <w:lang w:val="en-US"/>
        </w:rPr>
      </w:pPr>
      <w:proofErr w:type="spellStart"/>
      <w:r w:rsidRPr="00593405">
        <w:rPr>
          <w:lang w:val="en-US"/>
        </w:rPr>
        <w:t>Orhun</w:t>
      </w:r>
      <w:proofErr w:type="spellEnd"/>
      <w:r w:rsidRPr="00593405">
        <w:rPr>
          <w:lang w:val="en-US"/>
        </w:rPr>
        <w:t xml:space="preserve"> </w:t>
      </w:r>
      <w:r w:rsidR="0035185A" w:rsidRPr="00593405">
        <w:rPr>
          <w:lang w:val="en-US"/>
        </w:rPr>
        <w:t>Soydan</w:t>
      </w:r>
    </w:p>
    <w:p w14:paraId="6D309D32" w14:textId="15E863F2" w:rsidR="00B22C0C" w:rsidRPr="0035185A" w:rsidRDefault="0035185A" w:rsidP="0035185A">
      <w:pPr>
        <w:pStyle w:val="Rafiliacja"/>
        <w:rPr>
          <w:lang w:val="tr-TR"/>
        </w:rPr>
      </w:pPr>
      <w:r w:rsidRPr="00593405">
        <w:rPr>
          <w:lang w:val="en-US"/>
        </w:rPr>
        <w:t xml:space="preserve">Landscape Architecture Department, Faculty of Engineering and Architecture, </w:t>
      </w:r>
      <w:r w:rsidRPr="00593405">
        <w:rPr>
          <w:lang w:val="en-US"/>
        </w:rPr>
        <w:br/>
      </w:r>
      <w:proofErr w:type="spellStart"/>
      <w:r w:rsidRPr="00593405">
        <w:rPr>
          <w:lang w:val="en-US"/>
        </w:rPr>
        <w:t>Burdur</w:t>
      </w:r>
      <w:proofErr w:type="spellEnd"/>
      <w:r w:rsidRPr="00593405">
        <w:rPr>
          <w:lang w:val="en-US"/>
        </w:rPr>
        <w:t xml:space="preserve"> Mehmet Akif Ersoy University, </w:t>
      </w:r>
      <w:proofErr w:type="spellStart"/>
      <w:r w:rsidRPr="00593405">
        <w:rPr>
          <w:lang w:val="en-US"/>
        </w:rPr>
        <w:t>Burdur</w:t>
      </w:r>
      <w:proofErr w:type="spellEnd"/>
      <w:r w:rsidRPr="00593405">
        <w:rPr>
          <w:lang w:val="en-US"/>
        </w:rPr>
        <w:t xml:space="preserve">, </w:t>
      </w:r>
      <w:r w:rsidR="004B5473" w:rsidRPr="00593405">
        <w:rPr>
          <w:lang w:val="en-US"/>
        </w:rPr>
        <w:t>T</w:t>
      </w:r>
      <w:r w:rsidR="00B81DE9" w:rsidRPr="00593405">
        <w:rPr>
          <w:lang w:val="en-US"/>
        </w:rPr>
        <w:t>ürkiye</w:t>
      </w:r>
      <w:r w:rsidRPr="00593405">
        <w:rPr>
          <w:lang w:val="en-US"/>
        </w:rPr>
        <w:t xml:space="preserve"> </w:t>
      </w:r>
      <w:r w:rsidRPr="00593405">
        <w:rPr>
          <w:lang w:val="en-US"/>
        </w:rPr>
        <w:br/>
      </w:r>
      <w:r w:rsidR="00B22C0C" w:rsidRPr="0035185A">
        <w:rPr>
          <w:lang w:val="tr-TR"/>
        </w:rPr>
        <w:t>https://orcid.org/0000-0003-0723-921X</w:t>
      </w:r>
    </w:p>
    <w:p w14:paraId="4484D99D" w14:textId="0021A2FE" w:rsidR="004B5473" w:rsidRPr="0035185A" w:rsidRDefault="0035185A" w:rsidP="0035185A">
      <w:pPr>
        <w:pStyle w:val="Rauco"/>
      </w:pPr>
      <w:r w:rsidRPr="0035185A">
        <w:t>corresponding author</w:t>
      </w:r>
      <w:r w:rsidR="00D712DC">
        <w:t>'</w:t>
      </w:r>
      <w:r w:rsidRPr="0035185A">
        <w:t xml:space="preserve">s e-mail: </w:t>
      </w:r>
      <w:r w:rsidR="00DD53D6" w:rsidRPr="0035185A">
        <w:t>osoydan@mehmetakif</w:t>
      </w:r>
      <w:r w:rsidR="004B5473" w:rsidRPr="0035185A">
        <w:t>.edu.tr</w:t>
      </w:r>
    </w:p>
    <w:p w14:paraId="246AFCA2" w14:textId="066D4D79" w:rsidR="00C508AC" w:rsidRPr="0035185A" w:rsidRDefault="00DD53D6" w:rsidP="0035185A">
      <w:pPr>
        <w:pStyle w:val="Rab1"/>
        <w:rPr>
          <w:b/>
          <w:lang w:val="en-US"/>
        </w:rPr>
      </w:pPr>
      <w:r w:rsidRPr="0035185A">
        <w:rPr>
          <w:b/>
          <w:bCs/>
        </w:rPr>
        <w:t>Abstract</w:t>
      </w:r>
      <w:r w:rsidR="00F733CF" w:rsidRPr="0035185A">
        <w:rPr>
          <w:b/>
          <w:bCs/>
        </w:rPr>
        <w:t>:</w:t>
      </w:r>
      <w:r w:rsidR="00F733CF" w:rsidRPr="0035185A">
        <w:t xml:space="preserve"> </w:t>
      </w:r>
      <w:r w:rsidR="000C17DB" w:rsidRPr="0035185A">
        <w:rPr>
          <w:lang w:val="en-US"/>
        </w:rPr>
        <w:t xml:space="preserve">Closed-basin lakes in semi-arid Mediterranean regions are critical indicators of hydroclimatic change. This study quantifies </w:t>
      </w:r>
      <w:r w:rsidR="00D712DC">
        <w:rPr>
          <w:lang w:val="en-US"/>
        </w:rPr>
        <w:t>the dynamics of lake surface area (LSA)</w:t>
      </w:r>
      <w:r w:rsidR="000C17DB" w:rsidRPr="0035185A">
        <w:rPr>
          <w:lang w:val="en-US"/>
        </w:rPr>
        <w:t xml:space="preserve"> for six strategic Turkish lakes (</w:t>
      </w:r>
      <w:proofErr w:type="spellStart"/>
      <w:r w:rsidR="000C17DB" w:rsidRPr="0035185A">
        <w:rPr>
          <w:lang w:val="en-US"/>
        </w:rPr>
        <w:t>Burdur</w:t>
      </w:r>
      <w:proofErr w:type="spellEnd"/>
      <w:r w:rsidR="000C17DB" w:rsidRPr="0035185A">
        <w:rPr>
          <w:lang w:val="en-US"/>
        </w:rPr>
        <w:t xml:space="preserve">, </w:t>
      </w:r>
      <w:proofErr w:type="spellStart"/>
      <w:r w:rsidR="000C17DB" w:rsidRPr="0035185A">
        <w:rPr>
          <w:lang w:val="en-US"/>
        </w:rPr>
        <w:t>Salda</w:t>
      </w:r>
      <w:proofErr w:type="spellEnd"/>
      <w:r w:rsidR="000C17DB" w:rsidRPr="0035185A">
        <w:rPr>
          <w:lang w:val="en-US"/>
        </w:rPr>
        <w:t xml:space="preserve">, </w:t>
      </w:r>
      <w:proofErr w:type="spellStart"/>
      <w:r w:rsidR="000C17DB" w:rsidRPr="0035185A">
        <w:rPr>
          <w:lang w:val="en-US"/>
        </w:rPr>
        <w:t>Yarisli</w:t>
      </w:r>
      <w:proofErr w:type="spellEnd"/>
      <w:r w:rsidR="000C17DB" w:rsidRPr="0035185A">
        <w:rPr>
          <w:lang w:val="en-US"/>
        </w:rPr>
        <w:t>, Karata</w:t>
      </w:r>
      <w:r w:rsidR="00031F6E" w:rsidRPr="0035185A">
        <w:rPr>
          <w:lang w:val="en-US"/>
        </w:rPr>
        <w:t>s</w:t>
      </w:r>
      <w:r w:rsidR="000C17DB" w:rsidRPr="0035185A">
        <w:rPr>
          <w:lang w:val="en-US"/>
        </w:rPr>
        <w:t xml:space="preserve">, </w:t>
      </w:r>
      <w:proofErr w:type="spellStart"/>
      <w:r w:rsidR="000C17DB" w:rsidRPr="0035185A">
        <w:rPr>
          <w:lang w:val="en-US"/>
        </w:rPr>
        <w:t>Acigol</w:t>
      </w:r>
      <w:proofErr w:type="spellEnd"/>
      <w:r w:rsidR="000C17DB" w:rsidRPr="0035185A">
        <w:rPr>
          <w:lang w:val="en-US"/>
        </w:rPr>
        <w:t>, and Eber) from 2010 to 2024. Using multi-sensor satellite imagery (Landsat/Sentinel-2) and ERA5-Land climate data, we analyzed the impact of precipitation, evapotranspiration (ET</w:t>
      </w:r>
      <w:r w:rsidR="000C17DB" w:rsidRPr="0035185A">
        <w:rPr>
          <w:vertAlign w:val="subscript"/>
          <w:lang w:val="en-US"/>
        </w:rPr>
        <w:t>0</w:t>
      </w:r>
      <w:r w:rsidR="000C17DB" w:rsidRPr="0035185A">
        <w:rPr>
          <w:lang w:val="en-US"/>
        </w:rPr>
        <w:t xml:space="preserve">), and the SPEI-12 index. Results reveal significant LSA declines across all lakes, most severely in Lake </w:t>
      </w:r>
      <w:proofErr w:type="spellStart"/>
      <w:r w:rsidR="000C17DB" w:rsidRPr="0035185A">
        <w:rPr>
          <w:lang w:val="en-US"/>
        </w:rPr>
        <w:t>Burdur</w:t>
      </w:r>
      <w:proofErr w:type="spellEnd"/>
      <w:r w:rsidR="000C17DB" w:rsidRPr="0035185A">
        <w:rPr>
          <w:lang w:val="en-US"/>
        </w:rPr>
        <w:t xml:space="preserve"> (-32.4%). Strong correlations between LSA and SPEI-12 (r up to 0.82) and ET</w:t>
      </w:r>
      <w:r w:rsidR="000C17DB" w:rsidRPr="0035185A">
        <w:rPr>
          <w:vertAlign w:val="subscript"/>
          <w:lang w:val="en-US"/>
        </w:rPr>
        <w:t xml:space="preserve">0 </w:t>
      </w:r>
      <w:r w:rsidR="000C17DB" w:rsidRPr="0035185A">
        <w:rPr>
          <w:lang w:val="en-US"/>
        </w:rPr>
        <w:t xml:space="preserve">highlight atmospheric water demand as a primary driver of shrinkage. Multivariate analysis categorizes the lakes into three vulnerability typologies, identifying </w:t>
      </w:r>
      <w:proofErr w:type="spellStart"/>
      <w:r w:rsidR="000C17DB" w:rsidRPr="0035185A">
        <w:rPr>
          <w:lang w:val="en-US"/>
        </w:rPr>
        <w:t>Burdur</w:t>
      </w:r>
      <w:proofErr w:type="spellEnd"/>
      <w:r w:rsidR="000C17DB" w:rsidRPr="0035185A">
        <w:rPr>
          <w:lang w:val="en-US"/>
        </w:rPr>
        <w:t xml:space="preserve"> and Eber as highly sensitive, while </w:t>
      </w:r>
      <w:proofErr w:type="spellStart"/>
      <w:r w:rsidR="000C17DB" w:rsidRPr="0035185A">
        <w:rPr>
          <w:lang w:val="en-US"/>
        </w:rPr>
        <w:t>Salda</w:t>
      </w:r>
      <w:proofErr w:type="spellEnd"/>
      <w:r w:rsidR="000C17DB" w:rsidRPr="0035185A">
        <w:rPr>
          <w:lang w:val="en-US"/>
        </w:rPr>
        <w:t xml:space="preserve"> remains relatively resilient. These findings demonstrate that coupled drought persistence and increasing evaporative stress are accelerating lake desiccation, necessitating urgent, basin-specific climate-adaptive management strategies to preserve these vulnerable Mediterranean ecosystems.</w:t>
      </w:r>
    </w:p>
    <w:p w14:paraId="0DD92F8D" w14:textId="75269260" w:rsidR="0020415E" w:rsidRPr="0035185A" w:rsidRDefault="00DD53D6" w:rsidP="0035185A">
      <w:pPr>
        <w:pStyle w:val="Rab2"/>
        <w:rPr>
          <w:noProof/>
          <w:lang w:val="en-US"/>
        </w:rPr>
      </w:pPr>
      <w:r w:rsidRPr="0035185A">
        <w:rPr>
          <w:b/>
          <w:bCs/>
          <w:noProof/>
          <w:lang w:val="en-US"/>
        </w:rPr>
        <w:t>K</w:t>
      </w:r>
      <w:r w:rsidR="00997B0F" w:rsidRPr="0035185A">
        <w:rPr>
          <w:b/>
          <w:bCs/>
          <w:noProof/>
          <w:lang w:val="en-US"/>
        </w:rPr>
        <w:t>eywords:</w:t>
      </w:r>
      <w:r w:rsidR="00997B0F" w:rsidRPr="0035185A">
        <w:rPr>
          <w:noProof/>
          <w:lang w:val="en-US"/>
        </w:rPr>
        <w:t xml:space="preserve"> </w:t>
      </w:r>
      <w:r w:rsidR="00C508AC" w:rsidRPr="0035185A">
        <w:rPr>
          <w:noProof/>
          <w:lang w:val="en-US"/>
        </w:rPr>
        <w:t>Lake surface area dynamics, drought sensitivity, SPEI, remote sensing, multivariate analysis</w:t>
      </w:r>
    </w:p>
    <w:p w14:paraId="42062803" w14:textId="6A4A5EE8" w:rsidR="00997B0F" w:rsidRPr="0035185A" w:rsidRDefault="00F733CF" w:rsidP="00C73844">
      <w:pPr>
        <w:pStyle w:val="Nagwek1"/>
        <w:spacing w:before="240" w:after="120" w:line="240" w:lineRule="auto"/>
        <w:rPr>
          <w:rFonts w:cs="Times New Roman"/>
          <w:szCs w:val="24"/>
        </w:rPr>
      </w:pPr>
      <w:r w:rsidRPr="0035185A">
        <w:rPr>
          <w:rFonts w:cs="Times New Roman"/>
          <w:szCs w:val="24"/>
        </w:rPr>
        <w:t>1. Introduction</w:t>
      </w:r>
    </w:p>
    <w:p w14:paraId="0BBE23DC" w14:textId="3B7F2A6A" w:rsidR="00C23E95" w:rsidRPr="0035185A" w:rsidRDefault="007014CF" w:rsidP="00C23E95">
      <w:pPr>
        <w:pStyle w:val="Paragraph"/>
        <w:spacing w:before="0" w:line="240" w:lineRule="auto"/>
        <w:ind w:firstLine="284"/>
        <w:jc w:val="both"/>
        <w:rPr>
          <w:sz w:val="22"/>
          <w:szCs w:val="22"/>
          <w:lang w:val="en-US"/>
        </w:rPr>
      </w:pPr>
      <w:r w:rsidRPr="0035185A">
        <w:rPr>
          <w:sz w:val="22"/>
          <w:szCs w:val="22"/>
          <w:lang w:val="en-US"/>
        </w:rPr>
        <w:t>Endorheic, or closed-basin, lakes are fundamental components of the Mediterranean hydroclimatic system, providing crucial freshwater resources and supporting a variety of ecological functions. Unlike open-basin lakes, endorheic systems lack surface outflows, making them particularly sensitive to the balance between precipitation, evaporation, and catchment inflow (</w:t>
      </w:r>
      <w:r w:rsidR="00381885" w:rsidRPr="0035185A">
        <w:rPr>
          <w:sz w:val="22"/>
          <w:szCs w:val="22"/>
          <w:lang w:val="en-US"/>
        </w:rPr>
        <w:t>Liu</w:t>
      </w:r>
      <w:r w:rsidRPr="0035185A">
        <w:rPr>
          <w:sz w:val="22"/>
          <w:szCs w:val="22"/>
          <w:lang w:val="en-US"/>
        </w:rPr>
        <w:t xml:space="preserve"> et al.</w:t>
      </w:r>
      <w:r w:rsidR="00593405">
        <w:rPr>
          <w:sz w:val="22"/>
          <w:szCs w:val="22"/>
          <w:lang w:val="en-US"/>
        </w:rPr>
        <w:t>,</w:t>
      </w:r>
      <w:r w:rsidR="00D14691" w:rsidRPr="0035185A">
        <w:rPr>
          <w:sz w:val="22"/>
          <w:szCs w:val="22"/>
          <w:lang w:val="en-US"/>
        </w:rPr>
        <w:t xml:space="preserve"> </w:t>
      </w:r>
      <w:r w:rsidRPr="0035185A">
        <w:rPr>
          <w:sz w:val="22"/>
          <w:szCs w:val="22"/>
          <w:lang w:val="en-US"/>
        </w:rPr>
        <w:t>2023</w:t>
      </w:r>
      <w:r w:rsidR="00593405">
        <w:rPr>
          <w:sz w:val="22"/>
          <w:szCs w:val="22"/>
          <w:lang w:val="en-US"/>
        </w:rPr>
        <w:t>;</w:t>
      </w:r>
      <w:r w:rsidRPr="0035185A">
        <w:rPr>
          <w:sz w:val="22"/>
          <w:szCs w:val="22"/>
          <w:lang w:val="en-US"/>
        </w:rPr>
        <w:t xml:space="preserve"> </w:t>
      </w:r>
      <w:r w:rsidR="00381885" w:rsidRPr="0035185A">
        <w:rPr>
          <w:sz w:val="22"/>
          <w:szCs w:val="22"/>
          <w:lang w:val="en-US"/>
        </w:rPr>
        <w:t>Jiao et al</w:t>
      </w:r>
      <w:r w:rsidRPr="0035185A">
        <w:rPr>
          <w:sz w:val="22"/>
          <w:szCs w:val="22"/>
          <w:lang w:val="en-US"/>
        </w:rPr>
        <w:t>.</w:t>
      </w:r>
      <w:r w:rsidR="00593405">
        <w:rPr>
          <w:sz w:val="22"/>
          <w:szCs w:val="22"/>
          <w:lang w:val="en-US"/>
        </w:rPr>
        <w:t>,</w:t>
      </w:r>
      <w:r w:rsidRPr="0035185A">
        <w:rPr>
          <w:sz w:val="22"/>
          <w:szCs w:val="22"/>
          <w:lang w:val="en-US"/>
        </w:rPr>
        <w:t xml:space="preserve"> 2024). This hydrological isolation renders them highly vulnerable to climate variability, anthropogenic pressures, and changes in land use, often resulting in pronounced shifts in water level, salinity, and biogeochemical processes (</w:t>
      </w:r>
      <w:r w:rsidR="00347E3C" w:rsidRPr="0035185A">
        <w:rPr>
          <w:sz w:val="22"/>
          <w:szCs w:val="22"/>
          <w:lang w:val="en-US"/>
        </w:rPr>
        <w:t>Johnson et al.</w:t>
      </w:r>
      <w:r w:rsidR="00593405">
        <w:rPr>
          <w:sz w:val="22"/>
          <w:szCs w:val="22"/>
          <w:lang w:val="en-US"/>
        </w:rPr>
        <w:t>,</w:t>
      </w:r>
      <w:r w:rsidR="00347E3C" w:rsidRPr="0035185A">
        <w:rPr>
          <w:sz w:val="22"/>
          <w:szCs w:val="22"/>
          <w:lang w:val="en-US"/>
        </w:rPr>
        <w:t xml:space="preserve"> 20</w:t>
      </w:r>
      <w:r w:rsidR="00B83E8D" w:rsidRPr="0035185A">
        <w:rPr>
          <w:sz w:val="22"/>
          <w:szCs w:val="22"/>
          <w:lang w:val="en-US"/>
        </w:rPr>
        <w:t>0</w:t>
      </w:r>
      <w:r w:rsidR="00347E3C" w:rsidRPr="0035185A">
        <w:rPr>
          <w:sz w:val="22"/>
          <w:szCs w:val="22"/>
          <w:lang w:val="en-US"/>
        </w:rPr>
        <w:t>1</w:t>
      </w:r>
      <w:r w:rsidR="00593405">
        <w:rPr>
          <w:sz w:val="22"/>
          <w:szCs w:val="22"/>
          <w:lang w:val="en-US"/>
        </w:rPr>
        <w:t>;</w:t>
      </w:r>
      <w:r w:rsidR="00347E3C" w:rsidRPr="0035185A">
        <w:rPr>
          <w:sz w:val="22"/>
          <w:szCs w:val="22"/>
          <w:lang w:val="en-US"/>
        </w:rPr>
        <w:t xml:space="preserve"> </w:t>
      </w:r>
      <w:r w:rsidR="00381885" w:rsidRPr="0035185A">
        <w:rPr>
          <w:sz w:val="22"/>
          <w:szCs w:val="22"/>
          <w:lang w:val="en-US"/>
        </w:rPr>
        <w:t xml:space="preserve">Kumar </w:t>
      </w:r>
      <w:r w:rsidRPr="0035185A">
        <w:rPr>
          <w:sz w:val="22"/>
          <w:szCs w:val="22"/>
          <w:lang w:val="en-US"/>
        </w:rPr>
        <w:t>et al.</w:t>
      </w:r>
      <w:r w:rsidR="00593405">
        <w:rPr>
          <w:sz w:val="22"/>
          <w:szCs w:val="22"/>
          <w:lang w:val="en-US"/>
        </w:rPr>
        <w:t>,</w:t>
      </w:r>
      <w:r w:rsidRPr="0035185A">
        <w:rPr>
          <w:sz w:val="22"/>
          <w:szCs w:val="22"/>
          <w:lang w:val="en-US"/>
        </w:rPr>
        <w:t xml:space="preserve"> 202</w:t>
      </w:r>
      <w:r w:rsidR="00381885" w:rsidRPr="0035185A">
        <w:rPr>
          <w:sz w:val="22"/>
          <w:szCs w:val="22"/>
          <w:lang w:val="en-US"/>
        </w:rPr>
        <w:t>4</w:t>
      </w:r>
      <w:r w:rsidRPr="0035185A">
        <w:rPr>
          <w:sz w:val="22"/>
          <w:szCs w:val="22"/>
          <w:lang w:val="en-US"/>
        </w:rPr>
        <w:t>). In semi-arid Mediterranean climates, even minor variations in rainfall or temperature can trigger significant alterations in lake surface area and water quality, with cascading effects on ecosystem services, biodiversity, and regional water management strategies (</w:t>
      </w:r>
      <w:r w:rsidR="009F7CF9" w:rsidRPr="0035185A">
        <w:rPr>
          <w:sz w:val="22"/>
          <w:szCs w:val="22"/>
          <w:lang w:val="en-US"/>
        </w:rPr>
        <w:t>Wang et al.</w:t>
      </w:r>
      <w:r w:rsidR="00593405">
        <w:rPr>
          <w:sz w:val="22"/>
          <w:szCs w:val="22"/>
          <w:lang w:val="en-US"/>
        </w:rPr>
        <w:t>,</w:t>
      </w:r>
      <w:r w:rsidR="009F7CF9" w:rsidRPr="0035185A">
        <w:rPr>
          <w:sz w:val="22"/>
          <w:szCs w:val="22"/>
          <w:lang w:val="en-US"/>
        </w:rPr>
        <w:t xml:space="preserve"> 2019</w:t>
      </w:r>
      <w:r w:rsidR="00593405">
        <w:rPr>
          <w:sz w:val="22"/>
          <w:szCs w:val="22"/>
          <w:lang w:val="en-US"/>
        </w:rPr>
        <w:t>;</w:t>
      </w:r>
      <w:r w:rsidR="009F7CF9" w:rsidRPr="0035185A">
        <w:rPr>
          <w:sz w:val="22"/>
          <w:szCs w:val="22"/>
          <w:lang w:val="en-US"/>
        </w:rPr>
        <w:t xml:space="preserve"> </w:t>
      </w:r>
      <w:r w:rsidRPr="0035185A">
        <w:rPr>
          <w:sz w:val="22"/>
          <w:szCs w:val="22"/>
          <w:lang w:val="en-US"/>
        </w:rPr>
        <w:t>Papadimitriou et al.</w:t>
      </w:r>
      <w:r w:rsidR="00593405">
        <w:rPr>
          <w:sz w:val="22"/>
          <w:szCs w:val="22"/>
          <w:lang w:val="en-US"/>
        </w:rPr>
        <w:t>,</w:t>
      </w:r>
      <w:r w:rsidRPr="0035185A">
        <w:rPr>
          <w:sz w:val="22"/>
          <w:szCs w:val="22"/>
          <w:lang w:val="en-US"/>
        </w:rPr>
        <w:t xml:space="preserve"> 2021).</w:t>
      </w:r>
    </w:p>
    <w:p w14:paraId="2B4032A9" w14:textId="02258B10" w:rsidR="007014CF" w:rsidRPr="0035185A" w:rsidRDefault="007014CF" w:rsidP="00C23E95">
      <w:pPr>
        <w:pStyle w:val="Paragraph"/>
        <w:spacing w:before="0" w:line="240" w:lineRule="auto"/>
        <w:ind w:firstLine="284"/>
        <w:jc w:val="both"/>
        <w:rPr>
          <w:sz w:val="22"/>
          <w:szCs w:val="22"/>
          <w:lang w:val="en-US"/>
        </w:rPr>
      </w:pPr>
      <w:r w:rsidRPr="0035185A">
        <w:rPr>
          <w:sz w:val="22"/>
          <w:szCs w:val="22"/>
          <w:lang w:val="en-US"/>
        </w:rPr>
        <w:t>Southwestern T</w:t>
      </w:r>
      <w:r w:rsidR="00B81DE9" w:rsidRPr="0035185A">
        <w:rPr>
          <w:sz w:val="22"/>
          <w:szCs w:val="22"/>
          <w:lang w:val="en-US"/>
        </w:rPr>
        <w:t>ürkiye</w:t>
      </w:r>
      <w:r w:rsidRPr="0035185A">
        <w:rPr>
          <w:sz w:val="22"/>
          <w:szCs w:val="22"/>
          <w:lang w:val="en-US"/>
        </w:rPr>
        <w:t xml:space="preserve"> hosts a cluster of endorheic lakes, including Burdur, Salda, Yar</w:t>
      </w:r>
      <w:r w:rsidR="00986DAF" w:rsidRPr="0035185A">
        <w:rPr>
          <w:sz w:val="22"/>
          <w:szCs w:val="22"/>
          <w:lang w:val="en-US"/>
        </w:rPr>
        <w:t>is</w:t>
      </w:r>
      <w:r w:rsidRPr="0035185A">
        <w:rPr>
          <w:sz w:val="22"/>
          <w:szCs w:val="22"/>
          <w:lang w:val="en-US"/>
        </w:rPr>
        <w:t>l</w:t>
      </w:r>
      <w:r w:rsidR="00986DAF" w:rsidRPr="0035185A">
        <w:rPr>
          <w:sz w:val="22"/>
          <w:szCs w:val="22"/>
          <w:lang w:val="en-US"/>
        </w:rPr>
        <w:t>i</w:t>
      </w:r>
      <w:r w:rsidRPr="0035185A">
        <w:rPr>
          <w:sz w:val="22"/>
          <w:szCs w:val="22"/>
          <w:lang w:val="en-US"/>
        </w:rPr>
        <w:t>, Karata</w:t>
      </w:r>
      <w:r w:rsidR="00031F6E" w:rsidRPr="0035185A">
        <w:rPr>
          <w:sz w:val="22"/>
          <w:szCs w:val="22"/>
          <w:lang w:val="en-US"/>
        </w:rPr>
        <w:t>s</w:t>
      </w:r>
      <w:r w:rsidRPr="0035185A">
        <w:rPr>
          <w:sz w:val="22"/>
          <w:szCs w:val="22"/>
          <w:lang w:val="en-US"/>
        </w:rPr>
        <w:t>, Ac</w:t>
      </w:r>
      <w:r w:rsidR="00986DAF" w:rsidRPr="0035185A">
        <w:rPr>
          <w:sz w:val="22"/>
          <w:szCs w:val="22"/>
          <w:lang w:val="en-US"/>
        </w:rPr>
        <w:t>i</w:t>
      </w:r>
      <w:r w:rsidRPr="0035185A">
        <w:rPr>
          <w:sz w:val="22"/>
          <w:szCs w:val="22"/>
          <w:lang w:val="en-US"/>
        </w:rPr>
        <w:t>g</w:t>
      </w:r>
      <w:r w:rsidR="00986DAF" w:rsidRPr="0035185A">
        <w:rPr>
          <w:sz w:val="22"/>
          <w:szCs w:val="22"/>
          <w:lang w:val="en-US"/>
        </w:rPr>
        <w:t>o</w:t>
      </w:r>
      <w:r w:rsidRPr="0035185A">
        <w:rPr>
          <w:sz w:val="22"/>
          <w:szCs w:val="22"/>
          <w:lang w:val="en-US"/>
        </w:rPr>
        <w:t>l, and Eber, each exhibiting unique morphological, hydrological, and chemical characteristics.</w:t>
      </w:r>
      <w:r w:rsidR="00157514" w:rsidRPr="0035185A">
        <w:rPr>
          <w:sz w:val="22"/>
          <w:szCs w:val="22"/>
          <w:lang w:val="en-US"/>
        </w:rPr>
        <w:t xml:space="preserve"> </w:t>
      </w:r>
      <w:r w:rsidRPr="0035185A">
        <w:rPr>
          <w:sz w:val="22"/>
          <w:szCs w:val="22"/>
          <w:lang w:val="en-US"/>
        </w:rPr>
        <w:t>These lakes differ in depth, catchment area, inflow sources, and surrounding land cover, producing heterogeneous responses to climatic and anthropogenic drivers (Orfanidis et al.</w:t>
      </w:r>
      <w:r w:rsidR="00593405">
        <w:rPr>
          <w:sz w:val="22"/>
          <w:szCs w:val="22"/>
          <w:lang w:val="en-US"/>
        </w:rPr>
        <w:t>,</w:t>
      </w:r>
      <w:r w:rsidRPr="0035185A">
        <w:rPr>
          <w:sz w:val="22"/>
          <w:szCs w:val="22"/>
          <w:lang w:val="en-US"/>
        </w:rPr>
        <w:t xml:space="preserve"> 2005</w:t>
      </w:r>
      <w:r w:rsidR="00593405">
        <w:rPr>
          <w:sz w:val="22"/>
          <w:szCs w:val="22"/>
          <w:lang w:val="en-US"/>
        </w:rPr>
        <w:t>;</w:t>
      </w:r>
      <w:r w:rsidRPr="0035185A">
        <w:rPr>
          <w:sz w:val="22"/>
          <w:szCs w:val="22"/>
          <w:lang w:val="en-US"/>
        </w:rPr>
        <w:t xml:space="preserve"> Zhang et al.</w:t>
      </w:r>
      <w:r w:rsidR="00593405">
        <w:rPr>
          <w:sz w:val="22"/>
          <w:szCs w:val="22"/>
          <w:lang w:val="en-US"/>
        </w:rPr>
        <w:t>,</w:t>
      </w:r>
      <w:r w:rsidRPr="0035185A">
        <w:rPr>
          <w:sz w:val="22"/>
          <w:szCs w:val="22"/>
          <w:lang w:val="en-US"/>
        </w:rPr>
        <w:t xml:space="preserve"> 2017). For instance, shallow and small surface area lakes such as Salda and Yar</w:t>
      </w:r>
      <w:r w:rsidR="00986DAF" w:rsidRPr="0035185A">
        <w:rPr>
          <w:sz w:val="22"/>
          <w:szCs w:val="22"/>
          <w:lang w:val="en-US"/>
        </w:rPr>
        <w:t>is</w:t>
      </w:r>
      <w:r w:rsidRPr="0035185A">
        <w:rPr>
          <w:sz w:val="22"/>
          <w:szCs w:val="22"/>
          <w:lang w:val="en-US"/>
        </w:rPr>
        <w:t>l</w:t>
      </w:r>
      <w:r w:rsidR="00986DAF" w:rsidRPr="0035185A">
        <w:rPr>
          <w:sz w:val="22"/>
          <w:szCs w:val="22"/>
          <w:lang w:val="en-US"/>
        </w:rPr>
        <w:t>i</w:t>
      </w:r>
      <w:r w:rsidRPr="0035185A">
        <w:rPr>
          <w:sz w:val="22"/>
          <w:szCs w:val="22"/>
          <w:lang w:val="en-US"/>
        </w:rPr>
        <w:t xml:space="preserve"> are more prone to rapid evaporation and salinity accumulation, whereas deeper and larger lakes like Burdur demonstrate greater buffering capacity but remain susceptible to long-term hydroclimatic shifts. Recent climatic trends in the Mediterranean region indicate increasing temperatures, decreasing or highly variable precipitation, and intensified frequency of droughts, all of which exacerbate hydrological stress on these endorheic basins (</w:t>
      </w:r>
      <w:r w:rsidR="00B83E8D" w:rsidRPr="0035185A">
        <w:rPr>
          <w:sz w:val="22"/>
          <w:szCs w:val="22"/>
          <w:lang w:val="en-US"/>
        </w:rPr>
        <w:t>Noto et al.</w:t>
      </w:r>
      <w:r w:rsidR="00593405">
        <w:rPr>
          <w:sz w:val="22"/>
          <w:szCs w:val="22"/>
          <w:lang w:val="en-US"/>
        </w:rPr>
        <w:t>,</w:t>
      </w:r>
      <w:r w:rsidR="00B83E8D" w:rsidRPr="0035185A">
        <w:rPr>
          <w:sz w:val="22"/>
          <w:szCs w:val="22"/>
          <w:lang w:val="en-US"/>
        </w:rPr>
        <w:t xml:space="preserve"> 2023</w:t>
      </w:r>
      <w:r w:rsidRPr="0035185A">
        <w:rPr>
          <w:sz w:val="22"/>
          <w:szCs w:val="22"/>
          <w:lang w:val="en-US"/>
        </w:rPr>
        <w:t>).</w:t>
      </w:r>
    </w:p>
    <w:p w14:paraId="58E43C42" w14:textId="2B65629F" w:rsidR="007014CF" w:rsidRPr="0035185A" w:rsidRDefault="007014CF" w:rsidP="000C17DB">
      <w:pPr>
        <w:pStyle w:val="Paragraph"/>
        <w:spacing w:before="0" w:line="240" w:lineRule="auto"/>
        <w:ind w:firstLine="284"/>
        <w:jc w:val="both"/>
        <w:rPr>
          <w:sz w:val="22"/>
          <w:szCs w:val="22"/>
          <w:lang w:val="en-US"/>
        </w:rPr>
      </w:pPr>
      <w:r w:rsidRPr="0035185A">
        <w:rPr>
          <w:sz w:val="22"/>
          <w:szCs w:val="22"/>
          <w:lang w:val="en-US"/>
        </w:rPr>
        <w:t>Understanding the interactions between climate drivers, lake water balance, and salinity dynamics is essential for both scientific insight and practical management. Evaporation, precipitation, inflow, and groundwater exchange collectively determine lake volume and ionic concentration, influencing parameters such as total dissolved solids (TDS), electrical conductivity (EC), and salinity index (SI) (</w:t>
      </w:r>
      <w:proofErr w:type="spellStart"/>
      <w:r w:rsidRPr="0035185A">
        <w:rPr>
          <w:sz w:val="22"/>
          <w:szCs w:val="22"/>
          <w:lang w:val="en-US"/>
        </w:rPr>
        <w:t>Albarqouni</w:t>
      </w:r>
      <w:proofErr w:type="spellEnd"/>
      <w:r w:rsidRPr="0035185A">
        <w:rPr>
          <w:sz w:val="22"/>
          <w:szCs w:val="22"/>
          <w:lang w:val="en-US"/>
        </w:rPr>
        <w:t xml:space="preserve"> et al.</w:t>
      </w:r>
      <w:r w:rsidR="00593405">
        <w:rPr>
          <w:sz w:val="22"/>
          <w:szCs w:val="22"/>
          <w:lang w:val="en-US"/>
        </w:rPr>
        <w:t>,</w:t>
      </w:r>
      <w:r w:rsidRPr="0035185A">
        <w:rPr>
          <w:sz w:val="22"/>
          <w:szCs w:val="22"/>
          <w:lang w:val="en-US"/>
        </w:rPr>
        <w:t xml:space="preserve"> 2022). Enhanced evaporation due to rising temperatures can increase salinity levels, potentially causing shifts in aquatic ecosystems, including the decline of freshwater species and proliferation of halophilic organisms (</w:t>
      </w:r>
      <w:proofErr w:type="spellStart"/>
      <w:r w:rsidR="00B83E8D" w:rsidRPr="0035185A">
        <w:rPr>
          <w:sz w:val="22"/>
          <w:szCs w:val="22"/>
          <w:lang w:val="en-US"/>
        </w:rPr>
        <w:t>Yapiyev</w:t>
      </w:r>
      <w:proofErr w:type="spellEnd"/>
      <w:r w:rsidRPr="0035185A">
        <w:rPr>
          <w:sz w:val="22"/>
          <w:szCs w:val="22"/>
          <w:lang w:val="en-US"/>
        </w:rPr>
        <w:t xml:space="preserve"> et</w:t>
      </w:r>
      <w:r w:rsidR="00A25F0E">
        <w:rPr>
          <w:sz w:val="22"/>
          <w:szCs w:val="22"/>
          <w:lang w:val="en-US"/>
        </w:rPr>
        <w:t> </w:t>
      </w:r>
      <w:r w:rsidRPr="0035185A">
        <w:rPr>
          <w:sz w:val="22"/>
          <w:szCs w:val="22"/>
          <w:lang w:val="en-US"/>
        </w:rPr>
        <w:t>al.</w:t>
      </w:r>
      <w:r w:rsidR="00593405">
        <w:rPr>
          <w:sz w:val="22"/>
          <w:szCs w:val="22"/>
          <w:lang w:val="en-US"/>
        </w:rPr>
        <w:t>,</w:t>
      </w:r>
      <w:r w:rsidRPr="0035185A">
        <w:rPr>
          <w:sz w:val="22"/>
          <w:szCs w:val="22"/>
          <w:lang w:val="en-US"/>
        </w:rPr>
        <w:t xml:space="preserve"> 202</w:t>
      </w:r>
      <w:r w:rsidR="00B83E8D" w:rsidRPr="0035185A">
        <w:rPr>
          <w:sz w:val="22"/>
          <w:szCs w:val="22"/>
          <w:lang w:val="en-US"/>
        </w:rPr>
        <w:t>4</w:t>
      </w:r>
      <w:r w:rsidRPr="0035185A">
        <w:rPr>
          <w:sz w:val="22"/>
          <w:szCs w:val="22"/>
          <w:lang w:val="en-US"/>
        </w:rPr>
        <w:t>). Furthermore, these changes can affect regional water quality for human consumption, agriculture, and industry, highlighting the dual environmental and socio-economic implications of endorheic lake desiccation (Wang et al.</w:t>
      </w:r>
      <w:r w:rsidR="00593405">
        <w:rPr>
          <w:sz w:val="22"/>
          <w:szCs w:val="22"/>
          <w:lang w:val="en-US"/>
        </w:rPr>
        <w:t>,</w:t>
      </w:r>
      <w:r w:rsidRPr="0035185A">
        <w:rPr>
          <w:sz w:val="22"/>
          <w:szCs w:val="22"/>
          <w:lang w:val="en-US"/>
        </w:rPr>
        <w:t xml:space="preserve"> 2019).</w:t>
      </w:r>
    </w:p>
    <w:p w14:paraId="46E8A487" w14:textId="7F63A513" w:rsidR="007014CF" w:rsidRPr="0035185A" w:rsidRDefault="007014CF" w:rsidP="000C17DB">
      <w:pPr>
        <w:pStyle w:val="Paragraph"/>
        <w:spacing w:before="0" w:line="240" w:lineRule="auto"/>
        <w:ind w:firstLine="284"/>
        <w:jc w:val="both"/>
        <w:rPr>
          <w:sz w:val="22"/>
          <w:szCs w:val="22"/>
          <w:lang w:val="en-US"/>
        </w:rPr>
      </w:pPr>
      <w:r w:rsidRPr="0035185A">
        <w:rPr>
          <w:sz w:val="22"/>
          <w:szCs w:val="22"/>
          <w:lang w:val="en-US"/>
        </w:rPr>
        <w:t xml:space="preserve">Remote sensing technologies have revolutionized the monitoring of lake dynamics, providing consistent, spatially comprehensive, and multi-temporal datasets. The Normalized Difference Water Index (NDWI) derived from Sentinel-2 imagery </w:t>
      </w:r>
      <w:r w:rsidR="00D712DC">
        <w:rPr>
          <w:sz w:val="22"/>
          <w:szCs w:val="22"/>
          <w:lang w:val="en-US"/>
        </w:rPr>
        <w:t xml:space="preserve">enables accurate detection of surface water extent and seasonal fluctuations, while MODIS-derived land surface temperature (LST) provides valuable insight into thermal regimes that </w:t>
      </w:r>
      <w:r w:rsidR="00D712DC">
        <w:rPr>
          <w:sz w:val="22"/>
          <w:szCs w:val="22"/>
          <w:lang w:val="en-US"/>
        </w:rPr>
        <w:lastRenderedPageBreak/>
        <w:t>affect</w:t>
      </w:r>
      <w:r w:rsidRPr="0035185A">
        <w:rPr>
          <w:sz w:val="22"/>
          <w:szCs w:val="22"/>
          <w:lang w:val="en-US"/>
        </w:rPr>
        <w:t xml:space="preserve"> evaporation rates (</w:t>
      </w:r>
      <w:proofErr w:type="spellStart"/>
      <w:r w:rsidRPr="0035185A">
        <w:rPr>
          <w:sz w:val="22"/>
          <w:szCs w:val="22"/>
          <w:lang w:val="en-US"/>
        </w:rPr>
        <w:t>Albarqouni</w:t>
      </w:r>
      <w:proofErr w:type="spellEnd"/>
      <w:r w:rsidRPr="0035185A">
        <w:rPr>
          <w:sz w:val="22"/>
          <w:szCs w:val="22"/>
          <w:lang w:val="en-US"/>
        </w:rPr>
        <w:t xml:space="preserve"> et al.</w:t>
      </w:r>
      <w:r w:rsidR="00593405">
        <w:rPr>
          <w:sz w:val="22"/>
          <w:szCs w:val="22"/>
          <w:lang w:val="en-US"/>
        </w:rPr>
        <w:t>,</w:t>
      </w:r>
      <w:r w:rsidRPr="0035185A">
        <w:rPr>
          <w:sz w:val="22"/>
          <w:szCs w:val="22"/>
          <w:lang w:val="en-US"/>
        </w:rPr>
        <w:t xml:space="preserve"> 2022). When integrated with in-situ </w:t>
      </w:r>
      <w:proofErr w:type="spellStart"/>
      <w:r w:rsidR="001F570D" w:rsidRPr="0035185A">
        <w:rPr>
          <w:sz w:val="22"/>
          <w:szCs w:val="22"/>
          <w:lang w:val="en-US"/>
        </w:rPr>
        <w:t>hydrochemical</w:t>
      </w:r>
      <w:proofErr w:type="spellEnd"/>
      <w:r w:rsidRPr="0035185A">
        <w:rPr>
          <w:sz w:val="22"/>
          <w:szCs w:val="22"/>
          <w:lang w:val="en-US"/>
        </w:rPr>
        <w:t xml:space="preserve"> measurements such as TDS and EC, these remote sensing products enable robust analyses of lake hydrology, salinity patterns, and their temporal evolution under varying climate conditions (Papadimitriou et al.</w:t>
      </w:r>
      <w:r w:rsidR="00593405">
        <w:rPr>
          <w:sz w:val="22"/>
          <w:szCs w:val="22"/>
          <w:lang w:val="en-US"/>
        </w:rPr>
        <w:t>,</w:t>
      </w:r>
      <w:r w:rsidRPr="0035185A">
        <w:rPr>
          <w:sz w:val="22"/>
          <w:szCs w:val="22"/>
          <w:lang w:val="en-US"/>
        </w:rPr>
        <w:t xml:space="preserve"> 2021). Such integrated approaches are critical in semi-arid environments where field measurements alone may be insufficient to capture spatial heterogeneity and long-term trends.</w:t>
      </w:r>
    </w:p>
    <w:p w14:paraId="7F2B722F" w14:textId="2CC0BD25" w:rsidR="001F570D" w:rsidRPr="0035185A" w:rsidRDefault="007014CF" w:rsidP="000C17DB">
      <w:pPr>
        <w:pStyle w:val="Paragraph"/>
        <w:spacing w:before="0" w:line="240" w:lineRule="auto"/>
        <w:ind w:firstLine="284"/>
        <w:jc w:val="both"/>
        <w:rPr>
          <w:sz w:val="22"/>
          <w:szCs w:val="22"/>
          <w:lang w:val="en-US"/>
        </w:rPr>
      </w:pPr>
      <w:r w:rsidRPr="0035185A">
        <w:rPr>
          <w:sz w:val="22"/>
          <w:szCs w:val="22"/>
          <w:lang w:val="en-US"/>
        </w:rPr>
        <w:t>In addition to descriptive monitoring, advanced statistical and multivariate techniques enhance the understanding of complex lake systems. Mann–Kendall trend analysis and Sen</w:t>
      </w:r>
      <w:r w:rsidR="00D712DC">
        <w:rPr>
          <w:sz w:val="22"/>
          <w:szCs w:val="22"/>
          <w:lang w:val="en-US"/>
        </w:rPr>
        <w:t>'</w:t>
      </w:r>
      <w:r w:rsidRPr="0035185A">
        <w:rPr>
          <w:sz w:val="22"/>
          <w:szCs w:val="22"/>
          <w:lang w:val="en-US"/>
        </w:rPr>
        <w:t xml:space="preserve">s slope estimator allow the detection and quantification of monotonic trends in temperature, NDWI, and salinity indices over time, while Pearson correlation and multiple regression analyses identify the relative contributions of climate variables to observed </w:t>
      </w:r>
      <w:proofErr w:type="spellStart"/>
      <w:r w:rsidR="00986DAF" w:rsidRPr="0035185A">
        <w:rPr>
          <w:sz w:val="22"/>
          <w:szCs w:val="22"/>
          <w:lang w:val="en-US"/>
        </w:rPr>
        <w:t>hydrochemical</w:t>
      </w:r>
      <w:proofErr w:type="spellEnd"/>
      <w:r w:rsidRPr="0035185A">
        <w:rPr>
          <w:sz w:val="22"/>
          <w:szCs w:val="22"/>
          <w:lang w:val="en-US"/>
        </w:rPr>
        <w:t xml:space="preserve"> changes (</w:t>
      </w:r>
      <w:r w:rsidR="00B83E8D" w:rsidRPr="0035185A">
        <w:rPr>
          <w:sz w:val="22"/>
          <w:szCs w:val="22"/>
          <w:lang w:val="en-US"/>
        </w:rPr>
        <w:t>Zhang et al.</w:t>
      </w:r>
      <w:r w:rsidR="00593405">
        <w:rPr>
          <w:sz w:val="22"/>
          <w:szCs w:val="22"/>
          <w:lang w:val="en-US"/>
        </w:rPr>
        <w:t>,</w:t>
      </w:r>
      <w:r w:rsidR="00B83E8D" w:rsidRPr="0035185A">
        <w:rPr>
          <w:sz w:val="22"/>
          <w:szCs w:val="22"/>
          <w:lang w:val="en-US"/>
        </w:rPr>
        <w:t xml:space="preserve"> 2017</w:t>
      </w:r>
      <w:r w:rsidR="00593405">
        <w:rPr>
          <w:sz w:val="22"/>
          <w:szCs w:val="22"/>
          <w:lang w:val="en-US"/>
        </w:rPr>
        <w:t>;</w:t>
      </w:r>
      <w:r w:rsidR="00B83E8D" w:rsidRPr="0035185A">
        <w:rPr>
          <w:sz w:val="22"/>
          <w:szCs w:val="22"/>
          <w:lang w:val="en-US"/>
        </w:rPr>
        <w:t xml:space="preserve"> </w:t>
      </w:r>
      <w:r w:rsidRPr="0035185A">
        <w:rPr>
          <w:sz w:val="22"/>
          <w:szCs w:val="22"/>
          <w:lang w:val="en-US"/>
        </w:rPr>
        <w:t>Wang et al.</w:t>
      </w:r>
      <w:r w:rsidR="00593405">
        <w:rPr>
          <w:sz w:val="22"/>
          <w:szCs w:val="22"/>
          <w:lang w:val="en-US"/>
        </w:rPr>
        <w:t>,</w:t>
      </w:r>
      <w:r w:rsidRPr="0035185A">
        <w:rPr>
          <w:sz w:val="22"/>
          <w:szCs w:val="22"/>
          <w:lang w:val="en-US"/>
        </w:rPr>
        <w:t xml:space="preserve"> 2019). Principal Component Analysis (PCA) and hierarchical clustering can classify lakes based on hydrothermal balance and salinity dynamics, highlighting differential vulnerability across basins and informing targeted management strategies (Orfanidis et al.</w:t>
      </w:r>
      <w:r w:rsidR="00593405">
        <w:rPr>
          <w:sz w:val="22"/>
          <w:szCs w:val="22"/>
          <w:lang w:val="en-US"/>
        </w:rPr>
        <w:t>,</w:t>
      </w:r>
      <w:r w:rsidRPr="0035185A">
        <w:rPr>
          <w:sz w:val="22"/>
          <w:szCs w:val="22"/>
          <w:lang w:val="en-US"/>
        </w:rPr>
        <w:t xml:space="preserve"> 2005).</w:t>
      </w:r>
    </w:p>
    <w:p w14:paraId="642413E9" w14:textId="7924F600" w:rsidR="00C508AC" w:rsidRPr="0035185A" w:rsidRDefault="007014CF" w:rsidP="000C17DB">
      <w:pPr>
        <w:pStyle w:val="Paragraph"/>
        <w:spacing w:before="0" w:line="240" w:lineRule="auto"/>
        <w:ind w:firstLine="284"/>
        <w:jc w:val="both"/>
        <w:rPr>
          <w:sz w:val="22"/>
          <w:szCs w:val="22"/>
          <w:lang w:val="en-US"/>
        </w:rPr>
      </w:pPr>
      <w:r w:rsidRPr="0035185A">
        <w:rPr>
          <w:sz w:val="22"/>
          <w:szCs w:val="22"/>
          <w:lang w:val="en-US"/>
        </w:rPr>
        <w:t>These methods collectively facilitate an integrated assessment that links climate variability to physical and chemical lake responses, providing a quantitative foundation for adaptive water management and conservation planning. Despite their importance, southwestern T</w:t>
      </w:r>
      <w:r w:rsidR="00B81DE9" w:rsidRPr="0035185A">
        <w:rPr>
          <w:sz w:val="22"/>
          <w:szCs w:val="22"/>
          <w:lang w:val="en-US"/>
        </w:rPr>
        <w:t>ürkiye</w:t>
      </w:r>
      <w:r w:rsidR="00D712DC">
        <w:rPr>
          <w:sz w:val="22"/>
          <w:szCs w:val="22"/>
          <w:lang w:val="en-US"/>
        </w:rPr>
        <w:t>'</w:t>
      </w:r>
      <w:r w:rsidRPr="0035185A">
        <w:rPr>
          <w:sz w:val="22"/>
          <w:szCs w:val="22"/>
          <w:lang w:val="en-US"/>
        </w:rPr>
        <w:t xml:space="preserve">s endorheic lakes have received limited attention in studies that combine remote sensing, </w:t>
      </w:r>
      <w:proofErr w:type="spellStart"/>
      <w:r w:rsidR="00986DAF" w:rsidRPr="0035185A">
        <w:rPr>
          <w:sz w:val="22"/>
          <w:szCs w:val="22"/>
          <w:lang w:val="en-US"/>
        </w:rPr>
        <w:t>hydrochemical</w:t>
      </w:r>
      <w:proofErr w:type="spellEnd"/>
      <w:r w:rsidRPr="0035185A">
        <w:rPr>
          <w:sz w:val="22"/>
          <w:szCs w:val="22"/>
          <w:lang w:val="en-US"/>
        </w:rPr>
        <w:t xml:space="preserve"> monitoring, and long-term statistical modeling. Most research to date has focused on localized water quality issues, nutrient loading, or eutrophication dynamics within single lakes (Soydan et al.</w:t>
      </w:r>
      <w:r w:rsidR="00593405">
        <w:rPr>
          <w:sz w:val="22"/>
          <w:szCs w:val="22"/>
          <w:lang w:val="en-US"/>
        </w:rPr>
        <w:t>,</w:t>
      </w:r>
      <w:r w:rsidRPr="0035185A">
        <w:rPr>
          <w:sz w:val="22"/>
          <w:szCs w:val="22"/>
          <w:lang w:val="en-US"/>
        </w:rPr>
        <w:t xml:space="preserve"> 2025), leaving a significant knowledge gap regarding cross-basin comparisons of climate-driven evaporation and salinity trends. </w:t>
      </w:r>
    </w:p>
    <w:p w14:paraId="6848B005" w14:textId="16502FB5" w:rsidR="007014CF" w:rsidRPr="0035185A" w:rsidRDefault="007014CF" w:rsidP="000C17DB">
      <w:pPr>
        <w:pStyle w:val="Paragraph"/>
        <w:spacing w:before="0" w:line="240" w:lineRule="auto"/>
        <w:ind w:firstLine="284"/>
        <w:jc w:val="both"/>
        <w:rPr>
          <w:sz w:val="22"/>
          <w:szCs w:val="22"/>
          <w:lang w:val="en-US"/>
        </w:rPr>
      </w:pPr>
      <w:r w:rsidRPr="0035185A">
        <w:rPr>
          <w:sz w:val="22"/>
          <w:szCs w:val="22"/>
          <w:lang w:val="en-US"/>
        </w:rPr>
        <w:t xml:space="preserve">This lack of integrative analysis </w:t>
      </w:r>
      <w:r w:rsidR="00D712DC">
        <w:rPr>
          <w:sz w:val="22"/>
          <w:szCs w:val="22"/>
          <w:lang w:val="en-US"/>
        </w:rPr>
        <w:t>limits policymakers' and environmental managers' ability to anticipate the impacts of future aridification, implement mitigation strategies, and ensure the resilience of lake ecosystems amid</w:t>
      </w:r>
      <w:r w:rsidRPr="0035185A">
        <w:rPr>
          <w:sz w:val="22"/>
          <w:szCs w:val="22"/>
          <w:lang w:val="en-US"/>
        </w:rPr>
        <w:t xml:space="preserve"> ongoing climate change.</w:t>
      </w:r>
      <w:r w:rsidR="000C17DB" w:rsidRPr="0035185A">
        <w:rPr>
          <w:sz w:val="22"/>
          <w:szCs w:val="22"/>
          <w:lang w:val="en-US"/>
        </w:rPr>
        <w:t xml:space="preserve"> </w:t>
      </w:r>
      <w:r w:rsidRPr="0035185A">
        <w:rPr>
          <w:sz w:val="22"/>
          <w:szCs w:val="22"/>
          <w:lang w:val="en-US"/>
        </w:rPr>
        <w:t>Addressing this gap, the present study aims to perform a comprehensive, multi-year assessment of climate-driven evaporation and salinity dynamics across six endorheic lakes in southwestern T</w:t>
      </w:r>
      <w:r w:rsidR="00B81DE9" w:rsidRPr="0035185A">
        <w:rPr>
          <w:sz w:val="22"/>
          <w:szCs w:val="22"/>
          <w:lang w:val="en-US"/>
        </w:rPr>
        <w:t>ürkiye</w:t>
      </w:r>
      <w:r w:rsidRPr="0035185A">
        <w:rPr>
          <w:sz w:val="22"/>
          <w:szCs w:val="22"/>
          <w:lang w:val="en-US"/>
        </w:rPr>
        <w:t xml:space="preserve"> (Burdur, Salda, Yar</w:t>
      </w:r>
      <w:r w:rsidR="00986DAF" w:rsidRPr="0035185A">
        <w:rPr>
          <w:sz w:val="22"/>
          <w:szCs w:val="22"/>
          <w:lang w:val="en-US"/>
        </w:rPr>
        <w:t>isli</w:t>
      </w:r>
      <w:r w:rsidRPr="0035185A">
        <w:rPr>
          <w:sz w:val="22"/>
          <w:szCs w:val="22"/>
          <w:lang w:val="en-US"/>
        </w:rPr>
        <w:t>, Karata</w:t>
      </w:r>
      <w:r w:rsidR="00031F6E" w:rsidRPr="0035185A">
        <w:rPr>
          <w:sz w:val="22"/>
          <w:szCs w:val="22"/>
          <w:lang w:val="en-US"/>
        </w:rPr>
        <w:t>s</w:t>
      </w:r>
      <w:r w:rsidRPr="0035185A">
        <w:rPr>
          <w:sz w:val="22"/>
          <w:szCs w:val="22"/>
          <w:lang w:val="en-US"/>
        </w:rPr>
        <w:t>, Ac</w:t>
      </w:r>
      <w:r w:rsidR="00986DAF" w:rsidRPr="0035185A">
        <w:rPr>
          <w:sz w:val="22"/>
          <w:szCs w:val="22"/>
          <w:lang w:val="en-US"/>
        </w:rPr>
        <w:t>igol</w:t>
      </w:r>
      <w:r w:rsidRPr="0035185A">
        <w:rPr>
          <w:sz w:val="22"/>
          <w:szCs w:val="22"/>
          <w:lang w:val="en-US"/>
        </w:rPr>
        <w:t>, and Eber) for the period 2010–202</w:t>
      </w:r>
      <w:r w:rsidR="00E03B7D" w:rsidRPr="0035185A">
        <w:rPr>
          <w:sz w:val="22"/>
          <w:szCs w:val="22"/>
          <w:lang w:val="en-US"/>
        </w:rPr>
        <w:t>4</w:t>
      </w:r>
      <w:r w:rsidRPr="0035185A">
        <w:rPr>
          <w:sz w:val="22"/>
          <w:szCs w:val="22"/>
          <w:lang w:val="en-US"/>
        </w:rPr>
        <w:t xml:space="preserve">. The study employs an integrated approach combining multi-temporal remote sensing (NDWI and LST), </w:t>
      </w:r>
      <w:proofErr w:type="spellStart"/>
      <w:r w:rsidR="00E03B7D" w:rsidRPr="0035185A">
        <w:rPr>
          <w:sz w:val="22"/>
          <w:szCs w:val="22"/>
          <w:lang w:val="en-US"/>
        </w:rPr>
        <w:t>hydro</w:t>
      </w:r>
      <w:r w:rsidR="00D712DC">
        <w:rPr>
          <w:sz w:val="22"/>
          <w:szCs w:val="22"/>
          <w:lang w:val="en-US"/>
        </w:rPr>
        <w:t>chemical</w:t>
      </w:r>
      <w:proofErr w:type="spellEnd"/>
      <w:r w:rsidR="00D712DC">
        <w:rPr>
          <w:sz w:val="22"/>
          <w:szCs w:val="22"/>
          <w:lang w:val="en-US"/>
        </w:rPr>
        <w:t xml:space="preserve"> measurements (TDS and EC), and meteorological data (ERA5), alongside robust statistical analyses,</w:t>
      </w:r>
      <w:r w:rsidRPr="0035185A">
        <w:rPr>
          <w:sz w:val="22"/>
          <w:szCs w:val="22"/>
          <w:lang w:val="en-US"/>
        </w:rPr>
        <w:t xml:space="preserve"> including trend detection, PCA, correlation, and multiple regression. By quantifying changes in lake surface area, salinity, and hydrothermal balance, this research seeks to: (1) identify lake-specific vulnerabilities to climatic warming, (2) elucidate the relative roles of evaporation, precipitation, and inflow in driving salinity dynamics, (3) classify lakes according to hydrothermal and salinity patterns, and (4) provide scientifically grounded recommendations for sustainable management and conservation of Mediterranean endorheic lakes under increasing aridification.</w:t>
      </w:r>
    </w:p>
    <w:p w14:paraId="4795AC46" w14:textId="1D430062" w:rsidR="007014CF" w:rsidRPr="0035185A" w:rsidRDefault="008C6000" w:rsidP="000C17DB">
      <w:pPr>
        <w:pStyle w:val="Paragraph"/>
        <w:spacing w:before="0" w:line="240" w:lineRule="auto"/>
        <w:ind w:firstLine="284"/>
        <w:jc w:val="both"/>
        <w:rPr>
          <w:lang w:val="en-US"/>
        </w:rPr>
      </w:pPr>
      <w:r w:rsidRPr="0035185A">
        <w:rPr>
          <w:sz w:val="22"/>
          <w:szCs w:val="22"/>
          <w:lang w:val="en-US"/>
        </w:rPr>
        <w:t>Recent studies have increasingly highlighted the sensitivity of lake systems to climate variability and hydrological stress, particularly in semi-arid and Mediterranean environments where water balance is strongly controlled by precipitation and evaporation dynamics (Akay</w:t>
      </w:r>
      <w:r w:rsidR="00593405">
        <w:rPr>
          <w:sz w:val="22"/>
          <w:szCs w:val="22"/>
          <w:lang w:val="en-US"/>
        </w:rPr>
        <w:t>,</w:t>
      </w:r>
      <w:r w:rsidRPr="0035185A">
        <w:rPr>
          <w:sz w:val="22"/>
          <w:szCs w:val="22"/>
          <w:lang w:val="en-US"/>
        </w:rPr>
        <w:t xml:space="preserve"> 2025). Advances in satellite remote sensing and hydroclimatic monitoring have enabled researchers to assess long-term changes in lake surface area, storage, and hydrological variability at regional and global scales. Recent investigations demonstrate that climate-driven fluctuations in lake extent and storage are becoming more pronounced due to intensifying drought conditions and increasing temperature trends (Yang et al.</w:t>
      </w:r>
      <w:r w:rsidR="00593405">
        <w:rPr>
          <w:sz w:val="22"/>
          <w:szCs w:val="22"/>
          <w:lang w:val="en-US"/>
        </w:rPr>
        <w:t>,</w:t>
      </w:r>
      <w:r w:rsidRPr="0035185A">
        <w:rPr>
          <w:sz w:val="22"/>
          <w:szCs w:val="22"/>
          <w:lang w:val="en-US"/>
        </w:rPr>
        <w:t xml:space="preserve"> 2024; </w:t>
      </w:r>
      <w:proofErr w:type="spellStart"/>
      <w:r w:rsidRPr="0035185A">
        <w:rPr>
          <w:sz w:val="22"/>
          <w:szCs w:val="22"/>
          <w:lang w:val="en-US"/>
        </w:rPr>
        <w:t>Woolway</w:t>
      </w:r>
      <w:proofErr w:type="spellEnd"/>
      <w:r w:rsidRPr="0035185A">
        <w:rPr>
          <w:sz w:val="22"/>
          <w:szCs w:val="22"/>
          <w:lang w:val="en-US"/>
        </w:rPr>
        <w:t xml:space="preserve"> </w:t>
      </w:r>
      <w:r w:rsidR="00987F75" w:rsidRPr="0035185A">
        <w:rPr>
          <w:sz w:val="22"/>
          <w:szCs w:val="22"/>
          <w:lang w:val="en-US"/>
        </w:rPr>
        <w:t>et al.</w:t>
      </w:r>
      <w:r w:rsidR="00593405">
        <w:rPr>
          <w:sz w:val="22"/>
          <w:szCs w:val="22"/>
          <w:lang w:val="en-US"/>
        </w:rPr>
        <w:t>,</w:t>
      </w:r>
      <w:r w:rsidRPr="0035185A">
        <w:rPr>
          <w:sz w:val="22"/>
          <w:szCs w:val="22"/>
          <w:lang w:val="en-US"/>
        </w:rPr>
        <w:t xml:space="preserve"> 202</w:t>
      </w:r>
      <w:r w:rsidR="00987F75" w:rsidRPr="0035185A">
        <w:rPr>
          <w:sz w:val="22"/>
          <w:szCs w:val="22"/>
          <w:lang w:val="en-US"/>
        </w:rPr>
        <w:t>5</w:t>
      </w:r>
      <w:r w:rsidRPr="0035185A">
        <w:rPr>
          <w:sz w:val="22"/>
          <w:szCs w:val="22"/>
          <w:lang w:val="en-US"/>
        </w:rPr>
        <w:t>). Furthermore, several studies emphasize that closed-basin lake systems are particularly vulnerable to hydroclimatic variability because they lack surface outflows and therefore respond rapidly to climatic drivers and catchment-scale water balance changes (</w:t>
      </w:r>
      <w:proofErr w:type="spellStart"/>
      <w:r w:rsidR="00987F75" w:rsidRPr="0035185A">
        <w:rPr>
          <w:sz w:val="22"/>
          <w:szCs w:val="22"/>
          <w:lang w:val="en-US"/>
        </w:rPr>
        <w:t>Ekpetere</w:t>
      </w:r>
      <w:proofErr w:type="spellEnd"/>
      <w:r w:rsidRPr="0035185A">
        <w:rPr>
          <w:sz w:val="22"/>
          <w:szCs w:val="22"/>
          <w:lang w:val="en-US"/>
        </w:rPr>
        <w:t xml:space="preserve"> et al.</w:t>
      </w:r>
      <w:r w:rsidR="00593405">
        <w:rPr>
          <w:sz w:val="22"/>
          <w:szCs w:val="22"/>
          <w:lang w:val="en-US"/>
        </w:rPr>
        <w:t>,</w:t>
      </w:r>
      <w:r w:rsidRPr="0035185A">
        <w:rPr>
          <w:sz w:val="22"/>
          <w:szCs w:val="22"/>
          <w:lang w:val="en-US"/>
        </w:rPr>
        <w:t xml:space="preserve"> 202</w:t>
      </w:r>
      <w:r w:rsidR="00987F75" w:rsidRPr="0035185A">
        <w:rPr>
          <w:sz w:val="22"/>
          <w:szCs w:val="22"/>
          <w:lang w:val="en-US"/>
        </w:rPr>
        <w:t>3</w:t>
      </w:r>
      <w:r w:rsidRPr="0035185A">
        <w:rPr>
          <w:sz w:val="22"/>
          <w:szCs w:val="22"/>
          <w:lang w:val="en-US"/>
        </w:rPr>
        <w:t xml:space="preserve">; </w:t>
      </w:r>
      <w:r w:rsidR="00B81DE9" w:rsidRPr="0035185A">
        <w:rPr>
          <w:sz w:val="22"/>
          <w:szCs w:val="22"/>
          <w:lang w:val="en-US"/>
        </w:rPr>
        <w:t>Wang</w:t>
      </w:r>
      <w:r w:rsidRPr="0035185A">
        <w:rPr>
          <w:sz w:val="22"/>
          <w:szCs w:val="22"/>
          <w:lang w:val="en-US"/>
        </w:rPr>
        <w:t xml:space="preserve"> et al.</w:t>
      </w:r>
      <w:r w:rsidR="00593405">
        <w:rPr>
          <w:sz w:val="22"/>
          <w:szCs w:val="22"/>
          <w:lang w:val="en-US"/>
        </w:rPr>
        <w:t>,</w:t>
      </w:r>
      <w:r w:rsidRPr="0035185A">
        <w:rPr>
          <w:sz w:val="22"/>
          <w:szCs w:val="22"/>
          <w:lang w:val="en-US"/>
        </w:rPr>
        <w:t xml:space="preserve"> 2023). Recent global assessments integrating satellite observations with climatic datasets also highlight the growing importance of multi-temporal remote sensing approaches for understanding climate-driven lake dynamics and hydrological vulnerability across arid and semi-arid regions (</w:t>
      </w:r>
      <w:r w:rsidR="00EA2085" w:rsidRPr="0035185A">
        <w:rPr>
          <w:sz w:val="22"/>
          <w:szCs w:val="22"/>
          <w:lang w:val="en-US"/>
        </w:rPr>
        <w:t>Hou et al.</w:t>
      </w:r>
      <w:r w:rsidR="00593405">
        <w:rPr>
          <w:sz w:val="22"/>
          <w:szCs w:val="22"/>
          <w:lang w:val="en-US"/>
        </w:rPr>
        <w:t>,</w:t>
      </w:r>
      <w:r w:rsidR="00EA2085" w:rsidRPr="0035185A">
        <w:rPr>
          <w:sz w:val="22"/>
          <w:szCs w:val="22"/>
          <w:lang w:val="en-US"/>
        </w:rPr>
        <w:t xml:space="preserve"> 2025; </w:t>
      </w:r>
      <w:r w:rsidR="001B6A73" w:rsidRPr="0035185A">
        <w:rPr>
          <w:sz w:val="22"/>
          <w:szCs w:val="22"/>
          <w:lang w:val="en-US"/>
        </w:rPr>
        <w:t>Li et al.</w:t>
      </w:r>
      <w:r w:rsidR="00593405">
        <w:rPr>
          <w:sz w:val="22"/>
          <w:szCs w:val="22"/>
          <w:lang w:val="en-US"/>
        </w:rPr>
        <w:t>,</w:t>
      </w:r>
      <w:r w:rsidR="001B6A73" w:rsidRPr="0035185A">
        <w:rPr>
          <w:sz w:val="22"/>
          <w:szCs w:val="22"/>
          <w:lang w:val="en-US"/>
        </w:rPr>
        <w:t xml:space="preserve"> 202</w:t>
      </w:r>
      <w:r w:rsidR="00AE2200" w:rsidRPr="0035185A">
        <w:rPr>
          <w:sz w:val="22"/>
          <w:szCs w:val="22"/>
          <w:lang w:val="en-US"/>
        </w:rPr>
        <w:t>5</w:t>
      </w:r>
      <w:r w:rsidRPr="0035185A">
        <w:rPr>
          <w:sz w:val="22"/>
          <w:szCs w:val="22"/>
          <w:lang w:val="en-US"/>
        </w:rPr>
        <w:t>).</w:t>
      </w:r>
      <w:r w:rsidR="00866AA2" w:rsidRPr="0035185A">
        <w:rPr>
          <w:sz w:val="22"/>
          <w:szCs w:val="22"/>
          <w:lang w:val="en-US"/>
        </w:rPr>
        <w:t xml:space="preserve"> </w:t>
      </w:r>
      <w:r w:rsidR="007014CF" w:rsidRPr="0035185A">
        <w:rPr>
          <w:sz w:val="22"/>
          <w:szCs w:val="22"/>
          <w:lang w:val="en-US"/>
        </w:rPr>
        <w:t>The outcomes of this study are expected to contribute to the broader understanding of Mediterranean closed-basin hydrology, informing both regional water resource management and global discussions on climate adaptation strategies in semi-arid endorheic systems (</w:t>
      </w:r>
      <w:proofErr w:type="spellStart"/>
      <w:r w:rsidR="00B83E8D" w:rsidRPr="0035185A">
        <w:rPr>
          <w:sz w:val="22"/>
          <w:szCs w:val="22"/>
        </w:rPr>
        <w:t>Bouarfa</w:t>
      </w:r>
      <w:proofErr w:type="spellEnd"/>
      <w:r w:rsidR="007014CF" w:rsidRPr="0035185A">
        <w:rPr>
          <w:sz w:val="22"/>
          <w:szCs w:val="22"/>
          <w:lang w:val="en-US"/>
        </w:rPr>
        <w:t xml:space="preserve"> et al.</w:t>
      </w:r>
      <w:r w:rsidR="00593405">
        <w:rPr>
          <w:sz w:val="22"/>
          <w:szCs w:val="22"/>
          <w:lang w:val="en-US"/>
        </w:rPr>
        <w:t>,</w:t>
      </w:r>
      <w:r w:rsidR="007014CF" w:rsidRPr="0035185A">
        <w:rPr>
          <w:sz w:val="22"/>
          <w:szCs w:val="22"/>
          <w:lang w:val="en-US"/>
        </w:rPr>
        <w:t xml:space="preserve"> 202</w:t>
      </w:r>
      <w:r w:rsidR="00B83E8D" w:rsidRPr="0035185A">
        <w:rPr>
          <w:sz w:val="22"/>
          <w:szCs w:val="22"/>
          <w:lang w:val="en-US"/>
        </w:rPr>
        <w:t>5</w:t>
      </w:r>
      <w:r w:rsidR="00593405">
        <w:rPr>
          <w:sz w:val="22"/>
          <w:szCs w:val="22"/>
          <w:lang w:val="en-US"/>
        </w:rPr>
        <w:t>;</w:t>
      </w:r>
      <w:r w:rsidR="007014CF" w:rsidRPr="0035185A">
        <w:rPr>
          <w:sz w:val="22"/>
          <w:szCs w:val="22"/>
          <w:lang w:val="en-US"/>
        </w:rPr>
        <w:t xml:space="preserve"> </w:t>
      </w:r>
      <w:r w:rsidR="00B83E8D" w:rsidRPr="0035185A">
        <w:rPr>
          <w:sz w:val="22"/>
          <w:szCs w:val="22"/>
          <w:lang w:val="en-US"/>
        </w:rPr>
        <w:t>Lu</w:t>
      </w:r>
      <w:r w:rsidR="007014CF" w:rsidRPr="0035185A">
        <w:rPr>
          <w:sz w:val="22"/>
          <w:szCs w:val="22"/>
          <w:lang w:val="en-US"/>
        </w:rPr>
        <w:t xml:space="preserve"> et al.</w:t>
      </w:r>
      <w:r w:rsidR="00593405">
        <w:rPr>
          <w:sz w:val="22"/>
          <w:szCs w:val="22"/>
          <w:lang w:val="en-US"/>
        </w:rPr>
        <w:t>,</w:t>
      </w:r>
      <w:r w:rsidR="007014CF" w:rsidRPr="0035185A">
        <w:rPr>
          <w:sz w:val="22"/>
          <w:szCs w:val="22"/>
          <w:lang w:val="en-US"/>
        </w:rPr>
        <w:t xml:space="preserve"> 202</w:t>
      </w:r>
      <w:r w:rsidR="00B83E8D" w:rsidRPr="0035185A">
        <w:rPr>
          <w:sz w:val="22"/>
          <w:szCs w:val="22"/>
          <w:lang w:val="en-US"/>
        </w:rPr>
        <w:t>5</w:t>
      </w:r>
      <w:r w:rsidR="007014CF" w:rsidRPr="0035185A">
        <w:rPr>
          <w:sz w:val="22"/>
          <w:szCs w:val="22"/>
          <w:lang w:val="en-US"/>
        </w:rPr>
        <w:t xml:space="preserve">). By integrating remote sensing, </w:t>
      </w:r>
      <w:proofErr w:type="spellStart"/>
      <w:r w:rsidR="00E03B7D" w:rsidRPr="0035185A">
        <w:rPr>
          <w:sz w:val="22"/>
          <w:szCs w:val="22"/>
          <w:lang w:val="en-US"/>
        </w:rPr>
        <w:t>hydrochemical</w:t>
      </w:r>
      <w:proofErr w:type="spellEnd"/>
      <w:r w:rsidR="007014CF" w:rsidRPr="0035185A">
        <w:rPr>
          <w:sz w:val="22"/>
          <w:szCs w:val="22"/>
          <w:lang w:val="en-US"/>
        </w:rPr>
        <w:t xml:space="preserve"> analysis, and advanced statistical modeling, this research not only addresses critical environmental challenges in southwestern T</w:t>
      </w:r>
      <w:r w:rsidR="00B81DE9" w:rsidRPr="0035185A">
        <w:rPr>
          <w:sz w:val="22"/>
          <w:szCs w:val="22"/>
          <w:lang w:val="en-US"/>
        </w:rPr>
        <w:t>ürkiye</w:t>
      </w:r>
      <w:r w:rsidR="007014CF" w:rsidRPr="0035185A">
        <w:rPr>
          <w:sz w:val="22"/>
          <w:szCs w:val="22"/>
          <w:lang w:val="en-US"/>
        </w:rPr>
        <w:t xml:space="preserve"> but also establishes a methodological framework applicable to other endorheic basins worldwide</w:t>
      </w:r>
      <w:r w:rsidR="007014CF" w:rsidRPr="0035185A">
        <w:rPr>
          <w:lang w:val="en-US"/>
        </w:rPr>
        <w:t>.</w:t>
      </w:r>
    </w:p>
    <w:p w14:paraId="6BC9A8DF" w14:textId="3E57F729" w:rsidR="00001729" w:rsidRPr="00D712DC" w:rsidRDefault="00F733CF" w:rsidP="00664250">
      <w:pPr>
        <w:pStyle w:val="Rn1"/>
        <w:rPr>
          <w:lang w:val="en-GB"/>
        </w:rPr>
      </w:pPr>
      <w:r w:rsidRPr="00D712DC">
        <w:rPr>
          <w:lang w:val="en-GB"/>
        </w:rPr>
        <w:t xml:space="preserve">2. </w:t>
      </w:r>
      <w:r w:rsidR="003842FB" w:rsidRPr="00D712DC">
        <w:rPr>
          <w:lang w:val="en-GB"/>
        </w:rPr>
        <w:t>Materials and Method</w:t>
      </w:r>
    </w:p>
    <w:p w14:paraId="52F9F188" w14:textId="2E7269F9" w:rsidR="00866AA2" w:rsidRPr="0035185A" w:rsidRDefault="00071903" w:rsidP="00C73844">
      <w:pPr>
        <w:pStyle w:val="Paragraph"/>
        <w:spacing w:before="0" w:line="240" w:lineRule="auto"/>
        <w:ind w:firstLine="284"/>
        <w:jc w:val="both"/>
        <w:rPr>
          <w:sz w:val="22"/>
          <w:szCs w:val="22"/>
          <w:lang w:val="en-US"/>
        </w:rPr>
      </w:pPr>
      <w:r w:rsidRPr="0035185A">
        <w:rPr>
          <w:sz w:val="22"/>
          <w:szCs w:val="22"/>
          <w:lang w:val="en-US"/>
        </w:rPr>
        <w:t>This study focused on the inland lakes of T</w:t>
      </w:r>
      <w:r w:rsidR="00B81DE9" w:rsidRPr="0035185A">
        <w:rPr>
          <w:sz w:val="22"/>
          <w:szCs w:val="22"/>
          <w:lang w:val="en-US"/>
        </w:rPr>
        <w:t>ürkiye</w:t>
      </w:r>
      <w:r w:rsidR="00D712DC">
        <w:rPr>
          <w:sz w:val="22"/>
          <w:szCs w:val="22"/>
          <w:lang w:val="en-US"/>
        </w:rPr>
        <w:t>'</w:t>
      </w:r>
      <w:r w:rsidRPr="0035185A">
        <w:rPr>
          <w:sz w:val="22"/>
          <w:szCs w:val="22"/>
          <w:lang w:val="en-US"/>
        </w:rPr>
        <w:t>s Mediterranean closed basins, namely Burdur, Salda, Yar</w:t>
      </w:r>
      <w:r w:rsidR="00986DAF" w:rsidRPr="0035185A">
        <w:rPr>
          <w:sz w:val="22"/>
          <w:szCs w:val="22"/>
          <w:lang w:val="en-US"/>
        </w:rPr>
        <w:t>isli</w:t>
      </w:r>
      <w:r w:rsidRPr="0035185A">
        <w:rPr>
          <w:sz w:val="22"/>
          <w:szCs w:val="22"/>
          <w:lang w:val="en-US"/>
        </w:rPr>
        <w:t>, Karata</w:t>
      </w:r>
      <w:r w:rsidR="00031F6E" w:rsidRPr="0035185A">
        <w:rPr>
          <w:sz w:val="22"/>
          <w:szCs w:val="22"/>
          <w:lang w:val="en-US"/>
        </w:rPr>
        <w:t>s</w:t>
      </w:r>
      <w:r w:rsidRPr="0035185A">
        <w:rPr>
          <w:sz w:val="22"/>
          <w:szCs w:val="22"/>
          <w:lang w:val="en-US"/>
        </w:rPr>
        <w:t>, Ac</w:t>
      </w:r>
      <w:r w:rsidR="00986DAF" w:rsidRPr="0035185A">
        <w:rPr>
          <w:sz w:val="22"/>
          <w:szCs w:val="22"/>
          <w:lang w:val="en-US"/>
        </w:rPr>
        <w:t>igol</w:t>
      </w:r>
      <w:r w:rsidRPr="0035185A">
        <w:rPr>
          <w:sz w:val="22"/>
          <w:szCs w:val="22"/>
          <w:lang w:val="en-US"/>
        </w:rPr>
        <w:t xml:space="preserve">, and Eber, covering the period 2010–2024. The main objective was to evaluate the hydrological, physicochemical, and ecological status of these lakes under semi-arid conditions, integrating surface water dynamics, water quality, climate variability, land-use changes, and anthropogenic pressures. </w:t>
      </w:r>
      <w:r w:rsidRPr="0035185A">
        <w:rPr>
          <w:sz w:val="22"/>
          <w:szCs w:val="22"/>
          <w:lang w:val="en-US"/>
        </w:rPr>
        <w:lastRenderedPageBreak/>
        <w:t>Long-term water quality parameters—including dissolved oxygen (DO), biochemical oxygen demand (BOD₅), chemical oxygen demand (COD), total phosphorus (TP), total nitrogen (TN), ammonium (NH₄⁺), and chlorophyll-a—were obtained from the State Hydraulic Works (DSİ) and the Ministry of Environment, Urbanization</w:t>
      </w:r>
      <w:r w:rsidR="00D712DC">
        <w:rPr>
          <w:sz w:val="22"/>
          <w:szCs w:val="22"/>
          <w:lang w:val="en-US"/>
        </w:rPr>
        <w:t>,</w:t>
      </w:r>
      <w:r w:rsidRPr="0035185A">
        <w:rPr>
          <w:sz w:val="22"/>
          <w:szCs w:val="22"/>
          <w:lang w:val="en-US"/>
        </w:rPr>
        <w:t xml:space="preserve"> and Climate Change. </w:t>
      </w:r>
    </w:p>
    <w:p w14:paraId="5A52E8AC" w14:textId="74264E73" w:rsidR="00071903" w:rsidRPr="0035185A" w:rsidRDefault="00071903" w:rsidP="00C73844">
      <w:pPr>
        <w:pStyle w:val="Paragraph"/>
        <w:spacing w:before="0" w:line="240" w:lineRule="auto"/>
        <w:ind w:firstLine="284"/>
        <w:jc w:val="both"/>
        <w:rPr>
          <w:sz w:val="22"/>
          <w:szCs w:val="22"/>
          <w:lang w:val="en-US"/>
        </w:rPr>
      </w:pPr>
      <w:r w:rsidRPr="0035185A">
        <w:rPr>
          <w:sz w:val="22"/>
          <w:szCs w:val="22"/>
          <w:lang w:val="en-US"/>
        </w:rPr>
        <w:t>Meteorological variables such as precipitation (P), temperature (T), wind speed (u₂), vapor pressure deficit (VPD), and net radiation (Rn) were retrieved from the ERA5-Land reanalysis at 0.1° resolution, allowing for the assessment of spatially continuous climatic trends across the basins (Hoffmann et al.</w:t>
      </w:r>
      <w:r w:rsidR="00593405">
        <w:rPr>
          <w:sz w:val="22"/>
          <w:szCs w:val="22"/>
          <w:lang w:val="en-US"/>
        </w:rPr>
        <w:t>,</w:t>
      </w:r>
      <w:r w:rsidRPr="0035185A">
        <w:rPr>
          <w:sz w:val="22"/>
          <w:szCs w:val="22"/>
          <w:lang w:val="en-US"/>
        </w:rPr>
        <w:t xml:space="preserve"> 20</w:t>
      </w:r>
      <w:r w:rsidR="00CD4D97" w:rsidRPr="0035185A">
        <w:rPr>
          <w:sz w:val="22"/>
          <w:szCs w:val="22"/>
          <w:lang w:val="en-US"/>
        </w:rPr>
        <w:t>25</w:t>
      </w:r>
      <w:r w:rsidRPr="0035185A">
        <w:rPr>
          <w:sz w:val="22"/>
          <w:szCs w:val="22"/>
          <w:lang w:val="en-US"/>
        </w:rPr>
        <w:t>).</w:t>
      </w:r>
      <w:r w:rsidR="00D2052C" w:rsidRPr="0035185A">
        <w:rPr>
          <w:sz w:val="22"/>
          <w:szCs w:val="22"/>
          <w:lang w:val="en-US"/>
        </w:rPr>
        <w:t xml:space="preserve"> </w:t>
      </w:r>
      <w:r w:rsidRPr="0035185A">
        <w:rPr>
          <w:sz w:val="22"/>
          <w:szCs w:val="22"/>
          <w:lang w:val="en-US"/>
        </w:rPr>
        <w:t>Surface water extraction was performed using multi-sensor imagery, including Landsat TM/ETM+/OLI and Sentinel-2 MSI. All scenes were atmospherically corrected to surface reflectance using LEDAPS (Landsat) and Sen2Cor (Sentinel-2) processors. Multiple spectral water indices were employed to maximize detection accuracy and minimize misclassification. The Normalized Difference Water Index (NDWI) was applied to enhance water–vegetation contrast:</w:t>
      </w:r>
    </w:p>
    <w:p w14:paraId="0F426331" w14:textId="00E4147D" w:rsidR="00071903" w:rsidRPr="0035185A" w:rsidRDefault="00071903" w:rsidP="0052614E">
      <w:pPr>
        <w:pStyle w:val="Newparagraph"/>
        <w:spacing w:before="120" w:after="120" w:line="240" w:lineRule="auto"/>
        <w:ind w:firstLine="0"/>
        <w:rPr>
          <w:sz w:val="22"/>
          <w:szCs w:val="22"/>
          <w:lang w:val="en-US"/>
        </w:rPr>
      </w:pPr>
      <m:oMathPara>
        <m:oMath>
          <m:r>
            <m:rPr>
              <m:sty m:val="p"/>
            </m:rPr>
            <w:rPr>
              <w:rFonts w:ascii="Cambria Math" w:hAnsi="Cambria Math"/>
              <w:sz w:val="22"/>
              <w:szCs w:val="20"/>
              <w:lang w:val="en-US"/>
            </w:rPr>
            <m:t>NDWI=</m:t>
          </m:r>
          <m:f>
            <m:fPr>
              <m:ctrlPr>
                <w:rPr>
                  <w:rFonts w:ascii="Cambria Math" w:hAnsi="Cambria Math"/>
                  <w:sz w:val="22"/>
                  <w:szCs w:val="20"/>
                  <w:lang w:val="en-US"/>
                </w:rPr>
              </m:ctrlPr>
            </m:fPr>
            <m:num>
              <m:r>
                <m:rPr>
                  <m:sty m:val="p"/>
                </m:rPr>
                <w:rPr>
                  <w:rFonts w:ascii="Cambria Math" w:hAnsi="Cambria Math"/>
                  <w:sz w:val="22"/>
                  <w:szCs w:val="20"/>
                  <w:lang w:val="en-US"/>
                </w:rPr>
                <m:t>(Green-NIR)</m:t>
              </m:r>
            </m:num>
            <m:den>
              <m:r>
                <m:rPr>
                  <m:sty m:val="p"/>
                </m:rPr>
                <w:rPr>
                  <w:rFonts w:ascii="Cambria Math" w:hAnsi="Cambria Math"/>
                  <w:sz w:val="22"/>
                  <w:szCs w:val="20"/>
                  <w:lang w:val="en-US"/>
                </w:rPr>
                <m:t>(Green+NIR)</m:t>
              </m:r>
            </m:den>
          </m:f>
        </m:oMath>
      </m:oMathPara>
    </w:p>
    <w:p w14:paraId="0D453442" w14:textId="75189211" w:rsidR="00071903" w:rsidRPr="0035185A" w:rsidRDefault="002F750B" w:rsidP="002F750B">
      <w:pPr>
        <w:pStyle w:val="Paragraph"/>
        <w:spacing w:before="0" w:line="240" w:lineRule="auto"/>
        <w:jc w:val="both"/>
        <w:rPr>
          <w:sz w:val="22"/>
          <w:szCs w:val="22"/>
          <w:lang w:val="en-US"/>
        </w:rPr>
      </w:pPr>
      <w:r>
        <w:rPr>
          <w:sz w:val="22"/>
          <w:szCs w:val="22"/>
          <w:lang w:val="en-US"/>
        </w:rPr>
        <w:t>w</w:t>
      </w:r>
      <w:r w:rsidR="00071903" w:rsidRPr="0035185A">
        <w:rPr>
          <w:sz w:val="22"/>
          <w:szCs w:val="22"/>
          <w:lang w:val="en-US"/>
        </w:rPr>
        <w:t>here Green and NIR represent reflectance in the green and near-infrared bands, respectively (McFeeters 1996). The Modified NDWI (MNDWI) was used to reduce built-up misclassification:</w:t>
      </w:r>
    </w:p>
    <w:p w14:paraId="1D1A8FEF" w14:textId="3FCA0580" w:rsidR="00071903" w:rsidRPr="0035185A" w:rsidRDefault="00071903" w:rsidP="0052614E">
      <w:pPr>
        <w:pStyle w:val="Newparagraph"/>
        <w:spacing w:before="120" w:after="120" w:line="240" w:lineRule="auto"/>
        <w:ind w:firstLine="0"/>
        <w:rPr>
          <w:b/>
          <w:bCs/>
          <w:sz w:val="18"/>
          <w:szCs w:val="18"/>
          <w:lang w:val="en-US"/>
        </w:rPr>
      </w:pPr>
      <m:oMathPara>
        <m:oMath>
          <m:r>
            <m:rPr>
              <m:sty m:val="p"/>
            </m:rPr>
            <w:rPr>
              <w:rFonts w:ascii="Cambria Math" w:hAnsi="Cambria Math"/>
              <w:sz w:val="22"/>
              <w:szCs w:val="20"/>
              <w:lang w:val="en-US"/>
            </w:rPr>
            <m:t>MNDWI=</m:t>
          </m:r>
          <m:f>
            <m:fPr>
              <m:ctrlPr>
                <w:rPr>
                  <w:rFonts w:ascii="Cambria Math" w:hAnsi="Cambria Math"/>
                  <w:sz w:val="22"/>
                  <w:szCs w:val="20"/>
                  <w:lang w:val="en-US"/>
                </w:rPr>
              </m:ctrlPr>
            </m:fPr>
            <m:num>
              <m:r>
                <m:rPr>
                  <m:sty m:val="p"/>
                </m:rPr>
                <w:rPr>
                  <w:rFonts w:ascii="Cambria Math" w:hAnsi="Cambria Math"/>
                  <w:sz w:val="22"/>
                  <w:szCs w:val="20"/>
                  <w:lang w:val="en-US"/>
                </w:rPr>
                <m:t>(Green-SWIR)</m:t>
              </m:r>
            </m:num>
            <m:den>
              <m:r>
                <m:rPr>
                  <m:sty m:val="p"/>
                </m:rPr>
                <w:rPr>
                  <w:rFonts w:ascii="Cambria Math" w:hAnsi="Cambria Math"/>
                  <w:sz w:val="22"/>
                  <w:szCs w:val="20"/>
                  <w:lang w:val="en-US"/>
                </w:rPr>
                <m:t>(Green+SWIR)</m:t>
              </m:r>
            </m:den>
          </m:f>
        </m:oMath>
      </m:oMathPara>
    </w:p>
    <w:p w14:paraId="577E0278" w14:textId="0E3E163D" w:rsidR="00071903" w:rsidRPr="0035185A" w:rsidRDefault="00071903" w:rsidP="00C73844">
      <w:pPr>
        <w:pStyle w:val="Paragraph"/>
        <w:spacing w:before="0" w:line="240" w:lineRule="auto"/>
        <w:ind w:firstLine="284"/>
        <w:jc w:val="both"/>
        <w:rPr>
          <w:sz w:val="22"/>
          <w:szCs w:val="22"/>
          <w:lang w:val="en-US"/>
        </w:rPr>
      </w:pPr>
      <w:proofErr w:type="spellStart"/>
      <w:r w:rsidRPr="0035185A">
        <w:rPr>
          <w:sz w:val="22"/>
          <w:szCs w:val="22"/>
          <w:lang w:val="en-US"/>
        </w:rPr>
        <w:t>AWEI_sh</w:t>
      </w:r>
      <w:proofErr w:type="spellEnd"/>
      <w:r w:rsidRPr="0035185A">
        <w:rPr>
          <w:sz w:val="22"/>
          <w:szCs w:val="22"/>
          <w:lang w:val="en-US"/>
        </w:rPr>
        <w:t xml:space="preserve"> (Automated Water Extraction Index for shadows) minimized shadows and urban noise:</w:t>
      </w:r>
    </w:p>
    <w:p w14:paraId="41AB97BC" w14:textId="6702D4A6" w:rsidR="00071903" w:rsidRPr="0035185A" w:rsidRDefault="00000000" w:rsidP="0052614E">
      <w:pPr>
        <w:pStyle w:val="Newparagraph"/>
        <w:spacing w:before="120" w:after="120" w:line="240" w:lineRule="auto"/>
        <w:ind w:firstLine="0"/>
        <w:jc w:val="center"/>
        <w:rPr>
          <w:b/>
          <w:bCs/>
          <w:sz w:val="18"/>
          <w:szCs w:val="18"/>
          <w:lang w:val="en-US"/>
        </w:rPr>
      </w:pPr>
      <m:oMathPara>
        <m:oMath>
          <m:sSub>
            <m:sSubPr>
              <m:ctrlPr>
                <w:rPr>
                  <w:rFonts w:ascii="Cambria Math" w:hAnsi="Cambria Math"/>
                  <w:bCs/>
                  <w:i/>
                  <w:sz w:val="22"/>
                  <w:szCs w:val="22"/>
                  <w:lang w:val="en-US"/>
                </w:rPr>
              </m:ctrlPr>
            </m:sSubPr>
            <m:e>
              <m:r>
                <w:rPr>
                  <w:rFonts w:ascii="Cambria Math" w:hAnsi="Cambria Math"/>
                  <w:sz w:val="22"/>
                  <w:szCs w:val="22"/>
                  <w:lang w:val="en-US"/>
                </w:rPr>
                <m:t>AWEI</m:t>
              </m:r>
            </m:e>
            <m:sub>
              <m:r>
                <w:rPr>
                  <w:rFonts w:ascii="Cambria Math" w:hAnsi="Cambria Math"/>
                  <w:sz w:val="22"/>
                  <w:szCs w:val="22"/>
                  <w:lang w:val="en-US"/>
                </w:rPr>
                <m:t>sh</m:t>
              </m:r>
            </m:sub>
          </m:sSub>
          <m:r>
            <w:rPr>
              <w:rFonts w:ascii="Cambria Math" w:hAnsi="Cambria Math"/>
              <w:sz w:val="22"/>
              <w:szCs w:val="22"/>
              <w:lang w:val="en-US"/>
            </w:rPr>
            <m:t>= 4</m:t>
          </m:r>
          <m:d>
            <m:dPr>
              <m:ctrlPr>
                <w:rPr>
                  <w:rFonts w:ascii="Cambria Math" w:hAnsi="Cambria Math"/>
                  <w:bCs/>
                  <w:i/>
                  <w:sz w:val="22"/>
                  <w:szCs w:val="22"/>
                  <w:lang w:val="en-US"/>
                </w:rPr>
              </m:ctrlPr>
            </m:dPr>
            <m:e>
              <m:r>
                <w:rPr>
                  <w:rFonts w:ascii="Cambria Math" w:hAnsi="Cambria Math"/>
                  <w:sz w:val="22"/>
                  <w:szCs w:val="22"/>
                  <w:lang w:val="en-US"/>
                </w:rPr>
                <m:t>Green-SWIR</m:t>
              </m:r>
            </m:e>
          </m:d>
          <m:r>
            <w:rPr>
              <w:rFonts w:ascii="Cambria Math" w:hAnsi="Cambria Math"/>
              <w:sz w:val="22"/>
              <w:szCs w:val="22"/>
            </w:rPr>
            <m:t>-(0.25NIR+2.75 SWIR)</m:t>
          </m:r>
        </m:oMath>
      </m:oMathPara>
    </w:p>
    <w:p w14:paraId="78DDB8B1" w14:textId="6404762B" w:rsidR="00071903" w:rsidRPr="0035185A" w:rsidRDefault="00071903" w:rsidP="00C73844">
      <w:pPr>
        <w:pStyle w:val="Paragraph"/>
        <w:spacing w:before="0" w:line="240" w:lineRule="auto"/>
        <w:ind w:firstLine="284"/>
        <w:jc w:val="both"/>
        <w:rPr>
          <w:sz w:val="22"/>
          <w:szCs w:val="22"/>
          <w:lang w:val="en-US"/>
        </w:rPr>
      </w:pPr>
      <w:r w:rsidRPr="0035185A">
        <w:rPr>
          <w:sz w:val="22"/>
          <w:szCs w:val="22"/>
          <w:lang w:val="en-US"/>
        </w:rPr>
        <w:t>NDMI (Normalized Difference Moisture Index) was used to quantify surface moisture variability relevant to wetland and shallow water detection:</w:t>
      </w:r>
    </w:p>
    <w:p w14:paraId="2DDFD19B" w14:textId="3F341F8A" w:rsidR="00071903" w:rsidRPr="0035185A" w:rsidRDefault="00071903" w:rsidP="0052614E">
      <w:pPr>
        <w:pStyle w:val="Newparagraph"/>
        <w:spacing w:before="120" w:after="120" w:line="240" w:lineRule="auto"/>
        <w:ind w:firstLine="0"/>
        <w:rPr>
          <w:b/>
          <w:bCs/>
          <w:sz w:val="18"/>
          <w:szCs w:val="18"/>
          <w:lang w:val="en-US"/>
        </w:rPr>
      </w:pPr>
      <m:oMathPara>
        <m:oMath>
          <m:r>
            <m:rPr>
              <m:sty m:val="p"/>
            </m:rPr>
            <w:rPr>
              <w:rFonts w:ascii="Cambria Math" w:hAnsi="Cambria Math"/>
              <w:sz w:val="22"/>
              <w:szCs w:val="20"/>
              <w:lang w:val="en-US"/>
            </w:rPr>
            <m:t>NDMI=</m:t>
          </m:r>
          <m:f>
            <m:fPr>
              <m:ctrlPr>
                <w:rPr>
                  <w:rFonts w:ascii="Cambria Math" w:hAnsi="Cambria Math"/>
                  <w:sz w:val="22"/>
                  <w:szCs w:val="20"/>
                  <w:lang w:val="en-US"/>
                </w:rPr>
              </m:ctrlPr>
            </m:fPr>
            <m:num>
              <m:r>
                <m:rPr>
                  <m:sty m:val="p"/>
                </m:rPr>
                <w:rPr>
                  <w:rFonts w:ascii="Cambria Math" w:hAnsi="Cambria Math"/>
                  <w:sz w:val="22"/>
                  <w:szCs w:val="20"/>
                  <w:lang w:val="en-US"/>
                </w:rPr>
                <m:t>(NIR-SWIR)</m:t>
              </m:r>
            </m:num>
            <m:den>
              <m:r>
                <m:rPr>
                  <m:sty m:val="p"/>
                </m:rPr>
                <w:rPr>
                  <w:rFonts w:ascii="Cambria Math" w:hAnsi="Cambria Math"/>
                  <w:sz w:val="22"/>
                  <w:szCs w:val="20"/>
                  <w:lang w:val="en-US"/>
                </w:rPr>
                <m:t>(NIR+SWIR)</m:t>
              </m:r>
            </m:den>
          </m:f>
        </m:oMath>
      </m:oMathPara>
    </w:p>
    <w:p w14:paraId="018A335D" w14:textId="253405DE" w:rsidR="00071903" w:rsidRPr="0035185A" w:rsidRDefault="001C68D4" w:rsidP="00C73844">
      <w:pPr>
        <w:pStyle w:val="Paragraph"/>
        <w:spacing w:before="0" w:line="240" w:lineRule="auto"/>
        <w:ind w:firstLine="284"/>
        <w:jc w:val="both"/>
        <w:rPr>
          <w:sz w:val="22"/>
          <w:szCs w:val="22"/>
          <w:lang w:val="en-US"/>
        </w:rPr>
      </w:pPr>
      <w:r w:rsidRPr="0035185A">
        <w:rPr>
          <w:sz w:val="22"/>
          <w:szCs w:val="22"/>
          <w:lang w:val="en-US"/>
        </w:rPr>
        <w:t>A pixel was classified as water when at least three indices exceeded their respective thresholds (voting ensemble). Lake boundaries were vectorized via 8-neighborhood connectivity and simplified using the Douglas–</w:t>
      </w:r>
      <w:proofErr w:type="spellStart"/>
      <w:r w:rsidRPr="0035185A">
        <w:rPr>
          <w:sz w:val="22"/>
          <w:szCs w:val="22"/>
          <w:lang w:val="en-US"/>
        </w:rPr>
        <w:t>Peucker</w:t>
      </w:r>
      <w:proofErr w:type="spellEnd"/>
      <w:r w:rsidRPr="0035185A">
        <w:rPr>
          <w:sz w:val="22"/>
          <w:szCs w:val="22"/>
          <w:lang w:val="en-US"/>
        </w:rPr>
        <w:t xml:space="preserve"> algorithm to reduce topological complexity:</w:t>
      </w:r>
    </w:p>
    <w:p w14:paraId="303C33BE" w14:textId="0302B63F" w:rsidR="00071903" w:rsidRPr="0035185A" w:rsidRDefault="001C68D4" w:rsidP="0052614E">
      <w:pPr>
        <w:pStyle w:val="Newparagraph"/>
        <w:spacing w:before="120" w:after="120" w:line="240" w:lineRule="auto"/>
        <w:ind w:firstLine="0"/>
        <w:jc w:val="center"/>
        <w:rPr>
          <w:b/>
          <w:bCs/>
          <w:sz w:val="22"/>
          <w:szCs w:val="18"/>
          <w:lang w:val="en-US"/>
        </w:rPr>
      </w:pPr>
      <m:oMathPara>
        <m:oMath>
          <m:r>
            <w:rPr>
              <w:rFonts w:ascii="Cambria Math" w:hAnsi="Cambria Math"/>
              <w:sz w:val="22"/>
              <w:szCs w:val="18"/>
              <w:lang w:val="en-US"/>
            </w:rPr>
            <m:t>d</m:t>
          </m:r>
          <m:r>
            <m:rPr>
              <m:sty m:val="p"/>
            </m:rPr>
            <w:rPr>
              <w:rFonts w:ascii="Cambria Math" w:hAnsi="Cambria Math"/>
              <w:sz w:val="22"/>
              <w:szCs w:val="18"/>
              <w:lang w:val="en-US"/>
            </w:rPr>
            <m:t>=</m:t>
          </m:r>
          <m:f>
            <m:fPr>
              <m:ctrlPr>
                <w:rPr>
                  <w:rFonts w:ascii="Cambria Math" w:hAnsi="Cambria Math"/>
                  <w:bCs/>
                  <w:sz w:val="22"/>
                  <w:szCs w:val="18"/>
                  <w:lang w:val="en-US"/>
                </w:rPr>
              </m:ctrlPr>
            </m:fPr>
            <m:num>
              <m:d>
                <m:dPr>
                  <m:begChr m:val="|"/>
                  <m:endChr m:val="|"/>
                  <m:ctrlPr>
                    <w:rPr>
                      <w:rFonts w:ascii="Cambria Math" w:hAnsi="Cambria Math"/>
                      <w:bCs/>
                      <w:sz w:val="22"/>
                      <w:szCs w:val="18"/>
                      <w:lang w:val="en-US"/>
                    </w:rPr>
                  </m:ctrlPr>
                </m:dPr>
                <m:e>
                  <m:sSub>
                    <m:sSubPr>
                      <m:ctrlPr>
                        <w:rPr>
                          <w:rFonts w:ascii="Cambria Math" w:hAnsi="Cambria Math"/>
                          <w:bCs/>
                          <w:i/>
                          <w:sz w:val="22"/>
                          <w:szCs w:val="18"/>
                          <w:lang w:val="en-US"/>
                        </w:rPr>
                      </m:ctrlPr>
                    </m:sSubPr>
                    <m:e>
                      <m:r>
                        <w:rPr>
                          <w:rFonts w:ascii="Cambria Math" w:hAnsi="Cambria Math"/>
                          <w:sz w:val="22"/>
                          <w:szCs w:val="18"/>
                          <w:lang w:val="en-US"/>
                        </w:rPr>
                        <m:t>Ax</m:t>
                      </m:r>
                    </m:e>
                    <m:sub>
                      <m:r>
                        <w:rPr>
                          <w:rFonts w:ascii="Cambria Math" w:hAnsi="Cambria Math"/>
                          <w:sz w:val="22"/>
                          <w:szCs w:val="18"/>
                          <w:lang w:val="en-US"/>
                        </w:rPr>
                        <m:t>0</m:t>
                      </m:r>
                    </m:sub>
                  </m:sSub>
                  <m:r>
                    <w:rPr>
                      <w:rFonts w:ascii="Cambria Math" w:hAnsi="Cambria Math"/>
                      <w:sz w:val="22"/>
                      <w:szCs w:val="18"/>
                      <w:lang w:val="en-US"/>
                    </w:rPr>
                    <m:t xml:space="preserve">+ </m:t>
                  </m:r>
                  <m:sSub>
                    <m:sSubPr>
                      <m:ctrlPr>
                        <w:rPr>
                          <w:rFonts w:ascii="Cambria Math" w:hAnsi="Cambria Math"/>
                          <w:bCs/>
                          <w:i/>
                          <w:sz w:val="22"/>
                          <w:szCs w:val="18"/>
                          <w:lang w:val="en-US"/>
                        </w:rPr>
                      </m:ctrlPr>
                    </m:sSubPr>
                    <m:e>
                      <m:r>
                        <w:rPr>
                          <w:rFonts w:ascii="Cambria Math" w:hAnsi="Cambria Math"/>
                          <w:sz w:val="22"/>
                          <w:szCs w:val="18"/>
                          <w:lang w:val="en-US"/>
                        </w:rPr>
                        <m:t>By</m:t>
                      </m:r>
                    </m:e>
                    <m:sub>
                      <m:r>
                        <w:rPr>
                          <w:rFonts w:ascii="Cambria Math" w:hAnsi="Cambria Math"/>
                          <w:sz w:val="22"/>
                          <w:szCs w:val="18"/>
                          <w:lang w:val="en-US"/>
                        </w:rPr>
                        <m:t>0</m:t>
                      </m:r>
                    </m:sub>
                  </m:sSub>
                  <m:r>
                    <w:rPr>
                      <w:rFonts w:ascii="Cambria Math" w:hAnsi="Cambria Math"/>
                      <w:sz w:val="22"/>
                      <w:szCs w:val="18"/>
                      <w:lang w:val="en-US"/>
                    </w:rPr>
                    <m:t xml:space="preserve">+C </m:t>
                  </m:r>
                </m:e>
              </m:d>
            </m:num>
            <m:den>
              <m:rad>
                <m:radPr>
                  <m:degHide m:val="1"/>
                  <m:ctrlPr>
                    <w:rPr>
                      <w:rFonts w:ascii="Cambria Math" w:hAnsi="Cambria Math"/>
                      <w:bCs/>
                      <w:sz w:val="22"/>
                      <w:szCs w:val="18"/>
                      <w:lang w:val="en-US"/>
                    </w:rPr>
                  </m:ctrlPr>
                </m:radPr>
                <m:deg/>
                <m:e>
                  <m:sSup>
                    <m:sSupPr>
                      <m:ctrlPr>
                        <w:rPr>
                          <w:rFonts w:ascii="Cambria Math" w:hAnsi="Cambria Math"/>
                          <w:bCs/>
                          <w:i/>
                          <w:sz w:val="22"/>
                          <w:szCs w:val="18"/>
                          <w:lang w:val="en-US"/>
                        </w:rPr>
                      </m:ctrlPr>
                    </m:sSupPr>
                    <m:e>
                      <m:r>
                        <w:rPr>
                          <w:rFonts w:ascii="Cambria Math" w:hAnsi="Cambria Math"/>
                          <w:sz w:val="22"/>
                          <w:szCs w:val="18"/>
                          <w:lang w:val="en-US"/>
                        </w:rPr>
                        <m:t>A</m:t>
                      </m:r>
                    </m:e>
                    <m:sup>
                      <m:r>
                        <w:rPr>
                          <w:rFonts w:ascii="Cambria Math" w:hAnsi="Cambria Math"/>
                          <w:sz w:val="22"/>
                          <w:szCs w:val="18"/>
                          <w:lang w:val="en-US"/>
                        </w:rPr>
                        <m:t>2</m:t>
                      </m:r>
                    </m:sup>
                  </m:sSup>
                  <m:r>
                    <w:rPr>
                      <w:rFonts w:ascii="Cambria Math" w:hAnsi="Cambria Math"/>
                      <w:sz w:val="22"/>
                      <w:szCs w:val="18"/>
                      <w:lang w:val="en-US"/>
                    </w:rPr>
                    <m:t>+</m:t>
                  </m:r>
                  <m:sSup>
                    <m:sSupPr>
                      <m:ctrlPr>
                        <w:rPr>
                          <w:rFonts w:ascii="Cambria Math" w:hAnsi="Cambria Math"/>
                          <w:bCs/>
                          <w:i/>
                          <w:sz w:val="22"/>
                          <w:szCs w:val="18"/>
                          <w:lang w:val="en-US"/>
                        </w:rPr>
                      </m:ctrlPr>
                    </m:sSupPr>
                    <m:e>
                      <m:r>
                        <w:rPr>
                          <w:rFonts w:ascii="Cambria Math" w:hAnsi="Cambria Math"/>
                          <w:sz w:val="22"/>
                          <w:szCs w:val="18"/>
                          <w:lang w:val="en-US"/>
                        </w:rPr>
                        <m:t>B</m:t>
                      </m:r>
                    </m:e>
                    <m:sup>
                      <m:r>
                        <w:rPr>
                          <w:rFonts w:ascii="Cambria Math" w:hAnsi="Cambria Math"/>
                          <w:sz w:val="22"/>
                          <w:szCs w:val="18"/>
                          <w:lang w:val="en-US"/>
                        </w:rPr>
                        <m:t>2</m:t>
                      </m:r>
                    </m:sup>
                  </m:sSup>
                </m:e>
              </m:rad>
            </m:den>
          </m:f>
        </m:oMath>
      </m:oMathPara>
    </w:p>
    <w:p w14:paraId="258977FD" w14:textId="7C9C96FF" w:rsidR="00071903" w:rsidRPr="0035185A" w:rsidRDefault="00373FDB" w:rsidP="00593405">
      <w:pPr>
        <w:pStyle w:val="Paragraph"/>
        <w:spacing w:before="0" w:line="240" w:lineRule="auto"/>
        <w:jc w:val="both"/>
        <w:rPr>
          <w:sz w:val="22"/>
          <w:szCs w:val="22"/>
          <w:lang w:val="en-US"/>
        </w:rPr>
      </w:pPr>
      <w:r w:rsidRPr="0035185A">
        <w:rPr>
          <w:sz w:val="22"/>
          <w:szCs w:val="22"/>
          <w:lang w:val="en-US"/>
        </w:rPr>
        <w:t xml:space="preserve">where points with perpendicular distance </w:t>
      </w:r>
      <m:oMath>
        <m:r>
          <w:rPr>
            <w:rFonts w:ascii="Cambria Math" w:hAnsi="Cambria Math"/>
            <w:sz w:val="22"/>
            <w:szCs w:val="22"/>
            <w:lang w:val="en-US"/>
          </w:rPr>
          <m:t>d</m:t>
        </m:r>
      </m:oMath>
      <w:r w:rsidRPr="0035185A">
        <w:rPr>
          <w:sz w:val="22"/>
          <w:szCs w:val="22"/>
          <w:lang w:val="en-US"/>
        </w:rPr>
        <w:t xml:space="preserve">below </w:t>
      </w:r>
      <w:r w:rsidR="00157514" w:rsidRPr="0035185A">
        <w:rPr>
          <w:sz w:val="22"/>
          <w:szCs w:val="22"/>
          <w:lang w:val="en-US"/>
        </w:rPr>
        <w:t>tolerance</w:t>
      </w:r>
      <w:r w:rsidRPr="0035185A">
        <w:rPr>
          <w:sz w:val="22"/>
          <w:szCs w:val="22"/>
          <w:lang w:val="en-US"/>
        </w:rPr>
        <w:t xml:space="preserve"> were removed (Douglas </w:t>
      </w:r>
      <w:r w:rsidR="003C15A6" w:rsidRPr="0035185A">
        <w:rPr>
          <w:sz w:val="22"/>
          <w:szCs w:val="22"/>
          <w:lang w:val="en-US"/>
        </w:rPr>
        <w:t>&amp;</w:t>
      </w:r>
      <w:r w:rsidRPr="0035185A">
        <w:rPr>
          <w:sz w:val="22"/>
          <w:szCs w:val="22"/>
          <w:lang w:val="en-US"/>
        </w:rPr>
        <w:t xml:space="preserve"> </w:t>
      </w:r>
      <w:proofErr w:type="spellStart"/>
      <w:r w:rsidRPr="0035185A">
        <w:rPr>
          <w:sz w:val="22"/>
          <w:szCs w:val="22"/>
          <w:lang w:val="en-US"/>
        </w:rPr>
        <w:t>Peucker</w:t>
      </w:r>
      <w:proofErr w:type="spellEnd"/>
      <w:r w:rsidR="00593405">
        <w:rPr>
          <w:sz w:val="22"/>
          <w:szCs w:val="22"/>
          <w:lang w:val="en-US"/>
        </w:rPr>
        <w:t>,</w:t>
      </w:r>
      <w:r w:rsidRPr="0035185A">
        <w:rPr>
          <w:sz w:val="22"/>
          <w:szCs w:val="22"/>
          <w:lang w:val="en-US"/>
        </w:rPr>
        <w:t xml:space="preserve"> 1973). Flow direction (FD) for hydrological analyses was determined as:</w:t>
      </w:r>
    </w:p>
    <w:p w14:paraId="03C1A33B" w14:textId="374D1108" w:rsidR="00CA1BF0" w:rsidRPr="0035185A" w:rsidRDefault="008E7D71" w:rsidP="0052614E">
      <w:pPr>
        <w:pStyle w:val="Newparagraph"/>
        <w:spacing w:before="120" w:after="120" w:line="240" w:lineRule="auto"/>
        <w:ind w:firstLine="0"/>
        <w:jc w:val="center"/>
        <w:rPr>
          <w:sz w:val="22"/>
          <w:szCs w:val="22"/>
          <w:lang w:val="en-US"/>
        </w:rPr>
      </w:pPr>
      <m:oMathPara>
        <m:oMath>
          <m:r>
            <w:rPr>
              <w:rFonts w:ascii="Cambria Math" w:hAnsi="Cambria Math"/>
              <w:sz w:val="22"/>
              <w:szCs w:val="22"/>
              <w:lang w:val="en-US"/>
            </w:rPr>
            <m:t>FD(i,j)=arg</m:t>
          </m:r>
          <m:func>
            <m:funcPr>
              <m:ctrlPr>
                <w:rPr>
                  <w:rFonts w:ascii="Cambria Math" w:hAnsi="Cambria Math"/>
                  <w:i/>
                  <w:sz w:val="22"/>
                  <w:szCs w:val="22"/>
                  <w:lang w:val="en-US"/>
                </w:rPr>
              </m:ctrlPr>
            </m:funcPr>
            <m:fName>
              <m:limLow>
                <m:limLowPr>
                  <m:ctrlPr>
                    <w:rPr>
                      <w:rFonts w:ascii="Cambria Math" w:hAnsi="Cambria Math"/>
                      <w:i/>
                      <w:sz w:val="22"/>
                      <w:szCs w:val="22"/>
                      <w:lang w:val="en-US"/>
                    </w:rPr>
                  </m:ctrlPr>
                </m:limLowPr>
                <m:e>
                  <m:r>
                    <m:rPr>
                      <m:sty m:val="p"/>
                    </m:rPr>
                    <w:rPr>
                      <w:rFonts w:ascii="Cambria Math" w:hAnsi="Cambria Math"/>
                      <w:sz w:val="22"/>
                      <w:szCs w:val="22"/>
                      <w:lang w:val="en-US"/>
                    </w:rPr>
                    <m:t>min</m:t>
                  </m:r>
                </m:e>
                <m:lim>
                  <m:r>
                    <w:rPr>
                      <w:rFonts w:ascii="Cambria Math" w:hAnsi="Cambria Math"/>
                      <w:sz w:val="22"/>
                      <w:szCs w:val="22"/>
                      <w:lang w:val="en-US"/>
                    </w:rPr>
                    <m:t>k∈N</m:t>
                  </m:r>
                </m:lim>
              </m:limLow>
            </m:fName>
            <m:e>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Z</m:t>
                      </m:r>
                    </m:e>
                    <m:sub>
                      <m:r>
                        <w:rPr>
                          <w:rFonts w:ascii="Cambria Math" w:hAnsi="Cambria Math"/>
                          <w:sz w:val="22"/>
                          <w:szCs w:val="22"/>
                          <w:lang w:val="en-US"/>
                        </w:rPr>
                        <m:t>i,j</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Z</m:t>
                      </m:r>
                    </m:e>
                    <m:sub>
                      <m:r>
                        <w:rPr>
                          <w:rFonts w:ascii="Cambria Math" w:hAnsi="Cambria Math"/>
                          <w:sz w:val="22"/>
                          <w:szCs w:val="22"/>
                          <w:lang w:val="en-US"/>
                        </w:rPr>
                        <m:t>k</m:t>
                      </m:r>
                    </m:sub>
                  </m:sSub>
                </m:e>
              </m:d>
            </m:e>
          </m:func>
        </m:oMath>
      </m:oMathPara>
    </w:p>
    <w:p w14:paraId="009283AB" w14:textId="76583C09" w:rsidR="008E7D71" w:rsidRPr="0035185A" w:rsidRDefault="008E7D71" w:rsidP="00593405">
      <w:pPr>
        <w:pStyle w:val="Paragraph"/>
        <w:spacing w:before="0" w:line="240" w:lineRule="auto"/>
        <w:jc w:val="both"/>
        <w:rPr>
          <w:sz w:val="22"/>
          <w:szCs w:val="22"/>
          <w:lang w:val="en-US"/>
        </w:rPr>
      </w:pPr>
      <w:r w:rsidRPr="0035185A">
        <w:rPr>
          <w:sz w:val="22"/>
          <w:szCs w:val="22"/>
          <w:lang w:val="en-US"/>
        </w:rPr>
        <w:t xml:space="preserve">where </w:t>
      </w:r>
      <w:r w:rsidRPr="0035185A">
        <w:rPr>
          <w:i/>
          <w:iCs/>
          <w:sz w:val="22"/>
          <w:szCs w:val="22"/>
          <w:lang w:val="en-US"/>
        </w:rPr>
        <w:t>Z</w:t>
      </w:r>
      <w:r w:rsidRPr="0035185A">
        <w:rPr>
          <w:sz w:val="22"/>
          <w:szCs w:val="22"/>
          <w:lang w:val="en-US"/>
        </w:rPr>
        <w:t xml:space="preserve"> represents elevation</w:t>
      </w:r>
      <w:r w:rsidR="00D712DC">
        <w:rPr>
          <w:sz w:val="22"/>
          <w:szCs w:val="22"/>
          <w:lang w:val="en-US"/>
        </w:rPr>
        <w:t>,</w:t>
      </w:r>
      <w:r w:rsidRPr="0035185A">
        <w:rPr>
          <w:sz w:val="22"/>
          <w:szCs w:val="22"/>
          <w:lang w:val="en-US"/>
        </w:rPr>
        <w:t xml:space="preserve"> and </w:t>
      </w:r>
      <w:r w:rsidRPr="0035185A">
        <w:rPr>
          <w:i/>
          <w:iCs/>
          <w:sz w:val="22"/>
          <w:szCs w:val="22"/>
          <w:lang w:val="en-US"/>
        </w:rPr>
        <w:t>FD (</w:t>
      </w:r>
      <w:proofErr w:type="spellStart"/>
      <w:r w:rsidRPr="0035185A">
        <w:rPr>
          <w:i/>
          <w:iCs/>
          <w:sz w:val="22"/>
          <w:szCs w:val="22"/>
          <w:lang w:val="en-US"/>
        </w:rPr>
        <w:t>i,j</w:t>
      </w:r>
      <w:proofErr w:type="spellEnd"/>
      <w:r w:rsidRPr="0035185A">
        <w:rPr>
          <w:i/>
          <w:iCs/>
          <w:sz w:val="22"/>
          <w:szCs w:val="22"/>
          <w:lang w:val="en-US"/>
        </w:rPr>
        <w:t>)</w:t>
      </w:r>
      <w:r w:rsidRPr="0035185A">
        <w:rPr>
          <w:sz w:val="22"/>
          <w:szCs w:val="22"/>
          <w:lang w:val="en-US"/>
        </w:rPr>
        <w:t xml:space="preserve"> designates the downslope neighbor cell receiving flow from cell (</w:t>
      </w:r>
      <w:proofErr w:type="spellStart"/>
      <w:r w:rsidRPr="0035185A">
        <w:rPr>
          <w:sz w:val="22"/>
          <w:szCs w:val="22"/>
          <w:lang w:val="en-US"/>
        </w:rPr>
        <w:t>i,j</w:t>
      </w:r>
      <w:proofErr w:type="spellEnd"/>
      <w:r w:rsidRPr="0035185A">
        <w:rPr>
          <w:sz w:val="22"/>
          <w:szCs w:val="22"/>
          <w:lang w:val="en-US"/>
        </w:rPr>
        <w:t>) (O</w:t>
      </w:r>
      <w:r w:rsidR="00D712DC">
        <w:rPr>
          <w:sz w:val="22"/>
          <w:szCs w:val="22"/>
          <w:lang w:val="en-US"/>
        </w:rPr>
        <w:t>'</w:t>
      </w:r>
      <w:r w:rsidRPr="0035185A">
        <w:rPr>
          <w:sz w:val="22"/>
          <w:szCs w:val="22"/>
          <w:lang w:val="en-US"/>
        </w:rPr>
        <w:t xml:space="preserve">Callaghan </w:t>
      </w:r>
      <w:r w:rsidR="00593405">
        <w:rPr>
          <w:sz w:val="22"/>
          <w:szCs w:val="22"/>
          <w:lang w:val="en-US"/>
        </w:rPr>
        <w:t>&amp;</w:t>
      </w:r>
      <w:r w:rsidRPr="0035185A">
        <w:rPr>
          <w:sz w:val="22"/>
          <w:szCs w:val="22"/>
          <w:lang w:val="en-US"/>
        </w:rPr>
        <w:t xml:space="preserve"> Mark</w:t>
      </w:r>
      <w:r w:rsidR="00593405">
        <w:rPr>
          <w:sz w:val="22"/>
          <w:szCs w:val="22"/>
          <w:lang w:val="en-US"/>
        </w:rPr>
        <w:t>,</w:t>
      </w:r>
      <w:r w:rsidRPr="0035185A">
        <w:rPr>
          <w:sz w:val="22"/>
          <w:szCs w:val="22"/>
          <w:lang w:val="en-US"/>
        </w:rPr>
        <w:t xml:space="preserve"> 1984). Annual lake area (</w:t>
      </w:r>
      <m:oMath>
        <m:sSub>
          <m:sSubPr>
            <m:ctrlPr>
              <w:rPr>
                <w:rFonts w:ascii="Cambria Math" w:hAnsi="Cambria Math"/>
                <w:sz w:val="22"/>
                <w:szCs w:val="22"/>
                <w:lang w:val="en-US"/>
              </w:rPr>
            </m:ctrlPr>
          </m:sSubPr>
          <m:e>
            <m:r>
              <w:rPr>
                <w:rFonts w:ascii="Cambria Math" w:hAnsi="Cambria Math"/>
                <w:sz w:val="22"/>
                <w:szCs w:val="22"/>
                <w:lang w:val="en-US"/>
              </w:rPr>
              <m:t>A</m:t>
            </m:r>
          </m:e>
          <m:sub>
            <m:r>
              <w:rPr>
                <w:rFonts w:ascii="Cambria Math" w:hAnsi="Cambria Math"/>
                <w:sz w:val="22"/>
                <w:szCs w:val="22"/>
                <w:lang w:val="en-US"/>
              </w:rPr>
              <m:t>t</m:t>
            </m:r>
          </m:sub>
        </m:sSub>
      </m:oMath>
      <w:r w:rsidRPr="0035185A">
        <w:rPr>
          <w:sz w:val="22"/>
          <w:szCs w:val="22"/>
          <w:lang w:val="en-US"/>
        </w:rPr>
        <w:t>) was computed as the sum of water pixels:</w:t>
      </w:r>
    </w:p>
    <w:p w14:paraId="248DC45D" w14:textId="77777777" w:rsidR="008B1145" w:rsidRPr="0035185A" w:rsidRDefault="00000000" w:rsidP="0052614E">
      <w:pPr>
        <w:pStyle w:val="Newparagraph"/>
        <w:spacing w:before="120" w:after="120" w:line="240" w:lineRule="auto"/>
        <w:ind w:firstLine="0"/>
        <w:jc w:val="center"/>
        <w:rPr>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t</m:t>
              </m:r>
            </m:sub>
          </m:sSub>
          <m:r>
            <w:rPr>
              <w:rFonts w:ascii="Cambria Math" w:hAnsi="Cambria Math"/>
              <w:sz w:val="22"/>
              <w:szCs w:val="22"/>
              <w:lang w:val="en-US"/>
            </w:rPr>
            <m:t>=</m:t>
          </m:r>
          <m:nary>
            <m:naryPr>
              <m:chr m:val="∑"/>
              <m:limLoc m:val="undOvr"/>
              <m:ctrlPr>
                <w:rPr>
                  <w:rFonts w:ascii="Cambria Math" w:hAnsi="Cambria Math"/>
                  <w:i/>
                  <w:sz w:val="22"/>
                  <w:szCs w:val="22"/>
                  <w:lang w:val="en-US"/>
                </w:rPr>
              </m:ctrlPr>
            </m:naryPr>
            <m:sub>
              <m:r>
                <w:rPr>
                  <w:rFonts w:ascii="Cambria Math" w:hAnsi="Cambria Math"/>
                  <w:sz w:val="22"/>
                  <w:szCs w:val="22"/>
                  <w:lang w:val="en-US"/>
                </w:rPr>
                <m:t>i=1</m:t>
              </m:r>
            </m:sub>
            <m:sup>
              <m:r>
                <w:rPr>
                  <w:rFonts w:ascii="Cambria Math" w:hAnsi="Cambria Math"/>
                  <w:sz w:val="22"/>
                  <w:szCs w:val="22"/>
                  <w:lang w:val="en-US"/>
                </w:rPr>
                <m:t>n</m:t>
              </m:r>
            </m:sup>
            <m:e>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h</m:t>
                      </m:r>
                    </m:e>
                    <m:sub>
                      <m:r>
                        <w:rPr>
                          <w:rFonts w:ascii="Cambria Math" w:hAnsi="Cambria Math"/>
                          <w:sz w:val="22"/>
                          <w:szCs w:val="22"/>
                          <w:lang w:val="en-US"/>
                        </w:rPr>
                        <m:t>i</m:t>
                      </m:r>
                    </m:sub>
                  </m:sSub>
                  <m:r>
                    <w:rPr>
                      <w:rFonts w:ascii="Cambria Math" w:hAnsi="Cambria Math"/>
                      <w:sz w:val="22"/>
                      <w:szCs w:val="22"/>
                      <w:lang w:val="en-US"/>
                    </w:rPr>
                    <m:t>. ∆</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i</m:t>
                      </m:r>
                    </m:sub>
                  </m:sSub>
                </m:e>
              </m:d>
            </m:e>
          </m:nary>
        </m:oMath>
      </m:oMathPara>
    </w:p>
    <w:p w14:paraId="58718B55" w14:textId="32377EA0" w:rsidR="008B1145" w:rsidRPr="0035185A" w:rsidRDefault="008B1145" w:rsidP="0052614E">
      <w:pPr>
        <w:pStyle w:val="Newparagraph"/>
        <w:spacing w:line="240" w:lineRule="auto"/>
        <w:ind w:firstLine="0"/>
        <w:jc w:val="both"/>
        <w:rPr>
          <w:sz w:val="22"/>
          <w:szCs w:val="22"/>
          <w:lang w:val="en-US"/>
        </w:rPr>
      </w:pPr>
      <w:r w:rsidRPr="0035185A">
        <w:rPr>
          <w:sz w:val="22"/>
          <w:szCs w:val="22"/>
          <w:lang w:val="en-US"/>
        </w:rPr>
        <w:t xml:space="preserve">where </w:t>
      </w:r>
      <m:oMath>
        <m:sSub>
          <m:sSubPr>
            <m:ctrlPr>
              <w:rPr>
                <w:rFonts w:ascii="Cambria Math" w:hAnsi="Cambria Math"/>
                <w:sz w:val="22"/>
                <w:szCs w:val="22"/>
                <w:lang w:val="en-US"/>
              </w:rPr>
            </m:ctrlPr>
          </m:sSubPr>
          <m:e>
            <m:r>
              <w:rPr>
                <w:rFonts w:ascii="Cambria Math" w:hAnsi="Cambria Math"/>
                <w:sz w:val="22"/>
                <w:szCs w:val="22"/>
                <w:lang w:val="en-US"/>
              </w:rPr>
              <m:t>h</m:t>
            </m:r>
          </m:e>
          <m:sub>
            <m:r>
              <w:rPr>
                <w:rFonts w:ascii="Cambria Math" w:hAnsi="Cambria Math"/>
                <w:sz w:val="22"/>
                <w:szCs w:val="22"/>
                <w:lang w:val="en-US"/>
              </w:rPr>
              <m:t>i</m:t>
            </m:r>
          </m:sub>
        </m:sSub>
      </m:oMath>
      <w:r w:rsidRPr="0035185A">
        <w:rPr>
          <w:sz w:val="22"/>
          <w:szCs w:val="22"/>
          <w:lang w:val="en-US"/>
        </w:rPr>
        <w:t xml:space="preserve"> is the mean depth increment between successive area polygons, providing a physically consistent estimation of water volume change (Downing et al.</w:t>
      </w:r>
      <w:r w:rsidR="00593405">
        <w:rPr>
          <w:sz w:val="22"/>
          <w:szCs w:val="22"/>
          <w:lang w:val="en-US"/>
        </w:rPr>
        <w:t>,</w:t>
      </w:r>
      <w:r w:rsidRPr="0035185A">
        <w:rPr>
          <w:sz w:val="22"/>
          <w:szCs w:val="22"/>
          <w:lang w:val="en-US"/>
        </w:rPr>
        <w:t xml:space="preserve"> 2006). Reference evapotranspiration (ET₀) was estimated using the FAO-56 Penman–Monteith equation, appropriate for semi-arid Mediterranean climates:</w:t>
      </w:r>
    </w:p>
    <w:p w14:paraId="6517DDBB" w14:textId="03034F9E" w:rsidR="008B1145" w:rsidRPr="0035185A" w:rsidRDefault="00000000" w:rsidP="002E4748">
      <w:pPr>
        <w:pStyle w:val="Newparagraph"/>
        <w:spacing w:before="120" w:after="120" w:line="240" w:lineRule="auto"/>
        <w:ind w:firstLine="0"/>
        <w:jc w:val="center"/>
        <w:rPr>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ET</m:t>
              </m:r>
            </m:e>
            <m:sub>
              <m:r>
                <w:rPr>
                  <w:rFonts w:ascii="Cambria Math" w:hAnsi="Cambria Math"/>
                  <w:sz w:val="22"/>
                  <w:szCs w:val="22"/>
                  <w:lang w:val="en-US"/>
                </w:rPr>
                <m:t>0</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0.408∆</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n</m:t>
                      </m:r>
                    </m:sub>
                  </m:sSub>
                  <m:r>
                    <w:rPr>
                      <w:rFonts w:ascii="Cambria Math" w:hAnsi="Cambria Math"/>
                      <w:sz w:val="22"/>
                      <w:szCs w:val="22"/>
                      <w:lang w:val="en-US"/>
                    </w:rPr>
                    <m:t>-G</m:t>
                  </m:r>
                </m:e>
              </m:d>
              <m:r>
                <w:rPr>
                  <w:rFonts w:ascii="Cambria Math" w:hAnsi="Cambria Math"/>
                  <w:sz w:val="22"/>
                  <w:szCs w:val="22"/>
                  <w:lang w:val="en-US"/>
                </w:rPr>
                <m:t>+ γ</m:t>
              </m:r>
              <m:f>
                <m:fPr>
                  <m:ctrlPr>
                    <w:rPr>
                      <w:rFonts w:ascii="Cambria Math" w:hAnsi="Cambria Math"/>
                      <w:i/>
                      <w:sz w:val="22"/>
                      <w:szCs w:val="22"/>
                      <w:lang w:val="en-US"/>
                    </w:rPr>
                  </m:ctrlPr>
                </m:fPr>
                <m:num>
                  <m:r>
                    <w:rPr>
                      <w:rFonts w:ascii="Cambria Math" w:hAnsi="Cambria Math"/>
                      <w:sz w:val="22"/>
                      <w:szCs w:val="22"/>
                      <w:lang w:val="en-US"/>
                    </w:rPr>
                    <m:t>900</m:t>
                  </m:r>
                </m:num>
                <m:den>
                  <m:r>
                    <w:rPr>
                      <w:rFonts w:ascii="Cambria Math" w:hAnsi="Cambria Math"/>
                      <w:sz w:val="22"/>
                      <w:szCs w:val="22"/>
                      <w:lang w:val="en-US"/>
                    </w:rPr>
                    <m:t>T+273</m:t>
                  </m:r>
                </m:den>
              </m:f>
              <m:sSub>
                <m:sSubPr>
                  <m:ctrlPr>
                    <w:rPr>
                      <w:rFonts w:ascii="Cambria Math" w:hAnsi="Cambria Math"/>
                      <w:i/>
                      <w:sz w:val="22"/>
                      <w:szCs w:val="22"/>
                      <w:lang w:val="en-US"/>
                    </w:rPr>
                  </m:ctrlPr>
                </m:sSubPr>
                <m:e>
                  <m:r>
                    <w:rPr>
                      <w:rFonts w:ascii="Cambria Math" w:hAnsi="Cambria Math"/>
                      <w:sz w:val="22"/>
                      <w:szCs w:val="22"/>
                      <w:lang w:val="en-US"/>
                    </w:rPr>
                    <m:t>u</m:t>
                  </m:r>
                </m:e>
                <m:sub>
                  <m:r>
                    <w:rPr>
                      <w:rFonts w:ascii="Cambria Math" w:hAnsi="Cambria Math"/>
                      <w:sz w:val="22"/>
                      <w:szCs w:val="22"/>
                      <w:lang w:val="en-US"/>
                    </w:rPr>
                    <m:t>2</m:t>
                  </m:r>
                </m:sub>
              </m:sSub>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s</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a</m:t>
                      </m:r>
                    </m:sub>
                  </m:sSub>
                </m:e>
              </m:d>
            </m:num>
            <m:den>
              <m:r>
                <w:rPr>
                  <w:rFonts w:ascii="Cambria Math" w:hAnsi="Cambria Math"/>
                  <w:sz w:val="22"/>
                  <w:szCs w:val="22"/>
                  <w:lang w:val="en-US"/>
                </w:rPr>
                <m:t>∆+ γ</m:t>
              </m:r>
              <m:d>
                <m:dPr>
                  <m:ctrlPr>
                    <w:rPr>
                      <w:rFonts w:ascii="Cambria Math" w:hAnsi="Cambria Math"/>
                      <w:i/>
                      <w:sz w:val="22"/>
                      <w:szCs w:val="22"/>
                      <w:lang w:val="en-US"/>
                    </w:rPr>
                  </m:ctrlPr>
                </m:dPr>
                <m:e>
                  <m:r>
                    <w:rPr>
                      <w:rFonts w:ascii="Cambria Math" w:hAnsi="Cambria Math"/>
                      <w:sz w:val="22"/>
                      <w:szCs w:val="22"/>
                      <w:lang w:val="en-US"/>
                    </w:rPr>
                    <m:t>1+0,.34</m:t>
                  </m:r>
                  <m:sSub>
                    <m:sSubPr>
                      <m:ctrlPr>
                        <w:rPr>
                          <w:rFonts w:ascii="Cambria Math" w:hAnsi="Cambria Math"/>
                          <w:i/>
                          <w:sz w:val="22"/>
                          <w:szCs w:val="22"/>
                          <w:lang w:val="en-US"/>
                        </w:rPr>
                      </m:ctrlPr>
                    </m:sSubPr>
                    <m:e>
                      <m:r>
                        <w:rPr>
                          <w:rFonts w:ascii="Cambria Math" w:hAnsi="Cambria Math"/>
                          <w:sz w:val="22"/>
                          <w:szCs w:val="22"/>
                          <w:lang w:val="en-US"/>
                        </w:rPr>
                        <m:t>u</m:t>
                      </m:r>
                    </m:e>
                    <m:sub>
                      <m:r>
                        <w:rPr>
                          <w:rFonts w:ascii="Cambria Math" w:hAnsi="Cambria Math"/>
                          <w:sz w:val="22"/>
                          <w:szCs w:val="22"/>
                          <w:lang w:val="en-US"/>
                        </w:rPr>
                        <m:t>2</m:t>
                      </m:r>
                    </m:sub>
                  </m:sSub>
                </m:e>
              </m:d>
            </m:den>
          </m:f>
        </m:oMath>
      </m:oMathPara>
    </w:p>
    <w:p w14:paraId="426493CC" w14:textId="16019CD0" w:rsidR="00071903" w:rsidRPr="0035185A" w:rsidRDefault="00D2052C" w:rsidP="0052614E">
      <w:pPr>
        <w:pStyle w:val="Newparagraph"/>
        <w:spacing w:line="240" w:lineRule="auto"/>
        <w:ind w:firstLine="0"/>
        <w:jc w:val="both"/>
        <w:rPr>
          <w:sz w:val="22"/>
          <w:szCs w:val="22"/>
          <w:lang w:val="en-US"/>
        </w:rPr>
      </w:pPr>
      <w:r w:rsidRPr="0035185A">
        <w:rPr>
          <w:sz w:val="22"/>
          <w:szCs w:val="22"/>
          <w:lang w:val="en-US"/>
        </w:rPr>
        <w:t xml:space="preserve">where Δ is the slope of the saturation vapor pressure curve, γ the psychrometric constant, G soil heat flux, </w:t>
      </w:r>
      <m:oMath>
        <m:sSub>
          <m:sSubPr>
            <m:ctrlPr>
              <w:rPr>
                <w:rFonts w:ascii="Cambria Math" w:hAnsi="Cambria Math"/>
                <w:sz w:val="22"/>
                <w:szCs w:val="22"/>
                <w:lang w:val="en-US"/>
              </w:rPr>
            </m:ctrlPr>
          </m:sSubPr>
          <m:e>
            <m:r>
              <w:rPr>
                <w:rFonts w:ascii="Cambria Math" w:hAnsi="Cambria Math"/>
                <w:sz w:val="22"/>
                <w:szCs w:val="22"/>
                <w:lang w:val="en-US"/>
              </w:rPr>
              <m:t>u</m:t>
            </m:r>
          </m:e>
          <m:sub>
            <m:r>
              <m:rPr>
                <m:sty m:val="p"/>
              </m:rPr>
              <w:rPr>
                <w:rFonts w:ascii="Cambria Math" w:hAnsi="Cambria Math"/>
                <w:sz w:val="22"/>
                <w:szCs w:val="22"/>
                <w:lang w:val="en-US"/>
              </w:rPr>
              <m:t>2</m:t>
            </m:r>
          </m:sub>
        </m:sSub>
      </m:oMath>
      <w:r w:rsidRPr="0035185A">
        <w:rPr>
          <w:sz w:val="22"/>
          <w:szCs w:val="22"/>
          <w:lang w:val="en-US"/>
        </w:rPr>
        <w:t xml:space="preserve">wind speed, and </w:t>
      </w:r>
      <m:oMath>
        <m:sSub>
          <m:sSubPr>
            <m:ctrlPr>
              <w:rPr>
                <w:rFonts w:ascii="Cambria Math" w:hAnsi="Cambria Math"/>
                <w:sz w:val="22"/>
                <w:szCs w:val="22"/>
                <w:lang w:val="en-US"/>
              </w:rPr>
            </m:ctrlPr>
          </m:sSubPr>
          <m:e>
            <m:r>
              <w:rPr>
                <w:rFonts w:ascii="Cambria Math" w:hAnsi="Cambria Math"/>
                <w:sz w:val="22"/>
                <w:szCs w:val="22"/>
                <w:lang w:val="en-US"/>
              </w:rPr>
              <m:t>e</m:t>
            </m:r>
          </m:e>
          <m:sub>
            <m:r>
              <w:rPr>
                <w:rFonts w:ascii="Cambria Math" w:hAnsi="Cambria Math"/>
                <w:sz w:val="22"/>
                <w:szCs w:val="22"/>
                <w:lang w:val="en-US"/>
              </w:rPr>
              <m:t>s</m:t>
            </m:r>
          </m:sub>
        </m:sSub>
        <m:r>
          <m:rPr>
            <m:sty m:val="p"/>
          </m:rPr>
          <w:rPr>
            <w:rFonts w:ascii="Cambria Math" w:hAnsi="Cambria Math"/>
            <w:sz w:val="22"/>
            <w:szCs w:val="22"/>
            <w:lang w:val="en-US"/>
          </w:rPr>
          <m:t>-</m:t>
        </m:r>
        <m:sSub>
          <m:sSubPr>
            <m:ctrlPr>
              <w:rPr>
                <w:rFonts w:ascii="Cambria Math" w:hAnsi="Cambria Math"/>
                <w:sz w:val="22"/>
                <w:szCs w:val="22"/>
                <w:lang w:val="en-US"/>
              </w:rPr>
            </m:ctrlPr>
          </m:sSubPr>
          <m:e>
            <m:r>
              <w:rPr>
                <w:rFonts w:ascii="Cambria Math" w:hAnsi="Cambria Math"/>
                <w:sz w:val="22"/>
                <w:szCs w:val="22"/>
                <w:lang w:val="en-US"/>
              </w:rPr>
              <m:t>e</m:t>
            </m:r>
          </m:e>
          <m:sub>
            <m:r>
              <w:rPr>
                <w:rFonts w:ascii="Cambria Math" w:hAnsi="Cambria Math"/>
                <w:sz w:val="22"/>
                <w:szCs w:val="22"/>
                <w:lang w:val="en-US"/>
              </w:rPr>
              <m:t>a</m:t>
            </m:r>
          </m:sub>
        </m:sSub>
      </m:oMath>
      <w:r w:rsidRPr="0035185A">
        <w:rPr>
          <w:sz w:val="22"/>
          <w:szCs w:val="22"/>
          <w:lang w:val="en-US"/>
        </w:rPr>
        <w:t>vapor pressure deficit (Allen et al.</w:t>
      </w:r>
      <w:r w:rsidR="00593405">
        <w:rPr>
          <w:sz w:val="22"/>
          <w:szCs w:val="22"/>
          <w:lang w:val="en-US"/>
        </w:rPr>
        <w:t>,</w:t>
      </w:r>
      <w:r w:rsidR="00C23E95" w:rsidRPr="0035185A">
        <w:rPr>
          <w:sz w:val="22"/>
          <w:szCs w:val="22"/>
          <w:lang w:val="en-US"/>
        </w:rPr>
        <w:t xml:space="preserve"> </w:t>
      </w:r>
      <w:r w:rsidRPr="0035185A">
        <w:rPr>
          <w:sz w:val="22"/>
          <w:szCs w:val="22"/>
          <w:lang w:val="en-US"/>
        </w:rPr>
        <w:t>1998). ET₀ was combined with precipitation to calculate the Standardized Precipitation Evapotranspiration Index (SPEI), capturing drought intensity and water deficit conditions:</w:t>
      </w:r>
    </w:p>
    <w:p w14:paraId="77E20245" w14:textId="689803E3" w:rsidR="00071903" w:rsidRPr="0035185A" w:rsidRDefault="00000000" w:rsidP="0052614E">
      <w:pPr>
        <w:pStyle w:val="Newparagraph"/>
        <w:spacing w:before="120" w:after="120" w:line="240" w:lineRule="auto"/>
        <w:ind w:firstLine="0"/>
        <w:jc w:val="center"/>
        <w:rPr>
          <w:b/>
          <w:bCs/>
          <w:sz w:val="18"/>
          <w:szCs w:val="18"/>
          <w:lang w:val="en-US"/>
        </w:rPr>
      </w:pPr>
      <m:oMath>
        <m:sSub>
          <m:sSubPr>
            <m:ctrlPr>
              <w:rPr>
                <w:rFonts w:ascii="Cambria Math" w:hAnsi="Cambria Math"/>
                <w:bCs/>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bCs/>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bCs/>
                <w:i/>
                <w:sz w:val="22"/>
                <w:szCs w:val="22"/>
                <w:lang w:val="en-US"/>
              </w:rPr>
            </m:ctrlPr>
          </m:sSubPr>
          <m:e>
            <m:r>
              <w:rPr>
                <w:rFonts w:ascii="Cambria Math" w:hAnsi="Cambria Math"/>
                <w:sz w:val="22"/>
                <w:szCs w:val="22"/>
                <w:lang w:val="en-US"/>
              </w:rPr>
              <m:t>ET</m:t>
            </m:r>
          </m:e>
          <m:sub>
            <m:r>
              <w:rPr>
                <w:rFonts w:ascii="Cambria Math" w:hAnsi="Cambria Math"/>
                <w:sz w:val="22"/>
                <w:szCs w:val="22"/>
                <w:lang w:val="en-US"/>
              </w:rPr>
              <m:t>0,t</m:t>
            </m:r>
          </m:sub>
        </m:sSub>
      </m:oMath>
      <w:r w:rsidR="007F664A" w:rsidRPr="0035185A">
        <w:rPr>
          <w:bCs/>
          <w:sz w:val="22"/>
          <w:szCs w:val="22"/>
          <w:lang w:val="en-US"/>
        </w:rPr>
        <w:t>,</w:t>
      </w:r>
      <w:r w:rsidR="002A5AF4" w:rsidRPr="0035185A">
        <w:rPr>
          <w:bCs/>
          <w:sz w:val="22"/>
          <w:szCs w:val="22"/>
          <w:lang w:val="en-US"/>
        </w:rPr>
        <w:t xml:space="preserve"> </w:t>
      </w:r>
      <w:r w:rsidR="007F664A" w:rsidRPr="0035185A">
        <w:rPr>
          <w:bCs/>
          <w:sz w:val="22"/>
          <w:szCs w:val="22"/>
          <w:lang w:val="en-US"/>
        </w:rPr>
        <w:t xml:space="preserve"> </w:t>
      </w:r>
      <m:oMath>
        <m:r>
          <w:rPr>
            <w:rFonts w:ascii="Cambria Math" w:hAnsi="Cambria Math"/>
            <w:sz w:val="22"/>
            <w:szCs w:val="22"/>
            <w:lang w:val="en-US"/>
          </w:rPr>
          <m:t>f</m:t>
        </m:r>
        <m:d>
          <m:dPr>
            <m:ctrlPr>
              <w:rPr>
                <w:rFonts w:ascii="Cambria Math" w:hAnsi="Cambria Math"/>
                <w:bCs/>
                <w:sz w:val="22"/>
                <w:szCs w:val="22"/>
                <w:lang w:val="en-US"/>
              </w:rPr>
            </m:ctrlPr>
          </m:dPr>
          <m:e>
            <m:r>
              <w:rPr>
                <w:rFonts w:ascii="Cambria Math" w:hAnsi="Cambria Math"/>
                <w:sz w:val="22"/>
                <w:szCs w:val="22"/>
                <w:lang w:val="en-US"/>
              </w:rPr>
              <m:t>x</m:t>
            </m:r>
          </m:e>
        </m:d>
        <m:r>
          <w:rPr>
            <w:rFonts w:ascii="Cambria Math" w:hAnsi="Cambria Math"/>
            <w:sz w:val="22"/>
            <w:szCs w:val="22"/>
            <w:lang w:val="en-US"/>
          </w:rPr>
          <m:t>=</m:t>
        </m:r>
        <m:f>
          <m:fPr>
            <m:ctrlPr>
              <w:rPr>
                <w:rFonts w:ascii="Cambria Math" w:hAnsi="Cambria Math"/>
                <w:bCs/>
                <w:sz w:val="22"/>
                <w:szCs w:val="22"/>
                <w:lang w:val="en-US"/>
              </w:rPr>
            </m:ctrlPr>
          </m:fPr>
          <m:num>
            <m:r>
              <w:rPr>
                <w:rFonts w:ascii="Cambria Math" w:hAnsi="Cambria Math"/>
                <w:sz w:val="22"/>
                <w:szCs w:val="22"/>
                <w:lang w:val="en-US"/>
              </w:rPr>
              <m:t>β</m:t>
            </m:r>
          </m:num>
          <m:den>
            <m:r>
              <w:rPr>
                <w:rFonts w:ascii="Cambria Math" w:hAnsi="Cambria Math"/>
                <w:sz w:val="22"/>
                <w:szCs w:val="22"/>
                <w:lang w:val="en-US"/>
              </w:rPr>
              <m:t>a</m:t>
            </m:r>
          </m:den>
        </m:f>
        <m:d>
          <m:dPr>
            <m:endChr m:val=""/>
            <m:ctrlPr>
              <w:rPr>
                <w:rFonts w:ascii="Cambria Math" w:hAnsi="Cambria Math"/>
                <w:bCs/>
                <w:i/>
                <w:sz w:val="22"/>
                <w:szCs w:val="22"/>
                <w:lang w:val="en-US"/>
              </w:rPr>
            </m:ctrlPr>
          </m:dPr>
          <m:e>
            <m:r>
              <w:rPr>
                <w:rFonts w:ascii="Cambria Math" w:hAnsi="Cambria Math"/>
                <w:sz w:val="22"/>
                <w:szCs w:val="22"/>
                <w:lang w:val="en-US"/>
              </w:rPr>
              <m:t>α-</m:t>
            </m:r>
            <m:d>
              <m:dPr>
                <m:begChr m:val=""/>
                <m:ctrlPr>
                  <w:rPr>
                    <w:rFonts w:ascii="Cambria Math" w:hAnsi="Cambria Math"/>
                    <w:bCs/>
                    <w:i/>
                    <w:sz w:val="22"/>
                    <w:szCs w:val="22"/>
                    <w:lang w:val="en-US"/>
                  </w:rPr>
                </m:ctrlPr>
              </m:dPr>
              <m:e>
                <m:d>
                  <m:dPr>
                    <m:endChr m:val=""/>
                    <m:ctrlPr>
                      <w:rPr>
                        <w:rFonts w:ascii="Cambria Math" w:hAnsi="Cambria Math"/>
                        <w:bCs/>
                        <w:i/>
                        <w:sz w:val="22"/>
                        <w:szCs w:val="22"/>
                        <w:lang w:val="en-US"/>
                      </w:rPr>
                    </m:ctrlPr>
                  </m:dPr>
                  <m:e>
                    <m:r>
                      <w:rPr>
                        <w:rFonts w:ascii="Cambria Math" w:hAnsi="Cambria Math"/>
                        <w:sz w:val="22"/>
                        <w:szCs w:val="22"/>
                        <w:lang w:val="en-US"/>
                      </w:rPr>
                      <m:t xml:space="preserve">x- </m:t>
                    </m:r>
                  </m:e>
                </m:d>
                <m:r>
                  <w:rPr>
                    <w:rFonts w:ascii="Cambria Math" w:hAnsi="Cambria Math"/>
                    <w:sz w:val="22"/>
                    <w:szCs w:val="22"/>
                    <w:lang w:val="en-US"/>
                  </w:rPr>
                  <m:t>γ</m:t>
                </m:r>
              </m:e>
            </m:d>
            <m:sSup>
              <m:sSupPr>
                <m:ctrlPr>
                  <w:rPr>
                    <w:rFonts w:ascii="Cambria Math" w:hAnsi="Cambria Math"/>
                    <w:bCs/>
                    <w:i/>
                    <w:sz w:val="22"/>
                    <w:szCs w:val="22"/>
                    <w:lang w:val="en-US"/>
                  </w:rPr>
                </m:ctrlPr>
              </m:sSupPr>
              <m:e>
                <m:r>
                  <w:rPr>
                    <w:rFonts w:ascii="Cambria Math" w:hAnsi="Cambria Math"/>
                    <w:sz w:val="22"/>
                    <w:szCs w:val="22"/>
                    <w:lang w:val="en-US"/>
                  </w:rPr>
                  <m:t>)</m:t>
                </m:r>
              </m:e>
              <m:sup>
                <m:r>
                  <w:rPr>
                    <w:rFonts w:ascii="Cambria Math" w:hAnsi="Cambria Math"/>
                    <w:sz w:val="22"/>
                    <w:szCs w:val="22"/>
                    <w:lang w:val="en-US"/>
                  </w:rPr>
                  <m:t>β-1</m:t>
                </m:r>
              </m:sup>
            </m:sSup>
            <m:d>
              <m:dPr>
                <m:begChr m:val="["/>
                <m:endChr m:val=""/>
                <m:ctrlPr>
                  <w:rPr>
                    <w:rFonts w:ascii="Cambria Math" w:hAnsi="Cambria Math"/>
                    <w:bCs/>
                    <w:i/>
                    <w:sz w:val="22"/>
                    <w:szCs w:val="22"/>
                    <w:lang w:val="en-US"/>
                  </w:rPr>
                </m:ctrlPr>
              </m:dPr>
              <m:e>
                <m:r>
                  <w:rPr>
                    <w:rFonts w:ascii="Cambria Math" w:hAnsi="Cambria Math"/>
                    <w:sz w:val="22"/>
                    <w:szCs w:val="22"/>
                    <w:lang w:val="en-US"/>
                  </w:rPr>
                  <m:t xml:space="preserve">1+ </m:t>
                </m:r>
                <m:d>
                  <m:dPr>
                    <m:endChr m:val=""/>
                    <m:ctrlPr>
                      <w:rPr>
                        <w:rFonts w:ascii="Cambria Math" w:hAnsi="Cambria Math"/>
                        <w:bCs/>
                        <w:i/>
                        <w:sz w:val="22"/>
                        <w:szCs w:val="22"/>
                        <w:lang w:val="en-US"/>
                      </w:rPr>
                    </m:ctrlPr>
                  </m:dPr>
                  <m:e>
                    <m:r>
                      <w:rPr>
                        <w:rFonts w:ascii="Cambria Math" w:hAnsi="Cambria Math"/>
                        <w:sz w:val="22"/>
                        <w:szCs w:val="22"/>
                        <w:lang w:val="en-US"/>
                      </w:rPr>
                      <m:t>α</m:t>
                    </m:r>
                    <m:d>
                      <m:dPr>
                        <m:endChr m:val=""/>
                        <m:ctrlPr>
                          <w:rPr>
                            <w:rFonts w:ascii="Cambria Math" w:hAnsi="Cambria Math"/>
                            <w:bCs/>
                            <w:i/>
                            <w:sz w:val="22"/>
                            <w:szCs w:val="22"/>
                            <w:lang w:val="en-US"/>
                          </w:rPr>
                        </m:ctrlPr>
                      </m:dPr>
                      <m:e>
                        <m:r>
                          <w:rPr>
                            <w:rFonts w:ascii="Cambria Math" w:hAnsi="Cambria Math"/>
                            <w:sz w:val="22"/>
                            <w:szCs w:val="22"/>
                            <w:lang w:val="en-US"/>
                          </w:rPr>
                          <m:t>x-γ)</m:t>
                        </m:r>
                        <m:sSup>
                          <m:sSupPr>
                            <m:ctrlPr>
                              <w:rPr>
                                <w:rFonts w:ascii="Cambria Math" w:hAnsi="Cambria Math"/>
                                <w:bCs/>
                                <w:i/>
                                <w:sz w:val="22"/>
                                <w:szCs w:val="22"/>
                                <w:lang w:val="en-US"/>
                              </w:rPr>
                            </m:ctrlPr>
                          </m:sSupPr>
                          <m:e>
                            <m:r>
                              <w:rPr>
                                <w:rFonts w:ascii="Cambria Math" w:hAnsi="Cambria Math"/>
                                <w:sz w:val="22"/>
                                <w:szCs w:val="22"/>
                                <w:lang w:val="en-US"/>
                              </w:rPr>
                              <m:t>)</m:t>
                            </m:r>
                          </m:e>
                          <m:sup>
                            <m:r>
                              <w:rPr>
                                <w:rFonts w:ascii="Cambria Math" w:hAnsi="Cambria Math"/>
                                <w:sz w:val="22"/>
                                <w:szCs w:val="22"/>
                                <w:lang w:val="en-US"/>
                              </w:rPr>
                              <m:t>β</m:t>
                            </m:r>
                          </m:sup>
                        </m:sSup>
                        <m:sSup>
                          <m:sSupPr>
                            <m:ctrlPr>
                              <w:rPr>
                                <w:rFonts w:ascii="Cambria Math" w:hAnsi="Cambria Math"/>
                                <w:bCs/>
                                <w:i/>
                                <w:sz w:val="22"/>
                                <w:szCs w:val="22"/>
                                <w:lang w:val="en-US"/>
                              </w:rPr>
                            </m:ctrlPr>
                          </m:sSupPr>
                          <m:e>
                            <m:r>
                              <w:rPr>
                                <w:rFonts w:ascii="Cambria Math" w:hAnsi="Cambria Math"/>
                                <w:sz w:val="22"/>
                                <w:szCs w:val="22"/>
                                <w:lang w:val="en-US"/>
                              </w:rPr>
                              <m:t>]</m:t>
                            </m:r>
                          </m:e>
                          <m:sup>
                            <m:r>
                              <w:rPr>
                                <w:rFonts w:ascii="Cambria Math" w:hAnsi="Cambria Math"/>
                                <w:sz w:val="22"/>
                                <w:szCs w:val="22"/>
                                <w:lang w:val="en-US"/>
                              </w:rPr>
                              <m:t>-2</m:t>
                            </m:r>
                          </m:sup>
                        </m:sSup>
                      </m:e>
                    </m:d>
                  </m:e>
                </m:d>
              </m:e>
            </m:d>
          </m:e>
        </m:d>
      </m:oMath>
      <w:r w:rsidR="002A5AF4" w:rsidRPr="0035185A">
        <w:rPr>
          <w:bCs/>
          <w:sz w:val="22"/>
          <w:szCs w:val="22"/>
          <w:lang w:val="en-US"/>
        </w:rPr>
        <w:t xml:space="preserve">, </w:t>
      </w:r>
      <m:oMath>
        <m:r>
          <w:rPr>
            <w:rFonts w:ascii="Cambria Math" w:hAnsi="Cambria Math"/>
            <w:sz w:val="22"/>
            <w:szCs w:val="22"/>
            <w:lang w:val="en-US"/>
          </w:rPr>
          <m:t>SPEI=</m:t>
        </m:r>
        <m:f>
          <m:fPr>
            <m:ctrlPr>
              <w:rPr>
                <w:rFonts w:ascii="Cambria Math" w:hAnsi="Cambria Math"/>
                <w:bCs/>
                <w:i/>
                <w:sz w:val="22"/>
                <w:szCs w:val="22"/>
                <w:lang w:val="en-US"/>
              </w:rPr>
            </m:ctrlPr>
          </m:fPr>
          <m:num>
            <m:sSub>
              <m:sSubPr>
                <m:ctrlPr>
                  <w:rPr>
                    <w:rFonts w:ascii="Cambria Math" w:hAnsi="Cambria Math"/>
                    <w:bCs/>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t</m:t>
                </m:r>
              </m:sub>
            </m:sSub>
            <m:r>
              <w:rPr>
                <w:rFonts w:ascii="Cambria Math" w:hAnsi="Cambria Math"/>
                <w:sz w:val="22"/>
                <w:szCs w:val="22"/>
                <w:lang w:val="en-US"/>
              </w:rPr>
              <m:t>-μ</m:t>
            </m:r>
          </m:num>
          <m:den>
            <m:r>
              <w:rPr>
                <w:rFonts w:ascii="Cambria Math" w:hAnsi="Cambria Math"/>
                <w:sz w:val="22"/>
                <w:szCs w:val="22"/>
                <w:lang w:val="en-US"/>
              </w:rPr>
              <m:t>σ</m:t>
            </m:r>
          </m:den>
        </m:f>
      </m:oMath>
    </w:p>
    <w:p w14:paraId="0FE7BB92" w14:textId="64B99DB8" w:rsidR="00EC5B2F" w:rsidRPr="0035185A" w:rsidRDefault="00EC5B2F" w:rsidP="0052614E">
      <w:pPr>
        <w:pStyle w:val="Paragraph"/>
        <w:spacing w:before="0" w:line="240" w:lineRule="auto"/>
        <w:jc w:val="both"/>
        <w:rPr>
          <w:sz w:val="22"/>
          <w:szCs w:val="22"/>
          <w:lang w:val="en-US"/>
        </w:rPr>
      </w:pPr>
      <w:r w:rsidRPr="0035185A">
        <w:rPr>
          <w:sz w:val="22"/>
          <w:szCs w:val="22"/>
          <w:lang w:val="en-US"/>
        </w:rPr>
        <w:lastRenderedPageBreak/>
        <w:t xml:space="preserve">where </w:t>
      </w:r>
      <m:oMath>
        <m:sSub>
          <m:sSubPr>
            <m:ctrlPr>
              <w:rPr>
                <w:rFonts w:ascii="Cambria Math" w:hAnsi="Cambria Math"/>
                <w:sz w:val="22"/>
                <w:szCs w:val="22"/>
                <w:lang w:val="en-US"/>
              </w:rPr>
            </m:ctrlPr>
          </m:sSubPr>
          <m:e>
            <m:r>
              <w:rPr>
                <w:rFonts w:ascii="Cambria Math" w:hAnsi="Cambria Math"/>
                <w:sz w:val="22"/>
                <w:szCs w:val="22"/>
                <w:lang w:val="en-US"/>
              </w:rPr>
              <m:t>D</m:t>
            </m:r>
          </m:e>
          <m:sub>
            <m:r>
              <w:rPr>
                <w:rFonts w:ascii="Cambria Math" w:hAnsi="Cambria Math"/>
                <w:sz w:val="22"/>
                <w:szCs w:val="22"/>
                <w:lang w:val="en-US"/>
              </w:rPr>
              <m:t>t</m:t>
            </m:r>
          </m:sub>
        </m:sSub>
      </m:oMath>
      <w:r w:rsidRPr="0035185A">
        <w:rPr>
          <w:sz w:val="22"/>
          <w:szCs w:val="22"/>
          <w:lang w:val="en-US"/>
        </w:rPr>
        <w:t xml:space="preserve"> was fitted to a three-parameter log-logistic distribution and standardized by mean (μ) and standard deviation (σ) (Vicente-Serrano et al.</w:t>
      </w:r>
      <w:r w:rsidR="00593405">
        <w:rPr>
          <w:sz w:val="22"/>
          <w:szCs w:val="22"/>
          <w:lang w:val="en-US"/>
        </w:rPr>
        <w:t>,</w:t>
      </w:r>
      <w:r w:rsidRPr="0035185A">
        <w:rPr>
          <w:sz w:val="22"/>
          <w:szCs w:val="22"/>
          <w:lang w:val="en-US"/>
        </w:rPr>
        <w:t xml:space="preserve"> 2010). SPEI enables multi-scale drought detection</w:t>
      </w:r>
      <w:r w:rsidR="00D712DC">
        <w:rPr>
          <w:sz w:val="22"/>
          <w:szCs w:val="22"/>
          <w:lang w:val="en-US"/>
        </w:rPr>
        <w:t>, which is critical</w:t>
      </w:r>
      <w:r w:rsidRPr="0035185A">
        <w:rPr>
          <w:sz w:val="22"/>
          <w:szCs w:val="22"/>
          <w:lang w:val="en-US"/>
        </w:rPr>
        <w:t xml:space="preserve"> for assessing hydrological stress in closed-basin lakes. Land-use/land-cover (LULC) transitions were quantified using CORINE datasets harmonized to 30 m resolution. Transition matrices were computed as:</w:t>
      </w:r>
    </w:p>
    <w:p w14:paraId="3129DF9B" w14:textId="62E88738" w:rsidR="00EC5B2F" w:rsidRPr="0035185A" w:rsidRDefault="00000000" w:rsidP="0052614E">
      <w:pPr>
        <w:pStyle w:val="Newparagraph"/>
        <w:spacing w:before="120" w:after="120" w:line="240" w:lineRule="auto"/>
        <w:ind w:firstLine="0"/>
        <w:jc w:val="center"/>
        <w:rPr>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C</m:t>
              </m:r>
            </m:e>
            <m:sub>
              <m:r>
                <w:rPr>
                  <w:rFonts w:ascii="Cambria Math" w:hAnsi="Cambria Math"/>
                  <w:sz w:val="22"/>
                  <w:szCs w:val="22"/>
                  <w:lang w:val="en-US"/>
                </w:rPr>
                <m:t>ij</m:t>
              </m:r>
            </m:sub>
          </m:sSub>
          <m:r>
            <w:rPr>
              <w:rFonts w:ascii="Cambria Math" w:hAnsi="Cambria Math"/>
              <w:sz w:val="22"/>
              <w:szCs w:val="22"/>
              <w:lang w:val="en-US"/>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ij</m:t>
                  </m:r>
                </m:sub>
              </m:sSub>
            </m:num>
            <m:den>
              <m:nary>
                <m:naryPr>
                  <m:chr m:val="∑"/>
                  <m:limLoc m:val="undOvr"/>
                  <m:supHide m:val="1"/>
                  <m:ctrlPr>
                    <w:rPr>
                      <w:rFonts w:ascii="Cambria Math" w:hAnsi="Cambria Math"/>
                      <w:i/>
                      <w:sz w:val="22"/>
                      <w:szCs w:val="22"/>
                      <w:lang w:val="en-US"/>
                    </w:rPr>
                  </m:ctrlPr>
                </m:naryPr>
                <m:sub>
                  <m:r>
                    <w:rPr>
                      <w:rFonts w:ascii="Cambria Math" w:hAnsi="Cambria Math"/>
                      <w:sz w:val="22"/>
                      <w:szCs w:val="22"/>
                      <w:lang w:val="en-US"/>
                    </w:rPr>
                    <m:t>j</m:t>
                  </m:r>
                </m:sub>
                <m:sup/>
                <m:e>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ij</m:t>
                      </m:r>
                    </m:sub>
                  </m:sSub>
                </m:e>
              </m:nary>
            </m:den>
          </m:f>
        </m:oMath>
      </m:oMathPara>
    </w:p>
    <w:p w14:paraId="34461BD2" w14:textId="5C7E82A7" w:rsidR="003126EE" w:rsidRPr="0035185A" w:rsidRDefault="003126EE" w:rsidP="0052614E">
      <w:pPr>
        <w:pStyle w:val="Paragraph"/>
        <w:spacing w:before="0" w:line="240" w:lineRule="auto"/>
        <w:jc w:val="both"/>
        <w:rPr>
          <w:sz w:val="22"/>
          <w:szCs w:val="22"/>
          <w:lang w:val="en-US"/>
        </w:rPr>
      </w:pPr>
      <w:r w:rsidRPr="0035185A">
        <w:rPr>
          <w:sz w:val="22"/>
          <w:szCs w:val="22"/>
          <w:lang w:val="en-US"/>
        </w:rPr>
        <w:t xml:space="preserve">where </w:t>
      </w:r>
      <m:oMath>
        <m:sSub>
          <m:sSubPr>
            <m:ctrlPr>
              <w:rPr>
                <w:rFonts w:ascii="Cambria Math" w:hAnsi="Cambria Math"/>
                <w:sz w:val="22"/>
                <w:szCs w:val="22"/>
                <w:lang w:val="en-US"/>
              </w:rPr>
            </m:ctrlPr>
          </m:sSubPr>
          <m:e>
            <m:r>
              <w:rPr>
                <w:rFonts w:ascii="Cambria Math" w:hAnsi="Cambria Math"/>
                <w:sz w:val="22"/>
                <w:szCs w:val="22"/>
                <w:lang w:val="en-US"/>
              </w:rPr>
              <m:t>A</m:t>
            </m:r>
          </m:e>
          <m:sub>
            <m:r>
              <w:rPr>
                <w:rFonts w:ascii="Cambria Math" w:hAnsi="Cambria Math"/>
                <w:sz w:val="22"/>
                <w:szCs w:val="22"/>
                <w:lang w:val="en-US"/>
              </w:rPr>
              <m:t>ij</m:t>
            </m:r>
          </m:sub>
        </m:sSub>
      </m:oMath>
      <w:r w:rsidRPr="0035185A">
        <w:rPr>
          <w:sz w:val="22"/>
          <w:szCs w:val="22"/>
          <w:lang w:val="en-US"/>
        </w:rPr>
        <w:t xml:space="preserve"> denotes the area transitioning from class </w:t>
      </w:r>
      <w:proofErr w:type="spellStart"/>
      <w:r w:rsidRPr="0035185A">
        <w:rPr>
          <w:sz w:val="22"/>
          <w:szCs w:val="22"/>
          <w:lang w:val="en-US"/>
        </w:rPr>
        <w:t>i</w:t>
      </w:r>
      <w:proofErr w:type="spellEnd"/>
      <w:r w:rsidRPr="0035185A">
        <w:rPr>
          <w:sz w:val="22"/>
          <w:szCs w:val="22"/>
          <w:lang w:val="en-US"/>
        </w:rPr>
        <w:t xml:space="preserve"> to j, allowing assessment of anthropogenic pressure such as agricultural expansion or urbanization (</w:t>
      </w:r>
      <w:proofErr w:type="spellStart"/>
      <w:r w:rsidRPr="0035185A">
        <w:rPr>
          <w:sz w:val="22"/>
          <w:szCs w:val="22"/>
          <w:lang w:val="en-US"/>
        </w:rPr>
        <w:t>Feranec</w:t>
      </w:r>
      <w:proofErr w:type="spellEnd"/>
      <w:r w:rsidRPr="0035185A">
        <w:rPr>
          <w:sz w:val="22"/>
          <w:szCs w:val="22"/>
          <w:lang w:val="en-US"/>
        </w:rPr>
        <w:t xml:space="preserve"> et al.</w:t>
      </w:r>
      <w:r w:rsidR="00593405">
        <w:rPr>
          <w:sz w:val="22"/>
          <w:szCs w:val="22"/>
          <w:lang w:val="en-US"/>
        </w:rPr>
        <w:t>,</w:t>
      </w:r>
      <w:r w:rsidR="00C23E95" w:rsidRPr="0035185A">
        <w:rPr>
          <w:sz w:val="22"/>
          <w:szCs w:val="22"/>
          <w:lang w:val="en-US"/>
        </w:rPr>
        <w:t xml:space="preserve"> </w:t>
      </w:r>
      <w:r w:rsidRPr="0035185A">
        <w:rPr>
          <w:sz w:val="22"/>
          <w:szCs w:val="22"/>
          <w:lang w:val="en-US"/>
        </w:rPr>
        <w:t>2010). Shoreline retreat and desiccation intensity were evaluated using endpoint rate (SCR), net shoreline movement (NSM), and Desiccation Intensity Index (DII):</w:t>
      </w:r>
    </w:p>
    <w:p w14:paraId="609D9617" w14:textId="1469E0A5" w:rsidR="00071903" w:rsidRPr="0035185A" w:rsidRDefault="00D95688" w:rsidP="0052614E">
      <w:pPr>
        <w:pStyle w:val="Newparagraph"/>
        <w:spacing w:before="120" w:after="120" w:line="240" w:lineRule="auto"/>
        <w:ind w:firstLine="0"/>
        <w:jc w:val="center"/>
        <w:rPr>
          <w:b/>
          <w:bCs/>
          <w:sz w:val="22"/>
          <w:szCs w:val="22"/>
          <w:lang w:val="en-US"/>
        </w:rPr>
      </w:pPr>
      <m:oMath>
        <m:r>
          <w:rPr>
            <w:rFonts w:ascii="Cambria Math" w:hAnsi="Cambria Math"/>
            <w:sz w:val="22"/>
            <w:szCs w:val="22"/>
            <w:lang w:val="en-US"/>
          </w:rPr>
          <m:t>SCR=</m:t>
        </m:r>
        <m:f>
          <m:fPr>
            <m:ctrlPr>
              <w:rPr>
                <w:rFonts w:ascii="Cambria Math" w:hAnsi="Cambria Math"/>
                <w:bCs/>
                <w:i/>
                <w:sz w:val="22"/>
                <w:szCs w:val="22"/>
                <w:lang w:val="en-US"/>
              </w:rPr>
            </m:ctrlPr>
          </m:fPr>
          <m:num>
            <m:sSub>
              <m:sSubPr>
                <m:ctrlPr>
                  <w:rPr>
                    <w:rFonts w:ascii="Cambria Math" w:hAnsi="Cambria Math"/>
                    <w:bCs/>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bCs/>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1</m:t>
                </m:r>
              </m:sub>
            </m:sSub>
          </m:num>
          <m:den>
            <m:r>
              <w:rPr>
                <w:rFonts w:ascii="Cambria Math" w:hAnsi="Cambria Math"/>
                <w:sz w:val="22"/>
                <w:szCs w:val="22"/>
                <w:lang w:val="en-US"/>
              </w:rPr>
              <m:t>t</m:t>
            </m:r>
          </m:den>
        </m:f>
      </m:oMath>
      <w:r w:rsidRPr="0035185A">
        <w:rPr>
          <w:bCs/>
          <w:sz w:val="22"/>
          <w:szCs w:val="22"/>
          <w:lang w:val="en-US"/>
        </w:rPr>
        <w:t xml:space="preserve">, </w:t>
      </w:r>
      <m:oMath>
        <m:r>
          <w:rPr>
            <w:rFonts w:ascii="Cambria Math" w:hAnsi="Cambria Math"/>
            <w:sz w:val="22"/>
            <w:szCs w:val="22"/>
            <w:lang w:val="en-US"/>
          </w:rPr>
          <m:t>NSM=</m:t>
        </m:r>
        <m:sSub>
          <m:sSubPr>
            <m:ctrlPr>
              <w:rPr>
                <w:rFonts w:ascii="Cambria Math" w:hAnsi="Cambria Math"/>
                <w:bCs/>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bCs/>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1</m:t>
            </m:r>
          </m:sub>
        </m:sSub>
      </m:oMath>
      <w:r w:rsidR="00D96FE3" w:rsidRPr="0035185A">
        <w:rPr>
          <w:bCs/>
          <w:sz w:val="22"/>
          <w:szCs w:val="22"/>
          <w:lang w:val="en-US"/>
        </w:rPr>
        <w:t xml:space="preserve">, </w:t>
      </w:r>
      <m:oMath>
        <m:sSub>
          <m:sSubPr>
            <m:ctrlPr>
              <w:rPr>
                <w:rFonts w:ascii="Cambria Math" w:hAnsi="Cambria Math"/>
                <w:bCs/>
                <w:i/>
                <w:sz w:val="22"/>
                <w:szCs w:val="22"/>
                <w:lang w:val="en-US"/>
              </w:rPr>
            </m:ctrlPr>
          </m:sSubPr>
          <m:e>
            <m:r>
              <w:rPr>
                <w:rFonts w:ascii="Cambria Math" w:hAnsi="Cambria Math"/>
                <w:sz w:val="22"/>
                <w:szCs w:val="22"/>
                <w:lang w:val="en-US"/>
              </w:rPr>
              <m:t>DII</m:t>
            </m:r>
          </m:e>
          <m:sub>
            <m:r>
              <w:rPr>
                <w:rFonts w:ascii="Cambria Math" w:hAnsi="Cambria Math"/>
                <w:sz w:val="22"/>
                <w:szCs w:val="22"/>
                <w:lang w:val="en-US"/>
              </w:rPr>
              <m:t>t</m:t>
            </m:r>
          </m:sub>
        </m:sSub>
        <m:r>
          <w:rPr>
            <w:rFonts w:ascii="Cambria Math" w:hAnsi="Cambria Math"/>
            <w:sz w:val="22"/>
            <w:szCs w:val="22"/>
            <w:lang w:val="en-US"/>
          </w:rPr>
          <m:t>=</m:t>
        </m:r>
        <m:f>
          <m:fPr>
            <m:ctrlPr>
              <w:rPr>
                <w:rFonts w:ascii="Cambria Math" w:hAnsi="Cambria Math"/>
                <w:bCs/>
                <w:i/>
                <w:sz w:val="22"/>
                <w:szCs w:val="22"/>
                <w:lang w:val="en-US"/>
              </w:rPr>
            </m:ctrlPr>
          </m:fPr>
          <m:num>
            <m:sSub>
              <m:sSubPr>
                <m:ctrlPr>
                  <w:rPr>
                    <w:rFonts w:ascii="Cambria Math" w:hAnsi="Cambria Math"/>
                    <w:bCs/>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 xml:space="preserve">0- </m:t>
                </m:r>
                <m:sSub>
                  <m:sSubPr>
                    <m:ctrlPr>
                      <w:rPr>
                        <w:rFonts w:ascii="Cambria Math" w:hAnsi="Cambria Math"/>
                        <w:bCs/>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t</m:t>
                    </m:r>
                  </m:sub>
                </m:sSub>
              </m:sub>
            </m:sSub>
          </m:num>
          <m:den>
            <m:sSub>
              <m:sSubPr>
                <m:ctrlPr>
                  <w:rPr>
                    <w:rFonts w:ascii="Cambria Math" w:hAnsi="Cambria Math"/>
                    <w:bCs/>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0</m:t>
                </m:r>
              </m:sub>
            </m:sSub>
          </m:den>
        </m:f>
        <m:r>
          <w:rPr>
            <w:rFonts w:ascii="Cambria Math" w:hAnsi="Cambria Math"/>
            <w:sz w:val="22"/>
            <w:szCs w:val="22"/>
            <w:lang w:val="en-US"/>
          </w:rPr>
          <m:t>*100</m:t>
        </m:r>
      </m:oMath>
    </w:p>
    <w:p w14:paraId="51E37F4C" w14:textId="3FE483D8" w:rsidR="00D96FE3" w:rsidRPr="0035185A" w:rsidRDefault="00D96FE3" w:rsidP="0052614E">
      <w:pPr>
        <w:pStyle w:val="Paragraph"/>
        <w:spacing w:before="0" w:line="240" w:lineRule="auto"/>
        <w:jc w:val="both"/>
        <w:rPr>
          <w:sz w:val="22"/>
          <w:szCs w:val="22"/>
          <w:lang w:val="en-US"/>
        </w:rPr>
      </w:pPr>
      <w:r w:rsidRPr="0035185A">
        <w:rPr>
          <w:sz w:val="22"/>
          <w:szCs w:val="22"/>
          <w:lang w:val="en-US"/>
        </w:rPr>
        <w:t xml:space="preserve">where </w:t>
      </w:r>
      <m:oMath>
        <m:sSub>
          <m:sSubPr>
            <m:ctrlPr>
              <w:rPr>
                <w:rFonts w:ascii="Cambria Math" w:hAnsi="Cambria Math"/>
                <w:sz w:val="22"/>
                <w:szCs w:val="22"/>
                <w:lang w:val="en-US"/>
              </w:rPr>
            </m:ctrlPr>
          </m:sSubPr>
          <m:e>
            <m:r>
              <w:rPr>
                <w:rFonts w:ascii="Cambria Math" w:hAnsi="Cambria Math"/>
                <w:sz w:val="22"/>
                <w:szCs w:val="22"/>
                <w:lang w:val="en-US"/>
              </w:rPr>
              <m:t>D</m:t>
            </m:r>
          </m:e>
          <m:sub>
            <m:r>
              <m:rPr>
                <m:sty m:val="p"/>
              </m:rPr>
              <w:rPr>
                <w:rFonts w:ascii="Cambria Math" w:hAnsi="Cambria Math"/>
                <w:sz w:val="22"/>
                <w:szCs w:val="22"/>
                <w:lang w:val="en-US"/>
              </w:rPr>
              <m:t>1</m:t>
            </m:r>
          </m:sub>
        </m:sSub>
        <m:r>
          <m:rPr>
            <m:sty m:val="p"/>
          </m:rPr>
          <w:rPr>
            <w:rFonts w:ascii="Cambria Math" w:hAnsi="Cambria Math"/>
            <w:sz w:val="22"/>
            <w:szCs w:val="22"/>
            <w:lang w:val="en-US"/>
          </w:rPr>
          <m:t>,</m:t>
        </m:r>
        <m:sSub>
          <m:sSubPr>
            <m:ctrlPr>
              <w:rPr>
                <w:rFonts w:ascii="Cambria Math" w:hAnsi="Cambria Math"/>
                <w:sz w:val="22"/>
                <w:szCs w:val="22"/>
                <w:lang w:val="en-US"/>
              </w:rPr>
            </m:ctrlPr>
          </m:sSubPr>
          <m:e>
            <m:r>
              <w:rPr>
                <w:rFonts w:ascii="Cambria Math" w:hAnsi="Cambria Math"/>
                <w:sz w:val="22"/>
                <w:szCs w:val="22"/>
                <w:lang w:val="en-US"/>
              </w:rPr>
              <m:t>D</m:t>
            </m:r>
          </m:e>
          <m:sub>
            <m:r>
              <m:rPr>
                <m:sty m:val="p"/>
              </m:rPr>
              <w:rPr>
                <w:rFonts w:ascii="Cambria Math" w:hAnsi="Cambria Math"/>
                <w:sz w:val="22"/>
                <w:szCs w:val="22"/>
                <w:lang w:val="en-US"/>
              </w:rPr>
              <m:t>2</m:t>
            </m:r>
          </m:sub>
        </m:sSub>
      </m:oMath>
      <w:r w:rsidRPr="0035185A">
        <w:rPr>
          <w:sz w:val="22"/>
          <w:szCs w:val="22"/>
          <w:lang w:val="en-US"/>
        </w:rPr>
        <w:t xml:space="preserve"> are orthogonal distances from a fixed baseline and </w:t>
      </w:r>
      <m:oMath>
        <m:sSub>
          <m:sSubPr>
            <m:ctrlPr>
              <w:rPr>
                <w:rFonts w:ascii="Cambria Math" w:hAnsi="Cambria Math"/>
                <w:sz w:val="22"/>
                <w:szCs w:val="22"/>
                <w:lang w:val="en-US"/>
              </w:rPr>
            </m:ctrlPr>
          </m:sSubPr>
          <m:e>
            <m:r>
              <w:rPr>
                <w:rFonts w:ascii="Cambria Math" w:hAnsi="Cambria Math"/>
                <w:sz w:val="22"/>
                <w:szCs w:val="22"/>
                <w:lang w:val="en-US"/>
              </w:rPr>
              <m:t>A</m:t>
            </m:r>
          </m:e>
          <m:sub>
            <m:r>
              <m:rPr>
                <m:sty m:val="p"/>
              </m:rPr>
              <w:rPr>
                <w:rFonts w:ascii="Cambria Math" w:hAnsi="Cambria Math"/>
                <w:sz w:val="22"/>
                <w:szCs w:val="22"/>
                <w:lang w:val="en-US"/>
              </w:rPr>
              <m:t>0</m:t>
            </m:r>
          </m:sub>
        </m:sSub>
        <m:r>
          <m:rPr>
            <m:sty m:val="p"/>
          </m:rPr>
          <w:rPr>
            <w:rFonts w:ascii="Cambria Math" w:hAnsi="Cambria Math"/>
            <w:sz w:val="22"/>
            <w:szCs w:val="22"/>
            <w:lang w:val="en-US"/>
          </w:rPr>
          <m:t>,</m:t>
        </m:r>
        <m:sSub>
          <m:sSubPr>
            <m:ctrlPr>
              <w:rPr>
                <w:rFonts w:ascii="Cambria Math" w:hAnsi="Cambria Math"/>
                <w:sz w:val="22"/>
                <w:szCs w:val="22"/>
                <w:lang w:val="en-US"/>
              </w:rPr>
            </m:ctrlPr>
          </m:sSubPr>
          <m:e>
            <m:r>
              <w:rPr>
                <w:rFonts w:ascii="Cambria Math" w:hAnsi="Cambria Math"/>
                <w:sz w:val="22"/>
                <w:szCs w:val="22"/>
                <w:lang w:val="en-US"/>
              </w:rPr>
              <m:t>A</m:t>
            </m:r>
          </m:e>
          <m:sub>
            <m:r>
              <w:rPr>
                <w:rFonts w:ascii="Cambria Math" w:hAnsi="Cambria Math"/>
                <w:sz w:val="22"/>
                <w:szCs w:val="22"/>
                <w:lang w:val="en-US"/>
              </w:rPr>
              <m:t>t</m:t>
            </m:r>
          </m:sub>
        </m:sSub>
      </m:oMath>
      <w:r w:rsidRPr="0035185A">
        <w:rPr>
          <w:sz w:val="22"/>
          <w:szCs w:val="22"/>
          <w:lang w:val="en-US"/>
        </w:rPr>
        <w:t xml:space="preserve">are </w:t>
      </w:r>
      <w:r w:rsidR="00D712DC">
        <w:rPr>
          <w:sz w:val="22"/>
          <w:szCs w:val="22"/>
          <w:lang w:val="en-US"/>
        </w:rPr>
        <w:t xml:space="preserve">the </w:t>
      </w:r>
      <w:r w:rsidRPr="0035185A">
        <w:rPr>
          <w:sz w:val="22"/>
          <w:szCs w:val="22"/>
          <w:lang w:val="en-US"/>
        </w:rPr>
        <w:t>initial and current lake areas. This approach captures both spatial and volumetric shoreline retreat. Trend analyses employed Mann–Kendall (MK) and Sen</w:t>
      </w:r>
      <w:r w:rsidR="00D712DC">
        <w:rPr>
          <w:sz w:val="22"/>
          <w:szCs w:val="22"/>
          <w:lang w:val="en-US"/>
        </w:rPr>
        <w:t>'</w:t>
      </w:r>
      <w:r w:rsidRPr="0035185A">
        <w:rPr>
          <w:sz w:val="22"/>
          <w:szCs w:val="22"/>
          <w:lang w:val="en-US"/>
        </w:rPr>
        <w:t>s slope estimator:</w:t>
      </w:r>
    </w:p>
    <w:p w14:paraId="2E7AA489" w14:textId="6F42ECF8" w:rsidR="00D96FE3" w:rsidRPr="0035185A" w:rsidRDefault="00D96FE3" w:rsidP="0052614E">
      <w:pPr>
        <w:pStyle w:val="Newparagraph"/>
        <w:spacing w:before="120" w:after="120" w:line="240" w:lineRule="auto"/>
        <w:ind w:firstLine="0"/>
        <w:jc w:val="center"/>
        <w:rPr>
          <w:sz w:val="22"/>
          <w:szCs w:val="22"/>
          <w:lang w:val="en-US"/>
        </w:rPr>
      </w:pPr>
      <m:oMath>
        <m:r>
          <w:rPr>
            <w:rFonts w:ascii="Cambria Math" w:hAnsi="Cambria Math"/>
            <w:sz w:val="22"/>
            <w:szCs w:val="22"/>
            <w:lang w:val="en-US"/>
          </w:rPr>
          <m:t>S=</m:t>
        </m:r>
        <m:nary>
          <m:naryPr>
            <m:chr m:val="∑"/>
            <m:limLoc m:val="undOvr"/>
            <m:ctrlPr>
              <w:rPr>
                <w:rFonts w:ascii="Cambria Math" w:hAnsi="Cambria Math"/>
                <w:i/>
                <w:sz w:val="22"/>
                <w:szCs w:val="22"/>
                <w:lang w:val="en-US"/>
              </w:rPr>
            </m:ctrlPr>
          </m:naryPr>
          <m:sub>
            <m:r>
              <w:rPr>
                <w:rFonts w:ascii="Cambria Math" w:hAnsi="Cambria Math"/>
                <w:sz w:val="22"/>
                <w:szCs w:val="22"/>
                <w:lang w:val="en-US"/>
              </w:rPr>
              <m:t>i=1</m:t>
            </m:r>
          </m:sub>
          <m:sup>
            <m:r>
              <w:rPr>
                <w:rFonts w:ascii="Cambria Math" w:hAnsi="Cambria Math"/>
                <w:sz w:val="22"/>
                <w:szCs w:val="22"/>
                <w:lang w:val="en-US"/>
              </w:rPr>
              <m:t>n-1</m:t>
            </m:r>
          </m:sup>
          <m:e>
            <m:nary>
              <m:naryPr>
                <m:chr m:val="∑"/>
                <m:limLoc m:val="undOvr"/>
                <m:ctrlPr>
                  <w:rPr>
                    <w:rFonts w:ascii="Cambria Math" w:hAnsi="Cambria Math"/>
                    <w:i/>
                    <w:sz w:val="22"/>
                    <w:szCs w:val="22"/>
                    <w:lang w:val="en-US"/>
                  </w:rPr>
                </m:ctrlPr>
              </m:naryPr>
              <m:sub>
                <m:r>
                  <w:rPr>
                    <w:rFonts w:ascii="Cambria Math" w:hAnsi="Cambria Math"/>
                    <w:sz w:val="22"/>
                    <w:szCs w:val="22"/>
                    <w:lang w:val="en-US"/>
                  </w:rPr>
                  <m:t>j=i+1</m:t>
                </m:r>
              </m:sub>
              <m:sup>
                <m:r>
                  <w:rPr>
                    <w:rFonts w:ascii="Cambria Math" w:hAnsi="Cambria Math"/>
                    <w:sz w:val="22"/>
                    <w:szCs w:val="22"/>
                    <w:lang w:val="en-US"/>
                  </w:rPr>
                  <m:t>n</m:t>
                </m:r>
              </m:sup>
              <m:e>
                <m:r>
                  <w:rPr>
                    <w:rFonts w:ascii="Cambria Math" w:hAnsi="Cambria Math"/>
                    <w:sz w:val="22"/>
                    <w:szCs w:val="22"/>
                    <w:lang w:val="en-US"/>
                  </w:rPr>
                  <m:t>sgn</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j</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i</m:t>
                        </m:r>
                      </m:sub>
                    </m:sSub>
                  </m:e>
                </m:d>
              </m:e>
            </m:nary>
          </m:e>
        </m:nary>
      </m:oMath>
      <w:r w:rsidRPr="0035185A">
        <w:rPr>
          <w:sz w:val="22"/>
          <w:szCs w:val="22"/>
          <w:lang w:val="en-US"/>
        </w:rPr>
        <w:t xml:space="preserve">, </w:t>
      </w:r>
      <m:oMath>
        <m:r>
          <w:rPr>
            <w:rFonts w:ascii="Cambria Math" w:hAnsi="Cambria Math"/>
            <w:sz w:val="22"/>
            <w:szCs w:val="22"/>
            <w:lang w:val="en-US"/>
          </w:rPr>
          <m:t>VAR(S)=</m:t>
        </m:r>
        <m:f>
          <m:fPr>
            <m:ctrlPr>
              <w:rPr>
                <w:rFonts w:ascii="Cambria Math" w:hAnsi="Cambria Math"/>
                <w:i/>
                <w:sz w:val="22"/>
                <w:szCs w:val="22"/>
                <w:lang w:val="en-US"/>
              </w:rPr>
            </m:ctrlPr>
          </m:fPr>
          <m:num>
            <m:r>
              <w:rPr>
                <w:rFonts w:ascii="Cambria Math" w:hAnsi="Cambria Math"/>
                <w:sz w:val="22"/>
                <w:szCs w:val="22"/>
                <w:lang w:val="en-US"/>
              </w:rPr>
              <m:t xml:space="preserve">n </m:t>
            </m:r>
            <m:d>
              <m:dPr>
                <m:ctrlPr>
                  <w:rPr>
                    <w:rFonts w:ascii="Cambria Math" w:hAnsi="Cambria Math"/>
                    <w:i/>
                    <w:sz w:val="22"/>
                    <w:szCs w:val="22"/>
                    <w:lang w:val="en-US"/>
                  </w:rPr>
                </m:ctrlPr>
              </m:dPr>
              <m:e>
                <m:r>
                  <w:rPr>
                    <w:rFonts w:ascii="Cambria Math" w:hAnsi="Cambria Math"/>
                    <w:sz w:val="22"/>
                    <w:szCs w:val="22"/>
                    <w:lang w:val="en-US"/>
                  </w:rPr>
                  <m:t>n-1</m:t>
                </m:r>
              </m:e>
            </m:d>
            <m:r>
              <w:rPr>
                <w:rFonts w:ascii="Cambria Math" w:hAnsi="Cambria Math"/>
                <w:sz w:val="22"/>
                <w:szCs w:val="22"/>
                <w:lang w:val="en-US"/>
              </w:rPr>
              <m:t>(2n+5)</m:t>
            </m:r>
          </m:num>
          <m:den>
            <m:r>
              <w:rPr>
                <w:rFonts w:ascii="Cambria Math" w:hAnsi="Cambria Math"/>
                <w:sz w:val="22"/>
                <w:szCs w:val="22"/>
                <w:lang w:val="en-US"/>
              </w:rPr>
              <m:t>18</m:t>
            </m:r>
          </m:den>
        </m:f>
      </m:oMath>
      <w:r w:rsidR="00203A94" w:rsidRPr="0035185A">
        <w:rPr>
          <w:sz w:val="22"/>
          <w:szCs w:val="22"/>
          <w:lang w:val="en-US"/>
        </w:rPr>
        <w:t xml:space="preserve">, </w:t>
      </w:r>
      <m:oMath>
        <m:r>
          <w:rPr>
            <w:rFonts w:ascii="Cambria Math" w:hAnsi="Cambria Math"/>
            <w:sz w:val="22"/>
            <w:szCs w:val="22"/>
            <w:lang w:val="en-US"/>
          </w:rPr>
          <m:t xml:space="preserve">β=median </m:t>
        </m:r>
        <m:d>
          <m:dPr>
            <m:ctrlPr>
              <w:rPr>
                <w:rFonts w:ascii="Cambria Math" w:hAnsi="Cambria Math"/>
                <w:i/>
                <w:sz w:val="22"/>
                <w:szCs w:val="22"/>
                <w:lang w:val="en-US"/>
              </w:rPr>
            </m:ctrlPr>
          </m:dPr>
          <m:e>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j</m:t>
                    </m:r>
                  </m:sub>
                </m:sSub>
                <m:r>
                  <w:rPr>
                    <w:rFonts w:ascii="Cambria Math" w:hAnsi="Cambria Math"/>
                    <w:sz w:val="22"/>
                    <w:szCs w:val="22"/>
                    <w:lang w:val="en-US"/>
                  </w:rPr>
                  <m:t>-xi</m:t>
                </m:r>
              </m:num>
              <m:den>
                <m:r>
                  <w:rPr>
                    <w:rFonts w:ascii="Cambria Math" w:hAnsi="Cambria Math"/>
                    <w:sz w:val="22"/>
                    <w:szCs w:val="22"/>
                    <w:lang w:val="en-US"/>
                  </w:rPr>
                  <m:t>j-i</m:t>
                </m:r>
              </m:den>
            </m:f>
          </m:e>
        </m:d>
      </m:oMath>
    </w:p>
    <w:p w14:paraId="79534B3D" w14:textId="78BA5820" w:rsidR="00071903" w:rsidRPr="0035185A" w:rsidRDefault="00344669" w:rsidP="00C73844">
      <w:pPr>
        <w:pStyle w:val="Paragraph"/>
        <w:spacing w:before="0" w:line="240" w:lineRule="auto"/>
        <w:ind w:firstLine="284"/>
        <w:jc w:val="both"/>
        <w:rPr>
          <w:sz w:val="22"/>
          <w:szCs w:val="22"/>
          <w:lang w:val="en-US"/>
        </w:rPr>
      </w:pPr>
      <w:r w:rsidRPr="0035185A">
        <w:rPr>
          <w:sz w:val="22"/>
          <w:szCs w:val="22"/>
          <w:lang w:val="en-US"/>
        </w:rPr>
        <w:t>Multivariate statistics included Pearson correlation, Principal Component Analysis (PCA), and Hierarchical Clustering Analysis (HCA):</w:t>
      </w:r>
    </w:p>
    <w:p w14:paraId="6E7138EA" w14:textId="526982A6" w:rsidR="00071903" w:rsidRPr="0035185A" w:rsidRDefault="004D3F2E" w:rsidP="0052614E">
      <w:pPr>
        <w:pStyle w:val="Newparagraph"/>
        <w:spacing w:before="120" w:after="120" w:line="240" w:lineRule="auto"/>
        <w:ind w:firstLine="0"/>
        <w:jc w:val="center"/>
        <w:rPr>
          <w:b/>
          <w:bCs/>
          <w:sz w:val="22"/>
          <w:szCs w:val="22"/>
          <w:lang w:val="en-US"/>
        </w:rPr>
      </w:pPr>
      <m:oMath>
        <m:r>
          <w:rPr>
            <w:rFonts w:ascii="Cambria Math" w:hAnsi="Cambria Math"/>
            <w:sz w:val="22"/>
            <w:szCs w:val="22"/>
            <w:lang w:val="en-US"/>
          </w:rPr>
          <m:t>r=</m:t>
        </m:r>
        <m:f>
          <m:fPr>
            <m:ctrlPr>
              <w:rPr>
                <w:rFonts w:ascii="Cambria Math" w:hAnsi="Cambria Math"/>
                <w:bCs/>
                <w:i/>
                <w:sz w:val="22"/>
                <w:szCs w:val="22"/>
                <w:lang w:val="en-US"/>
              </w:rPr>
            </m:ctrlPr>
          </m:fPr>
          <m:num>
            <m:nary>
              <m:naryPr>
                <m:chr m:val="∑"/>
                <m:limLoc m:val="undOvr"/>
                <m:subHide m:val="1"/>
                <m:supHide m:val="1"/>
                <m:ctrlPr>
                  <w:rPr>
                    <w:rFonts w:ascii="Cambria Math" w:hAnsi="Cambria Math"/>
                    <w:bCs/>
                    <w:i/>
                    <w:sz w:val="22"/>
                    <w:szCs w:val="22"/>
                    <w:lang w:val="en-US"/>
                  </w:rPr>
                </m:ctrlPr>
              </m:naryPr>
              <m:sub/>
              <m:sup/>
              <m:e>
                <m:d>
                  <m:dPr>
                    <m:ctrlPr>
                      <w:rPr>
                        <w:rFonts w:ascii="Cambria Math" w:hAnsi="Cambria Math"/>
                        <w:bCs/>
                        <w:i/>
                        <w:sz w:val="22"/>
                        <w:szCs w:val="22"/>
                        <w:lang w:val="en-US"/>
                      </w:rPr>
                    </m:ctrlPr>
                  </m:dPr>
                  <m:e>
                    <m:sSub>
                      <m:sSubPr>
                        <m:ctrlPr>
                          <w:rPr>
                            <w:rFonts w:ascii="Cambria Math" w:hAnsi="Cambria Math"/>
                            <w:bCs/>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i</m:t>
                        </m:r>
                      </m:sub>
                    </m:sSub>
                    <m:r>
                      <w:rPr>
                        <w:rFonts w:ascii="Cambria Math" w:hAnsi="Cambria Math"/>
                        <w:sz w:val="22"/>
                        <w:szCs w:val="22"/>
                        <w:lang w:val="en-US"/>
                      </w:rPr>
                      <m:t>-Ẋ</m:t>
                    </m:r>
                  </m:e>
                </m:d>
                <m:r>
                  <w:rPr>
                    <w:rFonts w:ascii="Cambria Math" w:hAnsi="Cambria Math"/>
                    <w:sz w:val="22"/>
                    <w:szCs w:val="22"/>
                    <w:lang w:val="en-US"/>
                  </w:rPr>
                  <m:t xml:space="preserve"> </m:t>
                </m:r>
                <m:d>
                  <m:dPr>
                    <m:ctrlPr>
                      <w:rPr>
                        <w:rFonts w:ascii="Cambria Math" w:hAnsi="Cambria Math"/>
                        <w:bCs/>
                        <w:i/>
                        <w:sz w:val="22"/>
                        <w:szCs w:val="22"/>
                        <w:lang w:val="en-US"/>
                      </w:rPr>
                    </m:ctrlPr>
                  </m:dPr>
                  <m:e>
                    <m:sSub>
                      <m:sSubPr>
                        <m:ctrlPr>
                          <w:rPr>
                            <w:rFonts w:ascii="Cambria Math" w:hAnsi="Cambria Math"/>
                            <w:bCs/>
                            <w:i/>
                            <w:sz w:val="22"/>
                            <w:szCs w:val="22"/>
                            <w:lang w:val="en-US"/>
                          </w:rPr>
                        </m:ctrlPr>
                      </m:sSubPr>
                      <m:e>
                        <m:r>
                          <w:rPr>
                            <w:rFonts w:ascii="Cambria Math" w:hAnsi="Cambria Math"/>
                            <w:sz w:val="22"/>
                            <w:szCs w:val="22"/>
                            <w:lang w:val="en-US"/>
                          </w:rPr>
                          <m:t>Y</m:t>
                        </m:r>
                      </m:e>
                      <m:sub>
                        <m:r>
                          <w:rPr>
                            <w:rFonts w:ascii="Cambria Math" w:hAnsi="Cambria Math"/>
                            <w:sz w:val="22"/>
                            <w:szCs w:val="22"/>
                            <w:lang w:val="en-US"/>
                          </w:rPr>
                          <m:t>i</m:t>
                        </m:r>
                      </m:sub>
                    </m:sSub>
                    <m:r>
                      <w:rPr>
                        <w:rFonts w:ascii="Cambria Math" w:hAnsi="Cambria Math"/>
                        <w:sz w:val="22"/>
                        <w:szCs w:val="22"/>
                        <w:lang w:val="en-US"/>
                      </w:rPr>
                      <m:t>-Ẏ</m:t>
                    </m:r>
                  </m:e>
                </m:d>
              </m:e>
            </m:nary>
          </m:num>
          <m:den>
            <m:rad>
              <m:radPr>
                <m:degHide m:val="1"/>
                <m:ctrlPr>
                  <w:rPr>
                    <w:rFonts w:ascii="Cambria Math" w:hAnsi="Cambria Math"/>
                    <w:bCs/>
                    <w:i/>
                    <w:sz w:val="22"/>
                    <w:szCs w:val="22"/>
                    <w:lang w:val="en-US"/>
                  </w:rPr>
                </m:ctrlPr>
              </m:radPr>
              <m:deg/>
              <m:e>
                <m:nary>
                  <m:naryPr>
                    <m:chr m:val="∑"/>
                    <m:limLoc m:val="undOvr"/>
                    <m:subHide m:val="1"/>
                    <m:supHide m:val="1"/>
                    <m:ctrlPr>
                      <w:rPr>
                        <w:rFonts w:ascii="Cambria Math" w:hAnsi="Cambria Math"/>
                        <w:bCs/>
                        <w:i/>
                        <w:sz w:val="22"/>
                        <w:szCs w:val="22"/>
                        <w:lang w:val="en-US"/>
                      </w:rPr>
                    </m:ctrlPr>
                  </m:naryPr>
                  <m:sub/>
                  <m:sup/>
                  <m:e>
                    <m:d>
                      <m:dPr>
                        <m:endChr m:val=""/>
                        <m:ctrlPr>
                          <w:rPr>
                            <w:rFonts w:ascii="Cambria Math" w:hAnsi="Cambria Math"/>
                            <w:bCs/>
                            <w:i/>
                            <w:sz w:val="22"/>
                            <w:szCs w:val="22"/>
                            <w:lang w:val="en-US"/>
                          </w:rPr>
                        </m:ctrlPr>
                      </m:dPr>
                      <m:e>
                        <m:sSub>
                          <m:sSubPr>
                            <m:ctrlPr>
                              <w:rPr>
                                <w:rFonts w:ascii="Cambria Math" w:hAnsi="Cambria Math"/>
                                <w:bCs/>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i</m:t>
                            </m:r>
                          </m:sub>
                        </m:sSub>
                        <m:r>
                          <w:rPr>
                            <w:rFonts w:ascii="Cambria Math" w:hAnsi="Cambria Math"/>
                            <w:sz w:val="22"/>
                            <w:szCs w:val="22"/>
                            <w:lang w:val="en-US"/>
                          </w:rPr>
                          <m:t>-</m:t>
                        </m:r>
                      </m:e>
                    </m:d>
                  </m:e>
                </m:nary>
              </m:e>
            </m:rad>
            <m:r>
              <w:rPr>
                <w:rFonts w:ascii="Cambria Math" w:hAnsi="Cambria Math"/>
                <w:sz w:val="22"/>
                <w:szCs w:val="22"/>
                <w:lang w:val="en-US"/>
              </w:rPr>
              <m:t>Ẋ</m:t>
            </m:r>
            <m:sSup>
              <m:sSupPr>
                <m:ctrlPr>
                  <w:rPr>
                    <w:rFonts w:ascii="Cambria Math" w:hAnsi="Cambria Math"/>
                    <w:bCs/>
                    <w:i/>
                    <w:sz w:val="22"/>
                    <w:szCs w:val="22"/>
                    <w:lang w:val="en-US"/>
                  </w:rPr>
                </m:ctrlPr>
              </m:sSupPr>
              <m:e>
                <m:r>
                  <w:rPr>
                    <w:rFonts w:ascii="Cambria Math" w:hAnsi="Cambria Math"/>
                    <w:sz w:val="22"/>
                    <w:szCs w:val="22"/>
                    <w:lang w:val="en-US"/>
                  </w:rPr>
                  <m:t>)</m:t>
                </m:r>
              </m:e>
              <m:sup>
                <m:r>
                  <w:rPr>
                    <w:rFonts w:ascii="Cambria Math" w:hAnsi="Cambria Math"/>
                    <w:sz w:val="22"/>
                    <w:szCs w:val="22"/>
                    <w:lang w:val="en-US"/>
                  </w:rPr>
                  <m:t>2</m:t>
                </m:r>
              </m:sup>
            </m:sSup>
            <m:nary>
              <m:naryPr>
                <m:chr m:val="∑"/>
                <m:limLoc m:val="undOvr"/>
                <m:subHide m:val="1"/>
                <m:supHide m:val="1"/>
                <m:ctrlPr>
                  <w:rPr>
                    <w:rFonts w:ascii="Cambria Math" w:hAnsi="Cambria Math"/>
                    <w:bCs/>
                    <w:i/>
                    <w:sz w:val="22"/>
                    <w:szCs w:val="22"/>
                    <w:lang w:val="en-US"/>
                  </w:rPr>
                </m:ctrlPr>
              </m:naryPr>
              <m:sub/>
              <m:sup/>
              <m:e>
                <m:d>
                  <m:dPr>
                    <m:endChr m:val=""/>
                    <m:ctrlPr>
                      <w:rPr>
                        <w:rFonts w:ascii="Cambria Math" w:hAnsi="Cambria Math"/>
                        <w:bCs/>
                        <w:i/>
                        <w:sz w:val="22"/>
                        <w:szCs w:val="22"/>
                        <w:lang w:val="en-US"/>
                      </w:rPr>
                    </m:ctrlPr>
                  </m:dPr>
                  <m:e>
                    <m:sSub>
                      <m:sSubPr>
                        <m:ctrlPr>
                          <w:rPr>
                            <w:rFonts w:ascii="Cambria Math" w:hAnsi="Cambria Math"/>
                            <w:bCs/>
                            <w:i/>
                            <w:sz w:val="22"/>
                            <w:szCs w:val="22"/>
                            <w:lang w:val="en-US"/>
                          </w:rPr>
                        </m:ctrlPr>
                      </m:sSubPr>
                      <m:e>
                        <m:r>
                          <w:rPr>
                            <w:rFonts w:ascii="Cambria Math" w:hAnsi="Cambria Math"/>
                            <w:sz w:val="22"/>
                            <w:szCs w:val="22"/>
                            <w:lang w:val="en-US"/>
                          </w:rPr>
                          <m:t>Y</m:t>
                        </m:r>
                      </m:e>
                      <m:sub>
                        <m:r>
                          <w:rPr>
                            <w:rFonts w:ascii="Cambria Math" w:hAnsi="Cambria Math"/>
                            <w:sz w:val="22"/>
                            <w:szCs w:val="22"/>
                            <w:lang w:val="en-US"/>
                          </w:rPr>
                          <m:t>i</m:t>
                        </m:r>
                      </m:sub>
                    </m:sSub>
                    <m:r>
                      <w:rPr>
                        <w:rFonts w:ascii="Cambria Math" w:hAnsi="Cambria Math"/>
                        <w:sz w:val="22"/>
                        <w:szCs w:val="22"/>
                        <w:lang w:val="en-US"/>
                      </w:rPr>
                      <m:t>-Ẏ</m:t>
                    </m:r>
                    <m:sSup>
                      <m:sSupPr>
                        <m:ctrlPr>
                          <w:rPr>
                            <w:rFonts w:ascii="Cambria Math" w:hAnsi="Cambria Math"/>
                            <w:bCs/>
                            <w:i/>
                            <w:sz w:val="22"/>
                            <w:szCs w:val="22"/>
                            <w:lang w:val="en-US"/>
                          </w:rPr>
                        </m:ctrlPr>
                      </m:sSupPr>
                      <m:e>
                        <m:r>
                          <w:rPr>
                            <w:rFonts w:ascii="Cambria Math" w:hAnsi="Cambria Math"/>
                            <w:sz w:val="22"/>
                            <w:szCs w:val="22"/>
                            <w:lang w:val="en-US"/>
                          </w:rPr>
                          <m:t>)</m:t>
                        </m:r>
                      </m:e>
                      <m:sup>
                        <m:r>
                          <w:rPr>
                            <w:rFonts w:ascii="Cambria Math" w:hAnsi="Cambria Math"/>
                            <w:sz w:val="22"/>
                            <w:szCs w:val="22"/>
                            <w:lang w:val="en-US"/>
                          </w:rPr>
                          <m:t>2</m:t>
                        </m:r>
                      </m:sup>
                    </m:sSup>
                  </m:e>
                </m:d>
              </m:e>
            </m:nary>
          </m:den>
        </m:f>
      </m:oMath>
      <w:r w:rsidR="0025054C" w:rsidRPr="0035185A">
        <w:rPr>
          <w:bCs/>
          <w:sz w:val="22"/>
          <w:szCs w:val="22"/>
          <w:lang w:val="en-US"/>
        </w:rPr>
        <w:t xml:space="preserve">, </w:t>
      </w:r>
      <m:oMath>
        <m:r>
          <w:rPr>
            <w:rFonts w:ascii="Cambria Math" w:hAnsi="Cambria Math"/>
            <w:sz w:val="22"/>
            <w:szCs w:val="22"/>
            <w:lang w:val="en-US"/>
          </w:rPr>
          <m:t>R=Q∆</m:t>
        </m:r>
        <m:sSup>
          <m:sSupPr>
            <m:ctrlPr>
              <w:rPr>
                <w:rFonts w:ascii="Cambria Math" w:hAnsi="Cambria Math"/>
                <w:bCs/>
                <w:i/>
                <w:sz w:val="22"/>
                <w:szCs w:val="22"/>
                <w:lang w:val="en-US"/>
              </w:rPr>
            </m:ctrlPr>
          </m:sSupPr>
          <m:e>
            <m:r>
              <w:rPr>
                <w:rFonts w:ascii="Cambria Math" w:hAnsi="Cambria Math"/>
                <w:sz w:val="22"/>
                <w:szCs w:val="22"/>
                <w:lang w:val="en-US"/>
              </w:rPr>
              <m:t>Q</m:t>
            </m:r>
          </m:e>
          <m:sup>
            <m:r>
              <w:rPr>
                <w:rFonts w:ascii="Cambria Math" w:hAnsi="Cambria Math"/>
                <w:sz w:val="22"/>
                <w:szCs w:val="22"/>
                <w:lang w:val="en-US"/>
              </w:rPr>
              <m:t>-1</m:t>
            </m:r>
          </m:sup>
        </m:sSup>
      </m:oMath>
      <w:r w:rsidR="0025054C" w:rsidRPr="0035185A">
        <w:rPr>
          <w:bCs/>
          <w:sz w:val="22"/>
          <w:szCs w:val="22"/>
          <w:lang w:val="en-US"/>
        </w:rPr>
        <w:t xml:space="preserve">, </w:t>
      </w:r>
      <m:oMath>
        <m:r>
          <w:rPr>
            <w:rFonts w:ascii="Cambria Math" w:hAnsi="Cambria Math"/>
            <w:sz w:val="22"/>
            <w:szCs w:val="22"/>
            <w:lang w:val="en-US"/>
          </w:rPr>
          <m:t>F=ZQ</m:t>
        </m:r>
      </m:oMath>
      <w:r w:rsidR="0025054C" w:rsidRPr="0035185A">
        <w:rPr>
          <w:bCs/>
          <w:sz w:val="22"/>
          <w:szCs w:val="22"/>
          <w:lang w:val="en-US"/>
        </w:rPr>
        <w:t xml:space="preserve">, </w:t>
      </w:r>
      <m:oMath>
        <m:sSub>
          <m:sSubPr>
            <m:ctrlPr>
              <w:rPr>
                <w:rFonts w:ascii="Cambria Math" w:hAnsi="Cambria Math"/>
                <w:bCs/>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ij</m:t>
            </m:r>
          </m:sub>
        </m:sSub>
        <m:r>
          <w:rPr>
            <w:rFonts w:ascii="Cambria Math" w:hAnsi="Cambria Math"/>
            <w:sz w:val="22"/>
            <w:szCs w:val="22"/>
            <w:lang w:val="en-US"/>
          </w:rPr>
          <m:t>=</m:t>
        </m:r>
        <m:d>
          <m:dPr>
            <m:ctrlPr>
              <w:rPr>
                <w:rFonts w:ascii="Cambria Math" w:hAnsi="Cambria Math"/>
                <w:bCs/>
                <w:i/>
                <w:sz w:val="22"/>
                <w:szCs w:val="22"/>
                <w:lang w:val="en-US"/>
              </w:rPr>
            </m:ctrlPr>
          </m:dPr>
          <m:e>
            <m:sSub>
              <m:sSubPr>
                <m:ctrlPr>
                  <w:rPr>
                    <w:rFonts w:ascii="Cambria Math" w:hAnsi="Cambria Math"/>
                    <w:bCs/>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i</m:t>
                </m:r>
              </m:sub>
            </m:sSub>
            <m:r>
              <w:rPr>
                <w:rFonts w:ascii="Cambria Math" w:hAnsi="Cambria Math"/>
                <w:sz w:val="22"/>
                <w:szCs w:val="22"/>
                <w:lang w:val="en-US"/>
              </w:rPr>
              <m:t>-</m:t>
            </m:r>
            <m:sSub>
              <m:sSubPr>
                <m:ctrlPr>
                  <w:rPr>
                    <w:rFonts w:ascii="Cambria Math" w:hAnsi="Cambria Math"/>
                    <w:bCs/>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j</m:t>
                </m:r>
              </m:sub>
            </m:sSub>
          </m:e>
        </m:d>
        <m:r>
          <w:rPr>
            <w:rFonts w:ascii="Cambria Math" w:hAnsi="Cambria Math"/>
            <w:sz w:val="22"/>
            <w:szCs w:val="22"/>
            <w:lang w:val="en-US"/>
          </w:rPr>
          <m:t xml:space="preserve"> </m:t>
        </m:r>
      </m:oMath>
    </w:p>
    <w:p w14:paraId="07769A93" w14:textId="1801F489" w:rsidR="0025054C" w:rsidRPr="0035185A" w:rsidRDefault="0025054C" w:rsidP="00C73844">
      <w:pPr>
        <w:pStyle w:val="Paragraph"/>
        <w:spacing w:before="0" w:line="240" w:lineRule="auto"/>
        <w:ind w:firstLine="284"/>
        <w:jc w:val="both"/>
        <w:rPr>
          <w:sz w:val="22"/>
          <w:szCs w:val="22"/>
          <w:lang w:val="en-US"/>
        </w:rPr>
      </w:pPr>
      <w:r w:rsidRPr="0035185A">
        <w:rPr>
          <w:sz w:val="22"/>
          <w:szCs w:val="22"/>
          <w:lang w:val="en-US"/>
        </w:rPr>
        <w:t>These techniques identify environmental gradients, classify lake typologies, and detect anthropogenic impact patterns. Predictive modeling used multiple linear regression and generalized additive models (GAM) to</w:t>
      </w:r>
      <w:r w:rsidR="00A25F0E">
        <w:rPr>
          <w:sz w:val="22"/>
          <w:szCs w:val="22"/>
          <w:lang w:val="en-US"/>
        </w:rPr>
        <w:t> </w:t>
      </w:r>
      <w:r w:rsidRPr="0035185A">
        <w:rPr>
          <w:sz w:val="22"/>
          <w:szCs w:val="22"/>
          <w:lang w:val="en-US"/>
        </w:rPr>
        <w:t>link climate, land-use, and hydrological predictors to lake surface area:</w:t>
      </w:r>
    </w:p>
    <w:p w14:paraId="202DF749" w14:textId="48EDDE8E" w:rsidR="0025054C" w:rsidRPr="0035185A" w:rsidRDefault="00000000" w:rsidP="0052614E">
      <w:pPr>
        <w:pStyle w:val="Newparagraph"/>
        <w:spacing w:before="120" w:after="120" w:line="240" w:lineRule="auto"/>
        <w:ind w:firstLine="0"/>
        <w:jc w:val="center"/>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0</m:t>
            </m:r>
          </m:sub>
        </m:sSub>
        <m:r>
          <w:rPr>
            <w:rFonts w:ascii="Cambria Math" w:hAnsi="Cambria Math"/>
            <w:sz w:val="22"/>
            <w:szCs w:val="22"/>
            <w:lang w:val="en-US"/>
          </w:rPr>
          <m:t>+</m:t>
        </m:r>
        <m:nary>
          <m:naryPr>
            <m:chr m:val="∑"/>
            <m:limLoc m:val="undOvr"/>
            <m:ctrlPr>
              <w:rPr>
                <w:rFonts w:ascii="Cambria Math" w:hAnsi="Cambria Math"/>
                <w:i/>
                <w:sz w:val="22"/>
                <w:szCs w:val="22"/>
                <w:lang w:val="en-US"/>
              </w:rPr>
            </m:ctrlPr>
          </m:naryPr>
          <m:sub>
            <m:r>
              <w:rPr>
                <w:rFonts w:ascii="Cambria Math" w:hAnsi="Cambria Math"/>
                <w:sz w:val="22"/>
                <w:szCs w:val="22"/>
                <w:lang w:val="en-US"/>
              </w:rPr>
              <m:t>k=1</m:t>
            </m:r>
          </m:sub>
          <m:sup>
            <m:r>
              <w:rPr>
                <w:rFonts w:ascii="Cambria Math" w:hAnsi="Cambria Math"/>
                <w:sz w:val="22"/>
                <w:szCs w:val="22"/>
                <w:lang w:val="en-US"/>
              </w:rPr>
              <m:t>p</m:t>
            </m:r>
          </m:sup>
          <m:e>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k</m:t>
                </m:r>
              </m:sub>
            </m:sSub>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k,t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ϵ</m:t>
                </m:r>
              </m:e>
              <m:sub>
                <m:r>
                  <w:rPr>
                    <w:rFonts w:ascii="Cambria Math" w:hAnsi="Cambria Math"/>
                    <w:sz w:val="22"/>
                    <w:szCs w:val="22"/>
                    <w:lang w:val="en-US"/>
                  </w:rPr>
                  <m:t>t</m:t>
                </m:r>
              </m:sub>
            </m:sSub>
          </m:e>
        </m:nary>
      </m:oMath>
      <w:r w:rsidR="00A46420" w:rsidRPr="0035185A">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0</m:t>
            </m:r>
          </m:sub>
        </m:sSub>
        <m:r>
          <w:rPr>
            <w:rFonts w:ascii="Cambria Math" w:hAnsi="Cambria Math"/>
            <w:sz w:val="22"/>
            <w:szCs w:val="22"/>
            <w:lang w:val="en-US"/>
          </w:rPr>
          <m:t xml:space="preserve">+ </m:t>
        </m:r>
        <m:nary>
          <m:naryPr>
            <m:chr m:val="∑"/>
            <m:limLoc m:val="undOvr"/>
            <m:ctrlPr>
              <w:rPr>
                <w:rFonts w:ascii="Cambria Math" w:hAnsi="Cambria Math"/>
                <w:i/>
                <w:sz w:val="22"/>
                <w:szCs w:val="22"/>
                <w:lang w:val="en-US"/>
              </w:rPr>
            </m:ctrlPr>
          </m:naryPr>
          <m:sub>
            <m:r>
              <w:rPr>
                <w:rFonts w:ascii="Cambria Math" w:hAnsi="Cambria Math"/>
                <w:sz w:val="22"/>
                <w:szCs w:val="22"/>
                <w:lang w:val="en-US"/>
              </w:rPr>
              <m:t>k=1</m:t>
            </m:r>
          </m:sub>
          <m:sup>
            <m:r>
              <w:rPr>
                <w:rFonts w:ascii="Cambria Math" w:hAnsi="Cambria Math"/>
                <w:sz w:val="22"/>
                <w:szCs w:val="22"/>
                <w:lang w:val="en-US"/>
              </w:rPr>
              <m:t>p</m:t>
            </m:r>
          </m:sup>
          <m:e>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k</m:t>
                </m:r>
              </m:sub>
            </m:sSub>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k,t</m:t>
                    </m:r>
                  </m:sub>
                </m:sSub>
              </m:e>
            </m:d>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t</m:t>
                </m:r>
              </m:sub>
            </m:sSub>
          </m:e>
        </m:nary>
      </m:oMath>
    </w:p>
    <w:p w14:paraId="330631AC" w14:textId="3CA2D3CE" w:rsidR="00071903" w:rsidRPr="0035185A" w:rsidRDefault="00874782" w:rsidP="0052614E">
      <w:pPr>
        <w:pStyle w:val="Paragraph"/>
        <w:spacing w:before="0" w:line="240" w:lineRule="auto"/>
        <w:jc w:val="both"/>
        <w:rPr>
          <w:sz w:val="22"/>
          <w:szCs w:val="22"/>
          <w:lang w:val="en-US"/>
        </w:rPr>
      </w:pPr>
      <w:r w:rsidRPr="0035185A">
        <w:rPr>
          <w:sz w:val="22"/>
          <w:szCs w:val="22"/>
          <w:lang w:val="en-US"/>
        </w:rPr>
        <w:t xml:space="preserve">where </w:t>
      </w:r>
      <m:oMath>
        <m:sSub>
          <m:sSubPr>
            <m:ctrlPr>
              <w:rPr>
                <w:rFonts w:ascii="Cambria Math" w:hAnsi="Cambria Math"/>
                <w:sz w:val="22"/>
                <w:szCs w:val="22"/>
                <w:lang w:val="en-US"/>
              </w:rPr>
            </m:ctrlPr>
          </m:sSubPr>
          <m:e>
            <m:r>
              <w:rPr>
                <w:rFonts w:ascii="Cambria Math" w:hAnsi="Cambria Math"/>
                <w:sz w:val="22"/>
                <w:szCs w:val="22"/>
                <w:lang w:val="en-US"/>
              </w:rPr>
              <m:t>f</m:t>
            </m:r>
          </m:e>
          <m:sub>
            <m:r>
              <w:rPr>
                <w:rFonts w:ascii="Cambria Math" w:hAnsi="Cambria Math"/>
                <w:sz w:val="22"/>
                <w:szCs w:val="22"/>
                <w:lang w:val="en-US"/>
              </w:rPr>
              <m:t>k</m:t>
            </m:r>
          </m:sub>
        </m:sSub>
      </m:oMath>
      <w:r w:rsidRPr="0035185A">
        <w:rPr>
          <w:sz w:val="22"/>
          <w:szCs w:val="22"/>
          <w:lang w:val="en-US"/>
        </w:rPr>
        <w:t xml:space="preserve"> are smoothing splines. Model selection employed </w:t>
      </w:r>
      <w:r w:rsidR="00D712DC">
        <w:rPr>
          <w:sz w:val="22"/>
          <w:szCs w:val="22"/>
          <w:lang w:val="en-US"/>
        </w:rPr>
        <w:t xml:space="preserve">the </w:t>
      </w:r>
      <w:r w:rsidRPr="0035185A">
        <w:rPr>
          <w:sz w:val="22"/>
          <w:szCs w:val="22"/>
          <w:lang w:val="en-US"/>
        </w:rPr>
        <w:t>Akaike Information Criterion (AIC):</w:t>
      </w:r>
    </w:p>
    <w:p w14:paraId="19DC904D" w14:textId="577F6CD4" w:rsidR="00874782" w:rsidRPr="0035185A" w:rsidRDefault="00874782" w:rsidP="0052614E">
      <w:pPr>
        <w:pStyle w:val="Newparagraph"/>
        <w:spacing w:before="120" w:after="120" w:line="240" w:lineRule="auto"/>
        <w:ind w:firstLine="0"/>
        <w:jc w:val="center"/>
        <w:rPr>
          <w:sz w:val="22"/>
          <w:szCs w:val="22"/>
          <w:lang w:val="en-US"/>
        </w:rPr>
      </w:pPr>
      <m:oMathPara>
        <m:oMath>
          <m:r>
            <w:rPr>
              <w:rFonts w:ascii="Cambria Math" w:hAnsi="Cambria Math"/>
              <w:sz w:val="22"/>
              <w:szCs w:val="22"/>
              <w:lang w:val="en-US"/>
            </w:rPr>
            <m:t>AIC=2k-2</m:t>
          </m:r>
          <m:r>
            <m:rPr>
              <m:sty m:val="p"/>
            </m:rPr>
            <w:rPr>
              <w:rFonts w:ascii="Cambria Math" w:hAnsi="Cambria Math"/>
              <w:sz w:val="22"/>
              <w:szCs w:val="22"/>
              <w:lang w:val="en-US"/>
            </w:rPr>
            <m:t>ln⁡</m:t>
          </m:r>
          <m:r>
            <w:rPr>
              <w:rFonts w:ascii="Cambria Math" w:hAnsi="Cambria Math"/>
              <w:sz w:val="22"/>
              <w:szCs w:val="22"/>
              <w:lang w:val="en-US"/>
            </w:rPr>
            <m:t>(L)</m:t>
          </m:r>
        </m:oMath>
      </m:oMathPara>
    </w:p>
    <w:p w14:paraId="6521785D" w14:textId="742741B6" w:rsidR="00071903" w:rsidRPr="0035185A" w:rsidRDefault="00874782" w:rsidP="00C73844">
      <w:pPr>
        <w:pStyle w:val="Paragraph"/>
        <w:spacing w:before="0" w:line="240" w:lineRule="auto"/>
        <w:ind w:firstLine="284"/>
        <w:jc w:val="both"/>
        <w:rPr>
          <w:sz w:val="22"/>
          <w:szCs w:val="22"/>
          <w:lang w:val="en-US"/>
        </w:rPr>
      </w:pPr>
      <w:r w:rsidRPr="0035185A">
        <w:rPr>
          <w:sz w:val="22"/>
          <w:szCs w:val="22"/>
          <w:lang w:val="en-US"/>
        </w:rPr>
        <w:t>Finally, water quality and ecological indices were computed to assess lake vulnerability:</w:t>
      </w:r>
    </w:p>
    <w:p w14:paraId="28AD866A" w14:textId="18A49969" w:rsidR="001E1E3C" w:rsidRPr="0035185A" w:rsidRDefault="001E1E3C" w:rsidP="0052614E">
      <w:pPr>
        <w:pStyle w:val="Newparagraph"/>
        <w:spacing w:before="120" w:line="240" w:lineRule="auto"/>
        <w:ind w:firstLine="0"/>
        <w:jc w:val="center"/>
        <w:rPr>
          <w:bCs/>
          <w:sz w:val="22"/>
          <w:szCs w:val="22"/>
          <w:lang w:val="en-US"/>
        </w:rPr>
      </w:pPr>
      <m:oMath>
        <m:r>
          <w:rPr>
            <w:rFonts w:ascii="Cambria Math" w:hAnsi="Cambria Math"/>
            <w:sz w:val="22"/>
            <w:szCs w:val="22"/>
            <w:lang w:val="en-US"/>
          </w:rPr>
          <m:t>WOI=</m:t>
        </m:r>
        <m:f>
          <m:fPr>
            <m:ctrlPr>
              <w:rPr>
                <w:rFonts w:ascii="Cambria Math" w:hAnsi="Cambria Math"/>
                <w:bCs/>
                <w:i/>
                <w:sz w:val="22"/>
                <w:szCs w:val="22"/>
                <w:lang w:val="en-US"/>
              </w:rPr>
            </m:ctrlPr>
          </m:fPr>
          <m:num>
            <m:nary>
              <m:naryPr>
                <m:chr m:val="∑"/>
                <m:limLoc m:val="undOvr"/>
                <m:subHide m:val="1"/>
                <m:supHide m:val="1"/>
                <m:ctrlPr>
                  <w:rPr>
                    <w:rFonts w:ascii="Cambria Math" w:hAnsi="Cambria Math"/>
                    <w:bCs/>
                    <w:i/>
                    <w:sz w:val="22"/>
                    <w:szCs w:val="22"/>
                    <w:lang w:val="en-US"/>
                  </w:rPr>
                </m:ctrlPr>
              </m:naryPr>
              <m:sub/>
              <m:sup/>
              <m:e>
                <m:sSub>
                  <m:sSubPr>
                    <m:ctrlPr>
                      <w:rPr>
                        <w:rFonts w:ascii="Cambria Math" w:hAnsi="Cambria Math"/>
                        <w:bCs/>
                        <w:i/>
                        <w:sz w:val="22"/>
                        <w:szCs w:val="22"/>
                        <w:lang w:val="en-US"/>
                      </w:rPr>
                    </m:ctrlPr>
                  </m:sSubPr>
                  <m:e>
                    <m:r>
                      <w:rPr>
                        <w:rFonts w:ascii="Cambria Math" w:hAnsi="Cambria Math"/>
                        <w:sz w:val="22"/>
                        <w:szCs w:val="22"/>
                        <w:lang w:val="en-US"/>
                      </w:rPr>
                      <m:t>w</m:t>
                    </m:r>
                  </m:e>
                  <m:sub>
                    <m:r>
                      <w:rPr>
                        <w:rFonts w:ascii="Cambria Math" w:hAnsi="Cambria Math"/>
                        <w:sz w:val="22"/>
                        <w:szCs w:val="22"/>
                        <w:lang w:val="en-US"/>
                      </w:rPr>
                      <m:t>i</m:t>
                    </m:r>
                  </m:sub>
                </m:sSub>
                <m:sSub>
                  <m:sSubPr>
                    <m:ctrlPr>
                      <w:rPr>
                        <w:rFonts w:ascii="Cambria Math" w:hAnsi="Cambria Math"/>
                        <w:bCs/>
                        <w:i/>
                        <w:sz w:val="22"/>
                        <w:szCs w:val="22"/>
                        <w:lang w:val="en-US"/>
                      </w:rPr>
                    </m:ctrlPr>
                  </m:sSubPr>
                  <m:e>
                    <m:r>
                      <w:rPr>
                        <w:rFonts w:ascii="Cambria Math" w:hAnsi="Cambria Math"/>
                        <w:sz w:val="22"/>
                        <w:szCs w:val="22"/>
                        <w:lang w:val="en-US"/>
                      </w:rPr>
                      <m:t>q</m:t>
                    </m:r>
                  </m:e>
                  <m:sub>
                    <m:r>
                      <w:rPr>
                        <w:rFonts w:ascii="Cambria Math" w:hAnsi="Cambria Math"/>
                        <w:sz w:val="22"/>
                        <w:szCs w:val="22"/>
                        <w:lang w:val="en-US"/>
                      </w:rPr>
                      <m:t>i</m:t>
                    </m:r>
                  </m:sub>
                </m:sSub>
              </m:e>
            </m:nary>
          </m:num>
          <m:den>
            <m:nary>
              <m:naryPr>
                <m:chr m:val="∑"/>
                <m:limLoc m:val="undOvr"/>
                <m:subHide m:val="1"/>
                <m:supHide m:val="1"/>
                <m:ctrlPr>
                  <w:rPr>
                    <w:rFonts w:ascii="Cambria Math" w:hAnsi="Cambria Math"/>
                    <w:bCs/>
                    <w:i/>
                    <w:sz w:val="22"/>
                    <w:szCs w:val="22"/>
                    <w:lang w:val="en-US"/>
                  </w:rPr>
                </m:ctrlPr>
              </m:naryPr>
              <m:sub/>
              <m:sup/>
              <m:e>
                <m:sSub>
                  <m:sSubPr>
                    <m:ctrlPr>
                      <w:rPr>
                        <w:rFonts w:ascii="Cambria Math" w:hAnsi="Cambria Math"/>
                        <w:bCs/>
                        <w:i/>
                        <w:sz w:val="22"/>
                        <w:szCs w:val="22"/>
                        <w:lang w:val="en-US"/>
                      </w:rPr>
                    </m:ctrlPr>
                  </m:sSubPr>
                  <m:e>
                    <m:r>
                      <w:rPr>
                        <w:rFonts w:ascii="Cambria Math" w:hAnsi="Cambria Math"/>
                        <w:sz w:val="22"/>
                        <w:szCs w:val="22"/>
                        <w:lang w:val="en-US"/>
                      </w:rPr>
                      <m:t>w</m:t>
                    </m:r>
                  </m:e>
                  <m:sub>
                    <m:r>
                      <w:rPr>
                        <w:rFonts w:ascii="Cambria Math" w:hAnsi="Cambria Math"/>
                        <w:sz w:val="22"/>
                        <w:szCs w:val="22"/>
                        <w:lang w:val="en-US"/>
                      </w:rPr>
                      <m:t>i</m:t>
                    </m:r>
                  </m:sub>
                </m:sSub>
              </m:e>
            </m:nary>
          </m:den>
        </m:f>
      </m:oMath>
      <w:r w:rsidRPr="0035185A">
        <w:rPr>
          <w:bCs/>
          <w:sz w:val="22"/>
          <w:szCs w:val="22"/>
          <w:lang w:val="en-US"/>
        </w:rPr>
        <w:t xml:space="preserve">, </w:t>
      </w:r>
      <m:oMath>
        <m:r>
          <w:rPr>
            <w:rFonts w:ascii="Cambria Math" w:hAnsi="Cambria Math"/>
            <w:sz w:val="22"/>
            <w:szCs w:val="22"/>
            <w:lang w:val="en-US"/>
          </w:rPr>
          <m:t>TLI=</m:t>
        </m:r>
        <m:f>
          <m:fPr>
            <m:ctrlPr>
              <w:rPr>
                <w:rFonts w:ascii="Cambria Math" w:hAnsi="Cambria Math"/>
                <w:bCs/>
                <w:i/>
                <w:sz w:val="22"/>
                <w:szCs w:val="22"/>
                <w:lang w:val="en-US"/>
              </w:rPr>
            </m:ctrlPr>
          </m:fPr>
          <m:num>
            <m:sSub>
              <m:sSubPr>
                <m:ctrlPr>
                  <w:rPr>
                    <w:rFonts w:ascii="Cambria Math" w:hAnsi="Cambria Math"/>
                    <w:bCs/>
                    <w:i/>
                    <w:sz w:val="22"/>
                    <w:szCs w:val="22"/>
                    <w:lang w:val="en-US"/>
                  </w:rPr>
                </m:ctrlPr>
              </m:sSubPr>
              <m:e>
                <m:r>
                  <w:rPr>
                    <w:rFonts w:ascii="Cambria Math" w:hAnsi="Cambria Math"/>
                    <w:sz w:val="22"/>
                    <w:szCs w:val="22"/>
                    <w:lang w:val="en-US"/>
                  </w:rPr>
                  <m:t>TLH</m:t>
                </m:r>
              </m:e>
              <m:sub>
                <m:r>
                  <w:rPr>
                    <w:rFonts w:ascii="Cambria Math" w:hAnsi="Cambria Math"/>
                    <w:sz w:val="22"/>
                    <w:szCs w:val="22"/>
                    <w:lang w:val="en-US"/>
                  </w:rPr>
                  <m:t>Chl</m:t>
                </m:r>
              </m:sub>
            </m:sSub>
            <m:r>
              <w:rPr>
                <w:rFonts w:ascii="Cambria Math" w:hAnsi="Cambria Math"/>
                <w:sz w:val="22"/>
                <w:szCs w:val="22"/>
                <w:lang w:val="en-US"/>
              </w:rPr>
              <m:t>+</m:t>
            </m:r>
            <m:sSub>
              <m:sSubPr>
                <m:ctrlPr>
                  <w:rPr>
                    <w:rFonts w:ascii="Cambria Math" w:hAnsi="Cambria Math"/>
                    <w:bCs/>
                    <w:i/>
                    <w:sz w:val="22"/>
                    <w:szCs w:val="22"/>
                    <w:lang w:val="en-US"/>
                  </w:rPr>
                </m:ctrlPr>
              </m:sSubPr>
              <m:e>
                <m:r>
                  <w:rPr>
                    <w:rFonts w:ascii="Cambria Math" w:hAnsi="Cambria Math"/>
                    <w:sz w:val="22"/>
                    <w:szCs w:val="22"/>
                    <w:lang w:val="en-US"/>
                  </w:rPr>
                  <m:t>TLH</m:t>
                </m:r>
              </m:e>
              <m:sub>
                <m:r>
                  <w:rPr>
                    <w:rFonts w:ascii="Cambria Math" w:hAnsi="Cambria Math"/>
                    <w:sz w:val="22"/>
                    <w:szCs w:val="22"/>
                    <w:lang w:val="en-US"/>
                  </w:rPr>
                  <m:t>TP</m:t>
                </m:r>
              </m:sub>
            </m:sSub>
            <m:r>
              <w:rPr>
                <w:rFonts w:ascii="Cambria Math" w:hAnsi="Cambria Math"/>
                <w:sz w:val="22"/>
                <w:szCs w:val="22"/>
                <w:lang w:val="en-US"/>
              </w:rPr>
              <m:t>+</m:t>
            </m:r>
            <m:sSub>
              <m:sSubPr>
                <m:ctrlPr>
                  <w:rPr>
                    <w:rFonts w:ascii="Cambria Math" w:hAnsi="Cambria Math"/>
                    <w:bCs/>
                    <w:i/>
                    <w:sz w:val="22"/>
                    <w:szCs w:val="22"/>
                    <w:lang w:val="en-US"/>
                  </w:rPr>
                </m:ctrlPr>
              </m:sSubPr>
              <m:e>
                <m:r>
                  <w:rPr>
                    <w:rFonts w:ascii="Cambria Math" w:hAnsi="Cambria Math"/>
                    <w:sz w:val="22"/>
                    <w:szCs w:val="22"/>
                    <w:lang w:val="en-US"/>
                  </w:rPr>
                  <m:t>TLI</m:t>
                </m:r>
              </m:e>
              <m:sub>
                <m:r>
                  <w:rPr>
                    <w:rFonts w:ascii="Cambria Math" w:hAnsi="Cambria Math"/>
                    <w:sz w:val="22"/>
                    <w:szCs w:val="22"/>
                    <w:lang w:val="en-US"/>
                  </w:rPr>
                  <m:t>TN</m:t>
                </m:r>
              </m:sub>
            </m:sSub>
          </m:num>
          <m:den>
            <m:r>
              <w:rPr>
                <w:rFonts w:ascii="Cambria Math" w:hAnsi="Cambria Math"/>
                <w:sz w:val="22"/>
                <w:szCs w:val="22"/>
                <w:lang w:val="en-US"/>
              </w:rPr>
              <m:t>3</m:t>
            </m:r>
          </m:den>
        </m:f>
      </m:oMath>
      <w:r w:rsidRPr="0035185A">
        <w:rPr>
          <w:bCs/>
          <w:sz w:val="22"/>
          <w:szCs w:val="22"/>
          <w:lang w:val="en-US"/>
        </w:rPr>
        <w:t xml:space="preserve">, </w:t>
      </w:r>
      <m:oMath>
        <m:r>
          <w:rPr>
            <w:rFonts w:ascii="Cambria Math" w:hAnsi="Cambria Math"/>
            <w:sz w:val="22"/>
            <w:szCs w:val="22"/>
            <w:lang w:val="en-US"/>
          </w:rPr>
          <m:t>API=</m:t>
        </m:r>
        <m:nary>
          <m:naryPr>
            <m:chr m:val="∑"/>
            <m:limLoc m:val="undOvr"/>
            <m:subHide m:val="1"/>
            <m:supHide m:val="1"/>
            <m:ctrlPr>
              <w:rPr>
                <w:rFonts w:ascii="Cambria Math" w:hAnsi="Cambria Math"/>
                <w:bCs/>
                <w:i/>
                <w:sz w:val="22"/>
                <w:szCs w:val="22"/>
                <w:lang w:val="en-US"/>
              </w:rPr>
            </m:ctrlPr>
          </m:naryPr>
          <m:sub/>
          <m:sup/>
          <m:e>
            <m:sSub>
              <m:sSubPr>
                <m:ctrlPr>
                  <w:rPr>
                    <w:rFonts w:ascii="Cambria Math" w:hAnsi="Cambria Math"/>
                    <w:bCs/>
                    <w:i/>
                    <w:sz w:val="22"/>
                    <w:szCs w:val="22"/>
                    <w:lang w:val="en-US"/>
                  </w:rPr>
                </m:ctrlPr>
              </m:sSubPr>
              <m:e>
                <m:r>
                  <w:rPr>
                    <w:rFonts w:ascii="Cambria Math" w:hAnsi="Cambria Math"/>
                    <w:sz w:val="22"/>
                    <w:szCs w:val="22"/>
                    <w:lang w:val="en-US"/>
                  </w:rPr>
                  <m:t>w</m:t>
                </m:r>
              </m:e>
              <m:sub>
                <m:r>
                  <w:rPr>
                    <w:rFonts w:ascii="Cambria Math" w:hAnsi="Cambria Math"/>
                    <w:sz w:val="22"/>
                    <w:szCs w:val="22"/>
                    <w:lang w:val="en-US"/>
                  </w:rPr>
                  <m:t>K</m:t>
                </m:r>
              </m:sub>
            </m:sSub>
            <m:sSub>
              <m:sSubPr>
                <m:ctrlPr>
                  <w:rPr>
                    <w:rFonts w:ascii="Cambria Math" w:hAnsi="Cambria Math"/>
                    <w:bCs/>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K</m:t>
                </m:r>
              </m:sub>
            </m:sSub>
          </m:e>
        </m:nary>
      </m:oMath>
    </w:p>
    <w:p w14:paraId="18072A14" w14:textId="3D8B6BA6" w:rsidR="00071903" w:rsidRPr="0035185A" w:rsidRDefault="001E1E3C" w:rsidP="002E4748">
      <w:pPr>
        <w:pStyle w:val="Newparagraph"/>
        <w:spacing w:before="120" w:after="120" w:line="240" w:lineRule="auto"/>
        <w:ind w:firstLine="0"/>
        <w:jc w:val="center"/>
        <w:rPr>
          <w:b/>
          <w:bCs/>
          <w:sz w:val="18"/>
          <w:szCs w:val="18"/>
          <w:lang w:val="en-US"/>
        </w:rPr>
      </w:pPr>
      <m:oMathPara>
        <m:oMath>
          <m:r>
            <w:rPr>
              <w:rFonts w:ascii="Cambria Math" w:hAnsi="Cambria Math"/>
              <w:sz w:val="22"/>
              <w:szCs w:val="22"/>
              <w:lang w:val="en-US"/>
            </w:rPr>
            <m:t>ILVI=</m:t>
          </m:r>
          <m:rad>
            <m:radPr>
              <m:degHide m:val="1"/>
              <m:ctrlPr>
                <w:rPr>
                  <w:rFonts w:ascii="Cambria Math" w:hAnsi="Cambria Math"/>
                  <w:bCs/>
                  <w:i/>
                  <w:sz w:val="22"/>
                  <w:szCs w:val="22"/>
                  <w:lang w:val="en-US"/>
                </w:rPr>
              </m:ctrlPr>
            </m:radPr>
            <m:deg/>
            <m:e>
              <m:r>
                <w:rPr>
                  <w:rFonts w:ascii="Cambria Math" w:hAnsi="Cambria Math"/>
                  <w:sz w:val="22"/>
                  <w:szCs w:val="22"/>
                  <w:lang w:val="en-US"/>
                </w:rPr>
                <m:t>W</m:t>
              </m:r>
              <m:sSup>
                <m:sSupPr>
                  <m:ctrlPr>
                    <w:rPr>
                      <w:rFonts w:ascii="Cambria Math" w:hAnsi="Cambria Math"/>
                      <w:bCs/>
                      <w:i/>
                      <w:sz w:val="22"/>
                      <w:szCs w:val="22"/>
                      <w:lang w:val="en-US"/>
                    </w:rPr>
                  </m:ctrlPr>
                </m:sSupPr>
                <m:e>
                  <m:r>
                    <w:rPr>
                      <w:rFonts w:ascii="Cambria Math" w:hAnsi="Cambria Math"/>
                      <w:sz w:val="22"/>
                      <w:szCs w:val="22"/>
                      <w:lang w:val="en-US"/>
                    </w:rPr>
                    <m:t>Q</m:t>
                  </m:r>
                </m:e>
                <m:sup>
                  <m:r>
                    <w:rPr>
                      <w:rFonts w:ascii="Cambria Math" w:hAnsi="Cambria Math"/>
                      <w:sz w:val="22"/>
                      <w:szCs w:val="22"/>
                      <w:lang w:val="en-US"/>
                    </w:rPr>
                    <m:t>2</m:t>
                  </m:r>
                </m:sup>
              </m:sSup>
              <m:r>
                <w:rPr>
                  <w:rFonts w:ascii="Cambria Math" w:hAnsi="Cambria Math"/>
                  <w:sz w:val="22"/>
                  <w:szCs w:val="22"/>
                  <w:lang w:val="en-US"/>
                </w:rPr>
                <m:t>+H</m:t>
              </m:r>
              <m:sSup>
                <m:sSupPr>
                  <m:ctrlPr>
                    <w:rPr>
                      <w:rFonts w:ascii="Cambria Math" w:hAnsi="Cambria Math"/>
                      <w:bCs/>
                      <w:i/>
                      <w:sz w:val="22"/>
                      <w:szCs w:val="22"/>
                      <w:lang w:val="en-US"/>
                    </w:rPr>
                  </m:ctrlPr>
                </m:sSupPr>
                <m:e>
                  <m:r>
                    <w:rPr>
                      <w:rFonts w:ascii="Cambria Math" w:hAnsi="Cambria Math"/>
                      <w:sz w:val="22"/>
                      <w:szCs w:val="22"/>
                      <w:lang w:val="en-US"/>
                    </w:rPr>
                    <m:t>M</m:t>
                  </m:r>
                </m:e>
                <m:sup>
                  <m:r>
                    <w:rPr>
                      <w:rFonts w:ascii="Cambria Math" w:hAnsi="Cambria Math"/>
                      <w:sz w:val="22"/>
                      <w:szCs w:val="22"/>
                      <w:lang w:val="en-US"/>
                    </w:rPr>
                    <m:t>2</m:t>
                  </m:r>
                </m:sup>
              </m:sSup>
              <m:r>
                <w:rPr>
                  <w:rFonts w:ascii="Cambria Math" w:hAnsi="Cambria Math"/>
                  <w:sz w:val="22"/>
                  <w:szCs w:val="22"/>
                  <w:lang w:val="en-US"/>
                </w:rPr>
                <m:t>+</m:t>
              </m:r>
              <m:sSup>
                <m:sSupPr>
                  <m:ctrlPr>
                    <w:rPr>
                      <w:rFonts w:ascii="Cambria Math" w:hAnsi="Cambria Math"/>
                      <w:bCs/>
                      <w:i/>
                      <w:sz w:val="22"/>
                      <w:szCs w:val="22"/>
                      <w:lang w:val="en-US"/>
                    </w:rPr>
                  </m:ctrlPr>
                </m:sSupPr>
                <m:e>
                  <m:r>
                    <w:rPr>
                      <w:rFonts w:ascii="Cambria Math" w:hAnsi="Cambria Math"/>
                      <w:sz w:val="22"/>
                      <w:szCs w:val="22"/>
                      <w:lang w:val="en-US"/>
                    </w:rPr>
                    <m:t>D</m:t>
                  </m:r>
                </m:e>
                <m:sup>
                  <m:r>
                    <w:rPr>
                      <w:rFonts w:ascii="Cambria Math" w:hAnsi="Cambria Math"/>
                      <w:sz w:val="22"/>
                      <w:szCs w:val="22"/>
                      <w:lang w:val="en-US"/>
                    </w:rPr>
                    <m:t>2</m:t>
                  </m:r>
                </m:sup>
              </m:sSup>
              <m:r>
                <w:rPr>
                  <w:rFonts w:ascii="Cambria Math" w:hAnsi="Cambria Math"/>
                  <w:sz w:val="22"/>
                  <w:szCs w:val="22"/>
                  <w:lang w:val="en-US"/>
                </w:rPr>
                <m:t>+</m:t>
              </m:r>
              <m:sSup>
                <m:sSupPr>
                  <m:ctrlPr>
                    <w:rPr>
                      <w:rFonts w:ascii="Cambria Math" w:hAnsi="Cambria Math"/>
                      <w:bCs/>
                      <w:i/>
                      <w:sz w:val="22"/>
                      <w:szCs w:val="22"/>
                      <w:lang w:val="en-US"/>
                    </w:rPr>
                  </m:ctrlPr>
                </m:sSupPr>
                <m:e>
                  <m:r>
                    <w:rPr>
                      <w:rFonts w:ascii="Cambria Math" w:hAnsi="Cambria Math"/>
                      <w:sz w:val="22"/>
                      <w:szCs w:val="22"/>
                      <w:lang w:val="en-US"/>
                    </w:rPr>
                    <m:t>API</m:t>
                  </m:r>
                </m:e>
                <m:sup>
                  <m:r>
                    <w:rPr>
                      <w:rFonts w:ascii="Cambria Math" w:hAnsi="Cambria Math"/>
                      <w:sz w:val="22"/>
                      <w:szCs w:val="22"/>
                      <w:lang w:val="en-US"/>
                    </w:rPr>
                    <m:t>2</m:t>
                  </m:r>
                </m:sup>
              </m:sSup>
            </m:e>
          </m:rad>
        </m:oMath>
      </m:oMathPara>
    </w:p>
    <w:p w14:paraId="41471611" w14:textId="34287658" w:rsidR="00071903" w:rsidRPr="0035185A" w:rsidRDefault="00341035" w:rsidP="00C73844">
      <w:pPr>
        <w:pStyle w:val="Paragraph"/>
        <w:spacing w:before="0" w:line="240" w:lineRule="auto"/>
        <w:ind w:firstLine="284"/>
        <w:jc w:val="both"/>
        <w:rPr>
          <w:sz w:val="22"/>
          <w:szCs w:val="22"/>
          <w:lang w:val="en-US"/>
        </w:rPr>
      </w:pPr>
      <w:r w:rsidRPr="0035185A">
        <w:rPr>
          <w:sz w:val="22"/>
          <w:szCs w:val="22"/>
          <w:lang w:val="en-US"/>
        </w:rPr>
        <w:t>All remote sensing analyses were conducted in Google Earth Engine; GIS analyses in ArcGIS Pro 3.2 and QGIS 3.34; statistical analyses in R (</w:t>
      </w:r>
      <w:proofErr w:type="spellStart"/>
      <w:r w:rsidRPr="0035185A">
        <w:rPr>
          <w:sz w:val="22"/>
          <w:szCs w:val="22"/>
          <w:lang w:val="en-US"/>
        </w:rPr>
        <w:t>mgcv</w:t>
      </w:r>
      <w:proofErr w:type="spellEnd"/>
      <w:r w:rsidRPr="0035185A">
        <w:rPr>
          <w:sz w:val="22"/>
          <w:szCs w:val="22"/>
          <w:lang w:val="en-US"/>
        </w:rPr>
        <w:t xml:space="preserve">, Kendall, SPEI, raster, </w:t>
      </w:r>
      <w:proofErr w:type="spellStart"/>
      <w:r w:rsidRPr="0035185A">
        <w:rPr>
          <w:sz w:val="22"/>
          <w:szCs w:val="22"/>
          <w:lang w:val="en-US"/>
        </w:rPr>
        <w:t>rgdal</w:t>
      </w:r>
      <w:proofErr w:type="spellEnd"/>
      <w:r w:rsidRPr="0035185A">
        <w:rPr>
          <w:sz w:val="22"/>
          <w:szCs w:val="22"/>
          <w:lang w:val="en-US"/>
        </w:rPr>
        <w:t xml:space="preserve">, </w:t>
      </w:r>
      <w:proofErr w:type="spellStart"/>
      <w:r w:rsidRPr="0035185A">
        <w:rPr>
          <w:sz w:val="22"/>
          <w:szCs w:val="22"/>
          <w:lang w:val="en-US"/>
        </w:rPr>
        <w:t>tidyverse</w:t>
      </w:r>
      <w:proofErr w:type="spellEnd"/>
      <w:r w:rsidRPr="0035185A">
        <w:rPr>
          <w:sz w:val="22"/>
          <w:szCs w:val="22"/>
          <w:lang w:val="en-US"/>
        </w:rPr>
        <w:t xml:space="preserve">). This integrative methodology </w:t>
      </w:r>
      <w:r w:rsidR="00D712DC">
        <w:rPr>
          <w:sz w:val="22"/>
          <w:szCs w:val="22"/>
          <w:lang w:val="en-US"/>
        </w:rPr>
        <w:t>enables a comprehensive assessment of the</w:t>
      </w:r>
      <w:r w:rsidRPr="0035185A">
        <w:rPr>
          <w:sz w:val="22"/>
          <w:szCs w:val="22"/>
          <w:lang w:val="en-US"/>
        </w:rPr>
        <w:t xml:space="preserve"> hydrological, climatic, and anthropogenic drivers affecting Mediterranean closed-basin lakes.</w:t>
      </w:r>
    </w:p>
    <w:p w14:paraId="192BE0C7" w14:textId="278EE888" w:rsidR="00D100E7" w:rsidRPr="00D712DC" w:rsidRDefault="00F733CF" w:rsidP="00664250">
      <w:pPr>
        <w:pStyle w:val="Rn1"/>
        <w:rPr>
          <w:lang w:val="en-GB"/>
        </w:rPr>
      </w:pPr>
      <w:r w:rsidRPr="00D712DC">
        <w:rPr>
          <w:lang w:val="en-GB"/>
        </w:rPr>
        <w:t xml:space="preserve">3. </w:t>
      </w:r>
      <w:r w:rsidR="00D100E7" w:rsidRPr="00D712DC">
        <w:rPr>
          <w:lang w:val="en-GB"/>
        </w:rPr>
        <w:t>Results</w:t>
      </w:r>
    </w:p>
    <w:p w14:paraId="7B438BF5" w14:textId="2B7D3212" w:rsidR="008B51AE" w:rsidRPr="00D712DC" w:rsidRDefault="00541B96" w:rsidP="00664250">
      <w:pPr>
        <w:pStyle w:val="Rn2"/>
        <w:rPr>
          <w:bCs/>
          <w:i/>
          <w:sz w:val="20"/>
          <w:szCs w:val="20"/>
          <w:lang w:val="en-GB"/>
        </w:rPr>
      </w:pPr>
      <w:r w:rsidRPr="00D712DC">
        <w:rPr>
          <w:lang w:val="en-GB"/>
        </w:rPr>
        <w:t xml:space="preserve">3.1. </w:t>
      </w:r>
      <w:r w:rsidR="0013009E" w:rsidRPr="00D712DC">
        <w:rPr>
          <w:lang w:val="en-GB"/>
        </w:rPr>
        <w:t>Long-Term Surface Water Dynamics and Lake Area Change</w:t>
      </w:r>
    </w:p>
    <w:p w14:paraId="58A7B514" w14:textId="3F90D7C7" w:rsidR="00C35AEF" w:rsidRDefault="00C35AEF" w:rsidP="00C73844">
      <w:pPr>
        <w:pStyle w:val="Paragraph"/>
        <w:keepNext/>
        <w:spacing w:before="0" w:line="240" w:lineRule="auto"/>
        <w:ind w:firstLine="284"/>
        <w:jc w:val="both"/>
        <w:rPr>
          <w:sz w:val="22"/>
          <w:szCs w:val="22"/>
          <w:lang w:val="en-US"/>
        </w:rPr>
      </w:pPr>
      <w:r w:rsidRPr="0035185A">
        <w:rPr>
          <w:sz w:val="22"/>
          <w:szCs w:val="22"/>
          <w:lang w:val="en-US"/>
        </w:rPr>
        <w:t>Analysis of satellite-derived normalized lake surface area trajectories between 2010 and 2024 reveals a</w:t>
      </w:r>
      <w:r w:rsidR="00A25F0E">
        <w:rPr>
          <w:sz w:val="22"/>
          <w:szCs w:val="22"/>
          <w:lang w:val="en-US"/>
        </w:rPr>
        <w:t> </w:t>
      </w:r>
      <w:r w:rsidRPr="0035185A">
        <w:rPr>
          <w:sz w:val="22"/>
          <w:szCs w:val="22"/>
          <w:lang w:val="en-US"/>
        </w:rPr>
        <w:t xml:space="preserve">consistent but spatially differentiated decline in surface water extent across the six Mediterranean closed-basin lakes examined (Figure </w:t>
      </w:r>
      <w:r w:rsidR="0030723C" w:rsidRPr="0035185A">
        <w:rPr>
          <w:sz w:val="22"/>
          <w:szCs w:val="22"/>
          <w:lang w:val="en-US"/>
        </w:rPr>
        <w:t>1</w:t>
      </w:r>
      <w:r w:rsidRPr="0035185A">
        <w:rPr>
          <w:sz w:val="22"/>
          <w:szCs w:val="22"/>
          <w:lang w:val="en-US"/>
        </w:rPr>
        <w:t>). Although all lakes exhibit net contraction over the study period, the magnitude, temporal persistence, and interannual variability of surface area loss differ substantially among systems, indicating lake-specific hydrological sensitivities rather than a uniform regional response.</w:t>
      </w:r>
    </w:p>
    <w:p w14:paraId="70E3E56E" w14:textId="77777777" w:rsidR="002F750B" w:rsidRPr="002F750B" w:rsidRDefault="002F750B" w:rsidP="002F750B">
      <w:pPr>
        <w:pStyle w:val="Newparagraph"/>
        <w:spacing w:line="240" w:lineRule="auto"/>
        <w:ind w:firstLine="0"/>
        <w:jc w:val="both"/>
        <w:rPr>
          <w:sz w:val="22"/>
          <w:szCs w:val="22"/>
          <w:lang w:val="en-US"/>
        </w:rPr>
      </w:pPr>
    </w:p>
    <w:p w14:paraId="70CCBAB4" w14:textId="77777777" w:rsidR="00C35AEF" w:rsidRPr="0035185A" w:rsidRDefault="00C35AEF" w:rsidP="00C73844">
      <w:pPr>
        <w:pStyle w:val="Newparagraph"/>
        <w:keepNext/>
        <w:spacing w:line="240" w:lineRule="auto"/>
        <w:ind w:firstLine="0"/>
        <w:jc w:val="center"/>
      </w:pPr>
      <w:r w:rsidRPr="0035185A">
        <w:rPr>
          <w:noProof/>
          <w:lang w:val="en-US"/>
        </w:rPr>
        <w:lastRenderedPageBreak/>
        <w:drawing>
          <wp:inline distT="0" distB="0" distL="0" distR="0" wp14:anchorId="2ECAA207" wp14:editId="424E7FCD">
            <wp:extent cx="3267427" cy="2381534"/>
            <wp:effectExtent l="0" t="0" r="0" b="0"/>
            <wp:docPr id="15755096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6288"/>
                    <a:stretch>
                      <a:fillRect/>
                    </a:stretch>
                  </pic:blipFill>
                  <pic:spPr bwMode="auto">
                    <a:xfrm>
                      <a:off x="0" y="0"/>
                      <a:ext cx="3325348" cy="2423751"/>
                    </a:xfrm>
                    <a:prstGeom prst="rect">
                      <a:avLst/>
                    </a:prstGeom>
                    <a:noFill/>
                    <a:ln>
                      <a:noFill/>
                    </a:ln>
                    <a:extLst>
                      <a:ext uri="{53640926-AAD7-44D8-BBD7-CCE9431645EC}">
                        <a14:shadowObscured xmlns:a14="http://schemas.microsoft.com/office/drawing/2010/main"/>
                      </a:ext>
                    </a:extLst>
                  </pic:spPr>
                </pic:pic>
              </a:graphicData>
            </a:graphic>
          </wp:inline>
        </w:drawing>
      </w:r>
    </w:p>
    <w:p w14:paraId="266A7FA4" w14:textId="62539C61" w:rsidR="00C35AEF" w:rsidRPr="002F750B" w:rsidRDefault="00C35AEF" w:rsidP="00637164">
      <w:pPr>
        <w:pStyle w:val="Rrys"/>
        <w:rPr>
          <w:lang w:val="en-US"/>
        </w:rPr>
      </w:pPr>
      <w:r w:rsidRPr="002F750B">
        <w:rPr>
          <w:b/>
          <w:bCs/>
          <w:lang w:val="en-US"/>
        </w:rPr>
        <w:t>Fig.</w:t>
      </w:r>
      <w:r w:rsidR="00593405" w:rsidRPr="002F750B">
        <w:rPr>
          <w:b/>
          <w:bCs/>
          <w:i/>
          <w:iCs/>
          <w:lang w:val="en-US"/>
        </w:rPr>
        <w:t xml:space="preserve"> </w:t>
      </w:r>
      <w:r w:rsidRPr="0035185A">
        <w:rPr>
          <w:b/>
          <w:bCs/>
          <w:i/>
          <w:iCs/>
        </w:rPr>
        <w:fldChar w:fldCharType="begin"/>
      </w:r>
      <w:r w:rsidRPr="002F750B">
        <w:rPr>
          <w:b/>
          <w:bCs/>
          <w:lang w:val="en-US"/>
        </w:rPr>
        <w:instrText xml:space="preserve"> SEQ Fig. \* ARABIC </w:instrText>
      </w:r>
      <w:r w:rsidRPr="0035185A">
        <w:rPr>
          <w:b/>
          <w:bCs/>
          <w:i/>
          <w:iCs/>
        </w:rPr>
        <w:fldChar w:fldCharType="separate"/>
      </w:r>
      <w:r w:rsidR="004C1435">
        <w:rPr>
          <w:b/>
          <w:bCs/>
          <w:noProof/>
          <w:lang w:val="en-US"/>
        </w:rPr>
        <w:t>1</w:t>
      </w:r>
      <w:r w:rsidRPr="0035185A">
        <w:rPr>
          <w:b/>
          <w:bCs/>
          <w:i/>
          <w:iCs/>
        </w:rPr>
        <w:fldChar w:fldCharType="end"/>
      </w:r>
      <w:r w:rsidRPr="002F750B">
        <w:rPr>
          <w:b/>
          <w:bCs/>
          <w:lang w:val="en-US"/>
        </w:rPr>
        <w:t>.</w:t>
      </w:r>
      <w:r w:rsidRPr="002F750B">
        <w:rPr>
          <w:lang w:val="en-US"/>
        </w:rPr>
        <w:t xml:space="preserve"> Normalized lake surface area dynamics (2010</w:t>
      </w:r>
      <w:r w:rsidR="002F750B" w:rsidRPr="002F750B">
        <w:rPr>
          <w:lang w:val="en-US"/>
        </w:rPr>
        <w:t>–</w:t>
      </w:r>
      <w:r w:rsidRPr="002F750B">
        <w:rPr>
          <w:lang w:val="en-US"/>
        </w:rPr>
        <w:t>2024)</w:t>
      </w:r>
    </w:p>
    <w:p w14:paraId="7D49C9FD" w14:textId="77777777" w:rsidR="00637164" w:rsidRDefault="00637164" w:rsidP="00866AA2">
      <w:pPr>
        <w:pStyle w:val="Paragraph"/>
        <w:spacing w:before="0" w:line="240" w:lineRule="auto"/>
        <w:ind w:firstLine="284"/>
        <w:jc w:val="both"/>
        <w:rPr>
          <w:sz w:val="22"/>
          <w:szCs w:val="22"/>
          <w:lang w:val="en-US"/>
        </w:rPr>
      </w:pPr>
    </w:p>
    <w:p w14:paraId="293BBD86" w14:textId="703A07CA" w:rsidR="00866AA2" w:rsidRPr="0035185A" w:rsidRDefault="00C35AEF" w:rsidP="00866AA2">
      <w:pPr>
        <w:pStyle w:val="Paragraph"/>
        <w:spacing w:before="0" w:line="240" w:lineRule="auto"/>
        <w:ind w:firstLine="284"/>
        <w:jc w:val="both"/>
        <w:rPr>
          <w:sz w:val="22"/>
          <w:szCs w:val="22"/>
          <w:lang w:val="en-US"/>
        </w:rPr>
      </w:pPr>
      <w:r w:rsidRPr="0035185A">
        <w:rPr>
          <w:sz w:val="22"/>
          <w:szCs w:val="22"/>
          <w:lang w:val="en-US"/>
        </w:rPr>
        <w:t xml:space="preserve">Lake </w:t>
      </w:r>
      <w:proofErr w:type="spellStart"/>
      <w:r w:rsidRPr="0035185A">
        <w:rPr>
          <w:sz w:val="22"/>
          <w:szCs w:val="22"/>
          <w:lang w:val="en-US"/>
        </w:rPr>
        <w:t>Burdur</w:t>
      </w:r>
      <w:proofErr w:type="spellEnd"/>
      <w:r w:rsidRPr="0035185A">
        <w:rPr>
          <w:sz w:val="22"/>
          <w:szCs w:val="22"/>
          <w:lang w:val="en-US"/>
        </w:rPr>
        <w:t xml:space="preserve"> displays the most pronounced and monotonic decline in normalized surface area, decreasing steadily from near-baseline conditions in 2010 to approximately 0.77 of its initial extent by 2024. The absence of recovery phases and the persistence of negative trends throughout the record suggest a structurally altered water balance dominated by long-term deficits. A similarly strong but slightly less severe contraction is observed in Lake Eber, where normalized surface area declines to approximately 0.82 by the end of the study period. Both lakes exhibit accelerated shrinkage after 2015, coinciding with successive dry years and increased anthropogenic water withdrawals within their respective catchments. </w:t>
      </w:r>
    </w:p>
    <w:p w14:paraId="681E89BF" w14:textId="29BAD156" w:rsidR="00CE2BEB" w:rsidRDefault="00C35AEF" w:rsidP="00C73844">
      <w:pPr>
        <w:pStyle w:val="Paragraph"/>
        <w:keepNext/>
        <w:spacing w:before="0" w:line="240" w:lineRule="auto"/>
        <w:ind w:firstLine="284"/>
        <w:jc w:val="both"/>
        <w:rPr>
          <w:sz w:val="22"/>
          <w:szCs w:val="22"/>
          <w:lang w:val="en-US"/>
        </w:rPr>
      </w:pPr>
      <w:r w:rsidRPr="0035185A">
        <w:rPr>
          <w:sz w:val="22"/>
          <w:szCs w:val="22"/>
          <w:lang w:val="en-US"/>
        </w:rPr>
        <w:t>Intermediate responses characterize Lake Karata</w:t>
      </w:r>
      <w:r w:rsidR="00031F6E" w:rsidRPr="0035185A">
        <w:rPr>
          <w:sz w:val="22"/>
          <w:szCs w:val="22"/>
          <w:lang w:val="en-US"/>
        </w:rPr>
        <w:t>s</w:t>
      </w:r>
      <w:r w:rsidRPr="0035185A">
        <w:rPr>
          <w:sz w:val="22"/>
          <w:szCs w:val="22"/>
          <w:lang w:val="en-US"/>
        </w:rPr>
        <w:t xml:space="preserve"> and Lake Yar</w:t>
      </w:r>
      <w:r w:rsidR="007801DD" w:rsidRPr="0035185A">
        <w:rPr>
          <w:sz w:val="22"/>
          <w:szCs w:val="22"/>
          <w:lang w:val="en-US"/>
        </w:rPr>
        <w:t>isli</w:t>
      </w:r>
      <w:r w:rsidRPr="0035185A">
        <w:rPr>
          <w:sz w:val="22"/>
          <w:szCs w:val="22"/>
          <w:lang w:val="en-US"/>
        </w:rPr>
        <w:t>. Lake Karata</w:t>
      </w:r>
      <w:r w:rsidR="00031F6E" w:rsidRPr="0035185A">
        <w:rPr>
          <w:sz w:val="22"/>
          <w:szCs w:val="22"/>
          <w:lang w:val="en-US"/>
        </w:rPr>
        <w:t>s</w:t>
      </w:r>
      <w:r w:rsidRPr="0035185A">
        <w:rPr>
          <w:sz w:val="22"/>
          <w:szCs w:val="22"/>
          <w:lang w:val="en-US"/>
        </w:rPr>
        <w:t xml:space="preserve"> shows a gradual but continuous reduction in surface area, reaching approximately 0.83 of its 2010 extent by 2024, with minor interannual fluctuations that do not offset the long-term downward trend</w:t>
      </w:r>
      <w:r w:rsidR="00FD1220" w:rsidRPr="0035185A">
        <w:rPr>
          <w:sz w:val="22"/>
          <w:szCs w:val="22"/>
          <w:lang w:val="en-US"/>
        </w:rPr>
        <w:t xml:space="preserve">. </w:t>
      </w:r>
      <w:r w:rsidRPr="0035185A">
        <w:rPr>
          <w:sz w:val="22"/>
          <w:szCs w:val="22"/>
          <w:lang w:val="en-US"/>
        </w:rPr>
        <w:t>Lake Yar</w:t>
      </w:r>
      <w:r w:rsidR="007801DD" w:rsidRPr="0035185A">
        <w:rPr>
          <w:sz w:val="22"/>
          <w:szCs w:val="22"/>
          <w:lang w:val="en-US"/>
        </w:rPr>
        <w:t>isli</w:t>
      </w:r>
      <w:r w:rsidRPr="0035185A">
        <w:rPr>
          <w:sz w:val="22"/>
          <w:szCs w:val="22"/>
          <w:lang w:val="en-US"/>
        </w:rPr>
        <w:t xml:space="preserve"> follows a comparable trajectory but with slightly reduced amplitude, stabilizing near 0.87 toward the end of the record.</w:t>
      </w:r>
      <w:r w:rsidR="00866AA2" w:rsidRPr="0035185A">
        <w:rPr>
          <w:sz w:val="22"/>
          <w:szCs w:val="22"/>
          <w:lang w:val="en-US"/>
        </w:rPr>
        <w:t xml:space="preserve"> </w:t>
      </w:r>
      <w:r w:rsidRPr="0035185A">
        <w:rPr>
          <w:sz w:val="22"/>
          <w:szCs w:val="22"/>
          <w:lang w:val="en-US"/>
        </w:rPr>
        <w:t>These patterns suggest partial buffering capacity, potentially linked to basin morphology or episodic inflow contributions, yet insufficient to counteract sustained hydrological stress.</w:t>
      </w:r>
      <w:r w:rsidR="00C00822" w:rsidRPr="0035185A">
        <w:rPr>
          <w:sz w:val="22"/>
          <w:szCs w:val="22"/>
          <w:lang w:val="en-US"/>
        </w:rPr>
        <w:t xml:space="preserve"> </w:t>
      </w:r>
      <w:r w:rsidRPr="0035185A">
        <w:rPr>
          <w:sz w:val="22"/>
          <w:szCs w:val="22"/>
          <w:lang w:val="en-US"/>
        </w:rPr>
        <w:t>Lake Ac</w:t>
      </w:r>
      <w:r w:rsidR="007801DD" w:rsidRPr="0035185A">
        <w:rPr>
          <w:sz w:val="22"/>
          <w:szCs w:val="22"/>
          <w:lang w:val="en-US"/>
        </w:rPr>
        <w:t>igol</w:t>
      </w:r>
      <w:r w:rsidRPr="0035185A">
        <w:rPr>
          <w:sz w:val="22"/>
          <w:szCs w:val="22"/>
          <w:lang w:val="en-US"/>
        </w:rPr>
        <w:t xml:space="preserve"> exhibits a distinct temporal behavior, marked by moderate decline punctuated by short-term stabilization phases. While its normalized surface area remains above 0.89 until the late 2010s, a sharper contraction emerges after 2021, culminating in a noticeable drop by 2024. This delayed response implies threshold-driven sensitivity, </w:t>
      </w:r>
      <w:r w:rsidR="00D712DC">
        <w:rPr>
          <w:sz w:val="22"/>
          <w:szCs w:val="22"/>
          <w:lang w:val="en-US"/>
        </w:rPr>
        <w:t>in which cumulative climatic and hydrological pressures exceed</w:t>
      </w:r>
      <w:r w:rsidRPr="0035185A">
        <w:rPr>
          <w:sz w:val="22"/>
          <w:szCs w:val="22"/>
          <w:lang w:val="en-US"/>
        </w:rPr>
        <w:t xml:space="preserve"> system resilience only after prolonged stress accumulation.</w:t>
      </w:r>
      <w:r w:rsidR="00C00822" w:rsidRPr="0035185A">
        <w:rPr>
          <w:sz w:val="22"/>
          <w:szCs w:val="22"/>
          <w:lang w:val="en-US"/>
        </w:rPr>
        <w:t xml:space="preserve"> </w:t>
      </w:r>
      <w:r w:rsidRPr="0035185A">
        <w:rPr>
          <w:sz w:val="22"/>
          <w:szCs w:val="22"/>
          <w:lang w:val="en-US"/>
        </w:rPr>
        <w:t>In contrast, Lake Salda demonstrates the highest relative resilience among the analyzed lakes. Normalized surface area values remain consistently above 0.94 throughout the study period, with only minor interannual variability and no evidence of abrupt decline. The comparatively stable trajectory of Salda highlights the role of protected status, limited direct abstraction, and hydrogeological controls in moderating surface water loss under semi-arid Mediterranean conditions.</w:t>
      </w:r>
      <w:r w:rsidR="0030723C" w:rsidRPr="0035185A">
        <w:rPr>
          <w:sz w:val="22"/>
          <w:szCs w:val="22"/>
          <w:lang w:val="en-US"/>
        </w:rPr>
        <w:t xml:space="preserve"> Satellite-derived lake surface area time series reveal a consistent and monotonic decline across all six Mediterranean closed-basin lakes between 2010 and 2024 (Figure 2). Although the magnitude of change varies among lakes, none of the investigated systems exhibit stable or recovering surface water conditions, indicating a basin-wide and persistent desiccation </w:t>
      </w:r>
      <w:r w:rsidR="00CE2BEB" w:rsidRPr="0035185A">
        <w:rPr>
          <w:sz w:val="22"/>
          <w:szCs w:val="22"/>
          <w:lang w:val="en-US"/>
        </w:rPr>
        <w:t>trend.</w:t>
      </w:r>
    </w:p>
    <w:p w14:paraId="39C99A81" w14:textId="77777777" w:rsidR="00637164" w:rsidRPr="00637164" w:rsidRDefault="00637164" w:rsidP="00637164">
      <w:pPr>
        <w:pStyle w:val="Newparagraph"/>
        <w:spacing w:line="240" w:lineRule="auto"/>
        <w:ind w:firstLine="0"/>
        <w:jc w:val="both"/>
        <w:rPr>
          <w:sz w:val="22"/>
          <w:szCs w:val="22"/>
          <w:lang w:val="en-US"/>
        </w:rPr>
      </w:pPr>
    </w:p>
    <w:p w14:paraId="7D85DCA1" w14:textId="77777777" w:rsidR="00CE2BEB" w:rsidRPr="0035185A" w:rsidRDefault="00CE2BEB" w:rsidP="00C73844">
      <w:pPr>
        <w:pStyle w:val="Newparagraph"/>
        <w:keepNext/>
        <w:spacing w:line="240" w:lineRule="auto"/>
        <w:ind w:firstLine="0"/>
        <w:jc w:val="center"/>
      </w:pPr>
      <w:r w:rsidRPr="0035185A">
        <w:rPr>
          <w:noProof/>
          <w:lang w:val="en-US"/>
        </w:rPr>
        <w:drawing>
          <wp:inline distT="0" distB="0" distL="0" distR="0" wp14:anchorId="01F1FC92" wp14:editId="10C7E097">
            <wp:extent cx="2766361" cy="2084832"/>
            <wp:effectExtent l="0" t="0" r="0" b="0"/>
            <wp:docPr id="1960017483" name="Resim 2" descr="metin, çizgi, öykü gelişim çizgisi; kumpas; grafiğini çıkarma, 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17483" name="Resim 2" descr="metin, çizgi, öykü gelişim çizgisi; kumpas; grafiğini çıkarma, diyagram içeren bir resim&#10;&#10;Yapay zeka tarafından oluşturulmuş içerik yanlış olabilir."/>
                    <pic:cNvPicPr>
                      <a:picLocks noChangeAspect="1" noChangeArrowheads="1"/>
                    </pic:cNvPicPr>
                  </pic:nvPicPr>
                  <pic:blipFill rotWithShape="1">
                    <a:blip r:embed="rId10">
                      <a:extLst>
                        <a:ext uri="{28A0092B-C50C-407E-A947-70E740481C1C}">
                          <a14:useLocalDpi xmlns:a14="http://schemas.microsoft.com/office/drawing/2010/main" val="0"/>
                        </a:ext>
                      </a:extLst>
                    </a:blip>
                    <a:srcRect t="6256"/>
                    <a:stretch>
                      <a:fillRect/>
                    </a:stretch>
                  </pic:blipFill>
                  <pic:spPr bwMode="auto">
                    <a:xfrm>
                      <a:off x="0" y="0"/>
                      <a:ext cx="2866725" cy="2160470"/>
                    </a:xfrm>
                    <a:prstGeom prst="rect">
                      <a:avLst/>
                    </a:prstGeom>
                    <a:noFill/>
                    <a:ln>
                      <a:noFill/>
                    </a:ln>
                    <a:extLst>
                      <a:ext uri="{53640926-AAD7-44D8-BBD7-CCE9431645EC}">
                        <a14:shadowObscured xmlns:a14="http://schemas.microsoft.com/office/drawing/2010/main"/>
                      </a:ext>
                    </a:extLst>
                  </pic:spPr>
                </pic:pic>
              </a:graphicData>
            </a:graphic>
          </wp:inline>
        </w:drawing>
      </w:r>
    </w:p>
    <w:p w14:paraId="136E1A41" w14:textId="541B2E62" w:rsidR="00CE2BEB" w:rsidRPr="002F750B" w:rsidRDefault="00CE2BEB" w:rsidP="00637164">
      <w:pPr>
        <w:pStyle w:val="Rrys"/>
        <w:rPr>
          <w:i/>
          <w:iCs/>
          <w:lang w:val="en-US"/>
        </w:rPr>
      </w:pPr>
      <w:r w:rsidRPr="002F750B">
        <w:rPr>
          <w:b/>
          <w:bCs/>
          <w:lang w:val="en-US"/>
        </w:rPr>
        <w:t>Fig.</w:t>
      </w:r>
      <w:r w:rsidR="00593405" w:rsidRPr="002F750B">
        <w:rPr>
          <w:b/>
          <w:bCs/>
          <w:i/>
          <w:iCs/>
          <w:lang w:val="en-US"/>
        </w:rPr>
        <w:t xml:space="preserve"> </w:t>
      </w:r>
      <w:r w:rsidRPr="0035185A">
        <w:rPr>
          <w:b/>
          <w:bCs/>
          <w:i/>
          <w:iCs/>
        </w:rPr>
        <w:fldChar w:fldCharType="begin"/>
      </w:r>
      <w:r w:rsidRPr="002F750B">
        <w:rPr>
          <w:b/>
          <w:bCs/>
          <w:lang w:val="en-US"/>
        </w:rPr>
        <w:instrText xml:space="preserve"> SEQ Fig. \* ARABIC </w:instrText>
      </w:r>
      <w:r w:rsidRPr="0035185A">
        <w:rPr>
          <w:b/>
          <w:bCs/>
          <w:i/>
          <w:iCs/>
        </w:rPr>
        <w:fldChar w:fldCharType="separate"/>
      </w:r>
      <w:r w:rsidR="004C1435">
        <w:rPr>
          <w:b/>
          <w:bCs/>
          <w:noProof/>
          <w:lang w:val="en-US"/>
        </w:rPr>
        <w:t>2</w:t>
      </w:r>
      <w:r w:rsidRPr="0035185A">
        <w:rPr>
          <w:b/>
          <w:bCs/>
          <w:i/>
          <w:iCs/>
        </w:rPr>
        <w:fldChar w:fldCharType="end"/>
      </w:r>
      <w:r w:rsidRPr="002F750B">
        <w:rPr>
          <w:b/>
          <w:bCs/>
          <w:lang w:val="en-US"/>
        </w:rPr>
        <w:t>.</w:t>
      </w:r>
      <w:r w:rsidRPr="002F750B">
        <w:rPr>
          <w:lang w:val="en-US"/>
        </w:rPr>
        <w:t xml:space="preserve"> Lake surface area change (2010</w:t>
      </w:r>
      <w:r w:rsidR="002F750B" w:rsidRPr="002F750B">
        <w:rPr>
          <w:lang w:val="en-US"/>
        </w:rPr>
        <w:t>–</w:t>
      </w:r>
      <w:r w:rsidRPr="002F750B">
        <w:rPr>
          <w:lang w:val="en-US"/>
        </w:rPr>
        <w:t>2024)</w:t>
      </w:r>
    </w:p>
    <w:p w14:paraId="588BD2FF" w14:textId="0F54B79D" w:rsidR="0030723C" w:rsidRPr="0035185A" w:rsidRDefault="00CE2BEB" w:rsidP="00C73844">
      <w:pPr>
        <w:pStyle w:val="Paragraph"/>
        <w:keepNext/>
        <w:spacing w:before="0" w:line="240" w:lineRule="auto"/>
        <w:ind w:firstLine="284"/>
        <w:jc w:val="both"/>
        <w:rPr>
          <w:sz w:val="22"/>
          <w:szCs w:val="22"/>
          <w:lang w:val="en-US"/>
        </w:rPr>
      </w:pPr>
      <w:r w:rsidRPr="0035185A">
        <w:rPr>
          <w:sz w:val="22"/>
          <w:szCs w:val="22"/>
          <w:lang w:val="en-US"/>
        </w:rPr>
        <w:lastRenderedPageBreak/>
        <w:t>Despite their limited size, the consistent nature of these declines suggests a high sensitivity of shallow closed-basin lakes to persistent climatic and hydrological stress. Lake Ac</w:t>
      </w:r>
      <w:r w:rsidR="007801DD" w:rsidRPr="0035185A">
        <w:rPr>
          <w:sz w:val="22"/>
          <w:szCs w:val="22"/>
          <w:lang w:val="en-US"/>
        </w:rPr>
        <w:t>igol</w:t>
      </w:r>
      <w:r w:rsidRPr="0035185A">
        <w:rPr>
          <w:sz w:val="22"/>
          <w:szCs w:val="22"/>
          <w:lang w:val="en-US"/>
        </w:rPr>
        <w:t xml:space="preserve"> experienced a moderate but</w:t>
      </w:r>
      <w:r w:rsidR="00A25F0E">
        <w:rPr>
          <w:sz w:val="22"/>
          <w:szCs w:val="22"/>
          <w:lang w:val="en-US"/>
        </w:rPr>
        <w:t> </w:t>
      </w:r>
      <w:r w:rsidRPr="0035185A">
        <w:rPr>
          <w:sz w:val="22"/>
          <w:szCs w:val="22"/>
          <w:lang w:val="en-US"/>
        </w:rPr>
        <w:t>steady contraction, with surface area declining from 48.25 km² in 2010 to 37.98 km² in 2024 (Fig</w:t>
      </w:r>
      <w:r w:rsidR="00D17137" w:rsidRPr="0035185A">
        <w:rPr>
          <w:sz w:val="22"/>
          <w:szCs w:val="22"/>
          <w:lang w:val="en-US"/>
        </w:rPr>
        <w:t>ure 2</w:t>
      </w:r>
      <w:r w:rsidRPr="0035185A">
        <w:rPr>
          <w:sz w:val="22"/>
          <w:szCs w:val="22"/>
          <w:lang w:val="en-US"/>
        </w:rPr>
        <w:t>). This intermediate response positions Ac</w:t>
      </w:r>
      <w:r w:rsidR="007801DD" w:rsidRPr="0035185A">
        <w:rPr>
          <w:sz w:val="22"/>
          <w:szCs w:val="22"/>
          <w:lang w:val="en-US"/>
        </w:rPr>
        <w:t>igol</w:t>
      </w:r>
      <w:r w:rsidRPr="0035185A">
        <w:rPr>
          <w:sz w:val="22"/>
          <w:szCs w:val="22"/>
          <w:lang w:val="en-US"/>
        </w:rPr>
        <w:t xml:space="preserve"> between the highly impacted large systems (Burdur and Eber) and the more stable Salda Lake. In contrast to the other lakes, Lake Salda exhibited only minor </w:t>
      </w:r>
      <w:r w:rsidR="00D712DC">
        <w:rPr>
          <w:sz w:val="22"/>
          <w:szCs w:val="22"/>
          <w:lang w:val="en-US"/>
        </w:rPr>
        <w:t>fluctuations in surface area</w:t>
      </w:r>
      <w:r w:rsidRPr="0035185A">
        <w:rPr>
          <w:sz w:val="22"/>
          <w:szCs w:val="22"/>
          <w:lang w:val="en-US"/>
        </w:rPr>
        <w:t xml:space="preserve"> over the 14-year period. Surface area decreased marginally from 43.94 km² to 42.27 km², indicating a comparatively stable hydrological regime relative to the other closed-basin systems. Although a slight downward trend is evident, the limited magnitude of change highlights </w:t>
      </w:r>
      <w:proofErr w:type="spellStart"/>
      <w:r w:rsidRPr="0035185A">
        <w:rPr>
          <w:sz w:val="22"/>
          <w:szCs w:val="22"/>
          <w:lang w:val="en-US"/>
        </w:rPr>
        <w:t>Salda</w:t>
      </w:r>
      <w:r w:rsidR="00D712DC">
        <w:rPr>
          <w:sz w:val="22"/>
          <w:szCs w:val="22"/>
          <w:lang w:val="en-US"/>
        </w:rPr>
        <w:t>'</w:t>
      </w:r>
      <w:r w:rsidRPr="0035185A">
        <w:rPr>
          <w:sz w:val="22"/>
          <w:szCs w:val="22"/>
          <w:lang w:val="en-US"/>
        </w:rPr>
        <w:t>s</w:t>
      </w:r>
      <w:proofErr w:type="spellEnd"/>
      <w:r w:rsidRPr="0035185A">
        <w:rPr>
          <w:sz w:val="22"/>
          <w:szCs w:val="22"/>
          <w:lang w:val="en-US"/>
        </w:rPr>
        <w:t xml:space="preserve"> relative resilience within the regional context. </w:t>
      </w:r>
      <w:r w:rsidR="0030723C" w:rsidRPr="0035185A">
        <w:rPr>
          <w:sz w:val="22"/>
          <w:szCs w:val="22"/>
          <w:lang w:val="en-US"/>
        </w:rPr>
        <w:t xml:space="preserve">Overall, Figure </w:t>
      </w:r>
      <w:r w:rsidR="00D17137" w:rsidRPr="0035185A">
        <w:rPr>
          <w:sz w:val="22"/>
          <w:szCs w:val="22"/>
          <w:lang w:val="en-US"/>
        </w:rPr>
        <w:t>2</w:t>
      </w:r>
      <w:r w:rsidR="0030723C" w:rsidRPr="0035185A">
        <w:rPr>
          <w:sz w:val="22"/>
          <w:szCs w:val="22"/>
          <w:lang w:val="en-US"/>
        </w:rPr>
        <w:t xml:space="preserve"> demonstrates that long-term surface water loss is a common characteristic of Mediterranean closed-basin lakes in Türkiye, with absolute decline magnitudes strongly controlled by initial lake size, while temporal persistence of decline is observed across all systems regardless of scale.</w:t>
      </w:r>
    </w:p>
    <w:p w14:paraId="50C3C118" w14:textId="4DB04435" w:rsidR="00DD0F3D" w:rsidRPr="00D712DC" w:rsidRDefault="00DD0F3D" w:rsidP="00664250">
      <w:pPr>
        <w:pStyle w:val="Rn2"/>
        <w:rPr>
          <w:bCs/>
          <w:i/>
          <w:lang w:val="en-GB"/>
        </w:rPr>
      </w:pPr>
      <w:r w:rsidRPr="00D712DC">
        <w:rPr>
          <w:lang w:val="en-GB"/>
        </w:rPr>
        <w:t>3.2. Long-Term Surface Water Dynamics and Lake Area Change</w:t>
      </w:r>
    </w:p>
    <w:p w14:paraId="57DE9F5A" w14:textId="489988D9" w:rsidR="009039C9" w:rsidRDefault="00834544" w:rsidP="009039C9">
      <w:pPr>
        <w:pStyle w:val="Paragraph"/>
        <w:spacing w:before="0" w:line="240" w:lineRule="auto"/>
        <w:ind w:firstLine="284"/>
        <w:jc w:val="both"/>
        <w:rPr>
          <w:sz w:val="22"/>
          <w:szCs w:val="22"/>
          <w:lang w:val="en-US"/>
        </w:rPr>
      </w:pPr>
      <w:r w:rsidRPr="0035185A">
        <w:rPr>
          <w:sz w:val="22"/>
          <w:szCs w:val="22"/>
          <w:lang w:val="en-US"/>
        </w:rPr>
        <w:t>To quantify the direction, magnitude, and statistical significance of long-term surface area dynamics, non-parametric trend analyses were applied to the lake area time series covering the period 2010–2024. Given the non-normal distribution and relatively short length of the time series, the Mann–Kendall (MK) trend test was employed to detect monotonic trends, while Sen</w:t>
      </w:r>
      <w:r w:rsidR="00D712DC">
        <w:rPr>
          <w:sz w:val="22"/>
          <w:szCs w:val="22"/>
          <w:lang w:val="en-US"/>
        </w:rPr>
        <w:t>'</w:t>
      </w:r>
      <w:r w:rsidRPr="0035185A">
        <w:rPr>
          <w:sz w:val="22"/>
          <w:szCs w:val="22"/>
          <w:lang w:val="en-US"/>
        </w:rPr>
        <w:t>s slope estimator was used to quantify the rate of surface area change (Fig</w:t>
      </w:r>
      <w:r w:rsidR="00D17137" w:rsidRPr="0035185A">
        <w:rPr>
          <w:sz w:val="22"/>
          <w:szCs w:val="22"/>
          <w:lang w:val="en-US"/>
        </w:rPr>
        <w:t>ure 3</w:t>
      </w:r>
      <w:r w:rsidRPr="0035185A">
        <w:rPr>
          <w:sz w:val="22"/>
          <w:szCs w:val="22"/>
          <w:lang w:val="en-US"/>
        </w:rPr>
        <w:t>).</w:t>
      </w:r>
      <w:r w:rsidR="00607169" w:rsidRPr="0035185A">
        <w:rPr>
          <w:sz w:val="22"/>
          <w:szCs w:val="22"/>
          <w:lang w:val="en-US"/>
        </w:rPr>
        <w:t xml:space="preserve"> </w:t>
      </w:r>
      <w:r w:rsidR="00701C44" w:rsidRPr="0035185A">
        <w:rPr>
          <w:sz w:val="22"/>
          <w:szCs w:val="22"/>
          <w:lang w:val="en-US"/>
        </w:rPr>
        <w:t xml:space="preserve">Results indicate that all six lakes exhibit statistically consistent negative trends, confirming a basin-wide contraction of surface water extent. The strongest declining trend was detected for Lake Burdur, which shows a highly pronounced monotonic decrease in surface area throughout the study period. </w:t>
      </w:r>
      <w:r w:rsidR="009039C9" w:rsidRPr="0035185A">
        <w:rPr>
          <w:sz w:val="22"/>
          <w:szCs w:val="22"/>
          <w:lang w:val="en-US"/>
        </w:rPr>
        <w:t>Sen</w:t>
      </w:r>
      <w:r w:rsidR="00D712DC">
        <w:rPr>
          <w:sz w:val="22"/>
          <w:szCs w:val="22"/>
          <w:lang w:val="en-US"/>
        </w:rPr>
        <w:t>'</w:t>
      </w:r>
      <w:r w:rsidR="009039C9" w:rsidRPr="0035185A">
        <w:rPr>
          <w:sz w:val="22"/>
          <w:szCs w:val="22"/>
          <w:lang w:val="en-US"/>
        </w:rPr>
        <w:t xml:space="preserve">s slope analysis indicates an average surface area loss of approximately </w:t>
      </w:r>
      <w:r w:rsidR="00664250">
        <w:rPr>
          <w:sz w:val="22"/>
          <w:szCs w:val="22"/>
          <w:lang w:val="en-US"/>
        </w:rPr>
        <w:t>-</w:t>
      </w:r>
      <w:r w:rsidR="009039C9" w:rsidRPr="0035185A">
        <w:rPr>
          <w:sz w:val="22"/>
          <w:szCs w:val="22"/>
          <w:lang w:val="en-US"/>
        </w:rPr>
        <w:t xml:space="preserve">3.0 km² yr⁻¹, representing the most rapid decline among all investigated systems. The MK test yielded a strongly negative trend (Z &lt; </w:t>
      </w:r>
      <w:r w:rsidR="00664250">
        <w:rPr>
          <w:sz w:val="22"/>
          <w:szCs w:val="22"/>
          <w:lang w:val="en-US"/>
        </w:rPr>
        <w:t>-</w:t>
      </w:r>
      <w:r w:rsidR="009039C9" w:rsidRPr="0035185A">
        <w:rPr>
          <w:sz w:val="22"/>
          <w:szCs w:val="22"/>
          <w:lang w:val="en-US"/>
        </w:rPr>
        <w:t>2), indicating that the observed contraction is not attributable to short-term variability but reflects a persistent long-term process. Lake Eber also displays a statistically robust decreasing trend, with an estimated Sen</w:t>
      </w:r>
      <w:r w:rsidR="00D712DC">
        <w:rPr>
          <w:sz w:val="22"/>
          <w:szCs w:val="22"/>
          <w:lang w:val="en-US"/>
        </w:rPr>
        <w:t>'</w:t>
      </w:r>
      <w:r w:rsidR="009039C9" w:rsidRPr="0035185A">
        <w:rPr>
          <w:sz w:val="22"/>
          <w:szCs w:val="22"/>
          <w:lang w:val="en-US"/>
        </w:rPr>
        <w:t xml:space="preserve">s slope of </w:t>
      </w:r>
      <w:r w:rsidR="00664250">
        <w:rPr>
          <w:sz w:val="22"/>
          <w:szCs w:val="22"/>
          <w:lang w:val="en-US"/>
        </w:rPr>
        <w:t>-</w:t>
      </w:r>
      <w:r w:rsidR="009039C9" w:rsidRPr="0035185A">
        <w:rPr>
          <w:sz w:val="22"/>
          <w:szCs w:val="22"/>
          <w:lang w:val="en-US"/>
        </w:rPr>
        <w:t xml:space="preserve">2.3 km² yr⁻¹ (Figure 3). Although the absolute magnitude of decline is lower than </w:t>
      </w:r>
      <w:r w:rsidR="00D712DC">
        <w:rPr>
          <w:sz w:val="22"/>
          <w:szCs w:val="22"/>
          <w:lang w:val="en-US"/>
        </w:rPr>
        <w:t xml:space="preserve">in </w:t>
      </w:r>
      <w:proofErr w:type="spellStart"/>
      <w:r w:rsidR="00D712DC">
        <w:rPr>
          <w:sz w:val="22"/>
          <w:szCs w:val="22"/>
          <w:lang w:val="en-US"/>
        </w:rPr>
        <w:t>Burdur</w:t>
      </w:r>
      <w:proofErr w:type="spellEnd"/>
      <w:r w:rsidR="00D712DC">
        <w:rPr>
          <w:sz w:val="22"/>
          <w:szCs w:val="22"/>
          <w:lang w:val="en-US"/>
        </w:rPr>
        <w:t>, the relative impact on Eber is considerable due to its shallower morphology and its high dependence</w:t>
      </w:r>
      <w:r w:rsidR="009039C9" w:rsidRPr="0035185A">
        <w:rPr>
          <w:sz w:val="22"/>
          <w:szCs w:val="22"/>
          <w:lang w:val="en-US"/>
        </w:rPr>
        <w:t xml:space="preserve"> on inflowing surface waters.</w:t>
      </w:r>
    </w:p>
    <w:p w14:paraId="357E271C" w14:textId="77777777" w:rsidR="00593405" w:rsidRPr="002B1401" w:rsidRDefault="00593405" w:rsidP="002B1401">
      <w:pPr>
        <w:pStyle w:val="Newparagraph"/>
        <w:spacing w:line="240" w:lineRule="auto"/>
        <w:ind w:firstLine="0"/>
        <w:jc w:val="both"/>
        <w:rPr>
          <w:sz w:val="22"/>
          <w:szCs w:val="22"/>
          <w:lang w:val="en-US"/>
        </w:rPr>
      </w:pPr>
    </w:p>
    <w:p w14:paraId="7878A243" w14:textId="77777777" w:rsidR="00701C44" w:rsidRPr="002B1401" w:rsidRDefault="00701C44" w:rsidP="00664250">
      <w:pPr>
        <w:pStyle w:val="Paragraph"/>
        <w:keepNext/>
        <w:spacing w:before="0" w:line="240" w:lineRule="auto"/>
        <w:jc w:val="center"/>
        <w:rPr>
          <w:sz w:val="22"/>
          <w:szCs w:val="22"/>
        </w:rPr>
      </w:pPr>
      <w:r w:rsidRPr="002B1401">
        <w:rPr>
          <w:noProof/>
          <w:sz w:val="22"/>
          <w:szCs w:val="22"/>
          <w:lang w:val="en-US"/>
        </w:rPr>
        <w:drawing>
          <wp:inline distT="0" distB="0" distL="0" distR="0" wp14:anchorId="5E8A857E" wp14:editId="14B61DCF">
            <wp:extent cx="3966376" cy="2114093"/>
            <wp:effectExtent l="0" t="0" r="0" b="635"/>
            <wp:docPr id="12663864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8648" name="Resim 3"/>
                    <pic:cNvPicPr/>
                  </pic:nvPicPr>
                  <pic:blipFill>
                    <a:blip r:embed="rId11">
                      <a:extLst>
                        <a:ext uri="{28A0092B-C50C-407E-A947-70E740481C1C}">
                          <a14:useLocalDpi xmlns:a14="http://schemas.microsoft.com/office/drawing/2010/main" val="0"/>
                        </a:ext>
                      </a:extLst>
                    </a:blip>
                    <a:srcRect t="5583" b="5583"/>
                    <a:stretch>
                      <a:fillRect/>
                    </a:stretch>
                  </pic:blipFill>
                  <pic:spPr bwMode="auto">
                    <a:xfrm>
                      <a:off x="0" y="0"/>
                      <a:ext cx="4073020" cy="2170935"/>
                    </a:xfrm>
                    <a:prstGeom prst="rect">
                      <a:avLst/>
                    </a:prstGeom>
                    <a:ln>
                      <a:noFill/>
                    </a:ln>
                    <a:extLst>
                      <a:ext uri="{53640926-AAD7-44D8-BBD7-CCE9431645EC}">
                        <a14:shadowObscured xmlns:a14="http://schemas.microsoft.com/office/drawing/2010/main"/>
                      </a:ext>
                    </a:extLst>
                  </pic:spPr>
                </pic:pic>
              </a:graphicData>
            </a:graphic>
          </wp:inline>
        </w:drawing>
      </w:r>
    </w:p>
    <w:p w14:paraId="46F5CB71" w14:textId="425BB7E7" w:rsidR="00701C44" w:rsidRPr="002F750B" w:rsidRDefault="00701C44" w:rsidP="00637164">
      <w:pPr>
        <w:pStyle w:val="Rrys"/>
        <w:rPr>
          <w:i/>
          <w:iCs/>
          <w:lang w:val="en-US"/>
        </w:rPr>
      </w:pPr>
      <w:r w:rsidRPr="002F750B">
        <w:rPr>
          <w:b/>
          <w:bCs/>
          <w:lang w:val="en-US"/>
        </w:rPr>
        <w:t>Fig.</w:t>
      </w:r>
      <w:r w:rsidR="00593405" w:rsidRPr="002F750B">
        <w:rPr>
          <w:b/>
          <w:bCs/>
          <w:i/>
          <w:iCs/>
          <w:lang w:val="en-US"/>
        </w:rPr>
        <w:t xml:space="preserve"> </w:t>
      </w:r>
      <w:r w:rsidRPr="0035185A">
        <w:rPr>
          <w:b/>
          <w:bCs/>
          <w:i/>
          <w:iCs/>
        </w:rPr>
        <w:fldChar w:fldCharType="begin"/>
      </w:r>
      <w:r w:rsidRPr="002F750B">
        <w:rPr>
          <w:b/>
          <w:bCs/>
          <w:lang w:val="en-US"/>
        </w:rPr>
        <w:instrText xml:space="preserve"> SEQ Fig. \* ARABIC </w:instrText>
      </w:r>
      <w:r w:rsidRPr="0035185A">
        <w:rPr>
          <w:b/>
          <w:bCs/>
          <w:i/>
          <w:iCs/>
        </w:rPr>
        <w:fldChar w:fldCharType="separate"/>
      </w:r>
      <w:r w:rsidR="004C1435">
        <w:rPr>
          <w:b/>
          <w:bCs/>
          <w:noProof/>
          <w:lang w:val="en-US"/>
        </w:rPr>
        <w:t>3</w:t>
      </w:r>
      <w:r w:rsidRPr="0035185A">
        <w:rPr>
          <w:b/>
          <w:bCs/>
          <w:i/>
          <w:iCs/>
        </w:rPr>
        <w:fldChar w:fldCharType="end"/>
      </w:r>
      <w:r w:rsidRPr="002F750B">
        <w:rPr>
          <w:b/>
          <w:bCs/>
          <w:lang w:val="en-US"/>
        </w:rPr>
        <w:t>.</w:t>
      </w:r>
      <w:r w:rsidRPr="002F750B">
        <w:rPr>
          <w:lang w:val="en-US"/>
        </w:rPr>
        <w:t xml:space="preserve"> Annual rate of change in lake surface area (2010</w:t>
      </w:r>
      <w:r w:rsidR="002F750B" w:rsidRPr="002F750B">
        <w:rPr>
          <w:lang w:val="en-US"/>
        </w:rPr>
        <w:t>–</w:t>
      </w:r>
      <w:r w:rsidRPr="002F750B">
        <w:rPr>
          <w:lang w:val="en-US"/>
        </w:rPr>
        <w:t>2024)</w:t>
      </w:r>
    </w:p>
    <w:p w14:paraId="4F6F5BB7" w14:textId="77777777" w:rsidR="00593405" w:rsidRDefault="00593405" w:rsidP="00C73844">
      <w:pPr>
        <w:pStyle w:val="Paragraph"/>
        <w:keepNext/>
        <w:spacing w:before="0" w:line="240" w:lineRule="auto"/>
        <w:ind w:firstLine="284"/>
        <w:jc w:val="both"/>
        <w:rPr>
          <w:sz w:val="22"/>
          <w:szCs w:val="22"/>
          <w:lang w:val="en-US"/>
        </w:rPr>
      </w:pPr>
    </w:p>
    <w:p w14:paraId="4BE763E2" w14:textId="421AE8A0" w:rsidR="00701C44" w:rsidRPr="0035185A" w:rsidRDefault="00701C44" w:rsidP="00C73844">
      <w:pPr>
        <w:pStyle w:val="Paragraph"/>
        <w:keepNext/>
        <w:spacing w:before="0" w:line="240" w:lineRule="auto"/>
        <w:ind w:firstLine="284"/>
        <w:jc w:val="both"/>
        <w:rPr>
          <w:sz w:val="22"/>
          <w:szCs w:val="22"/>
          <w:lang w:val="en-US"/>
        </w:rPr>
      </w:pPr>
      <w:r w:rsidRPr="0035185A">
        <w:rPr>
          <w:sz w:val="22"/>
          <w:szCs w:val="22"/>
          <w:lang w:val="en-US"/>
        </w:rPr>
        <w:t xml:space="preserve">The monotonic nature of the trend suggests sustained hydrological stress rather than episodic drought-driven fluctuations. Moderate but consistent negative trends were identified for </w:t>
      </w:r>
      <w:proofErr w:type="spellStart"/>
      <w:r w:rsidRPr="0035185A">
        <w:rPr>
          <w:sz w:val="22"/>
          <w:szCs w:val="22"/>
          <w:lang w:val="en-US"/>
        </w:rPr>
        <w:t>Ac</w:t>
      </w:r>
      <w:r w:rsidR="00F73747" w:rsidRPr="0035185A">
        <w:rPr>
          <w:sz w:val="22"/>
          <w:szCs w:val="22"/>
          <w:lang w:val="en-US"/>
        </w:rPr>
        <w:t>igol</w:t>
      </w:r>
      <w:proofErr w:type="spellEnd"/>
      <w:r w:rsidRPr="0035185A">
        <w:rPr>
          <w:sz w:val="22"/>
          <w:szCs w:val="22"/>
          <w:lang w:val="en-US"/>
        </w:rPr>
        <w:t xml:space="preserve">, </w:t>
      </w:r>
      <w:proofErr w:type="spellStart"/>
      <w:r w:rsidRPr="0035185A">
        <w:rPr>
          <w:sz w:val="22"/>
          <w:szCs w:val="22"/>
          <w:lang w:val="en-US"/>
        </w:rPr>
        <w:t>Yar</w:t>
      </w:r>
      <w:r w:rsidR="00F73747" w:rsidRPr="0035185A">
        <w:rPr>
          <w:sz w:val="22"/>
          <w:szCs w:val="22"/>
          <w:lang w:val="en-US"/>
        </w:rPr>
        <w:t>isli</w:t>
      </w:r>
      <w:proofErr w:type="spellEnd"/>
      <w:r w:rsidRPr="0035185A">
        <w:rPr>
          <w:sz w:val="22"/>
          <w:szCs w:val="22"/>
          <w:lang w:val="en-US"/>
        </w:rPr>
        <w:t>, and Karata</w:t>
      </w:r>
      <w:r w:rsidR="00031F6E" w:rsidRPr="0035185A">
        <w:rPr>
          <w:sz w:val="22"/>
          <w:szCs w:val="22"/>
          <w:lang w:val="en-US"/>
        </w:rPr>
        <w:t>s</w:t>
      </w:r>
      <w:r w:rsidRPr="0035185A">
        <w:rPr>
          <w:sz w:val="22"/>
          <w:szCs w:val="22"/>
          <w:lang w:val="en-US"/>
        </w:rPr>
        <w:t xml:space="preserve"> Lakes, with Sen</w:t>
      </w:r>
      <w:r w:rsidR="00D712DC">
        <w:rPr>
          <w:sz w:val="22"/>
          <w:szCs w:val="22"/>
          <w:lang w:val="en-US"/>
        </w:rPr>
        <w:t>'</w:t>
      </w:r>
      <w:r w:rsidRPr="0035185A">
        <w:rPr>
          <w:sz w:val="22"/>
          <w:szCs w:val="22"/>
          <w:lang w:val="en-US"/>
        </w:rPr>
        <w:t xml:space="preserve">s slope values ranging between </w:t>
      </w:r>
      <w:r w:rsidR="00664250">
        <w:rPr>
          <w:sz w:val="22"/>
          <w:szCs w:val="22"/>
          <w:lang w:val="en-US"/>
        </w:rPr>
        <w:t>-</w:t>
      </w:r>
      <w:r w:rsidRPr="0035185A">
        <w:rPr>
          <w:sz w:val="22"/>
          <w:szCs w:val="22"/>
          <w:lang w:val="en-US"/>
        </w:rPr>
        <w:t xml:space="preserve">0.3 and </w:t>
      </w:r>
      <w:r w:rsidR="00664250">
        <w:rPr>
          <w:sz w:val="22"/>
          <w:szCs w:val="22"/>
          <w:lang w:val="en-US"/>
        </w:rPr>
        <w:t>-</w:t>
      </w:r>
      <w:r w:rsidRPr="0035185A">
        <w:rPr>
          <w:sz w:val="22"/>
          <w:szCs w:val="22"/>
          <w:lang w:val="en-US"/>
        </w:rPr>
        <w:t xml:space="preserve">0.8 km² yr⁻¹. While these rates are </w:t>
      </w:r>
      <w:r w:rsidR="00D712DC">
        <w:rPr>
          <w:sz w:val="22"/>
          <w:szCs w:val="22"/>
          <w:lang w:val="en-US"/>
        </w:rPr>
        <w:t>low</w:t>
      </w:r>
      <w:r w:rsidRPr="0035185A">
        <w:rPr>
          <w:sz w:val="22"/>
          <w:szCs w:val="22"/>
          <w:lang w:val="en-US"/>
        </w:rPr>
        <w:t>er in absolute terms, the MK test confirms that the downward trends are systematic across the entire observation period. The</w:t>
      </w:r>
      <w:r w:rsidR="00A25F0E">
        <w:rPr>
          <w:sz w:val="22"/>
          <w:szCs w:val="22"/>
          <w:lang w:val="en-US"/>
        </w:rPr>
        <w:t> </w:t>
      </w:r>
      <w:r w:rsidRPr="0035185A">
        <w:rPr>
          <w:sz w:val="22"/>
          <w:szCs w:val="22"/>
          <w:lang w:val="en-US"/>
        </w:rPr>
        <w:t>persistence of decline in these saline and semi-saline lakes highlights their sensitivity to even minor reductions in effective water balance. In contrast, Lake Salda exhibits the weakest negative trend among the six systems, with a Sen</w:t>
      </w:r>
      <w:r w:rsidR="00D712DC">
        <w:rPr>
          <w:sz w:val="22"/>
          <w:szCs w:val="22"/>
          <w:lang w:val="en-US"/>
        </w:rPr>
        <w:t>'</w:t>
      </w:r>
      <w:r w:rsidRPr="0035185A">
        <w:rPr>
          <w:sz w:val="22"/>
          <w:szCs w:val="22"/>
          <w:lang w:val="en-US"/>
        </w:rPr>
        <w:t xml:space="preserve">s slope of approximately </w:t>
      </w:r>
      <w:r w:rsidR="00664250">
        <w:rPr>
          <w:sz w:val="22"/>
          <w:szCs w:val="22"/>
          <w:lang w:val="en-US"/>
        </w:rPr>
        <w:t>-</w:t>
      </w:r>
      <w:r w:rsidRPr="0035185A">
        <w:rPr>
          <w:sz w:val="22"/>
          <w:szCs w:val="22"/>
          <w:lang w:val="en-US"/>
        </w:rPr>
        <w:t>0.12 km² yr⁻¹ (Fig</w:t>
      </w:r>
      <w:r w:rsidR="00D17137" w:rsidRPr="0035185A">
        <w:rPr>
          <w:sz w:val="22"/>
          <w:szCs w:val="22"/>
          <w:lang w:val="en-US"/>
        </w:rPr>
        <w:t xml:space="preserve">ure </w:t>
      </w:r>
      <w:r w:rsidRPr="0035185A">
        <w:rPr>
          <w:sz w:val="22"/>
          <w:szCs w:val="22"/>
          <w:lang w:val="en-US"/>
        </w:rPr>
        <w:t>3). Although the MK test still indicates a</w:t>
      </w:r>
      <w:r w:rsidR="00A25F0E">
        <w:rPr>
          <w:sz w:val="22"/>
          <w:szCs w:val="22"/>
          <w:lang w:val="en-US"/>
        </w:rPr>
        <w:t> </w:t>
      </w:r>
      <w:r w:rsidRPr="0035185A">
        <w:rPr>
          <w:sz w:val="22"/>
          <w:szCs w:val="22"/>
          <w:lang w:val="en-US"/>
        </w:rPr>
        <w:t xml:space="preserve">downward tendency, the reduced slope suggests that </w:t>
      </w:r>
      <w:proofErr w:type="spellStart"/>
      <w:r w:rsidRPr="0035185A">
        <w:rPr>
          <w:sz w:val="22"/>
          <w:szCs w:val="22"/>
          <w:lang w:val="en-US"/>
        </w:rPr>
        <w:t>Salda</w:t>
      </w:r>
      <w:r w:rsidR="00D712DC">
        <w:rPr>
          <w:sz w:val="22"/>
          <w:szCs w:val="22"/>
          <w:lang w:val="en-US"/>
        </w:rPr>
        <w:t>'</w:t>
      </w:r>
      <w:r w:rsidRPr="0035185A">
        <w:rPr>
          <w:sz w:val="22"/>
          <w:szCs w:val="22"/>
          <w:lang w:val="en-US"/>
        </w:rPr>
        <w:t>s</w:t>
      </w:r>
      <w:proofErr w:type="spellEnd"/>
      <w:r w:rsidRPr="0035185A">
        <w:rPr>
          <w:sz w:val="22"/>
          <w:szCs w:val="22"/>
          <w:lang w:val="en-US"/>
        </w:rPr>
        <w:t xml:space="preserve"> hydrological regime is comparatively buffered, likely due to karstic groundwater inputs and lower anthropogenic pressure within its catchment. Overall, the</w:t>
      </w:r>
      <w:r w:rsidR="00A25F0E">
        <w:rPr>
          <w:sz w:val="22"/>
          <w:szCs w:val="22"/>
          <w:lang w:val="en-US"/>
        </w:rPr>
        <w:t> </w:t>
      </w:r>
      <w:r w:rsidRPr="0035185A">
        <w:rPr>
          <w:sz w:val="22"/>
          <w:szCs w:val="22"/>
          <w:lang w:val="en-US"/>
        </w:rPr>
        <w:t>trend analysis demonstrates a clear hierarchy of surface area decline rates, with large, shallow, and heavily exploited lakes experiencing the most rapid contraction. The convergence of MK and Sen</w:t>
      </w:r>
      <w:r w:rsidR="00D712DC">
        <w:rPr>
          <w:sz w:val="22"/>
          <w:szCs w:val="22"/>
          <w:lang w:val="en-US"/>
        </w:rPr>
        <w:t>'</w:t>
      </w:r>
      <w:r w:rsidRPr="0035185A">
        <w:rPr>
          <w:sz w:val="22"/>
          <w:szCs w:val="22"/>
          <w:lang w:val="en-US"/>
        </w:rPr>
        <w:t>s slope results confirm</w:t>
      </w:r>
      <w:r w:rsidR="00D712DC">
        <w:rPr>
          <w:sz w:val="22"/>
          <w:szCs w:val="22"/>
          <w:lang w:val="en-US"/>
        </w:rPr>
        <w:t>s</w:t>
      </w:r>
      <w:r w:rsidRPr="0035185A">
        <w:rPr>
          <w:sz w:val="22"/>
          <w:szCs w:val="22"/>
          <w:lang w:val="en-US"/>
        </w:rPr>
        <w:t xml:space="preserve"> that surface area loss is systematic, directional, and statistically meaningful, rather than driven by random </w:t>
      </w:r>
      <w:r w:rsidRPr="0035185A">
        <w:rPr>
          <w:sz w:val="22"/>
          <w:szCs w:val="22"/>
          <w:lang w:val="en-US"/>
        </w:rPr>
        <w:lastRenderedPageBreak/>
        <w:t>interannual variability. These findings reinforce the interpretation that long-term climatic aridification, compounded by human water use, is the dominant driver of lake shrinkage in Mediterranean closed basins.</w:t>
      </w:r>
    </w:p>
    <w:p w14:paraId="1CE98774" w14:textId="413BF993" w:rsidR="00855C91" w:rsidRPr="00D712DC" w:rsidRDefault="00855C91" w:rsidP="00664250">
      <w:pPr>
        <w:pStyle w:val="Rn2"/>
        <w:rPr>
          <w:bCs/>
          <w:i/>
          <w:sz w:val="20"/>
          <w:szCs w:val="20"/>
          <w:lang w:val="en-GB"/>
        </w:rPr>
      </w:pPr>
      <w:r w:rsidRPr="00D712DC">
        <w:rPr>
          <w:lang w:val="en-GB"/>
        </w:rPr>
        <w:t>3.3. Climatic Forcing and Drought–Lake Area Relationships</w:t>
      </w:r>
    </w:p>
    <w:p w14:paraId="2F29797F" w14:textId="4D6162B2" w:rsidR="00834544" w:rsidRDefault="00855C91" w:rsidP="009039C9">
      <w:pPr>
        <w:pStyle w:val="Paragraph"/>
        <w:spacing w:before="0" w:line="240" w:lineRule="auto"/>
        <w:ind w:firstLine="284"/>
        <w:jc w:val="both"/>
        <w:rPr>
          <w:sz w:val="22"/>
          <w:szCs w:val="22"/>
          <w:lang w:val="en-US"/>
        </w:rPr>
      </w:pPr>
      <w:r w:rsidRPr="0035185A">
        <w:rPr>
          <w:sz w:val="22"/>
          <w:szCs w:val="22"/>
          <w:lang w:val="en-US"/>
        </w:rPr>
        <w:t>Long-term hydroclimatic variability exerted a dominant control on surface water dynamics across the investigated Mediterranean closed-basin lakes. To quantify the role of climatic forcing, lake surface area time series were evaluated in relation to drought severity, precipitation, temperature, and reference evapotranspiration (ET₀), with a particular focus on standardized drought indices</w:t>
      </w:r>
      <w:r w:rsidR="008B2BF9" w:rsidRPr="0035185A">
        <w:rPr>
          <w:sz w:val="22"/>
          <w:szCs w:val="22"/>
          <w:lang w:val="en-US"/>
        </w:rPr>
        <w:t>. Figure 4 illustrates the relationship between the Standardized Precipitation Evapotranspiration Index (SPEI-12) and lake surface area for all six lakes during the 2010–2024 period.</w:t>
      </w:r>
    </w:p>
    <w:p w14:paraId="198099F0" w14:textId="77777777" w:rsidR="00637164" w:rsidRPr="00637164" w:rsidRDefault="00637164" w:rsidP="00637164">
      <w:pPr>
        <w:pStyle w:val="Newparagraph"/>
        <w:spacing w:line="240" w:lineRule="auto"/>
        <w:ind w:firstLine="0"/>
        <w:jc w:val="both"/>
        <w:rPr>
          <w:lang w:val="en-US"/>
        </w:rPr>
      </w:pPr>
    </w:p>
    <w:p w14:paraId="7A8314CF" w14:textId="77777777" w:rsidR="008B2BF9" w:rsidRPr="00637164" w:rsidRDefault="008B2BF9" w:rsidP="00B57F8B">
      <w:pPr>
        <w:pStyle w:val="Newparagraph"/>
        <w:keepNext/>
        <w:spacing w:line="240" w:lineRule="auto"/>
        <w:ind w:firstLine="0"/>
        <w:jc w:val="center"/>
        <w:rPr>
          <w:sz w:val="22"/>
          <w:szCs w:val="22"/>
        </w:rPr>
      </w:pPr>
      <w:r w:rsidRPr="00637164">
        <w:rPr>
          <w:noProof/>
          <w:sz w:val="22"/>
          <w:szCs w:val="22"/>
          <w:lang w:val="en-US"/>
        </w:rPr>
        <w:drawing>
          <wp:inline distT="0" distB="0" distL="0" distR="0" wp14:anchorId="59A26C15" wp14:editId="5DDF1250">
            <wp:extent cx="4867476" cy="3350362"/>
            <wp:effectExtent l="0" t="0" r="9525" b="2540"/>
            <wp:docPr id="1904332512" name="Resim 1" descr="metin, diyagram, çizg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32512" name="Resim 1" descr="metin, diyagram, çizgi, sayı, numara içeren bir resim&#10;&#10;Yapay zeka tarafından oluşturulmuş içerik yanlış olabilir."/>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4885435" cy="3362723"/>
                    </a:xfrm>
                    <a:prstGeom prst="rect">
                      <a:avLst/>
                    </a:prstGeom>
                  </pic:spPr>
                </pic:pic>
              </a:graphicData>
            </a:graphic>
          </wp:inline>
        </w:drawing>
      </w:r>
    </w:p>
    <w:p w14:paraId="0C14AA86" w14:textId="7928E4FB" w:rsidR="008B2BF9" w:rsidRPr="00664250" w:rsidRDefault="008B2BF9" w:rsidP="00637164">
      <w:pPr>
        <w:pStyle w:val="Rrys"/>
        <w:rPr>
          <w:i/>
          <w:iCs/>
          <w:lang w:val="en-US"/>
        </w:rPr>
      </w:pPr>
      <w:r w:rsidRPr="00664250">
        <w:rPr>
          <w:b/>
          <w:bCs/>
          <w:lang w:val="en-US"/>
        </w:rPr>
        <w:t>Fig.</w:t>
      </w:r>
      <w:r w:rsidR="00593405" w:rsidRPr="00664250">
        <w:rPr>
          <w:b/>
          <w:bCs/>
          <w:i/>
          <w:iCs/>
          <w:lang w:val="en-US"/>
        </w:rPr>
        <w:t xml:space="preserve"> </w:t>
      </w:r>
      <w:r w:rsidRPr="0035185A">
        <w:rPr>
          <w:b/>
          <w:bCs/>
          <w:i/>
          <w:iCs/>
        </w:rPr>
        <w:fldChar w:fldCharType="begin"/>
      </w:r>
      <w:r w:rsidRPr="00664250">
        <w:rPr>
          <w:b/>
          <w:bCs/>
          <w:lang w:val="en-US"/>
        </w:rPr>
        <w:instrText xml:space="preserve"> SEQ Fig. \* ARABIC </w:instrText>
      </w:r>
      <w:r w:rsidRPr="0035185A">
        <w:rPr>
          <w:b/>
          <w:bCs/>
          <w:i/>
          <w:iCs/>
        </w:rPr>
        <w:fldChar w:fldCharType="separate"/>
      </w:r>
      <w:r w:rsidR="004C1435">
        <w:rPr>
          <w:b/>
          <w:bCs/>
          <w:noProof/>
          <w:lang w:val="en-US"/>
        </w:rPr>
        <w:t>4</w:t>
      </w:r>
      <w:r w:rsidRPr="0035185A">
        <w:rPr>
          <w:b/>
          <w:bCs/>
          <w:i/>
          <w:iCs/>
        </w:rPr>
        <w:fldChar w:fldCharType="end"/>
      </w:r>
      <w:r w:rsidRPr="00664250">
        <w:rPr>
          <w:b/>
          <w:bCs/>
          <w:lang w:val="en-US"/>
        </w:rPr>
        <w:t>.</w:t>
      </w:r>
      <w:r w:rsidRPr="00664250">
        <w:rPr>
          <w:lang w:val="en-US"/>
        </w:rPr>
        <w:t xml:space="preserve"> Relationship between SPEI-12 and lake surface (2010</w:t>
      </w:r>
      <w:r w:rsidR="00664250" w:rsidRPr="00664250">
        <w:rPr>
          <w:lang w:val="en-US"/>
        </w:rPr>
        <w:t>–</w:t>
      </w:r>
      <w:r w:rsidRPr="00664250">
        <w:rPr>
          <w:lang w:val="en-US"/>
        </w:rPr>
        <w:t>2024)</w:t>
      </w:r>
    </w:p>
    <w:p w14:paraId="77635CEC" w14:textId="77777777" w:rsidR="00637164" w:rsidRDefault="00637164" w:rsidP="003C15A6">
      <w:pPr>
        <w:pStyle w:val="Paragraph"/>
        <w:spacing w:before="0" w:line="240" w:lineRule="auto"/>
        <w:ind w:firstLine="284"/>
        <w:jc w:val="both"/>
        <w:rPr>
          <w:sz w:val="22"/>
          <w:szCs w:val="22"/>
          <w:lang w:val="en-US"/>
        </w:rPr>
      </w:pPr>
    </w:p>
    <w:p w14:paraId="79CCC81C" w14:textId="471B24E6" w:rsidR="009039C9" w:rsidRPr="0035185A" w:rsidRDefault="009039C9" w:rsidP="003C15A6">
      <w:pPr>
        <w:pStyle w:val="Paragraph"/>
        <w:spacing w:before="0" w:line="240" w:lineRule="auto"/>
        <w:ind w:firstLine="284"/>
        <w:jc w:val="both"/>
        <w:rPr>
          <w:sz w:val="22"/>
          <w:szCs w:val="22"/>
          <w:lang w:val="en-US"/>
        </w:rPr>
      </w:pPr>
      <w:r w:rsidRPr="0035185A">
        <w:rPr>
          <w:sz w:val="22"/>
          <w:szCs w:val="22"/>
          <w:lang w:val="en-US"/>
        </w:rPr>
        <w:t xml:space="preserve">A consistent positive association is observed across all systems, indicating that wetter conditions (higher SPEI values) correspond to expanded lake surfaces, whereas prolonged drought episodes coincide with pronounced surface area contraction. </w:t>
      </w:r>
    </w:p>
    <w:p w14:paraId="02943BBB" w14:textId="086538F9" w:rsidR="003C15A6" w:rsidRPr="0035185A" w:rsidRDefault="009039C9" w:rsidP="003C15A6">
      <w:pPr>
        <w:pStyle w:val="Paragraph"/>
        <w:spacing w:before="0" w:line="240" w:lineRule="auto"/>
        <w:ind w:firstLine="284"/>
        <w:jc w:val="both"/>
        <w:rPr>
          <w:sz w:val="22"/>
          <w:szCs w:val="22"/>
          <w:lang w:val="en-US"/>
        </w:rPr>
      </w:pPr>
      <w:r w:rsidRPr="0035185A">
        <w:rPr>
          <w:sz w:val="22"/>
          <w:szCs w:val="22"/>
          <w:lang w:val="en-US"/>
        </w:rPr>
        <w:t xml:space="preserve">The strength of this relationship varies among lakes, with Burdur and Eber exhibiting the highest sensitivity to drought fluctuations, while Salda displays a comparatively dampened response. </w:t>
      </w:r>
      <w:r w:rsidR="00D17137" w:rsidRPr="0035185A">
        <w:rPr>
          <w:sz w:val="22"/>
          <w:szCs w:val="22"/>
          <w:lang w:val="en-US"/>
        </w:rPr>
        <w:t xml:space="preserve">Temporal co-evolution of SPEI and lake surface area is further demonstrated in Figure 5, where standardized drought conditions and normalized lake area anomalies are shown together. Distinct multi-year drought phases, particularly during 2013–2015 and 2019–2022, align closely with accelerated declines in surface water extent. </w:t>
      </w:r>
    </w:p>
    <w:p w14:paraId="4F57245C" w14:textId="39F0D3FA" w:rsidR="00331806" w:rsidRDefault="00D17137" w:rsidP="00B57F8B">
      <w:pPr>
        <w:pStyle w:val="Paragraph"/>
        <w:keepNext/>
        <w:spacing w:before="0" w:line="240" w:lineRule="auto"/>
        <w:ind w:firstLine="284"/>
        <w:jc w:val="both"/>
        <w:rPr>
          <w:sz w:val="22"/>
          <w:szCs w:val="22"/>
          <w:lang w:val="en-US"/>
        </w:rPr>
      </w:pPr>
      <w:r w:rsidRPr="0035185A">
        <w:rPr>
          <w:sz w:val="22"/>
          <w:szCs w:val="22"/>
          <w:lang w:val="en-US"/>
        </w:rPr>
        <w:t>This synchronicity suggests that lake shrinkage is not merely a gradual background process but is strongly modulated by episodic climatic extremes.</w:t>
      </w:r>
      <w:r w:rsidR="00331806" w:rsidRPr="0035185A">
        <w:rPr>
          <w:sz w:val="22"/>
          <w:szCs w:val="22"/>
          <w:lang w:val="en-US"/>
        </w:rPr>
        <w:t xml:space="preserve"> </w:t>
      </w:r>
      <w:r w:rsidR="00A57DAC" w:rsidRPr="0035185A">
        <w:rPr>
          <w:sz w:val="22"/>
          <w:szCs w:val="22"/>
          <w:lang w:val="en-US"/>
        </w:rPr>
        <w:t>Correlation analysis confirms these visual patterns. Pearson correlation coefficients between SPEI and lake area range from r = 0.66 to 0.86 (p &lt; 0.05) for Burdur, Eber, Ac</w:t>
      </w:r>
      <w:r w:rsidR="00F73747" w:rsidRPr="0035185A">
        <w:rPr>
          <w:sz w:val="22"/>
          <w:szCs w:val="22"/>
          <w:lang w:val="en-US"/>
        </w:rPr>
        <w:t>igol</w:t>
      </w:r>
      <w:r w:rsidR="00A57DAC" w:rsidRPr="0035185A">
        <w:rPr>
          <w:sz w:val="22"/>
          <w:szCs w:val="22"/>
          <w:lang w:val="en-US"/>
        </w:rPr>
        <w:t>, Karata</w:t>
      </w:r>
      <w:r w:rsidR="00031F6E" w:rsidRPr="0035185A">
        <w:rPr>
          <w:sz w:val="22"/>
          <w:szCs w:val="22"/>
          <w:lang w:val="en-US"/>
        </w:rPr>
        <w:t>s</w:t>
      </w:r>
      <w:r w:rsidR="00A57DAC" w:rsidRPr="0035185A">
        <w:rPr>
          <w:sz w:val="22"/>
          <w:szCs w:val="22"/>
          <w:lang w:val="en-US"/>
        </w:rPr>
        <w:t>, and Yar</w:t>
      </w:r>
      <w:r w:rsidR="00F73747" w:rsidRPr="0035185A">
        <w:rPr>
          <w:sz w:val="22"/>
          <w:szCs w:val="22"/>
          <w:lang w:val="en-US"/>
        </w:rPr>
        <w:t>isli</w:t>
      </w:r>
      <w:r w:rsidR="00A57DAC" w:rsidRPr="0035185A">
        <w:rPr>
          <w:sz w:val="22"/>
          <w:szCs w:val="22"/>
          <w:lang w:val="en-US"/>
        </w:rPr>
        <w:t>, indicating statistically significant climate–hydrology coupling.</w:t>
      </w:r>
    </w:p>
    <w:p w14:paraId="2BE79788" w14:textId="77777777" w:rsidR="00637164" w:rsidRPr="00637164" w:rsidRDefault="00637164" w:rsidP="00637164">
      <w:pPr>
        <w:pStyle w:val="Newparagraph"/>
        <w:spacing w:line="240" w:lineRule="auto"/>
        <w:ind w:firstLine="0"/>
        <w:rPr>
          <w:sz w:val="22"/>
          <w:szCs w:val="22"/>
          <w:lang w:val="en-US"/>
        </w:rPr>
      </w:pPr>
    </w:p>
    <w:p w14:paraId="7B96C61A" w14:textId="77777777" w:rsidR="00634580" w:rsidRPr="0035185A" w:rsidRDefault="00957CC4" w:rsidP="00B57F8B">
      <w:pPr>
        <w:pStyle w:val="Newparagraph"/>
        <w:keepNext/>
        <w:spacing w:line="240" w:lineRule="auto"/>
        <w:ind w:firstLine="0"/>
        <w:jc w:val="center"/>
      </w:pPr>
      <w:r w:rsidRPr="0035185A">
        <w:rPr>
          <w:noProof/>
          <w:lang w:val="en-US"/>
        </w:rPr>
        <w:lastRenderedPageBreak/>
        <w:drawing>
          <wp:inline distT="0" distB="0" distL="0" distR="0" wp14:anchorId="2C83C704" wp14:editId="7C41A038">
            <wp:extent cx="3291718" cy="2245057"/>
            <wp:effectExtent l="0" t="0" r="4445" b="3175"/>
            <wp:docPr id="1975615234" name="Resim 2" descr="metin, ekran görüntüsü, diyagram,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15234" name="Resim 2" descr="metin, ekran görüntüsü, diyagram, öykü gelişim çizgisi; kumpas; grafiğini çıkarma içeren bir resim&#10;&#10;Yapay zeka tarafından oluşturulmuş içerik yanlış olabilir."/>
                    <pic:cNvPicPr/>
                  </pic:nvPicPr>
                  <pic:blipFill rotWithShape="1">
                    <a:blip r:embed="rId13" cstate="hqprint">
                      <a:extLst>
                        <a:ext uri="{28A0092B-C50C-407E-A947-70E740481C1C}">
                          <a14:useLocalDpi xmlns:a14="http://schemas.microsoft.com/office/drawing/2010/main" val="0"/>
                        </a:ext>
                      </a:extLst>
                    </a:blip>
                    <a:srcRect t="4695" r="5921"/>
                    <a:stretch>
                      <a:fillRect/>
                    </a:stretch>
                  </pic:blipFill>
                  <pic:spPr bwMode="auto">
                    <a:xfrm>
                      <a:off x="0" y="0"/>
                      <a:ext cx="3323705" cy="2266873"/>
                    </a:xfrm>
                    <a:prstGeom prst="rect">
                      <a:avLst/>
                    </a:prstGeom>
                    <a:ln>
                      <a:noFill/>
                    </a:ln>
                    <a:extLst>
                      <a:ext uri="{53640926-AAD7-44D8-BBD7-CCE9431645EC}">
                        <a14:shadowObscured xmlns:a14="http://schemas.microsoft.com/office/drawing/2010/main"/>
                      </a:ext>
                    </a:extLst>
                  </pic:spPr>
                </pic:pic>
              </a:graphicData>
            </a:graphic>
          </wp:inline>
        </w:drawing>
      </w:r>
    </w:p>
    <w:p w14:paraId="42D7FB1F" w14:textId="519703B8" w:rsidR="00957CC4" w:rsidRPr="002F750B" w:rsidRDefault="00634580" w:rsidP="00637164">
      <w:pPr>
        <w:pStyle w:val="Rrys"/>
        <w:rPr>
          <w:i/>
          <w:iCs/>
          <w:lang w:val="en-US"/>
        </w:rPr>
      </w:pPr>
      <w:r w:rsidRPr="002F750B">
        <w:rPr>
          <w:b/>
          <w:bCs/>
          <w:lang w:val="en-US"/>
        </w:rPr>
        <w:t>Fig.</w:t>
      </w:r>
      <w:r w:rsidR="00593405" w:rsidRPr="002F750B">
        <w:rPr>
          <w:b/>
          <w:bCs/>
          <w:i/>
          <w:iCs/>
          <w:lang w:val="en-US"/>
        </w:rPr>
        <w:t xml:space="preserve"> </w:t>
      </w:r>
      <w:r w:rsidRPr="0035185A">
        <w:rPr>
          <w:b/>
          <w:bCs/>
          <w:i/>
          <w:iCs/>
        </w:rPr>
        <w:fldChar w:fldCharType="begin"/>
      </w:r>
      <w:r w:rsidRPr="002F750B">
        <w:rPr>
          <w:b/>
          <w:bCs/>
          <w:lang w:val="en-US"/>
        </w:rPr>
        <w:instrText xml:space="preserve"> SEQ Fig. \* ARABIC </w:instrText>
      </w:r>
      <w:r w:rsidRPr="0035185A">
        <w:rPr>
          <w:b/>
          <w:bCs/>
          <w:i/>
          <w:iCs/>
        </w:rPr>
        <w:fldChar w:fldCharType="separate"/>
      </w:r>
      <w:r w:rsidR="004C1435">
        <w:rPr>
          <w:b/>
          <w:bCs/>
          <w:noProof/>
          <w:lang w:val="en-US"/>
        </w:rPr>
        <w:t>5</w:t>
      </w:r>
      <w:r w:rsidRPr="0035185A">
        <w:rPr>
          <w:b/>
          <w:bCs/>
          <w:i/>
          <w:iCs/>
        </w:rPr>
        <w:fldChar w:fldCharType="end"/>
      </w:r>
      <w:r w:rsidRPr="002F750B">
        <w:rPr>
          <w:b/>
          <w:bCs/>
          <w:lang w:val="en-US"/>
        </w:rPr>
        <w:t>.</w:t>
      </w:r>
      <w:r w:rsidRPr="002F750B">
        <w:rPr>
          <w:lang w:val="en-US"/>
        </w:rPr>
        <w:t xml:space="preserve"> Correlation strength between SPEI-12 and lake surface area (2010</w:t>
      </w:r>
      <w:r w:rsidR="002F750B" w:rsidRPr="002F750B">
        <w:rPr>
          <w:lang w:val="en-US"/>
        </w:rPr>
        <w:t>–</w:t>
      </w:r>
      <w:r w:rsidRPr="002F750B">
        <w:rPr>
          <w:lang w:val="en-US"/>
        </w:rPr>
        <w:t>2024)</w:t>
      </w:r>
    </w:p>
    <w:p w14:paraId="701C6FE9" w14:textId="77777777" w:rsidR="00637164" w:rsidRDefault="00637164" w:rsidP="00B57F8B">
      <w:pPr>
        <w:pStyle w:val="Paragraph"/>
        <w:keepNext/>
        <w:spacing w:before="0" w:line="240" w:lineRule="auto"/>
        <w:ind w:firstLine="284"/>
        <w:jc w:val="both"/>
        <w:rPr>
          <w:sz w:val="22"/>
          <w:szCs w:val="22"/>
          <w:lang w:val="en-US"/>
        </w:rPr>
      </w:pPr>
    </w:p>
    <w:p w14:paraId="270AA77F" w14:textId="3EA8BB97" w:rsidR="00A57DAC" w:rsidRDefault="00F73747" w:rsidP="00B57F8B">
      <w:pPr>
        <w:pStyle w:val="Paragraph"/>
        <w:keepNext/>
        <w:spacing w:before="0" w:line="240" w:lineRule="auto"/>
        <w:ind w:firstLine="284"/>
        <w:jc w:val="both"/>
        <w:rPr>
          <w:sz w:val="22"/>
          <w:szCs w:val="22"/>
          <w:lang w:val="en-US"/>
        </w:rPr>
      </w:pPr>
      <w:r w:rsidRPr="0035185A">
        <w:rPr>
          <w:sz w:val="22"/>
          <w:szCs w:val="22"/>
          <w:lang w:val="en-US"/>
        </w:rPr>
        <w:t xml:space="preserve">In contrast, Lake </w:t>
      </w:r>
      <w:proofErr w:type="spellStart"/>
      <w:r w:rsidRPr="0035185A">
        <w:rPr>
          <w:sz w:val="22"/>
          <w:szCs w:val="22"/>
          <w:lang w:val="en-US"/>
        </w:rPr>
        <w:t>Salda</w:t>
      </w:r>
      <w:proofErr w:type="spellEnd"/>
      <w:r w:rsidRPr="0035185A">
        <w:rPr>
          <w:sz w:val="22"/>
          <w:szCs w:val="22"/>
          <w:lang w:val="en-US"/>
        </w:rPr>
        <w:t xml:space="preserve"> </w:t>
      </w:r>
      <w:r w:rsidR="00D712DC">
        <w:rPr>
          <w:sz w:val="22"/>
          <w:szCs w:val="22"/>
          <w:lang w:val="en-US"/>
        </w:rPr>
        <w:t>shows a weaker,</w:t>
      </w:r>
      <w:r w:rsidRPr="0035185A">
        <w:rPr>
          <w:sz w:val="22"/>
          <w:szCs w:val="22"/>
          <w:lang w:val="en-US"/>
        </w:rPr>
        <w:t xml:space="preserve"> statistically non-significant correlation, reinforcing its classification as a comparatively resilient system. </w:t>
      </w:r>
      <w:proofErr w:type="spellStart"/>
      <w:r w:rsidR="00D712DC">
        <w:rPr>
          <w:sz w:val="22"/>
          <w:szCs w:val="22"/>
          <w:lang w:val="en-US"/>
        </w:rPr>
        <w:t>Salda's</w:t>
      </w:r>
      <w:proofErr w:type="spellEnd"/>
      <w:r w:rsidR="00D712DC">
        <w:rPr>
          <w:sz w:val="22"/>
          <w:szCs w:val="22"/>
          <w:lang w:val="en-US"/>
        </w:rPr>
        <w:t xml:space="preserve"> muted response</w:t>
      </w:r>
      <w:r w:rsidRPr="0035185A">
        <w:rPr>
          <w:sz w:val="22"/>
          <w:szCs w:val="22"/>
          <w:lang w:val="en-US"/>
        </w:rPr>
        <w:t xml:space="preserve"> is consistent with its karstic groundwater inputs and relatively stable hydrological regime. </w:t>
      </w:r>
      <w:r w:rsidR="00A57DAC" w:rsidRPr="0035185A">
        <w:rPr>
          <w:sz w:val="22"/>
          <w:szCs w:val="22"/>
          <w:lang w:val="en-US"/>
        </w:rPr>
        <w:t xml:space="preserve">Figure 6 presents the relationships between lake surface area and individual climatic variables, including precipitation (P), mean air temperature (T), and ET₀. </w:t>
      </w:r>
      <w:r w:rsidR="00D712DC">
        <w:rPr>
          <w:sz w:val="22"/>
          <w:szCs w:val="22"/>
          <w:lang w:val="en-US"/>
        </w:rPr>
        <w:t>The lake area shows a positive correlation with precipitation and a strong negative correlation with ET₀, highlighting the</w:t>
      </w:r>
      <w:r w:rsidR="00A25F0E">
        <w:rPr>
          <w:sz w:val="22"/>
          <w:szCs w:val="22"/>
          <w:lang w:val="en-US"/>
        </w:rPr>
        <w:t> </w:t>
      </w:r>
      <w:r w:rsidR="00D712DC">
        <w:rPr>
          <w:sz w:val="22"/>
          <w:szCs w:val="22"/>
          <w:lang w:val="en-US"/>
        </w:rPr>
        <w:t>compounded effects</w:t>
      </w:r>
      <w:r w:rsidR="00A57DAC" w:rsidRPr="0035185A">
        <w:rPr>
          <w:sz w:val="22"/>
          <w:szCs w:val="22"/>
          <w:lang w:val="en-US"/>
        </w:rPr>
        <w:t xml:space="preserve"> of reduced water inputs and enhanced atmospheric demand under warming conditions. Temperature alone </w:t>
      </w:r>
      <w:r w:rsidR="00D712DC">
        <w:rPr>
          <w:sz w:val="22"/>
          <w:szCs w:val="22"/>
          <w:lang w:val="en-US"/>
        </w:rPr>
        <w:t>shows a weaker direct relationship but indirectly amplifies surface water loss by increasing</w:t>
      </w:r>
      <w:r w:rsidR="00A57DAC" w:rsidRPr="0035185A">
        <w:rPr>
          <w:sz w:val="22"/>
          <w:szCs w:val="22"/>
          <w:lang w:val="en-US"/>
        </w:rPr>
        <w:t xml:space="preserve"> evaporative fluxes.</w:t>
      </w:r>
    </w:p>
    <w:p w14:paraId="6C55A4FD" w14:textId="77777777" w:rsidR="00637164" w:rsidRPr="00637164" w:rsidRDefault="00637164" w:rsidP="00637164">
      <w:pPr>
        <w:pStyle w:val="Newparagraph"/>
        <w:spacing w:line="240" w:lineRule="auto"/>
        <w:ind w:firstLine="0"/>
        <w:jc w:val="both"/>
        <w:rPr>
          <w:sz w:val="22"/>
          <w:szCs w:val="22"/>
          <w:lang w:val="en-US"/>
        </w:rPr>
      </w:pPr>
    </w:p>
    <w:p w14:paraId="101C7C7F" w14:textId="77777777" w:rsidR="00F45E06" w:rsidRPr="0035185A" w:rsidRDefault="003F169B" w:rsidP="00B57F8B">
      <w:pPr>
        <w:pStyle w:val="Newparagraph"/>
        <w:keepNext/>
        <w:spacing w:line="240" w:lineRule="auto"/>
        <w:ind w:firstLine="0"/>
        <w:jc w:val="center"/>
      </w:pPr>
      <w:r w:rsidRPr="0035185A">
        <w:rPr>
          <w:noProof/>
          <w:lang w:val="en-US"/>
        </w:rPr>
        <w:drawing>
          <wp:inline distT="0" distB="0" distL="0" distR="0" wp14:anchorId="5AAF5B85" wp14:editId="24C6DCAA">
            <wp:extent cx="5474363" cy="2275027"/>
            <wp:effectExtent l="0" t="0" r="0" b="0"/>
            <wp:docPr id="756118521" name="Resim 5" descr="metin, ekran görüntüsü, diyagram,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18521" name="Resim 5" descr="metin, ekran görüntüsü, diyagram, öykü gelişim çizgisi; kumpas; grafiğini çıkarma içeren bir resim&#10;&#10;Yapay zeka tarafından oluşturulmuş içerik yanlış olabilir."/>
                    <pic:cNvPicPr/>
                  </pic:nvPicPr>
                  <pic:blipFill>
                    <a:blip r:embed="rId14">
                      <a:extLst>
                        <a:ext uri="{28A0092B-C50C-407E-A947-70E740481C1C}">
                          <a14:useLocalDpi xmlns:a14="http://schemas.microsoft.com/office/drawing/2010/main" val="0"/>
                        </a:ext>
                      </a:extLst>
                    </a:blip>
                    <a:stretch>
                      <a:fillRect/>
                    </a:stretch>
                  </pic:blipFill>
                  <pic:spPr>
                    <a:xfrm>
                      <a:off x="0" y="0"/>
                      <a:ext cx="5601123" cy="2327706"/>
                    </a:xfrm>
                    <a:prstGeom prst="rect">
                      <a:avLst/>
                    </a:prstGeom>
                  </pic:spPr>
                </pic:pic>
              </a:graphicData>
            </a:graphic>
          </wp:inline>
        </w:drawing>
      </w:r>
    </w:p>
    <w:p w14:paraId="2539837A" w14:textId="306C69A7" w:rsidR="0082405B" w:rsidRPr="002F750B" w:rsidRDefault="00F45E06" w:rsidP="00146346">
      <w:pPr>
        <w:pStyle w:val="Rrys"/>
        <w:rPr>
          <w:i/>
          <w:iCs/>
          <w:lang w:val="en-US"/>
        </w:rPr>
      </w:pPr>
      <w:r w:rsidRPr="002F750B">
        <w:rPr>
          <w:b/>
          <w:bCs/>
          <w:lang w:val="en-US"/>
        </w:rPr>
        <w:t>Fig.</w:t>
      </w:r>
      <w:r w:rsidR="00593405" w:rsidRPr="002F750B">
        <w:rPr>
          <w:b/>
          <w:bCs/>
          <w:i/>
          <w:iCs/>
          <w:lang w:val="en-US"/>
        </w:rPr>
        <w:t xml:space="preserve"> </w:t>
      </w:r>
      <w:r w:rsidRPr="0035185A">
        <w:rPr>
          <w:b/>
          <w:bCs/>
          <w:i/>
          <w:iCs/>
        </w:rPr>
        <w:fldChar w:fldCharType="begin"/>
      </w:r>
      <w:r w:rsidRPr="002F750B">
        <w:rPr>
          <w:b/>
          <w:bCs/>
          <w:lang w:val="en-US"/>
        </w:rPr>
        <w:instrText xml:space="preserve"> SEQ Fig. \* ARABIC </w:instrText>
      </w:r>
      <w:r w:rsidRPr="0035185A">
        <w:rPr>
          <w:b/>
          <w:bCs/>
          <w:i/>
          <w:iCs/>
        </w:rPr>
        <w:fldChar w:fldCharType="separate"/>
      </w:r>
      <w:r w:rsidR="004C1435">
        <w:rPr>
          <w:b/>
          <w:bCs/>
          <w:noProof/>
          <w:lang w:val="en-US"/>
        </w:rPr>
        <w:t>6</w:t>
      </w:r>
      <w:r w:rsidRPr="0035185A">
        <w:rPr>
          <w:b/>
          <w:bCs/>
          <w:i/>
          <w:iCs/>
        </w:rPr>
        <w:fldChar w:fldCharType="end"/>
      </w:r>
      <w:r w:rsidRPr="002F750B">
        <w:rPr>
          <w:b/>
          <w:bCs/>
          <w:lang w:val="en-US"/>
        </w:rPr>
        <w:t>.</w:t>
      </w:r>
      <w:r w:rsidRPr="002F750B">
        <w:rPr>
          <w:lang w:val="en-US"/>
        </w:rPr>
        <w:t xml:space="preserve"> Climatic drivers of lake surface area change (2010</w:t>
      </w:r>
      <w:r w:rsidR="002F750B" w:rsidRPr="002F750B">
        <w:rPr>
          <w:lang w:val="en-US"/>
        </w:rPr>
        <w:t>–</w:t>
      </w:r>
      <w:r w:rsidRPr="002F750B">
        <w:rPr>
          <w:lang w:val="en-US"/>
        </w:rPr>
        <w:t>2024)</w:t>
      </w:r>
    </w:p>
    <w:p w14:paraId="48532553" w14:textId="77777777" w:rsidR="00146346" w:rsidRDefault="00146346" w:rsidP="009039C9">
      <w:pPr>
        <w:pStyle w:val="Paragraph"/>
        <w:spacing w:before="0" w:line="240" w:lineRule="auto"/>
        <w:ind w:firstLine="284"/>
        <w:jc w:val="both"/>
        <w:rPr>
          <w:sz w:val="22"/>
          <w:szCs w:val="22"/>
          <w:lang w:val="en-US"/>
        </w:rPr>
      </w:pPr>
    </w:p>
    <w:p w14:paraId="2998B737" w14:textId="4E7C692D" w:rsidR="0082405B" w:rsidRPr="0035185A" w:rsidRDefault="00F45E06" w:rsidP="009039C9">
      <w:pPr>
        <w:pStyle w:val="Paragraph"/>
        <w:spacing w:before="0" w:line="240" w:lineRule="auto"/>
        <w:ind w:firstLine="284"/>
        <w:jc w:val="both"/>
        <w:rPr>
          <w:sz w:val="22"/>
          <w:szCs w:val="22"/>
          <w:lang w:val="en-US"/>
        </w:rPr>
      </w:pPr>
      <w:r w:rsidRPr="0035185A">
        <w:rPr>
          <w:sz w:val="22"/>
          <w:szCs w:val="22"/>
          <w:lang w:val="en-US"/>
        </w:rPr>
        <w:t xml:space="preserve">Figure 6 demonstrates the relative strength of climatic drivers controlling lake surface area variability </w:t>
      </w:r>
      <w:r w:rsidR="00A25F0E">
        <w:rPr>
          <w:sz w:val="22"/>
          <w:szCs w:val="22"/>
          <w:lang w:val="en-US"/>
        </w:rPr>
        <w:br/>
      </w:r>
      <w:r w:rsidRPr="0035185A">
        <w:rPr>
          <w:sz w:val="22"/>
          <w:szCs w:val="22"/>
          <w:lang w:val="en-US"/>
        </w:rPr>
        <w:t>between 2010 and 2024. SPEI-12 exhibits the strongest positive correlation with lake surface area (r = 0.81, p</w:t>
      </w:r>
      <w:r w:rsidR="00A25F0E">
        <w:rPr>
          <w:sz w:val="22"/>
          <w:szCs w:val="22"/>
          <w:lang w:val="en-US"/>
        </w:rPr>
        <w:t> </w:t>
      </w:r>
      <w:r w:rsidRPr="0035185A">
        <w:rPr>
          <w:sz w:val="22"/>
          <w:szCs w:val="22"/>
          <w:lang w:val="en-US"/>
        </w:rPr>
        <w:t xml:space="preserve">&lt; 0.001), highlighting the dominant role of integrated drought conditions. Potential evapotranspiration (ET₀) shows a significant negative association (r = −0.68, p = 0.008), indicating evaporative stress as a major contributor to surface water loss. Precipitation displays a moderate positive relationship (r = 0.58, p = 0.021), while temperature alone does not exert a statistically significant control. </w:t>
      </w:r>
      <w:r w:rsidR="0082405B" w:rsidRPr="0035185A">
        <w:rPr>
          <w:sz w:val="22"/>
          <w:szCs w:val="22"/>
          <w:lang w:val="en-US"/>
        </w:rPr>
        <w:t>Collectively, these results demonstrate that drought severity, rather than isolated climatic variables, serves as the primary climatic driver of surface water decline in Mediterranean closed basins. The coherence between SPEI dynamics and lake area trajectories provides robust evidence that recent lake desiccation trends are closely linked to climate-driven hydroclimatic stress, with system-specific sensitivity governed by basin morphology and hydrogeological setting</w:t>
      </w:r>
      <w:r w:rsidR="00A57DAC" w:rsidRPr="0035185A">
        <w:rPr>
          <w:sz w:val="22"/>
          <w:szCs w:val="22"/>
          <w:lang w:val="en-US"/>
        </w:rPr>
        <w:t>.</w:t>
      </w:r>
    </w:p>
    <w:p w14:paraId="085B1747" w14:textId="3E809DED" w:rsidR="0082405B" w:rsidRPr="00D712DC" w:rsidRDefault="003E3F3B" w:rsidP="00664250">
      <w:pPr>
        <w:pStyle w:val="Rn2"/>
        <w:rPr>
          <w:i/>
          <w:sz w:val="20"/>
          <w:szCs w:val="20"/>
          <w:lang w:val="en-GB"/>
        </w:rPr>
      </w:pPr>
      <w:r w:rsidRPr="00D712DC">
        <w:rPr>
          <w:lang w:val="en-GB"/>
        </w:rPr>
        <w:t>3.4. Multivariate Controls and Lake System Typology</w:t>
      </w:r>
    </w:p>
    <w:p w14:paraId="6A008524" w14:textId="383BF932" w:rsidR="003C15A6" w:rsidRPr="0035185A" w:rsidRDefault="003E3F3B" w:rsidP="003C15A6">
      <w:pPr>
        <w:pStyle w:val="Paragraph"/>
        <w:spacing w:before="0" w:line="240" w:lineRule="auto"/>
        <w:ind w:firstLine="284"/>
        <w:jc w:val="both"/>
        <w:rPr>
          <w:sz w:val="22"/>
          <w:szCs w:val="22"/>
          <w:lang w:val="en-US"/>
        </w:rPr>
      </w:pPr>
      <w:r w:rsidRPr="0035185A">
        <w:rPr>
          <w:sz w:val="22"/>
          <w:szCs w:val="22"/>
          <w:lang w:val="en-US"/>
        </w:rPr>
        <w:t>Single-variable analyses presented in the previous sections demonstrate that lake surface area (LSA) dynamics are closely linked to drought conditions and hydroclimatic forcing. However, lake systems rarely respond to individual climatic drivers in isolation.</w:t>
      </w:r>
    </w:p>
    <w:p w14:paraId="53667781" w14:textId="655ADDEC" w:rsidR="003E3F3B" w:rsidRPr="0035185A" w:rsidRDefault="003E3F3B" w:rsidP="00B57F8B">
      <w:pPr>
        <w:pStyle w:val="Paragraph"/>
        <w:keepNext/>
        <w:spacing w:before="0" w:line="240" w:lineRule="auto"/>
        <w:ind w:firstLine="284"/>
        <w:jc w:val="both"/>
        <w:rPr>
          <w:sz w:val="22"/>
          <w:szCs w:val="22"/>
          <w:lang w:val="en-US"/>
        </w:rPr>
      </w:pPr>
      <w:r w:rsidRPr="0035185A">
        <w:rPr>
          <w:sz w:val="22"/>
          <w:szCs w:val="22"/>
          <w:lang w:val="en-US"/>
        </w:rPr>
        <w:lastRenderedPageBreak/>
        <w:t>Instead, surface water dynamics emerge from the combined and interacting effects of precipitation variability, atmospheric evaporative demand, and long-term drought persistence. To disentangle these multivariate controls and to identify common behavioural patterns among lakes, a combination of principal component analysis (PCA) and hierarchical cluster analysis (HCA) was employed</w:t>
      </w:r>
      <w:r w:rsidR="00A35D0E" w:rsidRPr="0035185A">
        <w:rPr>
          <w:sz w:val="22"/>
          <w:szCs w:val="22"/>
          <w:lang w:val="en-US"/>
        </w:rPr>
        <w:t>.</w:t>
      </w:r>
    </w:p>
    <w:p w14:paraId="4E692AE1" w14:textId="1CDCBBDB" w:rsidR="00A35D0E" w:rsidRPr="00D712DC" w:rsidRDefault="00A35D0E" w:rsidP="00664250">
      <w:pPr>
        <w:pStyle w:val="Rn3"/>
        <w:rPr>
          <w:lang w:val="en-GB"/>
        </w:rPr>
      </w:pPr>
      <w:r w:rsidRPr="00D712DC">
        <w:rPr>
          <w:lang w:val="en-GB"/>
        </w:rPr>
        <w:t>3.4.1. Principal Component Analysis of Hydroclimatic Drivers</w:t>
      </w:r>
    </w:p>
    <w:p w14:paraId="23D465D2" w14:textId="48132954" w:rsidR="00E6665D" w:rsidRDefault="00A35D0E" w:rsidP="00B57F8B">
      <w:pPr>
        <w:pStyle w:val="Paragraph"/>
        <w:keepNext/>
        <w:spacing w:before="0" w:line="240" w:lineRule="auto"/>
        <w:ind w:firstLine="284"/>
        <w:jc w:val="both"/>
        <w:rPr>
          <w:sz w:val="22"/>
          <w:szCs w:val="22"/>
          <w:lang w:val="en-US"/>
        </w:rPr>
      </w:pPr>
      <w:r w:rsidRPr="0035185A">
        <w:rPr>
          <w:sz w:val="22"/>
          <w:szCs w:val="22"/>
          <w:lang w:val="en-US"/>
        </w:rPr>
        <w:t xml:space="preserve">Principal component analysis was applied to standardized time series of SPEI-12, precipitation (P), temperature (T), reference evapotranspiration (ET₀), and lake surface area anomalies (LSA) for the 2010–2024 period. The objective was to reduce data dimensionality while preserving the dominant modes of variability governing lake responses to climate forcing. The PCA results reveal a clear separation between drought-driven and temperature-driven controls (Figure </w:t>
      </w:r>
      <w:r w:rsidR="00E6665D" w:rsidRPr="0035185A">
        <w:rPr>
          <w:sz w:val="22"/>
          <w:szCs w:val="22"/>
          <w:lang w:val="en-US"/>
        </w:rPr>
        <w:t>7</w:t>
      </w:r>
      <w:r w:rsidRPr="0035185A">
        <w:rPr>
          <w:sz w:val="22"/>
          <w:szCs w:val="22"/>
          <w:lang w:val="en-US"/>
        </w:rPr>
        <w:t>).</w:t>
      </w:r>
    </w:p>
    <w:p w14:paraId="0C98FD9F" w14:textId="77777777" w:rsidR="002F750B" w:rsidRPr="002F750B" w:rsidRDefault="002F750B" w:rsidP="002F750B">
      <w:pPr>
        <w:pStyle w:val="Newparagraph"/>
        <w:spacing w:line="240" w:lineRule="auto"/>
        <w:ind w:firstLine="0"/>
        <w:jc w:val="both"/>
        <w:rPr>
          <w:sz w:val="22"/>
          <w:szCs w:val="22"/>
          <w:lang w:val="en-US"/>
        </w:rPr>
      </w:pPr>
    </w:p>
    <w:p w14:paraId="4611CB9C" w14:textId="77777777" w:rsidR="00E6665D" w:rsidRPr="0035185A" w:rsidRDefault="00E6665D" w:rsidP="00A57DAC">
      <w:pPr>
        <w:pStyle w:val="Paragraph"/>
        <w:keepNext/>
        <w:spacing w:before="0" w:after="200" w:line="240" w:lineRule="auto"/>
        <w:jc w:val="center"/>
      </w:pPr>
      <w:r w:rsidRPr="0035185A">
        <w:rPr>
          <w:noProof/>
          <w:lang w:val="en-US"/>
        </w:rPr>
        <w:drawing>
          <wp:inline distT="0" distB="0" distL="0" distR="0" wp14:anchorId="58A50D23" wp14:editId="3C1FB582">
            <wp:extent cx="4852370" cy="2282343"/>
            <wp:effectExtent l="0" t="0" r="5715" b="3810"/>
            <wp:docPr id="1755310303" name="Resim 2" descr="metin, diyagram, çizgi,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10303" name="Resim 2" descr="metin, diyagram, çizgi, ekran görüntüsü içeren bir resim&#10;&#10;Yapay zeka tarafından oluşturulmuş içerik yanlış olabilir."/>
                    <pic:cNvPicPr/>
                  </pic:nvPicPr>
                  <pic:blipFill rotWithShape="1">
                    <a:blip r:embed="rId15" cstate="hqprint">
                      <a:extLst>
                        <a:ext uri="{28A0092B-C50C-407E-A947-70E740481C1C}">
                          <a14:useLocalDpi xmlns:a14="http://schemas.microsoft.com/office/drawing/2010/main" val="0"/>
                        </a:ext>
                      </a:extLst>
                    </a:blip>
                    <a:srcRect t="2909" b="50055"/>
                    <a:stretch>
                      <a:fillRect/>
                    </a:stretch>
                  </pic:blipFill>
                  <pic:spPr bwMode="auto">
                    <a:xfrm>
                      <a:off x="0" y="0"/>
                      <a:ext cx="5003026" cy="2353205"/>
                    </a:xfrm>
                    <a:prstGeom prst="rect">
                      <a:avLst/>
                    </a:prstGeom>
                    <a:ln>
                      <a:noFill/>
                    </a:ln>
                    <a:extLst>
                      <a:ext uri="{53640926-AAD7-44D8-BBD7-CCE9431645EC}">
                        <a14:shadowObscured xmlns:a14="http://schemas.microsoft.com/office/drawing/2010/main"/>
                      </a:ext>
                    </a:extLst>
                  </pic:spPr>
                </pic:pic>
              </a:graphicData>
            </a:graphic>
          </wp:inline>
        </w:drawing>
      </w:r>
    </w:p>
    <w:p w14:paraId="580DED48" w14:textId="4F0FC774" w:rsidR="00E6665D" w:rsidRPr="00D712DC" w:rsidRDefault="00E6665D" w:rsidP="00146346">
      <w:pPr>
        <w:pStyle w:val="Rrys"/>
        <w:rPr>
          <w:i/>
          <w:iCs/>
          <w:lang w:val="en-GB"/>
        </w:rPr>
      </w:pPr>
      <w:r w:rsidRPr="00D712DC">
        <w:rPr>
          <w:b/>
          <w:bCs/>
          <w:lang w:val="en-GB"/>
        </w:rPr>
        <w:t>Fig.</w:t>
      </w:r>
      <w:r w:rsidR="00593405" w:rsidRPr="00D712DC">
        <w:rPr>
          <w:b/>
          <w:bCs/>
          <w:i/>
          <w:iCs/>
          <w:lang w:val="en-GB"/>
        </w:rPr>
        <w:t xml:space="preserve"> </w:t>
      </w:r>
      <w:r w:rsidRPr="0035185A">
        <w:rPr>
          <w:b/>
          <w:bCs/>
          <w:i/>
          <w:iCs/>
        </w:rPr>
        <w:fldChar w:fldCharType="begin"/>
      </w:r>
      <w:r w:rsidRPr="00D712DC">
        <w:rPr>
          <w:b/>
          <w:bCs/>
          <w:lang w:val="en-GB"/>
        </w:rPr>
        <w:instrText xml:space="preserve"> SEQ Fig. \* ARABIC </w:instrText>
      </w:r>
      <w:r w:rsidRPr="0035185A">
        <w:rPr>
          <w:b/>
          <w:bCs/>
          <w:i/>
          <w:iCs/>
        </w:rPr>
        <w:fldChar w:fldCharType="separate"/>
      </w:r>
      <w:r w:rsidR="004C1435">
        <w:rPr>
          <w:b/>
          <w:bCs/>
          <w:noProof/>
          <w:lang w:val="en-GB"/>
        </w:rPr>
        <w:t>7</w:t>
      </w:r>
      <w:r w:rsidRPr="0035185A">
        <w:rPr>
          <w:b/>
          <w:bCs/>
          <w:i/>
          <w:iCs/>
        </w:rPr>
        <w:fldChar w:fldCharType="end"/>
      </w:r>
      <w:r w:rsidRPr="00D712DC">
        <w:rPr>
          <w:b/>
          <w:bCs/>
          <w:lang w:val="en-GB"/>
        </w:rPr>
        <w:t>.</w:t>
      </w:r>
      <w:r w:rsidRPr="00D712DC">
        <w:rPr>
          <w:lang w:val="en-GB"/>
        </w:rPr>
        <w:t xml:space="preserve"> PCA Biplot (multivariate hydroclimatic control)</w:t>
      </w:r>
    </w:p>
    <w:p w14:paraId="2A482D2E" w14:textId="77777777" w:rsidR="00146346" w:rsidRDefault="00146346" w:rsidP="008E6351">
      <w:pPr>
        <w:pStyle w:val="Paragraph"/>
        <w:keepNext/>
        <w:spacing w:before="0" w:line="240" w:lineRule="auto"/>
        <w:ind w:firstLine="284"/>
        <w:jc w:val="both"/>
        <w:rPr>
          <w:sz w:val="22"/>
          <w:szCs w:val="22"/>
          <w:lang w:val="en-US"/>
        </w:rPr>
      </w:pPr>
    </w:p>
    <w:p w14:paraId="0151CD04" w14:textId="62C988FD" w:rsidR="00A35D0E" w:rsidRPr="0035185A" w:rsidRDefault="00A35D0E" w:rsidP="008E6351">
      <w:pPr>
        <w:pStyle w:val="Paragraph"/>
        <w:keepNext/>
        <w:spacing w:before="0" w:line="240" w:lineRule="auto"/>
        <w:ind w:firstLine="284"/>
        <w:jc w:val="both"/>
        <w:rPr>
          <w:sz w:val="22"/>
          <w:szCs w:val="22"/>
          <w:lang w:val="en-US"/>
        </w:rPr>
      </w:pPr>
      <w:r w:rsidRPr="0035185A">
        <w:rPr>
          <w:sz w:val="22"/>
          <w:szCs w:val="22"/>
          <w:lang w:val="en-US"/>
        </w:rPr>
        <w:t xml:space="preserve">The first principal component (PC1) explains most of the total variance and is characterized by strong positive loadings of SPEI-12 and LSA, coupled with strong negative loadings of ET₀. This component represents a hydroclimatic water balance axis, </w:t>
      </w:r>
      <w:r w:rsidR="00D712DC">
        <w:rPr>
          <w:sz w:val="22"/>
          <w:szCs w:val="22"/>
          <w:lang w:val="en-US"/>
        </w:rPr>
        <w:t>in which prolonged drought and increased atmospheric evaporative demand jointly amplify</w:t>
      </w:r>
      <w:r w:rsidRPr="0035185A">
        <w:rPr>
          <w:sz w:val="22"/>
          <w:szCs w:val="22"/>
          <w:lang w:val="en-US"/>
        </w:rPr>
        <w:t xml:space="preserve"> lake surface contraction. The second principal component (PC2) captures a smaller but still substantial proportion of variance and is primarily associated with air temperature and precipitation variability. This axis reflects thermal–seasonal modulation, indicating that interannual temperature fluctuations and precipitation seasonality exert secondary but non-negligible influence on lake surface dynamics. Projection of individual lakes onto the PCA ordination space highlights marked contrasts in system behavior. Burdur and Eber lakes align strongly with the negative end of PC1, indicating pronounced drought sensitivity and strong coupling between SPEI variability and surface area loss. Karata</w:t>
      </w:r>
      <w:r w:rsidR="00031F6E" w:rsidRPr="0035185A">
        <w:rPr>
          <w:sz w:val="22"/>
          <w:szCs w:val="22"/>
          <w:lang w:val="en-US"/>
        </w:rPr>
        <w:t>s</w:t>
      </w:r>
      <w:r w:rsidRPr="0035185A">
        <w:rPr>
          <w:sz w:val="22"/>
          <w:szCs w:val="22"/>
          <w:lang w:val="en-US"/>
        </w:rPr>
        <w:t>, Yar</w:t>
      </w:r>
      <w:r w:rsidR="00A95969" w:rsidRPr="0035185A">
        <w:rPr>
          <w:sz w:val="22"/>
          <w:szCs w:val="22"/>
          <w:lang w:val="en-US"/>
        </w:rPr>
        <w:t>isli</w:t>
      </w:r>
      <w:r w:rsidRPr="0035185A">
        <w:rPr>
          <w:sz w:val="22"/>
          <w:szCs w:val="22"/>
          <w:lang w:val="en-US"/>
        </w:rPr>
        <w:t>, and Ac</w:t>
      </w:r>
      <w:r w:rsidR="00A95969" w:rsidRPr="0035185A">
        <w:rPr>
          <w:sz w:val="22"/>
          <w:szCs w:val="22"/>
          <w:lang w:val="en-US"/>
        </w:rPr>
        <w:t>igol</w:t>
      </w:r>
      <w:r w:rsidRPr="0035185A">
        <w:rPr>
          <w:sz w:val="22"/>
          <w:szCs w:val="22"/>
          <w:lang w:val="en-US"/>
        </w:rPr>
        <w:t xml:space="preserve"> occupy intermediate positions, suggesting mixed control by both drought intensity and thermal forcing. In contrast, Salda Lake clusters closer to the origin of the PCA space, reflecting comparatively weaker sensitivity to both drought and evaporative stress.</w:t>
      </w:r>
    </w:p>
    <w:p w14:paraId="3625C64F" w14:textId="2DFA05CB" w:rsidR="00A35D0E" w:rsidRPr="00D712DC" w:rsidRDefault="00A35D0E" w:rsidP="00146346">
      <w:pPr>
        <w:pStyle w:val="Rn3"/>
        <w:rPr>
          <w:lang w:val="en-GB"/>
        </w:rPr>
      </w:pPr>
      <w:r w:rsidRPr="00D712DC">
        <w:rPr>
          <w:lang w:val="en-GB"/>
        </w:rPr>
        <w:t>3.4.2</w:t>
      </w:r>
      <w:r w:rsidR="00146346" w:rsidRPr="00D712DC">
        <w:rPr>
          <w:lang w:val="en-GB"/>
        </w:rPr>
        <w:t>.</w:t>
      </w:r>
      <w:r w:rsidRPr="00D712DC">
        <w:rPr>
          <w:lang w:val="en-GB"/>
        </w:rPr>
        <w:t xml:space="preserve"> Hierarchical Clustering and Lake Response Typology</w:t>
      </w:r>
    </w:p>
    <w:p w14:paraId="0645AAF4" w14:textId="1FAE8F9E" w:rsidR="009039C9" w:rsidRPr="0035185A" w:rsidRDefault="00A35D0E" w:rsidP="009039C9">
      <w:pPr>
        <w:pStyle w:val="Paragraph"/>
        <w:spacing w:before="0" w:line="240" w:lineRule="auto"/>
        <w:ind w:firstLine="284"/>
        <w:jc w:val="both"/>
        <w:rPr>
          <w:sz w:val="22"/>
          <w:szCs w:val="22"/>
          <w:lang w:val="en-US"/>
        </w:rPr>
      </w:pPr>
      <w:r w:rsidRPr="0035185A">
        <w:rPr>
          <w:sz w:val="22"/>
          <w:szCs w:val="22"/>
          <w:lang w:val="en-US"/>
        </w:rPr>
        <w:t>To further elucidate similarities and differences among lake systems, hierarchical cluster analysis was performed using PCA scores as input variables. Ward</w:t>
      </w:r>
      <w:r w:rsidR="00D712DC">
        <w:rPr>
          <w:sz w:val="22"/>
          <w:szCs w:val="22"/>
          <w:lang w:val="en-US"/>
        </w:rPr>
        <w:t>'</w:t>
      </w:r>
      <w:r w:rsidRPr="0035185A">
        <w:rPr>
          <w:sz w:val="22"/>
          <w:szCs w:val="22"/>
          <w:lang w:val="en-US"/>
        </w:rPr>
        <w:t>s minimum</w:t>
      </w:r>
      <w:r w:rsidR="00D712DC">
        <w:rPr>
          <w:sz w:val="22"/>
          <w:szCs w:val="22"/>
          <w:lang w:val="en-US"/>
        </w:rPr>
        <w:t>-variance method and Euclidean distance metrics were employed to ensure compact,</w:t>
      </w:r>
      <w:r w:rsidRPr="0035185A">
        <w:rPr>
          <w:sz w:val="22"/>
          <w:szCs w:val="22"/>
          <w:lang w:val="en-US"/>
        </w:rPr>
        <w:t xml:space="preserve"> interpretable groupings. The resulting dendrogram reveals the emergence of three distinct lake typologies based on their hydroclimatic response patterns (Fig</w:t>
      </w:r>
      <w:r w:rsidR="00E6665D" w:rsidRPr="0035185A">
        <w:rPr>
          <w:sz w:val="22"/>
          <w:szCs w:val="22"/>
          <w:lang w:val="en-US"/>
        </w:rPr>
        <w:t>ure 8)</w:t>
      </w:r>
      <w:r w:rsidRPr="0035185A">
        <w:rPr>
          <w:sz w:val="22"/>
          <w:szCs w:val="22"/>
          <w:lang w:val="en-US"/>
        </w:rPr>
        <w:t xml:space="preserve">. </w:t>
      </w:r>
      <w:r w:rsidR="009039C9" w:rsidRPr="0035185A">
        <w:rPr>
          <w:sz w:val="22"/>
          <w:szCs w:val="22"/>
          <w:lang w:val="en-US"/>
        </w:rPr>
        <w:t>The first group consists solely of Salda Lake, which exhibits limited surface area variability despite regional drought conditions. This cluster represents climate-resilient lake systems</w:t>
      </w:r>
      <w:r w:rsidR="00D712DC">
        <w:rPr>
          <w:sz w:val="22"/>
          <w:szCs w:val="22"/>
          <w:lang w:val="en-US"/>
        </w:rPr>
        <w:t xml:space="preserve"> in which</w:t>
      </w:r>
      <w:r w:rsidR="009039C9" w:rsidRPr="0035185A">
        <w:rPr>
          <w:sz w:val="22"/>
          <w:szCs w:val="22"/>
          <w:lang w:val="en-US"/>
        </w:rPr>
        <w:t xml:space="preserve"> geomorphological settings, groundwater connectivity, or basin-scale buffering mechanisms mitigate climatic impacts. The second cluster comprises Burdur and Eber lakes, both of which display strong negative LSA trends and high sensitivity to SPEI fluctuations. These lakes represent drought-sensitive systems, where surface water extend</w:t>
      </w:r>
      <w:r w:rsidR="00D712DC">
        <w:rPr>
          <w:sz w:val="22"/>
          <w:szCs w:val="22"/>
          <w:lang w:val="en-US"/>
        </w:rPr>
        <w:t>s</w:t>
      </w:r>
      <w:r w:rsidR="009039C9" w:rsidRPr="0035185A">
        <w:rPr>
          <w:sz w:val="22"/>
          <w:szCs w:val="22"/>
          <w:lang w:val="en-US"/>
        </w:rPr>
        <w:t xml:space="preserve"> closely tracks long-term moisture deficits and evaporative demand. The third cluster includes Karatas, Yarisli, and Acigol lakes, which exhibit moderate but persistent </w:t>
      </w:r>
      <w:r w:rsidR="00D712DC">
        <w:rPr>
          <w:sz w:val="22"/>
          <w:szCs w:val="22"/>
          <w:lang w:val="en-US"/>
        </w:rPr>
        <w:t>declines in surface area</w:t>
      </w:r>
      <w:r w:rsidR="009039C9" w:rsidRPr="0035185A">
        <w:rPr>
          <w:sz w:val="22"/>
          <w:szCs w:val="22"/>
          <w:lang w:val="en-US"/>
        </w:rPr>
        <w:t xml:space="preserve">. These systems are classified as </w:t>
      </w:r>
      <w:proofErr w:type="spellStart"/>
      <w:r w:rsidR="009039C9" w:rsidRPr="0035185A">
        <w:rPr>
          <w:sz w:val="22"/>
          <w:szCs w:val="22"/>
          <w:lang w:val="en-US"/>
        </w:rPr>
        <w:t>hydro</w:t>
      </w:r>
      <w:r w:rsidR="00D712DC">
        <w:rPr>
          <w:sz w:val="22"/>
          <w:szCs w:val="22"/>
          <w:lang w:val="en-US"/>
        </w:rPr>
        <w:t>climatically</w:t>
      </w:r>
      <w:proofErr w:type="spellEnd"/>
      <w:r w:rsidR="00D712DC">
        <w:rPr>
          <w:sz w:val="22"/>
          <w:szCs w:val="22"/>
          <w:lang w:val="en-US"/>
        </w:rPr>
        <w:t xml:space="preserve"> stressed transitional lakes, where th</w:t>
      </w:r>
      <w:r w:rsidR="009039C9" w:rsidRPr="0035185A">
        <w:rPr>
          <w:sz w:val="22"/>
          <w:szCs w:val="22"/>
          <w:lang w:val="en-US"/>
        </w:rPr>
        <w:t>e combined influences of drought intensity, temperature-driven evaporation, and potential anthropogenic water use interact to shape surface water dynamics.</w:t>
      </w:r>
    </w:p>
    <w:p w14:paraId="6F9DCAC8" w14:textId="39BC0465" w:rsidR="00E6665D" w:rsidRPr="0035185A" w:rsidRDefault="00E6665D" w:rsidP="009039C9">
      <w:pPr>
        <w:pStyle w:val="Paragraph"/>
        <w:spacing w:before="0" w:line="240" w:lineRule="auto"/>
        <w:ind w:firstLine="284"/>
        <w:jc w:val="both"/>
        <w:rPr>
          <w:sz w:val="22"/>
          <w:szCs w:val="22"/>
          <w:lang w:val="en-US"/>
        </w:rPr>
      </w:pPr>
    </w:p>
    <w:p w14:paraId="0C64A6A0" w14:textId="77777777" w:rsidR="00E6665D" w:rsidRPr="0035185A" w:rsidRDefault="00E6665D" w:rsidP="008E6351">
      <w:pPr>
        <w:pStyle w:val="Legenda"/>
        <w:spacing w:after="0"/>
        <w:jc w:val="center"/>
        <w:rPr>
          <w:i w:val="0"/>
          <w:iCs w:val="0"/>
          <w:color w:val="auto"/>
          <w:sz w:val="20"/>
          <w:szCs w:val="20"/>
        </w:rPr>
      </w:pPr>
      <w:r w:rsidRPr="0035185A">
        <w:rPr>
          <w:i w:val="0"/>
          <w:iCs w:val="0"/>
          <w:noProof/>
          <w:color w:val="auto"/>
          <w:sz w:val="20"/>
          <w:szCs w:val="20"/>
        </w:rPr>
        <w:drawing>
          <wp:inline distT="0" distB="0" distL="0" distR="0" wp14:anchorId="6AB2D8F4" wp14:editId="57CA33CB">
            <wp:extent cx="5203711" cy="2399385"/>
            <wp:effectExtent l="0" t="0" r="0" b="1270"/>
            <wp:docPr id="1096515223" name="Resim 3" descr="metin, diyagram, çizgi,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5223" name="Resim 3" descr="metin, diyagram, çizgi, ekran görüntüsü içeren bir resim&#10;&#10;Yapay zeka tarafından oluşturulmuş içerik yanlış olabilir."/>
                    <pic:cNvPicPr/>
                  </pic:nvPicPr>
                  <pic:blipFill rotWithShape="1">
                    <a:blip r:embed="rId16" cstate="hqprint">
                      <a:extLst>
                        <a:ext uri="{28A0092B-C50C-407E-A947-70E740481C1C}">
                          <a14:useLocalDpi xmlns:a14="http://schemas.microsoft.com/office/drawing/2010/main" val="0"/>
                        </a:ext>
                      </a:extLst>
                    </a:blip>
                    <a:srcRect t="52220"/>
                    <a:stretch>
                      <a:fillRect/>
                    </a:stretch>
                  </pic:blipFill>
                  <pic:spPr bwMode="auto">
                    <a:xfrm>
                      <a:off x="0" y="0"/>
                      <a:ext cx="5232840" cy="2412816"/>
                    </a:xfrm>
                    <a:prstGeom prst="rect">
                      <a:avLst/>
                    </a:prstGeom>
                    <a:ln>
                      <a:noFill/>
                    </a:ln>
                    <a:extLst>
                      <a:ext uri="{53640926-AAD7-44D8-BBD7-CCE9431645EC}">
                        <a14:shadowObscured xmlns:a14="http://schemas.microsoft.com/office/drawing/2010/main"/>
                      </a:ext>
                    </a:extLst>
                  </pic:spPr>
                </pic:pic>
              </a:graphicData>
            </a:graphic>
          </wp:inline>
        </w:drawing>
      </w:r>
    </w:p>
    <w:p w14:paraId="301E4D00" w14:textId="0A09484B" w:rsidR="00E6665D" w:rsidRPr="00D712DC" w:rsidRDefault="00E6665D" w:rsidP="00146346">
      <w:pPr>
        <w:pStyle w:val="Rrys"/>
        <w:rPr>
          <w:i/>
          <w:iCs/>
          <w:lang w:val="en-GB"/>
        </w:rPr>
      </w:pPr>
      <w:r w:rsidRPr="00D712DC">
        <w:rPr>
          <w:b/>
          <w:bCs/>
          <w:lang w:val="en-GB"/>
        </w:rPr>
        <w:t>Fig.</w:t>
      </w:r>
      <w:r w:rsidR="00593405" w:rsidRPr="00D712DC">
        <w:rPr>
          <w:b/>
          <w:bCs/>
          <w:i/>
          <w:iCs/>
          <w:lang w:val="en-GB"/>
        </w:rPr>
        <w:t xml:space="preserve"> </w:t>
      </w:r>
      <w:r w:rsidRPr="0035185A">
        <w:rPr>
          <w:b/>
          <w:bCs/>
          <w:i/>
          <w:iCs/>
        </w:rPr>
        <w:fldChar w:fldCharType="begin"/>
      </w:r>
      <w:r w:rsidRPr="00D712DC">
        <w:rPr>
          <w:b/>
          <w:bCs/>
          <w:lang w:val="en-GB"/>
        </w:rPr>
        <w:instrText xml:space="preserve"> SEQ Fig. \* ARABIC </w:instrText>
      </w:r>
      <w:r w:rsidRPr="0035185A">
        <w:rPr>
          <w:b/>
          <w:bCs/>
          <w:i/>
          <w:iCs/>
        </w:rPr>
        <w:fldChar w:fldCharType="separate"/>
      </w:r>
      <w:r w:rsidR="004C1435">
        <w:rPr>
          <w:b/>
          <w:bCs/>
          <w:noProof/>
          <w:lang w:val="en-GB"/>
        </w:rPr>
        <w:t>8</w:t>
      </w:r>
      <w:r w:rsidRPr="0035185A">
        <w:rPr>
          <w:b/>
          <w:bCs/>
          <w:i/>
          <w:iCs/>
        </w:rPr>
        <w:fldChar w:fldCharType="end"/>
      </w:r>
      <w:r w:rsidRPr="00D712DC">
        <w:rPr>
          <w:b/>
          <w:bCs/>
          <w:lang w:val="en-GB"/>
        </w:rPr>
        <w:t>.</w:t>
      </w:r>
      <w:r w:rsidRPr="00D712DC">
        <w:rPr>
          <w:lang w:val="en-GB"/>
        </w:rPr>
        <w:t xml:space="preserve"> HCA dendrogram (common behavioural patterns)</w:t>
      </w:r>
    </w:p>
    <w:p w14:paraId="2F220115" w14:textId="09E58CD3" w:rsidR="00A57DAC" w:rsidRPr="00D712DC" w:rsidRDefault="00A57DAC" w:rsidP="00664250">
      <w:pPr>
        <w:pStyle w:val="Rn3"/>
        <w:rPr>
          <w:b/>
          <w:bCs/>
          <w:iCs/>
          <w:sz w:val="20"/>
          <w:szCs w:val="20"/>
          <w:lang w:val="en-GB"/>
        </w:rPr>
      </w:pPr>
      <w:r w:rsidRPr="00D712DC">
        <w:rPr>
          <w:lang w:val="en-GB"/>
        </w:rPr>
        <w:t>3.4.3</w:t>
      </w:r>
      <w:r w:rsidR="00593405" w:rsidRPr="00D712DC">
        <w:rPr>
          <w:lang w:val="en-GB"/>
        </w:rPr>
        <w:t>.</w:t>
      </w:r>
      <w:r w:rsidRPr="00D712DC">
        <w:rPr>
          <w:lang w:val="en-GB"/>
        </w:rPr>
        <w:t xml:space="preserve"> Integrate</w:t>
      </w:r>
      <w:r w:rsidR="00917630" w:rsidRPr="00D712DC">
        <w:rPr>
          <w:lang w:val="en-GB"/>
        </w:rPr>
        <w:t xml:space="preserve">d </w:t>
      </w:r>
      <w:r w:rsidRPr="00D712DC">
        <w:rPr>
          <w:lang w:val="en-GB"/>
        </w:rPr>
        <w:t xml:space="preserve">Sensitivity </w:t>
      </w:r>
      <w:r w:rsidR="00917630" w:rsidRPr="00D712DC">
        <w:rPr>
          <w:lang w:val="en-GB"/>
        </w:rPr>
        <w:t>Patterns</w:t>
      </w:r>
    </w:p>
    <w:p w14:paraId="2D110893" w14:textId="52FDD3BB" w:rsidR="007D73B8" w:rsidRPr="0035185A" w:rsidRDefault="00A57DAC" w:rsidP="008E6351">
      <w:pPr>
        <w:pStyle w:val="Paragraph"/>
        <w:keepNext/>
        <w:spacing w:before="0" w:line="240" w:lineRule="auto"/>
        <w:ind w:firstLine="284"/>
        <w:jc w:val="both"/>
        <w:rPr>
          <w:sz w:val="22"/>
          <w:szCs w:val="22"/>
          <w:lang w:val="en-US"/>
        </w:rPr>
      </w:pPr>
      <w:r w:rsidRPr="0035185A">
        <w:rPr>
          <w:sz w:val="22"/>
          <w:szCs w:val="22"/>
          <w:lang w:val="en-US"/>
        </w:rPr>
        <w:t>To synthesize multivariate findings into a single comparative framework, an Integrated Drought Sensitivity Index (DSI) was developed. The index combines three complementary indicators: (</w:t>
      </w:r>
      <w:proofErr w:type="spellStart"/>
      <w:r w:rsidRPr="0035185A">
        <w:rPr>
          <w:sz w:val="22"/>
          <w:szCs w:val="22"/>
          <w:lang w:val="en-US"/>
        </w:rPr>
        <w:t>i</w:t>
      </w:r>
      <w:proofErr w:type="spellEnd"/>
      <w:r w:rsidRPr="0035185A">
        <w:rPr>
          <w:sz w:val="22"/>
          <w:szCs w:val="22"/>
          <w:lang w:val="en-US"/>
        </w:rPr>
        <w:t>) the strength of correlation between LSA and SPEI-12, (ii) the magnitude of correlation between LSA and ET₀, and (iii) the long-term trend in lake surface area. Weighting factors were derived from PCA loadings to ensure that dominant hydroclimatic controls were appropriately emphasized. The resulting DSI values reveal a clear gradient of vulnerability across the studied lakes (Figure 9). Burdur and Eber exhibit the highest drought</w:t>
      </w:r>
      <w:r w:rsidR="00D712DC">
        <w:rPr>
          <w:sz w:val="22"/>
          <w:szCs w:val="22"/>
          <w:lang w:val="en-US"/>
        </w:rPr>
        <w:t>-sensitivity scores, reflecting</w:t>
      </w:r>
      <w:r w:rsidRPr="0035185A">
        <w:rPr>
          <w:sz w:val="22"/>
          <w:szCs w:val="22"/>
          <w:lang w:val="en-US"/>
        </w:rPr>
        <w:t xml:space="preserve"> strong coupling with climatic drought indices and substantial long-term surface area loss. </w:t>
      </w:r>
    </w:p>
    <w:p w14:paraId="78F3861A" w14:textId="3BBBB0DC" w:rsidR="00A57DAC" w:rsidRDefault="00A57DAC" w:rsidP="008E6351">
      <w:pPr>
        <w:pStyle w:val="Paragraph"/>
        <w:keepNext/>
        <w:spacing w:before="0" w:line="240" w:lineRule="auto"/>
        <w:ind w:firstLine="284"/>
        <w:jc w:val="both"/>
        <w:rPr>
          <w:sz w:val="22"/>
          <w:szCs w:val="22"/>
          <w:lang w:val="en-US"/>
        </w:rPr>
      </w:pPr>
      <w:r w:rsidRPr="0035185A">
        <w:rPr>
          <w:sz w:val="22"/>
          <w:szCs w:val="22"/>
          <w:lang w:val="en-US"/>
        </w:rPr>
        <w:t>Karata</w:t>
      </w:r>
      <w:r w:rsidR="00031F6E" w:rsidRPr="0035185A">
        <w:rPr>
          <w:sz w:val="22"/>
          <w:szCs w:val="22"/>
          <w:lang w:val="en-US"/>
        </w:rPr>
        <w:t>s</w:t>
      </w:r>
      <w:r w:rsidRPr="0035185A">
        <w:rPr>
          <w:sz w:val="22"/>
          <w:szCs w:val="22"/>
          <w:lang w:val="en-US"/>
        </w:rPr>
        <w:t>, Yar</w:t>
      </w:r>
      <w:r w:rsidR="00C673FA" w:rsidRPr="0035185A">
        <w:rPr>
          <w:sz w:val="22"/>
          <w:szCs w:val="22"/>
          <w:lang w:val="en-US"/>
        </w:rPr>
        <w:t>isli</w:t>
      </w:r>
      <w:r w:rsidRPr="0035185A">
        <w:rPr>
          <w:sz w:val="22"/>
          <w:szCs w:val="22"/>
          <w:lang w:val="en-US"/>
        </w:rPr>
        <w:t>, and Ac</w:t>
      </w:r>
      <w:r w:rsidR="00C673FA" w:rsidRPr="0035185A">
        <w:rPr>
          <w:sz w:val="22"/>
          <w:szCs w:val="22"/>
          <w:lang w:val="en-US"/>
        </w:rPr>
        <w:t>igol</w:t>
      </w:r>
      <w:r w:rsidRPr="0035185A">
        <w:rPr>
          <w:sz w:val="22"/>
          <w:szCs w:val="22"/>
          <w:lang w:val="en-US"/>
        </w:rPr>
        <w:t xml:space="preserve"> display intermediate sensitivity, consistent with their transitional behavior identified in the clustering analysis. Salda Lake consistently shows the lowest DSI value, confirming its relative resilience to recent hydroclimatic variability.</w:t>
      </w:r>
    </w:p>
    <w:p w14:paraId="2BA521FC" w14:textId="77777777" w:rsidR="00146346" w:rsidRPr="00146346" w:rsidRDefault="00146346" w:rsidP="00146346">
      <w:pPr>
        <w:pStyle w:val="Newparagraph"/>
        <w:spacing w:line="240" w:lineRule="auto"/>
        <w:ind w:firstLine="0"/>
        <w:jc w:val="both"/>
        <w:rPr>
          <w:sz w:val="22"/>
          <w:szCs w:val="22"/>
          <w:lang w:val="en-US"/>
        </w:rPr>
      </w:pPr>
    </w:p>
    <w:p w14:paraId="242717F5" w14:textId="77777777" w:rsidR="00A57DAC" w:rsidRPr="0035185A" w:rsidRDefault="00A57DAC" w:rsidP="008E6351">
      <w:pPr>
        <w:pStyle w:val="Legenda"/>
        <w:spacing w:after="0"/>
        <w:jc w:val="center"/>
        <w:rPr>
          <w:i w:val="0"/>
          <w:iCs w:val="0"/>
          <w:color w:val="auto"/>
          <w:sz w:val="20"/>
          <w:szCs w:val="20"/>
        </w:rPr>
      </w:pPr>
      <w:r w:rsidRPr="0035185A">
        <w:rPr>
          <w:i w:val="0"/>
          <w:iCs w:val="0"/>
          <w:noProof/>
          <w:color w:val="auto"/>
          <w:sz w:val="20"/>
          <w:szCs w:val="20"/>
        </w:rPr>
        <w:drawing>
          <wp:inline distT="0" distB="0" distL="0" distR="0" wp14:anchorId="5367150F" wp14:editId="005F4B30">
            <wp:extent cx="4122133" cy="2275027"/>
            <wp:effectExtent l="0" t="0" r="0" b="0"/>
            <wp:docPr id="175166576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65763" name="Resim 1751665763"/>
                    <pic:cNvPicPr/>
                  </pic:nvPicPr>
                  <pic:blipFill rotWithShape="1">
                    <a:blip r:embed="rId17" cstate="hqprint">
                      <a:extLst>
                        <a:ext uri="{28A0092B-C50C-407E-A947-70E740481C1C}">
                          <a14:useLocalDpi xmlns:a14="http://schemas.microsoft.com/office/drawing/2010/main" val="0"/>
                        </a:ext>
                      </a:extLst>
                    </a:blip>
                    <a:srcRect t="8009"/>
                    <a:stretch>
                      <a:fillRect/>
                    </a:stretch>
                  </pic:blipFill>
                  <pic:spPr bwMode="auto">
                    <a:xfrm>
                      <a:off x="0" y="0"/>
                      <a:ext cx="4184674" cy="2309544"/>
                    </a:xfrm>
                    <a:prstGeom prst="rect">
                      <a:avLst/>
                    </a:prstGeom>
                    <a:ln>
                      <a:noFill/>
                    </a:ln>
                    <a:extLst>
                      <a:ext uri="{53640926-AAD7-44D8-BBD7-CCE9431645EC}">
                        <a14:shadowObscured xmlns:a14="http://schemas.microsoft.com/office/drawing/2010/main"/>
                      </a:ext>
                    </a:extLst>
                  </pic:spPr>
                </pic:pic>
              </a:graphicData>
            </a:graphic>
          </wp:inline>
        </w:drawing>
      </w:r>
    </w:p>
    <w:p w14:paraId="1A19D025" w14:textId="20220F75" w:rsidR="00A57DAC" w:rsidRPr="00210ECB" w:rsidRDefault="00A57DAC" w:rsidP="00146346">
      <w:pPr>
        <w:pStyle w:val="Rrys"/>
        <w:rPr>
          <w:i/>
          <w:iCs/>
          <w:lang w:val="en-GB"/>
        </w:rPr>
      </w:pPr>
      <w:r w:rsidRPr="00210ECB">
        <w:rPr>
          <w:b/>
          <w:bCs/>
          <w:lang w:val="en-GB"/>
        </w:rPr>
        <w:t>Fig.</w:t>
      </w:r>
      <w:r w:rsidR="00593405" w:rsidRPr="00210ECB">
        <w:rPr>
          <w:b/>
          <w:bCs/>
          <w:i/>
          <w:iCs/>
          <w:lang w:val="en-GB"/>
        </w:rPr>
        <w:t xml:space="preserve"> </w:t>
      </w:r>
      <w:r w:rsidRPr="00210ECB">
        <w:rPr>
          <w:b/>
          <w:bCs/>
          <w:i/>
          <w:iCs/>
          <w:lang w:val="en-GB"/>
        </w:rPr>
        <w:fldChar w:fldCharType="begin"/>
      </w:r>
      <w:r w:rsidRPr="00210ECB">
        <w:rPr>
          <w:b/>
          <w:bCs/>
          <w:lang w:val="en-GB"/>
        </w:rPr>
        <w:instrText xml:space="preserve"> SEQ Fig. \* ARABIC </w:instrText>
      </w:r>
      <w:r w:rsidRPr="00210ECB">
        <w:rPr>
          <w:b/>
          <w:bCs/>
          <w:i/>
          <w:iCs/>
          <w:lang w:val="en-GB"/>
        </w:rPr>
        <w:fldChar w:fldCharType="separate"/>
      </w:r>
      <w:r w:rsidR="004C1435">
        <w:rPr>
          <w:b/>
          <w:bCs/>
          <w:noProof/>
          <w:lang w:val="en-GB"/>
        </w:rPr>
        <w:t>9</w:t>
      </w:r>
      <w:r w:rsidRPr="00210ECB">
        <w:rPr>
          <w:b/>
          <w:bCs/>
          <w:i/>
          <w:iCs/>
          <w:lang w:val="en-GB"/>
        </w:rPr>
        <w:fldChar w:fldCharType="end"/>
      </w:r>
      <w:r w:rsidRPr="00210ECB">
        <w:rPr>
          <w:b/>
          <w:bCs/>
          <w:lang w:val="en-GB"/>
        </w:rPr>
        <w:t>.</w:t>
      </w:r>
      <w:r w:rsidRPr="00210ECB">
        <w:rPr>
          <w:lang w:val="en-GB"/>
        </w:rPr>
        <w:t xml:space="preserve"> Integrated drought </w:t>
      </w:r>
      <w:proofErr w:type="spellStart"/>
      <w:r w:rsidRPr="00210ECB">
        <w:rPr>
          <w:lang w:val="en-GB"/>
        </w:rPr>
        <w:t>sensivity</w:t>
      </w:r>
      <w:proofErr w:type="spellEnd"/>
      <w:r w:rsidRPr="00210ECB">
        <w:rPr>
          <w:lang w:val="en-GB"/>
        </w:rPr>
        <w:t xml:space="preserve"> index (DSI)</w:t>
      </w:r>
    </w:p>
    <w:p w14:paraId="7647C5A7" w14:textId="7CBD6A48" w:rsidR="007D617B" w:rsidRPr="00D712DC" w:rsidRDefault="007D617B" w:rsidP="00664250">
      <w:pPr>
        <w:pStyle w:val="Rn1"/>
        <w:rPr>
          <w:lang w:val="en-GB"/>
        </w:rPr>
      </w:pPr>
      <w:r w:rsidRPr="00D712DC">
        <w:rPr>
          <w:lang w:val="en-GB"/>
        </w:rPr>
        <w:t>4. Discussion</w:t>
      </w:r>
    </w:p>
    <w:p w14:paraId="7DE74324" w14:textId="6EB081D3" w:rsidR="007D617B" w:rsidRPr="0035185A" w:rsidRDefault="007D617B" w:rsidP="00664250">
      <w:pPr>
        <w:pStyle w:val="Rn2"/>
        <w:rPr>
          <w:bCs/>
          <w:i/>
          <w:sz w:val="20"/>
          <w:szCs w:val="20"/>
          <w:lang w:val="en-US"/>
        </w:rPr>
      </w:pPr>
      <w:r w:rsidRPr="00D712DC">
        <w:rPr>
          <w:lang w:val="en-GB"/>
        </w:rPr>
        <w:t>4.1</w:t>
      </w:r>
      <w:r w:rsidR="00752DF5" w:rsidRPr="00D712DC">
        <w:rPr>
          <w:lang w:val="en-GB"/>
        </w:rPr>
        <w:t>.</w:t>
      </w:r>
      <w:r w:rsidRPr="00D712DC">
        <w:rPr>
          <w:lang w:val="en-GB"/>
        </w:rPr>
        <w:t xml:space="preserve"> Hydroclimatic Controls on Long-Term Lake Surface Area Dynamic</w:t>
      </w:r>
      <w:r w:rsidR="00D712DC">
        <w:rPr>
          <w:lang w:val="en-GB"/>
        </w:rPr>
        <w:t>s</w:t>
      </w:r>
    </w:p>
    <w:p w14:paraId="0DEBB518" w14:textId="1553115B" w:rsidR="007D617B" w:rsidRPr="00A25F0E" w:rsidRDefault="007D617B" w:rsidP="008E6351">
      <w:pPr>
        <w:pStyle w:val="Paragraph"/>
        <w:keepNext/>
        <w:spacing w:before="0" w:line="240" w:lineRule="auto"/>
        <w:ind w:firstLine="284"/>
        <w:jc w:val="both"/>
        <w:rPr>
          <w:spacing w:val="-2"/>
          <w:sz w:val="22"/>
          <w:szCs w:val="22"/>
          <w:lang w:val="en-US"/>
        </w:rPr>
      </w:pPr>
      <w:r w:rsidRPr="00A25F0E">
        <w:rPr>
          <w:spacing w:val="-2"/>
          <w:sz w:val="22"/>
          <w:szCs w:val="22"/>
          <w:lang w:val="en-US"/>
        </w:rPr>
        <w:t>This study demonstrates that long-term lake surface area (LSA) dynamics in Mediterranean closed-basin systems are primarily governed by the combined effects of hydroclimatic variability and atmospheric evaporative demand rather than by precipitation alone. Consistent with previous studies from semi-arid and Mediterranean environments (</w:t>
      </w:r>
      <w:r w:rsidR="007D73B8" w:rsidRPr="00A25F0E">
        <w:rPr>
          <w:spacing w:val="-2"/>
          <w:sz w:val="22"/>
          <w:szCs w:val="22"/>
          <w:lang w:val="en-US"/>
        </w:rPr>
        <w:t>Pekel et al.</w:t>
      </w:r>
      <w:r w:rsidR="00593405" w:rsidRPr="00A25F0E">
        <w:rPr>
          <w:spacing w:val="-2"/>
          <w:sz w:val="22"/>
          <w:szCs w:val="22"/>
          <w:lang w:val="en-US"/>
        </w:rPr>
        <w:t>,</w:t>
      </w:r>
      <w:r w:rsidR="00C23E95" w:rsidRPr="00A25F0E">
        <w:rPr>
          <w:spacing w:val="-2"/>
          <w:sz w:val="22"/>
          <w:szCs w:val="22"/>
          <w:lang w:val="en-US"/>
        </w:rPr>
        <w:t xml:space="preserve"> </w:t>
      </w:r>
      <w:r w:rsidR="007D73B8" w:rsidRPr="00A25F0E">
        <w:rPr>
          <w:spacing w:val="-2"/>
          <w:sz w:val="22"/>
          <w:szCs w:val="22"/>
          <w:lang w:val="en-US"/>
        </w:rPr>
        <w:t>2016</w:t>
      </w:r>
      <w:r w:rsidR="00593405" w:rsidRPr="00A25F0E">
        <w:rPr>
          <w:spacing w:val="-2"/>
          <w:sz w:val="22"/>
          <w:szCs w:val="22"/>
          <w:lang w:val="en-US"/>
        </w:rPr>
        <w:t>;</w:t>
      </w:r>
      <w:r w:rsidR="00C23E95" w:rsidRPr="00A25F0E">
        <w:rPr>
          <w:spacing w:val="-2"/>
          <w:sz w:val="22"/>
          <w:szCs w:val="22"/>
          <w:lang w:val="en-US"/>
        </w:rPr>
        <w:t xml:space="preserve"> </w:t>
      </w:r>
      <w:r w:rsidRPr="00A25F0E">
        <w:rPr>
          <w:spacing w:val="-2"/>
          <w:sz w:val="22"/>
          <w:szCs w:val="22"/>
          <w:lang w:val="en-US"/>
        </w:rPr>
        <w:t>Yao et al.</w:t>
      </w:r>
      <w:r w:rsidR="00593405" w:rsidRPr="00A25F0E">
        <w:rPr>
          <w:spacing w:val="-2"/>
          <w:sz w:val="22"/>
          <w:szCs w:val="22"/>
          <w:lang w:val="en-US"/>
        </w:rPr>
        <w:t>,</w:t>
      </w:r>
      <w:r w:rsidR="00C23E95" w:rsidRPr="00A25F0E">
        <w:rPr>
          <w:spacing w:val="-2"/>
          <w:sz w:val="22"/>
          <w:szCs w:val="22"/>
          <w:lang w:val="en-US"/>
        </w:rPr>
        <w:t xml:space="preserve"> </w:t>
      </w:r>
      <w:r w:rsidRPr="00A25F0E">
        <w:rPr>
          <w:spacing w:val="-2"/>
          <w:sz w:val="22"/>
          <w:szCs w:val="22"/>
          <w:lang w:val="en-US"/>
        </w:rPr>
        <w:t>2018), the strong coupling observed between LSA and SPEI-12 highlights the importance of drought persistence and cumulative water balance deficits in regulating lake extent.</w:t>
      </w:r>
    </w:p>
    <w:p w14:paraId="49E08816" w14:textId="20A5C921" w:rsidR="009039C9" w:rsidRPr="0035185A" w:rsidRDefault="007D617B" w:rsidP="003C15A6">
      <w:pPr>
        <w:pStyle w:val="Paragraph"/>
        <w:spacing w:before="0" w:line="240" w:lineRule="auto"/>
        <w:ind w:firstLine="284"/>
        <w:jc w:val="both"/>
        <w:rPr>
          <w:sz w:val="22"/>
          <w:szCs w:val="22"/>
          <w:lang w:val="en-US"/>
        </w:rPr>
      </w:pPr>
      <w:r w:rsidRPr="0035185A">
        <w:rPr>
          <w:sz w:val="22"/>
          <w:szCs w:val="22"/>
          <w:lang w:val="en-US"/>
        </w:rPr>
        <w:t xml:space="preserve">The pronounced sensitivity of Lake Burdur and Lake Eber to drought conditions reflects their limited hydrological buffering capacity and high exposure to evaporative losses. Similar drought-driven lake contractions </w:t>
      </w:r>
      <w:r w:rsidRPr="0035185A">
        <w:rPr>
          <w:sz w:val="22"/>
          <w:szCs w:val="22"/>
          <w:lang w:val="en-US"/>
        </w:rPr>
        <w:lastRenderedPageBreak/>
        <w:t>have been reported for Lake Urmia in Iran (Tourian et al.</w:t>
      </w:r>
      <w:r w:rsidR="00593405">
        <w:rPr>
          <w:sz w:val="22"/>
          <w:szCs w:val="22"/>
          <w:lang w:val="en-US"/>
        </w:rPr>
        <w:t>,</w:t>
      </w:r>
      <w:r w:rsidR="00C23E95" w:rsidRPr="0035185A">
        <w:rPr>
          <w:sz w:val="22"/>
          <w:szCs w:val="22"/>
          <w:lang w:val="en-US"/>
        </w:rPr>
        <w:t xml:space="preserve"> </w:t>
      </w:r>
      <w:r w:rsidRPr="0035185A">
        <w:rPr>
          <w:sz w:val="22"/>
          <w:szCs w:val="22"/>
          <w:lang w:val="en-US"/>
        </w:rPr>
        <w:t>2015) and Lake Chad in Africa (</w:t>
      </w:r>
      <w:proofErr w:type="spellStart"/>
      <w:r w:rsidR="00335CEA" w:rsidRPr="0035185A">
        <w:rPr>
          <w:sz w:val="22"/>
          <w:szCs w:val="22"/>
          <w:lang w:val="en-US"/>
        </w:rPr>
        <w:t>Carmouze</w:t>
      </w:r>
      <w:proofErr w:type="spellEnd"/>
      <w:r w:rsidR="00335CEA" w:rsidRPr="0035185A">
        <w:rPr>
          <w:sz w:val="22"/>
          <w:szCs w:val="22"/>
          <w:lang w:val="en-US"/>
        </w:rPr>
        <w:t xml:space="preserve"> </w:t>
      </w:r>
      <w:r w:rsidRPr="0035185A">
        <w:rPr>
          <w:sz w:val="22"/>
          <w:szCs w:val="22"/>
          <w:lang w:val="en-US"/>
        </w:rPr>
        <w:t>et al.</w:t>
      </w:r>
      <w:r w:rsidR="00593405">
        <w:rPr>
          <w:sz w:val="22"/>
          <w:szCs w:val="22"/>
          <w:lang w:val="en-US"/>
        </w:rPr>
        <w:t>,</w:t>
      </w:r>
      <w:r w:rsidRPr="0035185A">
        <w:rPr>
          <w:sz w:val="22"/>
          <w:szCs w:val="22"/>
          <w:lang w:val="en-US"/>
        </w:rPr>
        <w:t xml:space="preserve"> 2012), where sustained negative climatic water balance triggered rapid shoreline retreat and volumetric decline. In contrast, the relatively muted response of Lake Salda suggests that hydrogeological controls, including groundwater inflow and karstic connectivity, can partially decouple surface water dynamics from short- to medium-term climatic variability.</w:t>
      </w:r>
      <w:r w:rsidR="007D73B8" w:rsidRPr="0035185A">
        <w:rPr>
          <w:sz w:val="22"/>
          <w:szCs w:val="22"/>
          <w:lang w:val="en-US"/>
        </w:rPr>
        <w:t xml:space="preserve"> </w:t>
      </w:r>
      <w:r w:rsidRPr="0035185A">
        <w:rPr>
          <w:sz w:val="22"/>
          <w:szCs w:val="22"/>
          <w:lang w:val="en-US"/>
        </w:rPr>
        <w:t xml:space="preserve">Importantly, the strong negative association between LSA and reference evapotranspiration (ET₀) indicates that increasing atmospheric demand acts as an independent stressor, amplifying drought impacts even during years of near-average precipitation. </w:t>
      </w:r>
    </w:p>
    <w:p w14:paraId="571FBE2C" w14:textId="47C4CA65" w:rsidR="007D617B" w:rsidRPr="0035185A" w:rsidRDefault="007D617B" w:rsidP="003C15A6">
      <w:pPr>
        <w:pStyle w:val="Paragraph"/>
        <w:spacing w:before="0" w:line="240" w:lineRule="auto"/>
        <w:ind w:firstLine="284"/>
        <w:jc w:val="both"/>
        <w:rPr>
          <w:sz w:val="22"/>
          <w:szCs w:val="22"/>
          <w:lang w:val="en-US"/>
        </w:rPr>
      </w:pPr>
      <w:r w:rsidRPr="0035185A">
        <w:rPr>
          <w:sz w:val="22"/>
          <w:szCs w:val="22"/>
          <w:lang w:val="en-US"/>
        </w:rPr>
        <w:t>This finding aligns with recent global assessments emphasizing the growing role of evaporative demand under warming climates (McVicar et al.</w:t>
      </w:r>
      <w:r w:rsidR="00593405">
        <w:rPr>
          <w:sz w:val="22"/>
          <w:szCs w:val="22"/>
          <w:lang w:val="en-US"/>
        </w:rPr>
        <w:t>,</w:t>
      </w:r>
      <w:r w:rsidRPr="0035185A">
        <w:rPr>
          <w:sz w:val="22"/>
          <w:szCs w:val="22"/>
          <w:lang w:val="en-US"/>
        </w:rPr>
        <w:t xml:space="preserve"> 2012</w:t>
      </w:r>
      <w:r w:rsidR="00593405">
        <w:rPr>
          <w:sz w:val="22"/>
          <w:szCs w:val="22"/>
          <w:lang w:val="en-US"/>
        </w:rPr>
        <w:t>;</w:t>
      </w:r>
      <w:r w:rsidRPr="0035185A">
        <w:rPr>
          <w:sz w:val="22"/>
          <w:szCs w:val="22"/>
          <w:lang w:val="en-US"/>
        </w:rPr>
        <w:t xml:space="preserve"> Vicente-Serrano et al.</w:t>
      </w:r>
      <w:r w:rsidR="00593405">
        <w:rPr>
          <w:sz w:val="22"/>
          <w:szCs w:val="22"/>
          <w:lang w:val="en-US"/>
        </w:rPr>
        <w:t>,</w:t>
      </w:r>
      <w:r w:rsidRPr="0035185A">
        <w:rPr>
          <w:sz w:val="22"/>
          <w:szCs w:val="22"/>
          <w:lang w:val="en-US"/>
        </w:rPr>
        <w:t xml:space="preserve"> 2020).</w:t>
      </w:r>
    </w:p>
    <w:p w14:paraId="7BE0B334" w14:textId="7B64B1F0" w:rsidR="007D617B" w:rsidRPr="00D712DC" w:rsidRDefault="007D617B" w:rsidP="00664250">
      <w:pPr>
        <w:pStyle w:val="Rn2"/>
        <w:rPr>
          <w:bCs/>
          <w:i/>
          <w:lang w:val="en-GB"/>
        </w:rPr>
      </w:pPr>
      <w:r w:rsidRPr="00D712DC">
        <w:rPr>
          <w:lang w:val="en-GB"/>
        </w:rPr>
        <w:t>4.2. Spatial Heterogeneity and Shoreline Response Mechanisms</w:t>
      </w:r>
    </w:p>
    <w:p w14:paraId="1B9F6E5C" w14:textId="7931D641" w:rsidR="00752DF5" w:rsidRPr="0035185A" w:rsidRDefault="00752DF5" w:rsidP="008E6351">
      <w:pPr>
        <w:pStyle w:val="Paragraph"/>
        <w:keepNext/>
        <w:spacing w:before="0" w:line="240" w:lineRule="auto"/>
        <w:ind w:firstLine="284"/>
        <w:jc w:val="both"/>
        <w:rPr>
          <w:sz w:val="22"/>
          <w:szCs w:val="22"/>
          <w:lang w:val="en-US"/>
        </w:rPr>
      </w:pPr>
      <w:r w:rsidRPr="0035185A">
        <w:rPr>
          <w:sz w:val="22"/>
          <w:szCs w:val="22"/>
          <w:lang w:val="en-US"/>
        </w:rPr>
        <w:t>The spatially heterogeneous patterns of shoreline retreat observed across the studied lakes underscore the importance of basin morphology and nearshore slope gradients in mediating desiccation processes. Retreat rates were consistently higher along shallow, low-gradient margins, where minor water level declines translate into disproportionately large horizontal shoreline displacement.</w:t>
      </w:r>
    </w:p>
    <w:p w14:paraId="4E596E1A" w14:textId="78CF5793" w:rsidR="00752DF5" w:rsidRPr="0035185A" w:rsidRDefault="00752DF5" w:rsidP="008E6351">
      <w:pPr>
        <w:pStyle w:val="Paragraph"/>
        <w:keepNext/>
        <w:spacing w:before="0" w:line="240" w:lineRule="auto"/>
        <w:ind w:firstLine="284"/>
        <w:jc w:val="both"/>
        <w:rPr>
          <w:sz w:val="22"/>
          <w:szCs w:val="22"/>
          <w:lang w:val="en-US"/>
        </w:rPr>
      </w:pPr>
      <w:r w:rsidRPr="0035185A">
        <w:rPr>
          <w:sz w:val="22"/>
          <w:szCs w:val="22"/>
          <w:lang w:val="en-US"/>
        </w:rPr>
        <w:t>This asymmetric response has been widely documented in saline and tectonic lakes (</w:t>
      </w:r>
      <w:proofErr w:type="spellStart"/>
      <w:r w:rsidR="007D73B8" w:rsidRPr="0035185A">
        <w:rPr>
          <w:sz w:val="22"/>
          <w:szCs w:val="22"/>
          <w:lang w:val="en-US"/>
        </w:rPr>
        <w:t>Crétaux</w:t>
      </w:r>
      <w:proofErr w:type="spellEnd"/>
      <w:r w:rsidR="007D73B8" w:rsidRPr="0035185A">
        <w:rPr>
          <w:sz w:val="22"/>
          <w:szCs w:val="22"/>
          <w:lang w:val="en-US"/>
        </w:rPr>
        <w:t xml:space="preserve"> et al.</w:t>
      </w:r>
      <w:r w:rsidR="00593405">
        <w:rPr>
          <w:sz w:val="22"/>
          <w:szCs w:val="22"/>
          <w:lang w:val="en-US"/>
        </w:rPr>
        <w:t>,</w:t>
      </w:r>
      <w:r w:rsidR="007D73B8" w:rsidRPr="0035185A">
        <w:rPr>
          <w:sz w:val="22"/>
          <w:szCs w:val="22"/>
          <w:lang w:val="en-US"/>
        </w:rPr>
        <w:t xml:space="preserve"> 2016</w:t>
      </w:r>
      <w:r w:rsidR="00593405">
        <w:rPr>
          <w:sz w:val="22"/>
          <w:szCs w:val="22"/>
          <w:lang w:val="en-US"/>
        </w:rPr>
        <w:t>;</w:t>
      </w:r>
      <w:r w:rsidR="007D73B8" w:rsidRPr="0035185A">
        <w:rPr>
          <w:sz w:val="22"/>
          <w:szCs w:val="22"/>
          <w:lang w:val="en-US"/>
        </w:rPr>
        <w:t xml:space="preserve"> </w:t>
      </w:r>
      <w:r w:rsidRPr="0035185A">
        <w:rPr>
          <w:sz w:val="22"/>
          <w:szCs w:val="22"/>
          <w:lang w:val="en-US"/>
        </w:rPr>
        <w:t>Feng et al.</w:t>
      </w:r>
      <w:r w:rsidR="00593405">
        <w:rPr>
          <w:sz w:val="22"/>
          <w:szCs w:val="22"/>
          <w:lang w:val="en-US"/>
        </w:rPr>
        <w:t>,</w:t>
      </w:r>
      <w:r w:rsidR="00C23E95" w:rsidRPr="0035185A">
        <w:rPr>
          <w:sz w:val="22"/>
          <w:szCs w:val="22"/>
          <w:lang w:val="en-US"/>
        </w:rPr>
        <w:t xml:space="preserve"> </w:t>
      </w:r>
      <w:r w:rsidRPr="0035185A">
        <w:rPr>
          <w:sz w:val="22"/>
          <w:szCs w:val="22"/>
          <w:lang w:val="en-US"/>
        </w:rPr>
        <w:t>20</w:t>
      </w:r>
      <w:r w:rsidR="000A0497" w:rsidRPr="0035185A">
        <w:rPr>
          <w:sz w:val="22"/>
          <w:szCs w:val="22"/>
          <w:lang w:val="en-US"/>
        </w:rPr>
        <w:t>22</w:t>
      </w:r>
      <w:r w:rsidRPr="0035185A">
        <w:rPr>
          <w:sz w:val="22"/>
          <w:szCs w:val="22"/>
          <w:lang w:val="en-US"/>
        </w:rPr>
        <w:t>) and explains why apparent surface area losses may accelerate even under modest volumetric decline. In Lake Burdur and Lake Karata</w:t>
      </w:r>
      <w:r w:rsidR="00031F6E" w:rsidRPr="0035185A">
        <w:rPr>
          <w:sz w:val="22"/>
          <w:szCs w:val="22"/>
          <w:lang w:val="en-US"/>
        </w:rPr>
        <w:t>s</w:t>
      </w:r>
      <w:r w:rsidRPr="0035185A">
        <w:rPr>
          <w:sz w:val="22"/>
          <w:szCs w:val="22"/>
          <w:lang w:val="en-US"/>
        </w:rPr>
        <w:t>, the concentration of retreat along agriculturally intensive shorelines further suggests that groundwater abstraction and land-use pressures may exacerbate climate-driven water losses, although disentangling these effects requires dedicated hydrogeological data.</w:t>
      </w:r>
    </w:p>
    <w:p w14:paraId="00D92D33" w14:textId="445BCBFD" w:rsidR="00E6665D" w:rsidRPr="00D712DC" w:rsidRDefault="00752DF5" w:rsidP="00664250">
      <w:pPr>
        <w:pStyle w:val="Rn2"/>
        <w:rPr>
          <w:bCs/>
          <w:i/>
          <w:lang w:val="en-GB"/>
        </w:rPr>
      </w:pPr>
      <w:r w:rsidRPr="00D712DC">
        <w:rPr>
          <w:lang w:val="en-GB"/>
        </w:rPr>
        <w:t>4.3. Multivariate Lake System Typology and Comparative Vulnerability</w:t>
      </w:r>
    </w:p>
    <w:p w14:paraId="4EB9389A" w14:textId="3A405772" w:rsidR="00752DF5" w:rsidRPr="0035185A" w:rsidRDefault="00752DF5" w:rsidP="008E6351">
      <w:pPr>
        <w:pStyle w:val="Paragraph"/>
        <w:keepNext/>
        <w:spacing w:before="0" w:line="240" w:lineRule="auto"/>
        <w:ind w:firstLine="284"/>
        <w:jc w:val="both"/>
        <w:rPr>
          <w:sz w:val="22"/>
          <w:szCs w:val="22"/>
          <w:lang w:val="en-US"/>
        </w:rPr>
      </w:pPr>
      <w:r w:rsidRPr="0035185A">
        <w:rPr>
          <w:sz w:val="22"/>
          <w:szCs w:val="22"/>
          <w:lang w:val="en-US"/>
        </w:rPr>
        <w:t>While single-variable analyses provide valuable insights into dominant climatic controls, lake systems rarely respond to individual drivers in isolation. The combined PCA and hierarchical clustering analysis reveals coherent behavioral groupings that transcend simple size-based or geographic classifications. High-sensitivity systems (Burdur and Eber) are characterized by strong alignment with drought indices and evaporative forcing, reflecting a climate-dominated regime. Intermediate systems (Karata</w:t>
      </w:r>
      <w:r w:rsidR="00031F6E" w:rsidRPr="0035185A">
        <w:rPr>
          <w:sz w:val="22"/>
          <w:szCs w:val="22"/>
          <w:lang w:val="en-US"/>
        </w:rPr>
        <w:t>s</w:t>
      </w:r>
      <w:r w:rsidRPr="0035185A">
        <w:rPr>
          <w:sz w:val="22"/>
          <w:szCs w:val="22"/>
          <w:lang w:val="en-US"/>
        </w:rPr>
        <w:t>, Yar</w:t>
      </w:r>
      <w:r w:rsidR="00496CC4" w:rsidRPr="0035185A">
        <w:rPr>
          <w:sz w:val="22"/>
          <w:szCs w:val="22"/>
          <w:lang w:val="en-US"/>
        </w:rPr>
        <w:t>isli</w:t>
      </w:r>
      <w:r w:rsidRPr="0035185A">
        <w:rPr>
          <w:sz w:val="22"/>
          <w:szCs w:val="22"/>
          <w:lang w:val="en-US"/>
        </w:rPr>
        <w:t>, and Ac</w:t>
      </w:r>
      <w:r w:rsidR="00496CC4" w:rsidRPr="0035185A">
        <w:rPr>
          <w:sz w:val="22"/>
          <w:szCs w:val="22"/>
          <w:lang w:val="en-US"/>
        </w:rPr>
        <w:t>igol</w:t>
      </w:r>
      <w:r w:rsidRPr="0035185A">
        <w:rPr>
          <w:sz w:val="22"/>
          <w:szCs w:val="22"/>
          <w:lang w:val="en-US"/>
        </w:rPr>
        <w:t>) exhibit mixed responses, suggesting partial buffering through basin morphology or episodic inflows. Lake Salda consistently forms a distinct low-sensitivity group, confirming its relative resilience and reinforcing earlier findings that emphasize the stabilizing role of groundwater-fed systems in semi-arid environments (Gleeson et al.</w:t>
      </w:r>
      <w:r w:rsidR="00593405">
        <w:rPr>
          <w:sz w:val="22"/>
          <w:szCs w:val="22"/>
          <w:lang w:val="en-US"/>
        </w:rPr>
        <w:t>,</w:t>
      </w:r>
      <w:r w:rsidRPr="0035185A">
        <w:rPr>
          <w:sz w:val="22"/>
          <w:szCs w:val="22"/>
          <w:lang w:val="en-US"/>
        </w:rPr>
        <w:t xml:space="preserve"> 20</w:t>
      </w:r>
      <w:r w:rsidR="000A0497" w:rsidRPr="0035185A">
        <w:rPr>
          <w:sz w:val="22"/>
          <w:szCs w:val="22"/>
          <w:lang w:val="en-US"/>
        </w:rPr>
        <w:t>20</w:t>
      </w:r>
      <w:r w:rsidRPr="0035185A">
        <w:rPr>
          <w:sz w:val="22"/>
          <w:szCs w:val="22"/>
          <w:lang w:val="en-US"/>
        </w:rPr>
        <w:t>). These typologies are broadly consistent with lake vulnerability frameworks developed for Central Asian and Mediterranean basins (</w:t>
      </w:r>
      <w:r w:rsidR="000A0497" w:rsidRPr="0035185A">
        <w:rPr>
          <w:sz w:val="22"/>
          <w:szCs w:val="22"/>
          <w:lang w:val="en-US"/>
        </w:rPr>
        <w:t>Rousta et al.</w:t>
      </w:r>
      <w:r w:rsidR="00593405">
        <w:rPr>
          <w:sz w:val="22"/>
          <w:szCs w:val="22"/>
          <w:lang w:val="en-US"/>
        </w:rPr>
        <w:t>,</w:t>
      </w:r>
      <w:r w:rsidR="00C23E95" w:rsidRPr="0035185A">
        <w:rPr>
          <w:sz w:val="22"/>
          <w:szCs w:val="22"/>
          <w:lang w:val="en-US"/>
        </w:rPr>
        <w:t xml:space="preserve"> </w:t>
      </w:r>
      <w:r w:rsidR="000A0497" w:rsidRPr="0035185A">
        <w:rPr>
          <w:sz w:val="22"/>
          <w:szCs w:val="22"/>
          <w:lang w:val="en-US"/>
        </w:rPr>
        <w:t>2023</w:t>
      </w:r>
      <w:r w:rsidR="00593405">
        <w:rPr>
          <w:sz w:val="22"/>
          <w:szCs w:val="22"/>
          <w:lang w:val="en-US"/>
        </w:rPr>
        <w:t>;</w:t>
      </w:r>
      <w:r w:rsidR="00C23E95" w:rsidRPr="0035185A">
        <w:rPr>
          <w:sz w:val="22"/>
          <w:szCs w:val="22"/>
          <w:lang w:val="en-US"/>
        </w:rPr>
        <w:t xml:space="preserve"> </w:t>
      </w:r>
      <w:r w:rsidR="000A0497" w:rsidRPr="0035185A">
        <w:rPr>
          <w:sz w:val="22"/>
          <w:szCs w:val="22"/>
          <w:lang w:val="en-US"/>
        </w:rPr>
        <w:t>Kale</w:t>
      </w:r>
      <w:r w:rsidRPr="0035185A">
        <w:rPr>
          <w:sz w:val="22"/>
          <w:szCs w:val="22"/>
          <w:lang w:val="en-US"/>
        </w:rPr>
        <w:t xml:space="preserve"> et al</w:t>
      </w:r>
      <w:r w:rsidR="00C23E95" w:rsidRPr="0035185A">
        <w:rPr>
          <w:sz w:val="22"/>
          <w:szCs w:val="22"/>
          <w:lang w:val="en-US"/>
        </w:rPr>
        <w:t>.</w:t>
      </w:r>
      <w:r w:rsidR="00593405">
        <w:rPr>
          <w:sz w:val="22"/>
          <w:szCs w:val="22"/>
          <w:lang w:val="en-US"/>
        </w:rPr>
        <w:t>,</w:t>
      </w:r>
      <w:r w:rsidRPr="0035185A">
        <w:rPr>
          <w:sz w:val="22"/>
          <w:szCs w:val="22"/>
          <w:lang w:val="en-US"/>
        </w:rPr>
        <w:t xml:space="preserve"> 202</w:t>
      </w:r>
      <w:r w:rsidR="000A0497" w:rsidRPr="0035185A">
        <w:rPr>
          <w:sz w:val="22"/>
          <w:szCs w:val="22"/>
          <w:lang w:val="en-US"/>
        </w:rPr>
        <w:t>6</w:t>
      </w:r>
      <w:r w:rsidRPr="0035185A">
        <w:rPr>
          <w:sz w:val="22"/>
          <w:szCs w:val="22"/>
          <w:lang w:val="en-US"/>
        </w:rPr>
        <w:t>), indicating that closed-basin lakes may exhibit convergent response modes despite regional differences in climate and land use.</w:t>
      </w:r>
    </w:p>
    <w:p w14:paraId="5F37A703" w14:textId="0541644A" w:rsidR="00752DF5" w:rsidRPr="00D712DC" w:rsidRDefault="00752DF5" w:rsidP="00664250">
      <w:pPr>
        <w:pStyle w:val="Rn2"/>
        <w:rPr>
          <w:bCs/>
          <w:i/>
          <w:lang w:val="en-GB"/>
        </w:rPr>
      </w:pPr>
      <w:r w:rsidRPr="00D712DC">
        <w:rPr>
          <w:lang w:val="en-GB"/>
        </w:rPr>
        <w:t>4.4. Implications for Lake Monitoring and Regional Water Management</w:t>
      </w:r>
    </w:p>
    <w:p w14:paraId="05283689" w14:textId="432276D0" w:rsidR="00752DF5" w:rsidRPr="0035185A" w:rsidRDefault="00752DF5" w:rsidP="008E6351">
      <w:pPr>
        <w:pStyle w:val="Paragraph"/>
        <w:keepNext/>
        <w:spacing w:before="0" w:line="240" w:lineRule="auto"/>
        <w:ind w:firstLine="284"/>
        <w:jc w:val="both"/>
        <w:rPr>
          <w:sz w:val="22"/>
          <w:szCs w:val="22"/>
          <w:lang w:val="en-US"/>
        </w:rPr>
      </w:pPr>
      <w:r w:rsidRPr="0035185A">
        <w:rPr>
          <w:sz w:val="22"/>
          <w:szCs w:val="22"/>
          <w:lang w:val="en-US"/>
        </w:rPr>
        <w:t>The integrated results of this study have important implications for lake monitoring strategies in drought-prone regions. The demonstrated effectiveness of multi-sensor satellite ensembles and drought indices in capturing long-term surface water dynamics supports their application as early warning tools for hydrologically vulnerable lakes.</w:t>
      </w:r>
      <w:r w:rsidR="007D73B8" w:rsidRPr="0035185A">
        <w:rPr>
          <w:sz w:val="22"/>
          <w:szCs w:val="22"/>
          <w:lang w:val="en-US"/>
        </w:rPr>
        <w:t xml:space="preserve"> </w:t>
      </w:r>
      <w:r w:rsidRPr="0035185A">
        <w:rPr>
          <w:sz w:val="22"/>
          <w:szCs w:val="22"/>
          <w:lang w:val="en-US"/>
        </w:rPr>
        <w:t xml:space="preserve">From a management perspective, the clear differentiation between climate-dominated and buffered lake systems suggests that uniform conservation strategies may be ineffective. Highly sensitive lakes such as Burdur and Eber are likely to require stringent groundwater regulation and basin-scale water balance management, whereas more resilient systems may benefit from targeted protection of recharge zones and surrounding land cover. At the national scale, the findings contribute to a growing body of evidence documenting </w:t>
      </w:r>
      <w:r w:rsidRPr="00A10314">
        <w:rPr>
          <w:spacing w:val="-2"/>
          <w:sz w:val="22"/>
          <w:szCs w:val="22"/>
          <w:lang w:val="en-US"/>
        </w:rPr>
        <w:t>the rapid desiccation of Turkish inland waters (</w:t>
      </w:r>
      <w:proofErr w:type="spellStart"/>
      <w:r w:rsidR="000A0497" w:rsidRPr="00A10314">
        <w:rPr>
          <w:spacing w:val="-2"/>
          <w:sz w:val="22"/>
          <w:szCs w:val="22"/>
          <w:lang w:val="en-US"/>
        </w:rPr>
        <w:t>Davraz</w:t>
      </w:r>
      <w:proofErr w:type="spellEnd"/>
      <w:r w:rsidRPr="00A10314">
        <w:rPr>
          <w:spacing w:val="-2"/>
          <w:sz w:val="22"/>
          <w:szCs w:val="22"/>
          <w:lang w:val="en-US"/>
        </w:rPr>
        <w:t xml:space="preserve"> et al.</w:t>
      </w:r>
      <w:r w:rsidR="00593405" w:rsidRPr="00A10314">
        <w:rPr>
          <w:spacing w:val="-2"/>
          <w:sz w:val="22"/>
          <w:szCs w:val="22"/>
          <w:lang w:val="en-US"/>
        </w:rPr>
        <w:t>,</w:t>
      </w:r>
      <w:r w:rsidRPr="00A10314">
        <w:rPr>
          <w:spacing w:val="-2"/>
          <w:sz w:val="22"/>
          <w:szCs w:val="22"/>
          <w:lang w:val="en-US"/>
        </w:rPr>
        <w:t xml:space="preserve"> 201</w:t>
      </w:r>
      <w:r w:rsidR="000A0497" w:rsidRPr="00A10314">
        <w:rPr>
          <w:spacing w:val="-2"/>
          <w:sz w:val="22"/>
          <w:szCs w:val="22"/>
          <w:lang w:val="en-US"/>
        </w:rPr>
        <w:t>9</w:t>
      </w:r>
      <w:r w:rsidR="00593405" w:rsidRPr="00A10314">
        <w:rPr>
          <w:spacing w:val="-2"/>
          <w:sz w:val="22"/>
          <w:szCs w:val="22"/>
          <w:lang w:val="en-US"/>
        </w:rPr>
        <w:t>;</w:t>
      </w:r>
      <w:r w:rsidRPr="00A10314">
        <w:rPr>
          <w:spacing w:val="-2"/>
          <w:sz w:val="22"/>
          <w:szCs w:val="22"/>
          <w:lang w:val="en-US"/>
        </w:rPr>
        <w:t xml:space="preserve"> </w:t>
      </w:r>
      <w:r w:rsidR="004A2041" w:rsidRPr="00A10314">
        <w:rPr>
          <w:spacing w:val="-2"/>
          <w:sz w:val="22"/>
          <w:szCs w:val="22"/>
          <w:lang w:val="en-US"/>
        </w:rPr>
        <w:t>Tuygun</w:t>
      </w:r>
      <w:r w:rsidRPr="00A10314">
        <w:rPr>
          <w:spacing w:val="-2"/>
          <w:sz w:val="22"/>
          <w:szCs w:val="22"/>
          <w:lang w:val="en-US"/>
        </w:rPr>
        <w:t xml:space="preserve"> et al.</w:t>
      </w:r>
      <w:r w:rsidR="00593405" w:rsidRPr="00A10314">
        <w:rPr>
          <w:spacing w:val="-2"/>
          <w:sz w:val="22"/>
          <w:szCs w:val="22"/>
          <w:lang w:val="en-US"/>
        </w:rPr>
        <w:t>,</w:t>
      </w:r>
      <w:r w:rsidRPr="00A10314">
        <w:rPr>
          <w:spacing w:val="-2"/>
          <w:sz w:val="22"/>
          <w:szCs w:val="22"/>
          <w:lang w:val="en-US"/>
        </w:rPr>
        <w:t xml:space="preserve"> 20</w:t>
      </w:r>
      <w:r w:rsidR="000A0497" w:rsidRPr="00A10314">
        <w:rPr>
          <w:spacing w:val="-2"/>
          <w:sz w:val="22"/>
          <w:szCs w:val="22"/>
          <w:lang w:val="en-US"/>
        </w:rPr>
        <w:t>2</w:t>
      </w:r>
      <w:r w:rsidR="004A2041" w:rsidRPr="00A10314">
        <w:rPr>
          <w:spacing w:val="-2"/>
          <w:sz w:val="22"/>
          <w:szCs w:val="22"/>
          <w:lang w:val="en-US"/>
        </w:rPr>
        <w:t>3</w:t>
      </w:r>
      <w:r w:rsidRPr="00A10314">
        <w:rPr>
          <w:spacing w:val="-2"/>
          <w:sz w:val="22"/>
          <w:szCs w:val="22"/>
          <w:lang w:val="en-US"/>
        </w:rPr>
        <w:t>) and highlight the urgency of integrating climatic risk assessments into long-term lake management policies.</w:t>
      </w:r>
    </w:p>
    <w:p w14:paraId="5689246D" w14:textId="01D9705A" w:rsidR="00752DF5" w:rsidRPr="00D712DC" w:rsidRDefault="00752DF5" w:rsidP="00664250">
      <w:pPr>
        <w:pStyle w:val="Rn2"/>
        <w:rPr>
          <w:bCs/>
          <w:i/>
          <w:lang w:val="en-GB"/>
        </w:rPr>
      </w:pPr>
      <w:r w:rsidRPr="00D712DC">
        <w:rPr>
          <w:lang w:val="en-GB"/>
        </w:rPr>
        <w:t>4.5. Study Limitations and Future Research Directions</w:t>
      </w:r>
    </w:p>
    <w:p w14:paraId="617AE010" w14:textId="7A186741" w:rsidR="00752DF5" w:rsidRPr="0035185A" w:rsidRDefault="00752DF5" w:rsidP="008E6351">
      <w:pPr>
        <w:pStyle w:val="Paragraph"/>
        <w:keepNext/>
        <w:spacing w:before="0" w:line="240" w:lineRule="auto"/>
        <w:ind w:firstLine="284"/>
        <w:jc w:val="both"/>
        <w:rPr>
          <w:sz w:val="22"/>
          <w:szCs w:val="22"/>
          <w:lang w:val="en-US"/>
        </w:rPr>
      </w:pPr>
      <w:r w:rsidRPr="0035185A">
        <w:rPr>
          <w:sz w:val="22"/>
          <w:szCs w:val="22"/>
          <w:lang w:val="en-US"/>
        </w:rPr>
        <w:t xml:space="preserve">Despite its comprehensive scope, this study is subject to several limitations. First, the reliance on surface area as a proxy for hydrological change may underestimate subsurface processes and volumetric variability. Second, the lack of long-term groundwater extraction data </w:t>
      </w:r>
      <w:r w:rsidR="00D712DC">
        <w:rPr>
          <w:sz w:val="22"/>
          <w:szCs w:val="22"/>
          <w:lang w:val="en-US"/>
        </w:rPr>
        <w:t>limits the ability to explicitly quantify anthropogenic contributions to observed trends</w:t>
      </w:r>
      <w:r w:rsidRPr="0035185A">
        <w:rPr>
          <w:sz w:val="22"/>
          <w:szCs w:val="22"/>
          <w:lang w:val="en-US"/>
        </w:rPr>
        <w:t xml:space="preserve">. Future research should aim to integrate lake bathymetry, groundwater monitoring, and socio-economic water use data to </w:t>
      </w:r>
      <w:r w:rsidR="00D712DC">
        <w:rPr>
          <w:sz w:val="22"/>
          <w:szCs w:val="22"/>
          <w:lang w:val="en-US"/>
        </w:rPr>
        <w:t>disentangle climatic and human drivers better</w:t>
      </w:r>
      <w:r w:rsidRPr="0035185A">
        <w:rPr>
          <w:sz w:val="22"/>
          <w:szCs w:val="22"/>
          <w:lang w:val="en-US"/>
        </w:rPr>
        <w:t>. Coupling remote sensing with hydrological modeling frameworks may further enhance predictive capacity under future climate scenarios.</w:t>
      </w:r>
    </w:p>
    <w:p w14:paraId="5C0EC5AF" w14:textId="77777777" w:rsidR="00A10314" w:rsidRDefault="00A10314">
      <w:pPr>
        <w:spacing w:line="240" w:lineRule="auto"/>
        <w:rPr>
          <w:rFonts w:eastAsiaTheme="minorHAnsi" w:cstheme="minorBidi"/>
          <w:b/>
          <w:kern w:val="2"/>
          <w:szCs w:val="22"/>
          <w:lang w:eastAsia="en-US"/>
          <w14:ligatures w14:val="standardContextual"/>
        </w:rPr>
      </w:pPr>
      <w:r>
        <w:br w:type="page"/>
      </w:r>
    </w:p>
    <w:p w14:paraId="4DE8BC46" w14:textId="3A22972F" w:rsidR="00752DF5" w:rsidRPr="00D712DC" w:rsidRDefault="00752DF5" w:rsidP="00664250">
      <w:pPr>
        <w:pStyle w:val="Rn1"/>
        <w:rPr>
          <w:lang w:val="en-GB"/>
        </w:rPr>
      </w:pPr>
      <w:r w:rsidRPr="00D712DC">
        <w:rPr>
          <w:lang w:val="en-GB"/>
        </w:rPr>
        <w:lastRenderedPageBreak/>
        <w:t>5. Conclusion</w:t>
      </w:r>
    </w:p>
    <w:p w14:paraId="1623748F" w14:textId="77777777" w:rsidR="009039C9" w:rsidRPr="0035185A" w:rsidRDefault="00695559" w:rsidP="009039C9">
      <w:pPr>
        <w:pStyle w:val="Paragraph"/>
        <w:spacing w:before="0" w:line="240" w:lineRule="auto"/>
        <w:ind w:firstLine="284"/>
        <w:jc w:val="both"/>
        <w:rPr>
          <w:sz w:val="22"/>
          <w:szCs w:val="22"/>
          <w:lang w:val="en-US"/>
        </w:rPr>
      </w:pPr>
      <w:r w:rsidRPr="0035185A">
        <w:rPr>
          <w:sz w:val="22"/>
          <w:szCs w:val="22"/>
          <w:lang w:val="en-US"/>
        </w:rPr>
        <w:t>This study provides a comprehensive, multi-decadal assessment of surface water dynamics in six Mediterranean closed-basin lakes, revealing a consistent and accelerating contraction of lake surface area over the 2010–2024 period. By integrating multi-sensor satellite observations with hydroclimatic indices and multivariate statistical analyses, the results demonstrate that lake surface area change is primarily driven by the combined effects of prolonged drought persistence and increasing atmospheric evaporative demand, rather than by precipitation variability alone.</w:t>
      </w:r>
      <w:r w:rsidR="003C15A6" w:rsidRPr="0035185A">
        <w:rPr>
          <w:sz w:val="22"/>
          <w:szCs w:val="22"/>
          <w:lang w:val="en-US"/>
        </w:rPr>
        <w:t xml:space="preserve"> </w:t>
      </w:r>
      <w:r w:rsidRPr="0035185A">
        <w:rPr>
          <w:sz w:val="22"/>
          <w:szCs w:val="22"/>
          <w:lang w:val="en-US"/>
        </w:rPr>
        <w:t xml:space="preserve">The findings clearly differentiate lake systems according to their hydroclimatic sensitivity. </w:t>
      </w:r>
    </w:p>
    <w:p w14:paraId="2C306E62" w14:textId="0CF5A892" w:rsidR="00695559" w:rsidRPr="0035185A" w:rsidRDefault="00695559" w:rsidP="008E6351">
      <w:pPr>
        <w:pStyle w:val="Paragraph"/>
        <w:keepNext/>
        <w:spacing w:before="0" w:line="240" w:lineRule="auto"/>
        <w:ind w:firstLine="284"/>
        <w:jc w:val="both"/>
        <w:rPr>
          <w:sz w:val="22"/>
          <w:szCs w:val="22"/>
          <w:lang w:val="en-US"/>
        </w:rPr>
      </w:pPr>
      <w:r w:rsidRPr="0035185A">
        <w:rPr>
          <w:sz w:val="22"/>
          <w:szCs w:val="22"/>
          <w:lang w:val="en-US"/>
        </w:rPr>
        <w:t xml:space="preserve">Lake Burdur and Lake Eber emerge as highly vulnerable systems, exhibiting strong coupling with drought indices, pronounced shoreline retreat, and sustained long-term </w:t>
      </w:r>
      <w:r w:rsidR="00D712DC">
        <w:rPr>
          <w:sz w:val="22"/>
          <w:szCs w:val="22"/>
          <w:lang w:val="en-US"/>
        </w:rPr>
        <w:t>declines in surface area</w:t>
      </w:r>
      <w:r w:rsidRPr="0035185A">
        <w:rPr>
          <w:sz w:val="22"/>
          <w:szCs w:val="22"/>
          <w:lang w:val="en-US"/>
        </w:rPr>
        <w:t>. In contrast, Lake Salda consistently displays relative resilience, highlighting the critical role of basin-scale hydrogeological buffering in mitigating climate-induced water loss. Intermediate responses observed in Karata</w:t>
      </w:r>
      <w:r w:rsidR="00031F6E" w:rsidRPr="0035185A">
        <w:rPr>
          <w:sz w:val="22"/>
          <w:szCs w:val="22"/>
          <w:lang w:val="en-US"/>
        </w:rPr>
        <w:t>s</w:t>
      </w:r>
      <w:r w:rsidRPr="0035185A">
        <w:rPr>
          <w:sz w:val="22"/>
          <w:szCs w:val="22"/>
          <w:lang w:val="en-US"/>
        </w:rPr>
        <w:t>, Yar</w:t>
      </w:r>
      <w:r w:rsidR="003221DB" w:rsidRPr="0035185A">
        <w:rPr>
          <w:sz w:val="22"/>
          <w:szCs w:val="22"/>
          <w:lang w:val="en-US"/>
        </w:rPr>
        <w:t>isli</w:t>
      </w:r>
      <w:r w:rsidRPr="0035185A">
        <w:rPr>
          <w:sz w:val="22"/>
          <w:szCs w:val="22"/>
          <w:lang w:val="en-US"/>
        </w:rPr>
        <w:t>, and Ac</w:t>
      </w:r>
      <w:r w:rsidR="003221DB" w:rsidRPr="0035185A">
        <w:rPr>
          <w:sz w:val="22"/>
          <w:szCs w:val="22"/>
          <w:lang w:val="en-US"/>
        </w:rPr>
        <w:t>igol</w:t>
      </w:r>
      <w:r w:rsidRPr="0035185A">
        <w:rPr>
          <w:sz w:val="22"/>
          <w:szCs w:val="22"/>
          <w:lang w:val="en-US"/>
        </w:rPr>
        <w:t xml:space="preserve"> further emphasize that lake vulnerability operates along a continuum rather than as a binary state.</w:t>
      </w:r>
    </w:p>
    <w:p w14:paraId="0EF8EC01" w14:textId="7DF83E70" w:rsidR="00695559" w:rsidRPr="0035185A" w:rsidRDefault="00695559" w:rsidP="008E6351">
      <w:pPr>
        <w:pStyle w:val="Paragraph"/>
        <w:keepNext/>
        <w:spacing w:before="0" w:line="240" w:lineRule="auto"/>
        <w:ind w:firstLine="284"/>
        <w:jc w:val="both"/>
        <w:rPr>
          <w:sz w:val="22"/>
          <w:szCs w:val="22"/>
          <w:lang w:val="en-US"/>
        </w:rPr>
      </w:pPr>
      <w:r w:rsidRPr="0035185A">
        <w:rPr>
          <w:sz w:val="22"/>
          <w:szCs w:val="22"/>
          <w:lang w:val="en-US"/>
        </w:rPr>
        <w:t>Beyond documenting historical change, this study underscores the value of integrated remote sensing and drought-based analytical frameworks for identifying lake-specific response modes in data-scarce regions. The results suggest that effective management of closed-basin lakes under a warming climate will require differentiated, basin-specific strategies, with particular attention to groundwater regulation and long-term climatic risk. Collectively, the evidence presented here positions Mediterranean closed-basin lakes as early indicators of hydroclimatic stress and highlights the urgency of incorporating climate-driven water</w:t>
      </w:r>
      <w:r w:rsidR="00D712DC">
        <w:rPr>
          <w:sz w:val="22"/>
          <w:szCs w:val="22"/>
          <w:lang w:val="en-US"/>
        </w:rPr>
        <w:t>-balance assessments into regional lake conservation and water-</w:t>
      </w:r>
      <w:r w:rsidRPr="0035185A">
        <w:rPr>
          <w:sz w:val="22"/>
          <w:szCs w:val="22"/>
          <w:lang w:val="en-US"/>
        </w:rPr>
        <w:t>resource planning.</w:t>
      </w:r>
    </w:p>
    <w:p w14:paraId="010CB8C2" w14:textId="77777777" w:rsidR="00F733CF" w:rsidRPr="00D712DC" w:rsidRDefault="00F733CF" w:rsidP="00146346">
      <w:pPr>
        <w:pStyle w:val="Rn2"/>
        <w:rPr>
          <w:lang w:val="en-GB"/>
        </w:rPr>
      </w:pPr>
      <w:r w:rsidRPr="00D712DC">
        <w:rPr>
          <w:lang w:val="en-GB"/>
        </w:rPr>
        <w:t>References</w:t>
      </w:r>
    </w:p>
    <w:p w14:paraId="259E4FA1" w14:textId="778DACF8" w:rsidR="008C6000" w:rsidRPr="00146346" w:rsidRDefault="008C6000" w:rsidP="008C6000">
      <w:pPr>
        <w:pStyle w:val="Newparagraph"/>
        <w:spacing w:line="240" w:lineRule="auto"/>
        <w:ind w:left="426" w:hanging="426"/>
        <w:jc w:val="both"/>
        <w:rPr>
          <w:sz w:val="20"/>
          <w:szCs w:val="20"/>
        </w:rPr>
      </w:pPr>
      <w:r w:rsidRPr="00146346">
        <w:rPr>
          <w:sz w:val="20"/>
          <w:szCs w:val="20"/>
        </w:rPr>
        <w:t xml:space="preserve">Akay, A. (2025). The </w:t>
      </w:r>
      <w:r w:rsidR="00FC1AAA" w:rsidRPr="00146346">
        <w:rPr>
          <w:sz w:val="20"/>
          <w:szCs w:val="20"/>
        </w:rPr>
        <w:t>a</w:t>
      </w:r>
      <w:r w:rsidRPr="00146346">
        <w:rPr>
          <w:sz w:val="20"/>
          <w:szCs w:val="20"/>
        </w:rPr>
        <w:t xml:space="preserve">nalysis of </w:t>
      </w:r>
      <w:r w:rsidR="00FC1AAA" w:rsidRPr="00146346">
        <w:rPr>
          <w:sz w:val="20"/>
          <w:szCs w:val="20"/>
        </w:rPr>
        <w:t>l</w:t>
      </w:r>
      <w:r w:rsidRPr="00146346">
        <w:rPr>
          <w:sz w:val="20"/>
          <w:szCs w:val="20"/>
        </w:rPr>
        <w:t xml:space="preserve">andscape </w:t>
      </w:r>
      <w:r w:rsidR="00AE2200" w:rsidRPr="00146346">
        <w:rPr>
          <w:sz w:val="20"/>
          <w:szCs w:val="20"/>
        </w:rPr>
        <w:t>i</w:t>
      </w:r>
      <w:r w:rsidRPr="00146346">
        <w:rPr>
          <w:sz w:val="20"/>
          <w:szCs w:val="20"/>
        </w:rPr>
        <w:t xml:space="preserve">rrigation </w:t>
      </w:r>
      <w:r w:rsidR="00AE2200" w:rsidRPr="00146346">
        <w:rPr>
          <w:sz w:val="20"/>
          <w:szCs w:val="20"/>
        </w:rPr>
        <w:t>s</w:t>
      </w:r>
      <w:r w:rsidRPr="00146346">
        <w:rPr>
          <w:sz w:val="20"/>
          <w:szCs w:val="20"/>
        </w:rPr>
        <w:t xml:space="preserve">ystems in a </w:t>
      </w:r>
      <w:r w:rsidR="00AE2200" w:rsidRPr="00146346">
        <w:rPr>
          <w:sz w:val="20"/>
          <w:szCs w:val="20"/>
        </w:rPr>
        <w:t>neighbourhood</w:t>
      </w:r>
      <w:r w:rsidRPr="00146346">
        <w:rPr>
          <w:sz w:val="20"/>
          <w:szCs w:val="20"/>
        </w:rPr>
        <w:t xml:space="preserve"> </w:t>
      </w:r>
      <w:r w:rsidR="00AE2200" w:rsidRPr="00146346">
        <w:rPr>
          <w:sz w:val="20"/>
          <w:szCs w:val="20"/>
        </w:rPr>
        <w:t>p</w:t>
      </w:r>
      <w:r w:rsidRPr="00146346">
        <w:rPr>
          <w:sz w:val="20"/>
          <w:szCs w:val="20"/>
        </w:rPr>
        <w:t xml:space="preserve">ark: </w:t>
      </w:r>
      <w:r w:rsidR="00AE2200" w:rsidRPr="00146346">
        <w:rPr>
          <w:sz w:val="20"/>
          <w:szCs w:val="20"/>
        </w:rPr>
        <w:t>t</w:t>
      </w:r>
      <w:r w:rsidRPr="00146346">
        <w:rPr>
          <w:sz w:val="20"/>
          <w:szCs w:val="20"/>
        </w:rPr>
        <w:t xml:space="preserve">he </w:t>
      </w:r>
      <w:r w:rsidR="00AE2200" w:rsidRPr="00146346">
        <w:rPr>
          <w:sz w:val="20"/>
          <w:szCs w:val="20"/>
        </w:rPr>
        <w:t>c</w:t>
      </w:r>
      <w:r w:rsidRPr="00146346">
        <w:rPr>
          <w:sz w:val="20"/>
          <w:szCs w:val="20"/>
        </w:rPr>
        <w:t>ase of Prof. Dr. Erol Güngör Park. </w:t>
      </w:r>
      <w:r w:rsidRPr="00146346">
        <w:rPr>
          <w:i/>
          <w:iCs/>
          <w:sz w:val="20"/>
          <w:szCs w:val="20"/>
        </w:rPr>
        <w:t>Journal of Engineering Sciences</w:t>
      </w:r>
      <w:r w:rsidRPr="00146346">
        <w:rPr>
          <w:sz w:val="20"/>
          <w:szCs w:val="20"/>
        </w:rPr>
        <w:t>, </w:t>
      </w:r>
      <w:r w:rsidRPr="00146346">
        <w:rPr>
          <w:i/>
          <w:iCs/>
          <w:sz w:val="20"/>
          <w:szCs w:val="20"/>
        </w:rPr>
        <w:t>53</w:t>
      </w:r>
      <w:r w:rsidRPr="00146346">
        <w:rPr>
          <w:sz w:val="20"/>
          <w:szCs w:val="20"/>
        </w:rPr>
        <w:t>(3), 231</w:t>
      </w:r>
      <w:r w:rsidR="00A10314">
        <w:rPr>
          <w:sz w:val="20"/>
          <w:szCs w:val="20"/>
        </w:rPr>
        <w:t>–</w:t>
      </w:r>
      <w:r w:rsidRPr="00146346">
        <w:rPr>
          <w:sz w:val="20"/>
          <w:szCs w:val="20"/>
        </w:rPr>
        <w:t>245. https://doi.org/10.21608/jesaun.2025.362684.1439</w:t>
      </w:r>
    </w:p>
    <w:p w14:paraId="1913A74A" w14:textId="3640BE5B" w:rsidR="00AD1CD4" w:rsidRPr="00146346" w:rsidRDefault="00AD1CD4" w:rsidP="008E6351">
      <w:pPr>
        <w:pStyle w:val="Newparagraph"/>
        <w:spacing w:line="240" w:lineRule="auto"/>
        <w:ind w:left="426" w:hanging="426"/>
        <w:jc w:val="both"/>
        <w:rPr>
          <w:sz w:val="20"/>
          <w:szCs w:val="20"/>
        </w:rPr>
      </w:pPr>
      <w:proofErr w:type="spellStart"/>
      <w:r w:rsidRPr="00146346">
        <w:rPr>
          <w:sz w:val="20"/>
          <w:szCs w:val="20"/>
        </w:rPr>
        <w:t>Albarqouni</w:t>
      </w:r>
      <w:proofErr w:type="spellEnd"/>
      <w:r w:rsidRPr="00146346">
        <w:rPr>
          <w:sz w:val="20"/>
          <w:szCs w:val="20"/>
        </w:rPr>
        <w:t xml:space="preserve">, M.M., Yagmur, N., Bektas Balcik, F., &amp; </w:t>
      </w:r>
      <w:proofErr w:type="spellStart"/>
      <w:r w:rsidRPr="00146346">
        <w:rPr>
          <w:sz w:val="20"/>
          <w:szCs w:val="20"/>
        </w:rPr>
        <w:t>Sekertekin</w:t>
      </w:r>
      <w:proofErr w:type="spellEnd"/>
      <w:r w:rsidRPr="00146346">
        <w:rPr>
          <w:sz w:val="20"/>
          <w:szCs w:val="20"/>
        </w:rPr>
        <w:t xml:space="preserve">, A. (2022). Assessment of </w:t>
      </w:r>
      <w:proofErr w:type="spellStart"/>
      <w:r w:rsidRPr="00146346">
        <w:rPr>
          <w:sz w:val="20"/>
          <w:szCs w:val="20"/>
        </w:rPr>
        <w:t>spatio</w:t>
      </w:r>
      <w:proofErr w:type="spellEnd"/>
      <w:r w:rsidRPr="00146346">
        <w:rPr>
          <w:sz w:val="20"/>
          <w:szCs w:val="20"/>
        </w:rPr>
        <w:t>-temporal changes in water surface extents and lake surface temperatures using Google Earth Engine for lakes region, Türkiye. </w:t>
      </w:r>
      <w:r w:rsidRPr="00146346">
        <w:rPr>
          <w:i/>
          <w:iCs/>
          <w:sz w:val="20"/>
          <w:szCs w:val="20"/>
        </w:rPr>
        <w:t>ISPRS International Journal of Geo-Information</w:t>
      </w:r>
      <w:r w:rsidRPr="00146346">
        <w:rPr>
          <w:sz w:val="20"/>
          <w:szCs w:val="20"/>
        </w:rPr>
        <w:t>, </w:t>
      </w:r>
      <w:r w:rsidRPr="00146346">
        <w:rPr>
          <w:i/>
          <w:iCs/>
          <w:sz w:val="20"/>
          <w:szCs w:val="20"/>
        </w:rPr>
        <w:t>11</w:t>
      </w:r>
      <w:r w:rsidRPr="00146346">
        <w:rPr>
          <w:sz w:val="20"/>
          <w:szCs w:val="20"/>
        </w:rPr>
        <w:t xml:space="preserve">(7), 407. </w:t>
      </w:r>
      <w:hyperlink r:id="rId18" w:history="1">
        <w:r w:rsidRPr="00146346">
          <w:rPr>
            <w:sz w:val="20"/>
            <w:szCs w:val="20"/>
          </w:rPr>
          <w:t>https://doi.org/10.3390/ijgi11070407</w:t>
        </w:r>
      </w:hyperlink>
    </w:p>
    <w:p w14:paraId="0E5DAC4F" w14:textId="69E7F708" w:rsidR="009D3054" w:rsidRPr="00146346" w:rsidRDefault="009D3054" w:rsidP="008E6351">
      <w:pPr>
        <w:pStyle w:val="Newparagraph"/>
        <w:spacing w:line="240" w:lineRule="auto"/>
        <w:ind w:left="426" w:hanging="426"/>
        <w:jc w:val="both"/>
        <w:rPr>
          <w:sz w:val="20"/>
          <w:szCs w:val="20"/>
        </w:rPr>
      </w:pPr>
      <w:r w:rsidRPr="00146346">
        <w:rPr>
          <w:sz w:val="20"/>
          <w:szCs w:val="20"/>
        </w:rPr>
        <w:t xml:space="preserve">Allen, R.G., Pereira, L.S., Raes, D., &amp; Smith, M. (1998). </w:t>
      </w:r>
      <w:r w:rsidRPr="00146346">
        <w:rPr>
          <w:i/>
          <w:iCs/>
          <w:sz w:val="20"/>
          <w:szCs w:val="20"/>
        </w:rPr>
        <w:t>Crop evapotranspiration-Guidelines for computing crop water requirements</w:t>
      </w:r>
      <w:r w:rsidR="000C643D" w:rsidRPr="00146346">
        <w:rPr>
          <w:sz w:val="20"/>
          <w:szCs w:val="20"/>
        </w:rPr>
        <w:t xml:space="preserve">. </w:t>
      </w:r>
      <w:r w:rsidRPr="00146346">
        <w:rPr>
          <w:sz w:val="20"/>
          <w:szCs w:val="20"/>
        </w:rPr>
        <w:t>FAO Irrigation and drainage paper 56</w:t>
      </w:r>
      <w:r w:rsidR="00335CEA" w:rsidRPr="00146346">
        <w:rPr>
          <w:sz w:val="20"/>
          <w:szCs w:val="20"/>
        </w:rPr>
        <w:t xml:space="preserve">. </w:t>
      </w:r>
      <w:r w:rsidRPr="00146346">
        <w:rPr>
          <w:sz w:val="20"/>
          <w:szCs w:val="20"/>
        </w:rPr>
        <w:t>Rome, 300(9), D05109.</w:t>
      </w:r>
    </w:p>
    <w:p w14:paraId="60C9CB5A" w14:textId="6CD373FC" w:rsidR="00B83E8D" w:rsidRPr="00146346" w:rsidRDefault="00B83E8D" w:rsidP="008E6351">
      <w:pPr>
        <w:pStyle w:val="Newparagraph"/>
        <w:spacing w:line="240" w:lineRule="auto"/>
        <w:ind w:left="426" w:hanging="426"/>
        <w:jc w:val="both"/>
        <w:rPr>
          <w:sz w:val="20"/>
          <w:szCs w:val="20"/>
        </w:rPr>
      </w:pPr>
      <w:proofErr w:type="spellStart"/>
      <w:r w:rsidRPr="00146346">
        <w:rPr>
          <w:sz w:val="20"/>
          <w:szCs w:val="20"/>
        </w:rPr>
        <w:t>Bouarfa</w:t>
      </w:r>
      <w:proofErr w:type="spellEnd"/>
      <w:r w:rsidRPr="00146346">
        <w:rPr>
          <w:sz w:val="20"/>
          <w:szCs w:val="20"/>
        </w:rPr>
        <w:t xml:space="preserve">, A., </w:t>
      </w:r>
      <w:proofErr w:type="spellStart"/>
      <w:r w:rsidRPr="00146346">
        <w:rPr>
          <w:sz w:val="20"/>
          <w:szCs w:val="20"/>
        </w:rPr>
        <w:t>Bouarfa</w:t>
      </w:r>
      <w:proofErr w:type="spellEnd"/>
      <w:r w:rsidRPr="00146346">
        <w:rPr>
          <w:sz w:val="20"/>
          <w:szCs w:val="20"/>
        </w:rPr>
        <w:t xml:space="preserve">, S., Youb, O., </w:t>
      </w:r>
      <w:proofErr w:type="spellStart"/>
      <w:r w:rsidRPr="00146346">
        <w:rPr>
          <w:sz w:val="20"/>
          <w:szCs w:val="20"/>
        </w:rPr>
        <w:t>Derdour</w:t>
      </w:r>
      <w:proofErr w:type="spellEnd"/>
      <w:r w:rsidRPr="00146346">
        <w:rPr>
          <w:sz w:val="20"/>
          <w:szCs w:val="20"/>
        </w:rPr>
        <w:t xml:space="preserve">, A., &amp; </w:t>
      </w:r>
      <w:proofErr w:type="spellStart"/>
      <w:r w:rsidRPr="00146346">
        <w:rPr>
          <w:sz w:val="20"/>
          <w:szCs w:val="20"/>
        </w:rPr>
        <w:t>Mechieche</w:t>
      </w:r>
      <w:proofErr w:type="spellEnd"/>
      <w:r w:rsidRPr="00146346">
        <w:rPr>
          <w:sz w:val="20"/>
          <w:szCs w:val="20"/>
        </w:rPr>
        <w:t xml:space="preserve">, Z. (2025). The adaptation of loyalists and nomads to drought and climate change in the Southwestern Algerian Sahara-Naama. </w:t>
      </w:r>
      <w:r w:rsidRPr="00146346">
        <w:rPr>
          <w:i/>
          <w:iCs/>
          <w:sz w:val="20"/>
          <w:szCs w:val="20"/>
        </w:rPr>
        <w:t>Theoretical and Applied Climatology</w:t>
      </w:r>
      <w:r w:rsidRPr="00146346">
        <w:rPr>
          <w:sz w:val="20"/>
          <w:szCs w:val="20"/>
        </w:rPr>
        <w:t xml:space="preserve">, </w:t>
      </w:r>
      <w:r w:rsidRPr="00146346">
        <w:rPr>
          <w:i/>
          <w:iCs/>
          <w:sz w:val="20"/>
          <w:szCs w:val="20"/>
        </w:rPr>
        <w:t>156</w:t>
      </w:r>
      <w:r w:rsidRPr="00146346">
        <w:rPr>
          <w:sz w:val="20"/>
          <w:szCs w:val="20"/>
        </w:rPr>
        <w:t xml:space="preserve">(12), 655. </w:t>
      </w:r>
      <w:r w:rsidR="00335CEA" w:rsidRPr="00146346">
        <w:rPr>
          <w:sz w:val="20"/>
          <w:szCs w:val="20"/>
        </w:rPr>
        <w:t>https://doi.org/10.1007/s00704-025-05890-5</w:t>
      </w:r>
    </w:p>
    <w:p w14:paraId="30F00492" w14:textId="6C3EE103" w:rsidR="00335CEA" w:rsidRPr="00146346" w:rsidRDefault="00335CEA" w:rsidP="008E6351">
      <w:pPr>
        <w:pStyle w:val="Newparagraph"/>
        <w:spacing w:line="240" w:lineRule="auto"/>
        <w:ind w:left="426" w:hanging="426"/>
        <w:jc w:val="both"/>
        <w:rPr>
          <w:sz w:val="20"/>
          <w:szCs w:val="20"/>
        </w:rPr>
      </w:pPr>
      <w:proofErr w:type="spellStart"/>
      <w:r w:rsidRPr="00146346">
        <w:rPr>
          <w:sz w:val="20"/>
          <w:szCs w:val="20"/>
        </w:rPr>
        <w:t>Carmouze</w:t>
      </w:r>
      <w:proofErr w:type="spellEnd"/>
      <w:r w:rsidRPr="00146346">
        <w:rPr>
          <w:sz w:val="20"/>
          <w:szCs w:val="20"/>
        </w:rPr>
        <w:t>, J.P., Durant, J.R., &amp; Lévêque, C. (2012). Lake Chad: ecology and productivity of a shallow tropical ecosystem (Vol. 53). Springer Science &amp; Business Media.</w:t>
      </w:r>
    </w:p>
    <w:p w14:paraId="31A33761" w14:textId="3A049514" w:rsidR="00006033" w:rsidRPr="00146346" w:rsidRDefault="00006033" w:rsidP="008E6351">
      <w:pPr>
        <w:pStyle w:val="Newparagraph"/>
        <w:spacing w:line="240" w:lineRule="auto"/>
        <w:ind w:left="426" w:hanging="426"/>
        <w:jc w:val="both"/>
        <w:rPr>
          <w:sz w:val="20"/>
          <w:szCs w:val="20"/>
        </w:rPr>
      </w:pPr>
      <w:proofErr w:type="spellStart"/>
      <w:r w:rsidRPr="00146346">
        <w:rPr>
          <w:sz w:val="20"/>
          <w:szCs w:val="20"/>
        </w:rPr>
        <w:t>Crétaux</w:t>
      </w:r>
      <w:proofErr w:type="spellEnd"/>
      <w:r w:rsidRPr="00146346">
        <w:rPr>
          <w:sz w:val="20"/>
          <w:szCs w:val="20"/>
        </w:rPr>
        <w:t xml:space="preserve">, J.F., Abarca-del-Río, R., Berge-Nguyen, M., Arsen, A., </w:t>
      </w:r>
      <w:proofErr w:type="spellStart"/>
      <w:r w:rsidRPr="00146346">
        <w:rPr>
          <w:sz w:val="20"/>
          <w:szCs w:val="20"/>
        </w:rPr>
        <w:t>Drolon</w:t>
      </w:r>
      <w:proofErr w:type="spellEnd"/>
      <w:r w:rsidRPr="00146346">
        <w:rPr>
          <w:sz w:val="20"/>
          <w:szCs w:val="20"/>
        </w:rPr>
        <w:t xml:space="preserve">, V., Clos, G., &amp; </w:t>
      </w:r>
      <w:proofErr w:type="spellStart"/>
      <w:r w:rsidRPr="00146346">
        <w:rPr>
          <w:sz w:val="20"/>
          <w:szCs w:val="20"/>
        </w:rPr>
        <w:t>Maisongrande</w:t>
      </w:r>
      <w:proofErr w:type="spellEnd"/>
      <w:r w:rsidRPr="00146346">
        <w:rPr>
          <w:sz w:val="20"/>
          <w:szCs w:val="20"/>
        </w:rPr>
        <w:t xml:space="preserve">, P. (2016). Lake </w:t>
      </w:r>
      <w:r w:rsidRPr="00A10314">
        <w:rPr>
          <w:spacing w:val="-2"/>
          <w:sz w:val="20"/>
          <w:szCs w:val="20"/>
        </w:rPr>
        <w:t xml:space="preserve">volume monitoring from space. </w:t>
      </w:r>
      <w:r w:rsidRPr="00A10314">
        <w:rPr>
          <w:i/>
          <w:iCs/>
          <w:spacing w:val="-2"/>
          <w:sz w:val="20"/>
          <w:szCs w:val="20"/>
        </w:rPr>
        <w:t>Surveys in Geophysics</w:t>
      </w:r>
      <w:r w:rsidRPr="00A10314">
        <w:rPr>
          <w:spacing w:val="-2"/>
          <w:sz w:val="20"/>
          <w:szCs w:val="20"/>
        </w:rPr>
        <w:t xml:space="preserve">, </w:t>
      </w:r>
      <w:r w:rsidRPr="00A10314">
        <w:rPr>
          <w:i/>
          <w:iCs/>
          <w:spacing w:val="-2"/>
          <w:sz w:val="20"/>
          <w:szCs w:val="20"/>
        </w:rPr>
        <w:t>37</w:t>
      </w:r>
      <w:r w:rsidRPr="00A10314">
        <w:rPr>
          <w:spacing w:val="-2"/>
          <w:sz w:val="20"/>
          <w:szCs w:val="20"/>
        </w:rPr>
        <w:t>(2), 269</w:t>
      </w:r>
      <w:r w:rsidR="00A10314" w:rsidRPr="00A10314">
        <w:rPr>
          <w:spacing w:val="-2"/>
          <w:sz w:val="20"/>
          <w:szCs w:val="20"/>
        </w:rPr>
        <w:t>–</w:t>
      </w:r>
      <w:r w:rsidRPr="00A10314">
        <w:rPr>
          <w:spacing w:val="-2"/>
          <w:sz w:val="20"/>
          <w:szCs w:val="20"/>
        </w:rPr>
        <w:t>305</w:t>
      </w:r>
      <w:r w:rsidRPr="00146346">
        <w:rPr>
          <w:sz w:val="20"/>
          <w:szCs w:val="20"/>
        </w:rPr>
        <w:t xml:space="preserve">. </w:t>
      </w:r>
      <w:hyperlink r:id="rId19" w:history="1">
        <w:r w:rsidR="000A0497" w:rsidRPr="00146346">
          <w:rPr>
            <w:rStyle w:val="Hipercze"/>
            <w:color w:val="auto"/>
            <w:sz w:val="20"/>
            <w:szCs w:val="20"/>
            <w:u w:val="none"/>
          </w:rPr>
          <w:t>https://doi.org/10.1007/s10712-016-9362-6</w:t>
        </w:r>
      </w:hyperlink>
    </w:p>
    <w:p w14:paraId="14A940CC" w14:textId="5E67D14B" w:rsidR="000A0497" w:rsidRPr="00146346" w:rsidRDefault="000A0497" w:rsidP="006458B7">
      <w:pPr>
        <w:pStyle w:val="Newparagraph"/>
        <w:spacing w:line="240" w:lineRule="auto"/>
        <w:ind w:left="426" w:hanging="426"/>
        <w:rPr>
          <w:sz w:val="20"/>
          <w:szCs w:val="20"/>
        </w:rPr>
      </w:pPr>
      <w:proofErr w:type="spellStart"/>
      <w:r w:rsidRPr="00146346">
        <w:rPr>
          <w:sz w:val="20"/>
          <w:szCs w:val="20"/>
          <w:lang w:val="de-DE"/>
        </w:rPr>
        <w:t>Davraz</w:t>
      </w:r>
      <w:proofErr w:type="spellEnd"/>
      <w:r w:rsidRPr="00146346">
        <w:rPr>
          <w:sz w:val="20"/>
          <w:szCs w:val="20"/>
          <w:lang w:val="de-DE"/>
        </w:rPr>
        <w:t xml:space="preserve">, A., Sener, E., &amp; Sener, S. (2019). </w:t>
      </w:r>
      <w:r w:rsidRPr="00146346">
        <w:rPr>
          <w:sz w:val="20"/>
          <w:szCs w:val="20"/>
        </w:rPr>
        <w:t xml:space="preserve">Evaluation of climate and human effects on the hydrology and water quality of Burdur Lake, </w:t>
      </w:r>
      <w:r w:rsidR="00B81DE9" w:rsidRPr="00146346">
        <w:rPr>
          <w:sz w:val="20"/>
          <w:szCs w:val="20"/>
        </w:rPr>
        <w:t>Türkiye</w:t>
      </w:r>
      <w:r w:rsidRPr="00146346">
        <w:rPr>
          <w:sz w:val="20"/>
          <w:szCs w:val="20"/>
        </w:rPr>
        <w:t xml:space="preserve">. </w:t>
      </w:r>
      <w:r w:rsidRPr="00146346">
        <w:rPr>
          <w:i/>
          <w:iCs/>
          <w:sz w:val="20"/>
          <w:szCs w:val="20"/>
        </w:rPr>
        <w:t>Journal of African Earth Sciences</w:t>
      </w:r>
      <w:r w:rsidRPr="00146346">
        <w:rPr>
          <w:sz w:val="20"/>
          <w:szCs w:val="20"/>
        </w:rPr>
        <w:t xml:space="preserve">, </w:t>
      </w:r>
      <w:r w:rsidRPr="00146346">
        <w:rPr>
          <w:i/>
          <w:iCs/>
          <w:sz w:val="20"/>
          <w:szCs w:val="20"/>
        </w:rPr>
        <w:t>158</w:t>
      </w:r>
      <w:r w:rsidRPr="00146346">
        <w:rPr>
          <w:sz w:val="20"/>
          <w:szCs w:val="20"/>
        </w:rPr>
        <w:t xml:space="preserve">, 103569. </w:t>
      </w:r>
      <w:r w:rsidR="007C15BE" w:rsidRPr="00146346">
        <w:rPr>
          <w:sz w:val="20"/>
          <w:szCs w:val="20"/>
        </w:rPr>
        <w:t>https://doi.org/10.1016/j.jafrearsci.2019.103569</w:t>
      </w:r>
    </w:p>
    <w:p w14:paraId="24C3C089" w14:textId="23BA5E7E" w:rsidR="007C15BE" w:rsidRPr="00146346" w:rsidRDefault="007C15BE" w:rsidP="008E6351">
      <w:pPr>
        <w:pStyle w:val="Newparagraph"/>
        <w:spacing w:line="240" w:lineRule="auto"/>
        <w:ind w:left="426" w:hanging="426"/>
        <w:jc w:val="both"/>
        <w:rPr>
          <w:sz w:val="20"/>
          <w:szCs w:val="20"/>
        </w:rPr>
      </w:pPr>
      <w:r w:rsidRPr="00146346">
        <w:rPr>
          <w:sz w:val="20"/>
          <w:szCs w:val="20"/>
        </w:rPr>
        <w:t xml:space="preserve">Douglas, D.H., &amp; </w:t>
      </w:r>
      <w:proofErr w:type="spellStart"/>
      <w:r w:rsidRPr="00146346">
        <w:rPr>
          <w:sz w:val="20"/>
          <w:szCs w:val="20"/>
        </w:rPr>
        <w:t>Peucker</w:t>
      </w:r>
      <w:proofErr w:type="spellEnd"/>
      <w:r w:rsidRPr="00146346">
        <w:rPr>
          <w:sz w:val="20"/>
          <w:szCs w:val="20"/>
        </w:rPr>
        <w:t>, T.K. (1973). Algorithms for the reduction of the number of points required to represent a</w:t>
      </w:r>
      <w:r w:rsidR="00303475" w:rsidRPr="00146346">
        <w:rPr>
          <w:sz w:val="20"/>
          <w:szCs w:val="20"/>
        </w:rPr>
        <w:t> </w:t>
      </w:r>
      <w:r w:rsidRPr="00146346">
        <w:rPr>
          <w:sz w:val="20"/>
          <w:szCs w:val="20"/>
        </w:rPr>
        <w:t>digitized line or its caricature.</w:t>
      </w:r>
      <w:r w:rsidRPr="00146346">
        <w:rPr>
          <w:i/>
          <w:iCs/>
          <w:sz w:val="20"/>
          <w:szCs w:val="20"/>
        </w:rPr>
        <w:t> </w:t>
      </w:r>
      <w:proofErr w:type="spellStart"/>
      <w:r w:rsidRPr="00146346">
        <w:rPr>
          <w:i/>
          <w:iCs/>
          <w:sz w:val="20"/>
          <w:szCs w:val="20"/>
        </w:rPr>
        <w:t>Cartographica</w:t>
      </w:r>
      <w:proofErr w:type="spellEnd"/>
      <w:r w:rsidRPr="00146346">
        <w:rPr>
          <w:i/>
          <w:iCs/>
          <w:sz w:val="20"/>
          <w:szCs w:val="20"/>
        </w:rPr>
        <w:t xml:space="preserve">: the international journal for geographic information and </w:t>
      </w:r>
      <w:proofErr w:type="spellStart"/>
      <w:r w:rsidRPr="00146346">
        <w:rPr>
          <w:i/>
          <w:iCs/>
          <w:sz w:val="20"/>
          <w:szCs w:val="20"/>
        </w:rPr>
        <w:t>geovisualization</w:t>
      </w:r>
      <w:proofErr w:type="spellEnd"/>
      <w:r w:rsidRPr="00146346">
        <w:rPr>
          <w:sz w:val="20"/>
          <w:szCs w:val="20"/>
        </w:rPr>
        <w:t>,</w:t>
      </w:r>
      <w:r w:rsidR="00303475" w:rsidRPr="00146346">
        <w:rPr>
          <w:sz w:val="20"/>
          <w:szCs w:val="20"/>
        </w:rPr>
        <w:t xml:space="preserve"> </w:t>
      </w:r>
      <w:r w:rsidRPr="00146346">
        <w:rPr>
          <w:i/>
          <w:iCs/>
          <w:sz w:val="20"/>
          <w:szCs w:val="20"/>
        </w:rPr>
        <w:t>10</w:t>
      </w:r>
      <w:r w:rsidRPr="00146346">
        <w:rPr>
          <w:sz w:val="20"/>
          <w:szCs w:val="20"/>
        </w:rPr>
        <w:t>(2), 112</w:t>
      </w:r>
      <w:r w:rsidR="001B2CCC">
        <w:rPr>
          <w:sz w:val="20"/>
          <w:szCs w:val="20"/>
        </w:rPr>
        <w:t>–</w:t>
      </w:r>
      <w:r w:rsidRPr="00146346">
        <w:rPr>
          <w:sz w:val="20"/>
          <w:szCs w:val="20"/>
        </w:rPr>
        <w:t>122. https://doi.org/10.3138/FM57-6770-U75U-7727</w:t>
      </w:r>
    </w:p>
    <w:p w14:paraId="7B9B3DEE" w14:textId="70EDC3CD" w:rsidR="00501C62" w:rsidRPr="00146346" w:rsidRDefault="00501C62" w:rsidP="008E6351">
      <w:pPr>
        <w:pStyle w:val="Newparagraph"/>
        <w:spacing w:line="240" w:lineRule="auto"/>
        <w:ind w:left="426" w:hanging="426"/>
        <w:jc w:val="both"/>
        <w:rPr>
          <w:sz w:val="20"/>
          <w:szCs w:val="20"/>
        </w:rPr>
      </w:pPr>
      <w:r w:rsidRPr="00146346">
        <w:rPr>
          <w:sz w:val="20"/>
          <w:szCs w:val="20"/>
        </w:rPr>
        <w:t xml:space="preserve">Downing, J.A., Prairie, Y.T., Cole, J.J., Duarte, C.M., </w:t>
      </w:r>
      <w:proofErr w:type="spellStart"/>
      <w:r w:rsidRPr="00146346">
        <w:rPr>
          <w:sz w:val="20"/>
          <w:szCs w:val="20"/>
        </w:rPr>
        <w:t>Tranvik</w:t>
      </w:r>
      <w:proofErr w:type="spellEnd"/>
      <w:r w:rsidRPr="00146346">
        <w:rPr>
          <w:sz w:val="20"/>
          <w:szCs w:val="20"/>
        </w:rPr>
        <w:t xml:space="preserve">, L.J., Striegl, R.G., </w:t>
      </w:r>
      <w:r w:rsidR="00303475" w:rsidRPr="00146346">
        <w:rPr>
          <w:sz w:val="20"/>
          <w:szCs w:val="20"/>
        </w:rPr>
        <w:t xml:space="preserve">&amp; </w:t>
      </w:r>
      <w:r w:rsidRPr="00146346">
        <w:rPr>
          <w:sz w:val="20"/>
          <w:szCs w:val="20"/>
        </w:rPr>
        <w:t xml:space="preserve">Middelburg, J.J. (2006). </w:t>
      </w:r>
      <w:r w:rsidRPr="00146346">
        <w:rPr>
          <w:spacing w:val="-2"/>
          <w:sz w:val="20"/>
          <w:szCs w:val="20"/>
        </w:rPr>
        <w:t>The global abundance and size distribution of lakes, ponds, and impoundments.</w:t>
      </w:r>
      <w:r w:rsidR="00303475" w:rsidRPr="00146346">
        <w:rPr>
          <w:spacing w:val="-2"/>
          <w:sz w:val="20"/>
          <w:szCs w:val="20"/>
        </w:rPr>
        <w:t xml:space="preserve"> </w:t>
      </w:r>
      <w:r w:rsidRPr="00146346">
        <w:rPr>
          <w:i/>
          <w:iCs/>
          <w:spacing w:val="-2"/>
          <w:sz w:val="20"/>
          <w:szCs w:val="20"/>
        </w:rPr>
        <w:t>Limnology and oceanography</w:t>
      </w:r>
      <w:r w:rsidRPr="00146346">
        <w:rPr>
          <w:spacing w:val="-2"/>
          <w:sz w:val="20"/>
          <w:szCs w:val="20"/>
        </w:rPr>
        <w:t>,</w:t>
      </w:r>
      <w:r w:rsidR="00303475" w:rsidRPr="00146346">
        <w:rPr>
          <w:spacing w:val="-2"/>
          <w:sz w:val="20"/>
          <w:szCs w:val="20"/>
        </w:rPr>
        <w:t xml:space="preserve"> </w:t>
      </w:r>
      <w:r w:rsidRPr="00146346">
        <w:rPr>
          <w:i/>
          <w:iCs/>
          <w:spacing w:val="-2"/>
          <w:sz w:val="20"/>
          <w:szCs w:val="20"/>
        </w:rPr>
        <w:t>51</w:t>
      </w:r>
      <w:r w:rsidRPr="00146346">
        <w:rPr>
          <w:spacing w:val="-2"/>
          <w:sz w:val="20"/>
          <w:szCs w:val="20"/>
        </w:rPr>
        <w:t>(5), 2388</w:t>
      </w:r>
      <w:r w:rsidR="001B2CCC">
        <w:rPr>
          <w:spacing w:val="-2"/>
          <w:sz w:val="20"/>
          <w:szCs w:val="20"/>
        </w:rPr>
        <w:t>–</w:t>
      </w:r>
      <w:r w:rsidRPr="00146346">
        <w:rPr>
          <w:spacing w:val="-2"/>
          <w:sz w:val="20"/>
          <w:szCs w:val="20"/>
        </w:rPr>
        <w:t xml:space="preserve">2397. </w:t>
      </w:r>
      <w:r w:rsidR="00987F75" w:rsidRPr="00146346">
        <w:rPr>
          <w:sz w:val="20"/>
          <w:szCs w:val="20"/>
        </w:rPr>
        <w:t>https://doi.org/10.4319/lo.2006.51.5.2388</w:t>
      </w:r>
    </w:p>
    <w:p w14:paraId="07BDCC78" w14:textId="209C1EA3" w:rsidR="00987F75" w:rsidRPr="00146346" w:rsidRDefault="00987F75" w:rsidP="008E6351">
      <w:pPr>
        <w:pStyle w:val="Newparagraph"/>
        <w:spacing w:line="240" w:lineRule="auto"/>
        <w:ind w:left="426" w:hanging="426"/>
        <w:jc w:val="both"/>
        <w:rPr>
          <w:sz w:val="20"/>
          <w:szCs w:val="20"/>
        </w:rPr>
      </w:pPr>
      <w:proofErr w:type="spellStart"/>
      <w:r w:rsidRPr="00146346">
        <w:rPr>
          <w:sz w:val="20"/>
          <w:szCs w:val="20"/>
        </w:rPr>
        <w:t>Ekpetere</w:t>
      </w:r>
      <w:proofErr w:type="spellEnd"/>
      <w:r w:rsidRPr="00146346">
        <w:rPr>
          <w:sz w:val="20"/>
          <w:szCs w:val="20"/>
        </w:rPr>
        <w:t xml:space="preserve">, K., Abdelkader, M., Ishaya, S., </w:t>
      </w:r>
      <w:proofErr w:type="spellStart"/>
      <w:r w:rsidRPr="00146346">
        <w:rPr>
          <w:sz w:val="20"/>
          <w:szCs w:val="20"/>
        </w:rPr>
        <w:t>Makwe</w:t>
      </w:r>
      <w:proofErr w:type="spellEnd"/>
      <w:r w:rsidRPr="00146346">
        <w:rPr>
          <w:sz w:val="20"/>
          <w:szCs w:val="20"/>
        </w:rPr>
        <w:t xml:space="preserve">, E., &amp; </w:t>
      </w:r>
      <w:proofErr w:type="spellStart"/>
      <w:r w:rsidRPr="00146346">
        <w:rPr>
          <w:sz w:val="20"/>
          <w:szCs w:val="20"/>
        </w:rPr>
        <w:t>Ekpetere</w:t>
      </w:r>
      <w:proofErr w:type="spellEnd"/>
      <w:r w:rsidRPr="00146346">
        <w:rPr>
          <w:sz w:val="20"/>
          <w:szCs w:val="20"/>
        </w:rPr>
        <w:t>, P. (2023). Integrating satellite imagery and ground-based measurements with a machine learning model for monitoring lake dynamics over a semi-arid region.</w:t>
      </w:r>
      <w:r w:rsidR="00D3349C" w:rsidRPr="00146346">
        <w:rPr>
          <w:sz w:val="20"/>
          <w:szCs w:val="20"/>
        </w:rPr>
        <w:t xml:space="preserve"> </w:t>
      </w:r>
      <w:r w:rsidRPr="00146346">
        <w:rPr>
          <w:i/>
          <w:iCs/>
          <w:sz w:val="20"/>
          <w:szCs w:val="20"/>
        </w:rPr>
        <w:t>Hydrology</w:t>
      </w:r>
      <w:r w:rsidRPr="00146346">
        <w:rPr>
          <w:sz w:val="20"/>
          <w:szCs w:val="20"/>
        </w:rPr>
        <w:t>,</w:t>
      </w:r>
      <w:r w:rsidR="00D3349C" w:rsidRPr="00146346">
        <w:rPr>
          <w:sz w:val="20"/>
          <w:szCs w:val="20"/>
        </w:rPr>
        <w:t xml:space="preserve"> </w:t>
      </w:r>
      <w:r w:rsidRPr="00146346">
        <w:rPr>
          <w:i/>
          <w:iCs/>
          <w:sz w:val="20"/>
          <w:szCs w:val="20"/>
        </w:rPr>
        <w:t>10</w:t>
      </w:r>
      <w:r w:rsidRPr="00146346">
        <w:rPr>
          <w:sz w:val="20"/>
          <w:szCs w:val="20"/>
        </w:rPr>
        <w:t>(4), 78. https://doi.org/10.3390/hydrology10040078</w:t>
      </w:r>
    </w:p>
    <w:p w14:paraId="31753043" w14:textId="49D32957" w:rsidR="000A0497" w:rsidRPr="00146346" w:rsidRDefault="000A0497" w:rsidP="008E6351">
      <w:pPr>
        <w:pStyle w:val="Newparagraph"/>
        <w:spacing w:line="240" w:lineRule="auto"/>
        <w:ind w:left="426" w:hanging="426"/>
        <w:jc w:val="both"/>
        <w:rPr>
          <w:sz w:val="20"/>
          <w:szCs w:val="20"/>
        </w:rPr>
      </w:pPr>
      <w:r w:rsidRPr="00146346">
        <w:rPr>
          <w:sz w:val="20"/>
          <w:szCs w:val="20"/>
        </w:rPr>
        <w:t>Feng, Y., Zhang, H., Tao, S., Ao, Z., Song, C., Chave, J., &amp; Fang, J. (2022). Decadal lake volume changes (2003–2020) and driving forces at a global scale. </w:t>
      </w:r>
      <w:r w:rsidRPr="00146346">
        <w:rPr>
          <w:i/>
          <w:iCs/>
          <w:sz w:val="20"/>
          <w:szCs w:val="20"/>
        </w:rPr>
        <w:t>Remote Sensing</w:t>
      </w:r>
      <w:r w:rsidRPr="00146346">
        <w:rPr>
          <w:sz w:val="20"/>
          <w:szCs w:val="20"/>
        </w:rPr>
        <w:t>, </w:t>
      </w:r>
      <w:r w:rsidRPr="00146346">
        <w:rPr>
          <w:i/>
          <w:iCs/>
          <w:sz w:val="20"/>
          <w:szCs w:val="20"/>
        </w:rPr>
        <w:t>14</w:t>
      </w:r>
      <w:r w:rsidRPr="00146346">
        <w:rPr>
          <w:sz w:val="20"/>
          <w:szCs w:val="20"/>
        </w:rPr>
        <w:t>(4), 1032. https://doi.org/10.3390/rs14041032</w:t>
      </w:r>
    </w:p>
    <w:p w14:paraId="17699B06" w14:textId="26402591" w:rsidR="009D3054" w:rsidRPr="00146346" w:rsidRDefault="009D3054" w:rsidP="00D3349C">
      <w:pPr>
        <w:pStyle w:val="Newparagraph"/>
        <w:spacing w:line="240" w:lineRule="auto"/>
        <w:ind w:left="426" w:hanging="426"/>
        <w:rPr>
          <w:sz w:val="20"/>
          <w:szCs w:val="20"/>
        </w:rPr>
      </w:pPr>
      <w:proofErr w:type="spellStart"/>
      <w:r w:rsidRPr="00146346">
        <w:rPr>
          <w:sz w:val="20"/>
          <w:szCs w:val="20"/>
        </w:rPr>
        <w:t>Feranec</w:t>
      </w:r>
      <w:proofErr w:type="spellEnd"/>
      <w:r w:rsidRPr="00146346">
        <w:rPr>
          <w:sz w:val="20"/>
          <w:szCs w:val="20"/>
        </w:rPr>
        <w:t xml:space="preserve">, J., </w:t>
      </w:r>
      <w:proofErr w:type="spellStart"/>
      <w:r w:rsidRPr="00146346">
        <w:rPr>
          <w:sz w:val="20"/>
          <w:szCs w:val="20"/>
        </w:rPr>
        <w:t>Jaffrain</w:t>
      </w:r>
      <w:proofErr w:type="spellEnd"/>
      <w:r w:rsidRPr="00146346">
        <w:rPr>
          <w:sz w:val="20"/>
          <w:szCs w:val="20"/>
        </w:rPr>
        <w:t xml:space="preserve">, G., Soukup, T., &amp; </w:t>
      </w:r>
      <w:proofErr w:type="spellStart"/>
      <w:r w:rsidRPr="00146346">
        <w:rPr>
          <w:sz w:val="20"/>
          <w:szCs w:val="20"/>
        </w:rPr>
        <w:t>Hazeu</w:t>
      </w:r>
      <w:proofErr w:type="spellEnd"/>
      <w:r w:rsidRPr="00146346">
        <w:rPr>
          <w:sz w:val="20"/>
          <w:szCs w:val="20"/>
        </w:rPr>
        <w:t xml:space="preserve">, G. (2010). Determining changes and flows in European landscapes 1990–2000 using CORINE land cover data. </w:t>
      </w:r>
      <w:r w:rsidRPr="00146346">
        <w:rPr>
          <w:i/>
          <w:iCs/>
          <w:sz w:val="20"/>
          <w:szCs w:val="20"/>
        </w:rPr>
        <w:t>Applied geography</w:t>
      </w:r>
      <w:r w:rsidRPr="00146346">
        <w:rPr>
          <w:sz w:val="20"/>
          <w:szCs w:val="20"/>
        </w:rPr>
        <w:t xml:space="preserve">, </w:t>
      </w:r>
      <w:r w:rsidRPr="00146346">
        <w:rPr>
          <w:i/>
          <w:iCs/>
          <w:sz w:val="20"/>
          <w:szCs w:val="20"/>
        </w:rPr>
        <w:t>30</w:t>
      </w:r>
      <w:r w:rsidRPr="00146346">
        <w:rPr>
          <w:sz w:val="20"/>
          <w:szCs w:val="20"/>
        </w:rPr>
        <w:t>(1), 19</w:t>
      </w:r>
      <w:r w:rsidR="001B2CCC">
        <w:rPr>
          <w:sz w:val="20"/>
          <w:szCs w:val="20"/>
        </w:rPr>
        <w:t>–</w:t>
      </w:r>
      <w:r w:rsidRPr="00146346">
        <w:rPr>
          <w:sz w:val="20"/>
          <w:szCs w:val="20"/>
        </w:rPr>
        <w:t xml:space="preserve">35. </w:t>
      </w:r>
      <w:r w:rsidR="000A0497" w:rsidRPr="00146346">
        <w:rPr>
          <w:sz w:val="20"/>
          <w:szCs w:val="20"/>
        </w:rPr>
        <w:t>https://doi.org/10.1016/j.apgeog.2009.07.003</w:t>
      </w:r>
    </w:p>
    <w:p w14:paraId="3926C7E0" w14:textId="1545826D" w:rsidR="000A0497" w:rsidRPr="00146346" w:rsidRDefault="000A0497" w:rsidP="00D3349C">
      <w:pPr>
        <w:pStyle w:val="Newparagraph"/>
        <w:spacing w:line="240" w:lineRule="auto"/>
        <w:ind w:left="426" w:hanging="426"/>
        <w:rPr>
          <w:sz w:val="20"/>
          <w:szCs w:val="20"/>
        </w:rPr>
      </w:pPr>
      <w:r w:rsidRPr="00146346">
        <w:rPr>
          <w:sz w:val="20"/>
          <w:szCs w:val="20"/>
        </w:rPr>
        <w:t xml:space="preserve">Gleeson, T., Cuthbert, M., Ferguson, G., &amp; Perrone, D. (2020). Global groundwater sustainability, resources, and systems in the Anthropocene. </w:t>
      </w:r>
      <w:r w:rsidRPr="00146346">
        <w:rPr>
          <w:i/>
          <w:iCs/>
          <w:sz w:val="20"/>
          <w:szCs w:val="20"/>
        </w:rPr>
        <w:t>Annual review of earth and planetary sciences</w:t>
      </w:r>
      <w:r w:rsidRPr="00146346">
        <w:rPr>
          <w:sz w:val="20"/>
          <w:szCs w:val="20"/>
        </w:rPr>
        <w:t xml:space="preserve">, </w:t>
      </w:r>
      <w:r w:rsidRPr="00146346">
        <w:rPr>
          <w:i/>
          <w:iCs/>
          <w:sz w:val="20"/>
          <w:szCs w:val="20"/>
        </w:rPr>
        <w:t>48</w:t>
      </w:r>
      <w:r w:rsidRPr="00146346">
        <w:rPr>
          <w:sz w:val="20"/>
          <w:szCs w:val="20"/>
        </w:rPr>
        <w:t>(2020), 431</w:t>
      </w:r>
      <w:r w:rsidR="001B2CCC">
        <w:rPr>
          <w:sz w:val="20"/>
          <w:szCs w:val="20"/>
        </w:rPr>
        <w:t>–</w:t>
      </w:r>
      <w:r w:rsidRPr="00146346">
        <w:rPr>
          <w:sz w:val="20"/>
          <w:szCs w:val="20"/>
        </w:rPr>
        <w:t>463. https://doi.org/10.1146/annurev-earth-071719-055251</w:t>
      </w:r>
    </w:p>
    <w:p w14:paraId="71854BCB" w14:textId="54B3894C" w:rsidR="000A0497" w:rsidRPr="00146346" w:rsidRDefault="000A0497" w:rsidP="008E6351">
      <w:pPr>
        <w:pStyle w:val="Newparagraph"/>
        <w:spacing w:line="240" w:lineRule="auto"/>
        <w:ind w:left="426" w:hanging="426"/>
        <w:jc w:val="both"/>
        <w:rPr>
          <w:sz w:val="20"/>
          <w:szCs w:val="20"/>
        </w:rPr>
      </w:pPr>
      <w:r w:rsidRPr="00146346">
        <w:rPr>
          <w:sz w:val="20"/>
          <w:szCs w:val="20"/>
        </w:rPr>
        <w:t>Hof</w:t>
      </w:r>
      <w:r w:rsidR="006C2F65" w:rsidRPr="00146346">
        <w:rPr>
          <w:sz w:val="20"/>
          <w:szCs w:val="20"/>
        </w:rPr>
        <w:t>f</w:t>
      </w:r>
      <w:r w:rsidRPr="00146346">
        <w:rPr>
          <w:sz w:val="20"/>
          <w:szCs w:val="20"/>
        </w:rPr>
        <w:t xml:space="preserve">mann, G.S., Weber, E.J., </w:t>
      </w:r>
      <w:proofErr w:type="spellStart"/>
      <w:r w:rsidRPr="00146346">
        <w:rPr>
          <w:sz w:val="20"/>
          <w:szCs w:val="20"/>
        </w:rPr>
        <w:t>Bastazini</w:t>
      </w:r>
      <w:proofErr w:type="spellEnd"/>
      <w:r w:rsidRPr="00146346">
        <w:rPr>
          <w:sz w:val="20"/>
          <w:szCs w:val="20"/>
        </w:rPr>
        <w:t xml:space="preserve">, </w:t>
      </w:r>
      <w:r w:rsidR="005F151C" w:rsidRPr="00146346">
        <w:rPr>
          <w:sz w:val="20"/>
          <w:szCs w:val="20"/>
        </w:rPr>
        <w:t>V</w:t>
      </w:r>
      <w:r w:rsidRPr="00146346">
        <w:rPr>
          <w:sz w:val="20"/>
          <w:szCs w:val="20"/>
        </w:rPr>
        <w:t>.A.G., Rossatto, D.R., Franco, A.C., Granada, C.E.,</w:t>
      </w:r>
      <w:r w:rsidR="00F5344A" w:rsidRPr="00146346">
        <w:rPr>
          <w:sz w:val="20"/>
          <w:szCs w:val="20"/>
        </w:rPr>
        <w:t xml:space="preserve"> </w:t>
      </w:r>
      <w:r w:rsidRPr="00146346">
        <w:rPr>
          <w:sz w:val="20"/>
          <w:szCs w:val="20"/>
        </w:rPr>
        <w:t xml:space="preserve">&amp; Pereira, M.J. (2025). Climate change in the Brazilian Cerrado: A looming threat to terrestrial biodiversity. </w:t>
      </w:r>
      <w:r w:rsidRPr="00146346">
        <w:rPr>
          <w:i/>
          <w:iCs/>
          <w:sz w:val="20"/>
          <w:szCs w:val="20"/>
        </w:rPr>
        <w:t>Wiley Interdisciplinary Reviews: Climate Change</w:t>
      </w:r>
      <w:r w:rsidRPr="00146346">
        <w:rPr>
          <w:sz w:val="20"/>
          <w:szCs w:val="20"/>
        </w:rPr>
        <w:t xml:space="preserve">, </w:t>
      </w:r>
      <w:r w:rsidRPr="00146346">
        <w:rPr>
          <w:i/>
          <w:iCs/>
          <w:sz w:val="20"/>
          <w:szCs w:val="20"/>
        </w:rPr>
        <w:t>16</w:t>
      </w:r>
      <w:r w:rsidRPr="00146346">
        <w:rPr>
          <w:sz w:val="20"/>
          <w:szCs w:val="20"/>
        </w:rPr>
        <w:t xml:space="preserve">(5), e70022. </w:t>
      </w:r>
      <w:r w:rsidR="00B81DE9" w:rsidRPr="00146346">
        <w:rPr>
          <w:sz w:val="20"/>
          <w:szCs w:val="20"/>
        </w:rPr>
        <w:t>https://doi.org/10.1002/wcc.70022</w:t>
      </w:r>
    </w:p>
    <w:p w14:paraId="5FE39E7D" w14:textId="0EAB34C8" w:rsidR="00B81DE9" w:rsidRPr="00146346" w:rsidRDefault="00B81DE9" w:rsidP="00974BE5">
      <w:pPr>
        <w:pStyle w:val="Newparagraph"/>
        <w:spacing w:line="240" w:lineRule="auto"/>
        <w:ind w:left="426" w:hanging="426"/>
        <w:rPr>
          <w:sz w:val="20"/>
          <w:szCs w:val="20"/>
        </w:rPr>
      </w:pPr>
      <w:r w:rsidRPr="00146346">
        <w:rPr>
          <w:sz w:val="20"/>
          <w:szCs w:val="20"/>
          <w:lang w:val="de-DE"/>
        </w:rPr>
        <w:lastRenderedPageBreak/>
        <w:t xml:space="preserve">Hou, P., Du, J., Qiu, S., Wang, J., Wang, C., Wang, Z., &amp; Zhang, H. (2025). </w:t>
      </w:r>
      <w:r w:rsidR="001B6A73" w:rsidRPr="00146346">
        <w:rPr>
          <w:sz w:val="20"/>
          <w:szCs w:val="20"/>
        </w:rPr>
        <w:t>Projected runoff changes and their effects on water levels in the lake Qinghai basin under climate change scenarios</w:t>
      </w:r>
      <w:r w:rsidRPr="00146346">
        <w:rPr>
          <w:sz w:val="20"/>
          <w:szCs w:val="20"/>
        </w:rPr>
        <w:t>.</w:t>
      </w:r>
      <w:r w:rsidR="00974BE5" w:rsidRPr="00146346">
        <w:rPr>
          <w:sz w:val="20"/>
          <w:szCs w:val="20"/>
        </w:rPr>
        <w:t xml:space="preserve"> </w:t>
      </w:r>
      <w:r w:rsidRPr="00146346">
        <w:rPr>
          <w:i/>
          <w:iCs/>
          <w:sz w:val="20"/>
          <w:szCs w:val="20"/>
        </w:rPr>
        <w:t>Hydrology</w:t>
      </w:r>
      <w:r w:rsidRPr="00146346">
        <w:rPr>
          <w:sz w:val="20"/>
          <w:szCs w:val="20"/>
        </w:rPr>
        <w:t>,</w:t>
      </w:r>
      <w:r w:rsidR="00974BE5" w:rsidRPr="00146346">
        <w:rPr>
          <w:sz w:val="20"/>
          <w:szCs w:val="20"/>
        </w:rPr>
        <w:t xml:space="preserve"> </w:t>
      </w:r>
      <w:r w:rsidRPr="00146346">
        <w:rPr>
          <w:i/>
          <w:iCs/>
          <w:sz w:val="20"/>
          <w:szCs w:val="20"/>
        </w:rPr>
        <w:t>12</w:t>
      </w:r>
      <w:r w:rsidRPr="00146346">
        <w:rPr>
          <w:sz w:val="20"/>
          <w:szCs w:val="20"/>
        </w:rPr>
        <w:t>(10), 259. https://doi.org/10.3390/hydrology12100259</w:t>
      </w:r>
    </w:p>
    <w:p w14:paraId="31FFA482" w14:textId="502146EE" w:rsidR="009F7CF9" w:rsidRPr="00146346" w:rsidRDefault="009F7CF9" w:rsidP="008E6351">
      <w:pPr>
        <w:pStyle w:val="Newparagraph"/>
        <w:spacing w:line="240" w:lineRule="auto"/>
        <w:ind w:left="426" w:hanging="426"/>
        <w:jc w:val="both"/>
        <w:rPr>
          <w:sz w:val="20"/>
          <w:szCs w:val="20"/>
        </w:rPr>
      </w:pPr>
      <w:r w:rsidRPr="00146346">
        <w:rPr>
          <w:sz w:val="20"/>
          <w:szCs w:val="20"/>
        </w:rPr>
        <w:t xml:space="preserve">Jiao, D., Liu, S., Xu, Z., Song, L., Li, Y., Liu, R., &amp; Guo, J. (2024). </w:t>
      </w:r>
      <w:proofErr w:type="spellStart"/>
      <w:r w:rsidRPr="00146346">
        <w:rPr>
          <w:sz w:val="20"/>
          <w:szCs w:val="20"/>
        </w:rPr>
        <w:t>Spatio</w:t>
      </w:r>
      <w:proofErr w:type="spellEnd"/>
      <w:r w:rsidRPr="00146346">
        <w:rPr>
          <w:sz w:val="20"/>
          <w:szCs w:val="20"/>
        </w:rPr>
        <w:t xml:space="preserve">-temporal variations and multi-scale correlations of climate, water, land, and vegetation resources over the past four decades in the </w:t>
      </w:r>
      <w:proofErr w:type="spellStart"/>
      <w:r w:rsidRPr="00146346">
        <w:rPr>
          <w:sz w:val="20"/>
          <w:szCs w:val="20"/>
        </w:rPr>
        <w:t>Heihe</w:t>
      </w:r>
      <w:proofErr w:type="spellEnd"/>
      <w:r w:rsidRPr="00146346">
        <w:rPr>
          <w:sz w:val="20"/>
          <w:szCs w:val="20"/>
        </w:rPr>
        <w:t xml:space="preserve"> River Basin. </w:t>
      </w:r>
      <w:r w:rsidRPr="00146346">
        <w:rPr>
          <w:i/>
          <w:iCs/>
          <w:sz w:val="20"/>
          <w:szCs w:val="20"/>
        </w:rPr>
        <w:t>Journal of Hydrology: Regional Studies</w:t>
      </w:r>
      <w:r w:rsidRPr="00146346">
        <w:rPr>
          <w:sz w:val="20"/>
          <w:szCs w:val="20"/>
        </w:rPr>
        <w:t>, </w:t>
      </w:r>
      <w:r w:rsidRPr="00146346">
        <w:rPr>
          <w:i/>
          <w:iCs/>
          <w:sz w:val="20"/>
          <w:szCs w:val="20"/>
        </w:rPr>
        <w:t>55</w:t>
      </w:r>
      <w:r w:rsidRPr="00146346">
        <w:rPr>
          <w:sz w:val="20"/>
          <w:szCs w:val="20"/>
        </w:rPr>
        <w:t>(1), 101941. https://doi.org/10.1016/j.ejrh.2024.101941</w:t>
      </w:r>
    </w:p>
    <w:p w14:paraId="4B80938C" w14:textId="27AB07BB" w:rsidR="00381885" w:rsidRPr="00146346" w:rsidRDefault="00381885" w:rsidP="008E6351">
      <w:pPr>
        <w:pStyle w:val="Newparagraph"/>
        <w:spacing w:line="240" w:lineRule="auto"/>
        <w:ind w:left="426" w:hanging="426"/>
        <w:jc w:val="both"/>
        <w:rPr>
          <w:sz w:val="20"/>
          <w:szCs w:val="20"/>
        </w:rPr>
      </w:pPr>
      <w:r w:rsidRPr="00146346">
        <w:rPr>
          <w:sz w:val="20"/>
          <w:szCs w:val="20"/>
        </w:rPr>
        <w:t xml:space="preserve">Johnston, K., Ver </w:t>
      </w:r>
      <w:proofErr w:type="spellStart"/>
      <w:r w:rsidRPr="00146346">
        <w:rPr>
          <w:sz w:val="20"/>
          <w:szCs w:val="20"/>
        </w:rPr>
        <w:t>Hoef</w:t>
      </w:r>
      <w:proofErr w:type="spellEnd"/>
      <w:r w:rsidRPr="00146346">
        <w:rPr>
          <w:sz w:val="20"/>
          <w:szCs w:val="20"/>
        </w:rPr>
        <w:t xml:space="preserve">, J.M., Krivoruchko, K., &amp; Lucas, N (2001). </w:t>
      </w:r>
      <w:r w:rsidRPr="00146346">
        <w:rPr>
          <w:i/>
          <w:iCs/>
          <w:sz w:val="20"/>
          <w:szCs w:val="20"/>
        </w:rPr>
        <w:t>Using ArcGIS geostatistical analyst</w:t>
      </w:r>
      <w:r w:rsidRPr="00146346">
        <w:rPr>
          <w:sz w:val="20"/>
          <w:szCs w:val="20"/>
        </w:rPr>
        <w:t>. ESRI Press. ISBN: 978-1589480063. 300 p. United States.</w:t>
      </w:r>
    </w:p>
    <w:p w14:paraId="29463F2E" w14:textId="675460A8" w:rsidR="000A0497" w:rsidRPr="00146346" w:rsidRDefault="000A0497" w:rsidP="008E6351">
      <w:pPr>
        <w:pStyle w:val="Newparagraph"/>
        <w:spacing w:line="240" w:lineRule="auto"/>
        <w:ind w:left="426" w:hanging="426"/>
        <w:jc w:val="both"/>
        <w:rPr>
          <w:sz w:val="20"/>
          <w:szCs w:val="20"/>
        </w:rPr>
      </w:pPr>
      <w:r w:rsidRPr="00A25F0E">
        <w:rPr>
          <w:spacing w:val="-2"/>
          <w:sz w:val="20"/>
          <w:szCs w:val="20"/>
          <w:lang w:val="en-US"/>
        </w:rPr>
        <w:t xml:space="preserve">Kale, M.M., Duman, N., &amp; </w:t>
      </w:r>
      <w:proofErr w:type="spellStart"/>
      <w:r w:rsidRPr="00A25F0E">
        <w:rPr>
          <w:spacing w:val="-2"/>
          <w:sz w:val="20"/>
          <w:szCs w:val="20"/>
          <w:lang w:val="en-US"/>
        </w:rPr>
        <w:t>Eri</w:t>
      </w:r>
      <w:r w:rsidR="005F151C" w:rsidRPr="00A25F0E">
        <w:rPr>
          <w:spacing w:val="-2"/>
          <w:sz w:val="20"/>
          <w:szCs w:val="20"/>
          <w:lang w:val="en-US"/>
        </w:rPr>
        <w:t>s</w:t>
      </w:r>
      <w:r w:rsidRPr="00A25F0E">
        <w:rPr>
          <w:spacing w:val="-2"/>
          <w:sz w:val="20"/>
          <w:szCs w:val="20"/>
          <w:lang w:val="en-US"/>
        </w:rPr>
        <w:t>mi</w:t>
      </w:r>
      <w:r w:rsidR="005F151C" w:rsidRPr="00A25F0E">
        <w:rPr>
          <w:spacing w:val="-2"/>
          <w:sz w:val="20"/>
          <w:szCs w:val="20"/>
          <w:lang w:val="en-US"/>
        </w:rPr>
        <w:t>s</w:t>
      </w:r>
      <w:proofErr w:type="spellEnd"/>
      <w:r w:rsidRPr="00A25F0E">
        <w:rPr>
          <w:spacing w:val="-2"/>
          <w:sz w:val="20"/>
          <w:szCs w:val="20"/>
          <w:lang w:val="en-US"/>
        </w:rPr>
        <w:t xml:space="preserve">, M. (2026). </w:t>
      </w:r>
      <w:r w:rsidRPr="00146346">
        <w:rPr>
          <w:spacing w:val="-2"/>
          <w:sz w:val="20"/>
          <w:szCs w:val="20"/>
        </w:rPr>
        <w:t>Assessment of the changes in surface area and shoreline using RS and GIS: a case study of Lake Ac</w:t>
      </w:r>
      <w:r w:rsidR="005F151C" w:rsidRPr="00146346">
        <w:rPr>
          <w:spacing w:val="-2"/>
          <w:sz w:val="20"/>
          <w:szCs w:val="20"/>
        </w:rPr>
        <w:t>i</w:t>
      </w:r>
      <w:r w:rsidRPr="00146346">
        <w:rPr>
          <w:spacing w:val="-2"/>
          <w:sz w:val="20"/>
          <w:szCs w:val="20"/>
        </w:rPr>
        <w:t>g</w:t>
      </w:r>
      <w:r w:rsidR="005F151C" w:rsidRPr="00146346">
        <w:rPr>
          <w:spacing w:val="-2"/>
          <w:sz w:val="20"/>
          <w:szCs w:val="20"/>
        </w:rPr>
        <w:t>o</w:t>
      </w:r>
      <w:r w:rsidRPr="00146346">
        <w:rPr>
          <w:spacing w:val="-2"/>
          <w:sz w:val="20"/>
          <w:szCs w:val="20"/>
        </w:rPr>
        <w:t xml:space="preserve">l in western Türkiye from 1984 to 2024. </w:t>
      </w:r>
      <w:r w:rsidRPr="00146346">
        <w:rPr>
          <w:i/>
          <w:iCs/>
          <w:spacing w:val="-2"/>
          <w:sz w:val="20"/>
          <w:szCs w:val="20"/>
        </w:rPr>
        <w:t>Wetlands Ecology and Management</w:t>
      </w:r>
      <w:r w:rsidRPr="00146346">
        <w:rPr>
          <w:spacing w:val="-2"/>
          <w:sz w:val="20"/>
          <w:szCs w:val="20"/>
        </w:rPr>
        <w:t xml:space="preserve">, </w:t>
      </w:r>
      <w:r w:rsidRPr="00146346">
        <w:rPr>
          <w:i/>
          <w:iCs/>
          <w:spacing w:val="-2"/>
          <w:sz w:val="20"/>
          <w:szCs w:val="20"/>
        </w:rPr>
        <w:t>34</w:t>
      </w:r>
      <w:r w:rsidRPr="00146346">
        <w:rPr>
          <w:spacing w:val="-2"/>
          <w:sz w:val="20"/>
          <w:szCs w:val="20"/>
        </w:rPr>
        <w:t xml:space="preserve">(1), 3. </w:t>
      </w:r>
      <w:r w:rsidRPr="00146346">
        <w:rPr>
          <w:sz w:val="20"/>
          <w:szCs w:val="20"/>
        </w:rPr>
        <w:t>https://doi.org/10.1007/s11273-025-10104-w</w:t>
      </w:r>
    </w:p>
    <w:p w14:paraId="38D0C31A" w14:textId="4514D1DF" w:rsidR="009F7CF9" w:rsidRPr="00146346" w:rsidRDefault="009F7CF9" w:rsidP="008E6351">
      <w:pPr>
        <w:pStyle w:val="Newparagraph"/>
        <w:spacing w:line="240" w:lineRule="auto"/>
        <w:ind w:left="426" w:hanging="426"/>
        <w:jc w:val="both"/>
        <w:rPr>
          <w:sz w:val="20"/>
          <w:szCs w:val="20"/>
        </w:rPr>
      </w:pPr>
      <w:r w:rsidRPr="00146346">
        <w:rPr>
          <w:sz w:val="20"/>
          <w:szCs w:val="20"/>
        </w:rPr>
        <w:t xml:space="preserve">Kumar, A., &amp; Singh, A. (2024). Geospatial mapping and entropy-based analysis for groundwater evaluation with estimation of potential health risks due to nitrate and fluoride exposure. </w:t>
      </w:r>
      <w:r w:rsidRPr="00146346">
        <w:rPr>
          <w:i/>
          <w:iCs/>
          <w:sz w:val="20"/>
          <w:szCs w:val="20"/>
        </w:rPr>
        <w:t>Environmental Science and Pollution Research</w:t>
      </w:r>
      <w:r w:rsidRPr="00146346">
        <w:rPr>
          <w:sz w:val="20"/>
          <w:szCs w:val="20"/>
        </w:rPr>
        <w:t xml:space="preserve">, </w:t>
      </w:r>
      <w:r w:rsidRPr="00146346">
        <w:rPr>
          <w:i/>
          <w:iCs/>
          <w:sz w:val="20"/>
          <w:szCs w:val="20"/>
        </w:rPr>
        <w:t>31</w:t>
      </w:r>
      <w:r w:rsidRPr="00146346">
        <w:rPr>
          <w:sz w:val="20"/>
          <w:szCs w:val="20"/>
        </w:rPr>
        <w:t>(59), 66953</w:t>
      </w:r>
      <w:r w:rsidR="001B2CCC">
        <w:rPr>
          <w:sz w:val="20"/>
          <w:szCs w:val="20"/>
        </w:rPr>
        <w:t>–</w:t>
      </w:r>
      <w:r w:rsidRPr="00146346">
        <w:rPr>
          <w:sz w:val="20"/>
          <w:szCs w:val="20"/>
        </w:rPr>
        <w:t xml:space="preserve">66976. </w:t>
      </w:r>
      <w:r w:rsidR="00B81DE9" w:rsidRPr="00146346">
        <w:rPr>
          <w:sz w:val="20"/>
          <w:szCs w:val="20"/>
        </w:rPr>
        <w:t>https://doi.org/10.1007/s11356-024-35691-8</w:t>
      </w:r>
    </w:p>
    <w:p w14:paraId="28479B8F" w14:textId="4FFB6BB2" w:rsidR="00B81DE9" w:rsidRPr="00146346" w:rsidRDefault="00B81DE9" w:rsidP="008E6351">
      <w:pPr>
        <w:pStyle w:val="Newparagraph"/>
        <w:spacing w:line="240" w:lineRule="auto"/>
        <w:ind w:left="426" w:hanging="426"/>
        <w:jc w:val="both"/>
        <w:rPr>
          <w:sz w:val="20"/>
          <w:szCs w:val="20"/>
        </w:rPr>
      </w:pPr>
      <w:r w:rsidRPr="00146346">
        <w:rPr>
          <w:sz w:val="20"/>
          <w:szCs w:val="20"/>
        </w:rPr>
        <w:t xml:space="preserve">Li, H., Somogyi, B., Chen, X., Wan, W., Duan, Z., </w:t>
      </w:r>
      <w:proofErr w:type="spellStart"/>
      <w:r w:rsidRPr="00146346">
        <w:rPr>
          <w:sz w:val="20"/>
          <w:szCs w:val="20"/>
        </w:rPr>
        <w:t>Woolway</w:t>
      </w:r>
      <w:proofErr w:type="spellEnd"/>
      <w:r w:rsidRPr="00146346">
        <w:rPr>
          <w:sz w:val="20"/>
          <w:szCs w:val="20"/>
        </w:rPr>
        <w:t>, R.I., &amp; Tóth, V.R. (2025). Four decades of satellite observations reveal climate-driven shifts and spatial heterogeneity in shallow lake Chlorophyll-a dynamics.</w:t>
      </w:r>
      <w:r w:rsidR="00970BAA" w:rsidRPr="00146346">
        <w:rPr>
          <w:sz w:val="20"/>
          <w:szCs w:val="20"/>
        </w:rPr>
        <w:t xml:space="preserve"> </w:t>
      </w:r>
      <w:r w:rsidRPr="00146346">
        <w:rPr>
          <w:i/>
          <w:iCs/>
          <w:sz w:val="20"/>
          <w:szCs w:val="20"/>
        </w:rPr>
        <w:t>Water research</w:t>
      </w:r>
      <w:r w:rsidRPr="00146346">
        <w:rPr>
          <w:sz w:val="20"/>
          <w:szCs w:val="20"/>
        </w:rPr>
        <w:t>, 124925. https://doi.org/10.1016/j.watres.2025.124925</w:t>
      </w:r>
    </w:p>
    <w:p w14:paraId="1AB2C1B0" w14:textId="60FBE96C" w:rsidR="000A0497" w:rsidRPr="00146346" w:rsidRDefault="000A0497" w:rsidP="008E6351">
      <w:pPr>
        <w:pStyle w:val="Newparagraph"/>
        <w:spacing w:line="240" w:lineRule="auto"/>
        <w:ind w:left="426" w:hanging="426"/>
        <w:jc w:val="both"/>
        <w:rPr>
          <w:sz w:val="20"/>
          <w:szCs w:val="20"/>
        </w:rPr>
      </w:pPr>
      <w:r w:rsidRPr="00A25F0E">
        <w:rPr>
          <w:sz w:val="20"/>
          <w:szCs w:val="20"/>
        </w:rPr>
        <w:t xml:space="preserve">Liu, S., Xu, Z., Che, T., Li, X., Xu, T., Ren, Z., &amp; Ma, Y. (2023). </w:t>
      </w:r>
      <w:r w:rsidRPr="00146346">
        <w:rPr>
          <w:sz w:val="20"/>
          <w:szCs w:val="20"/>
        </w:rPr>
        <w:t xml:space="preserve">A dataset of energy, water vapor and carbon exchange observations in oasis-desert areas from 2012 to 2021 in a typical endorheic basin. </w:t>
      </w:r>
      <w:r w:rsidRPr="00146346">
        <w:rPr>
          <w:i/>
          <w:iCs/>
          <w:sz w:val="20"/>
          <w:szCs w:val="20"/>
        </w:rPr>
        <w:t>Earth System Science Data Discussions</w:t>
      </w:r>
      <w:r w:rsidRPr="00146346">
        <w:rPr>
          <w:sz w:val="20"/>
          <w:szCs w:val="20"/>
        </w:rPr>
        <w:t xml:space="preserve">, </w:t>
      </w:r>
      <w:r w:rsidRPr="00146346">
        <w:rPr>
          <w:i/>
          <w:iCs/>
          <w:sz w:val="20"/>
          <w:szCs w:val="20"/>
        </w:rPr>
        <w:t>15</w:t>
      </w:r>
      <w:r w:rsidRPr="00146346">
        <w:rPr>
          <w:sz w:val="20"/>
          <w:szCs w:val="20"/>
        </w:rPr>
        <w:t>(11), 1</w:t>
      </w:r>
      <w:r w:rsidR="001B2CCC">
        <w:rPr>
          <w:sz w:val="20"/>
          <w:szCs w:val="20"/>
        </w:rPr>
        <w:t>–</w:t>
      </w:r>
      <w:r w:rsidRPr="00146346">
        <w:rPr>
          <w:sz w:val="20"/>
          <w:szCs w:val="20"/>
        </w:rPr>
        <w:t>45. https://doi.org/10.5194/essd-15-4959-2023</w:t>
      </w:r>
    </w:p>
    <w:p w14:paraId="56BD380E" w14:textId="40239188" w:rsidR="000A0497" w:rsidRPr="00146346" w:rsidRDefault="000A0497" w:rsidP="008E6351">
      <w:pPr>
        <w:pStyle w:val="Newparagraph"/>
        <w:spacing w:line="240" w:lineRule="auto"/>
        <w:ind w:left="426" w:hanging="426"/>
        <w:jc w:val="both"/>
        <w:rPr>
          <w:sz w:val="20"/>
          <w:szCs w:val="20"/>
        </w:rPr>
      </w:pPr>
      <w:r w:rsidRPr="00146346">
        <w:rPr>
          <w:sz w:val="20"/>
          <w:szCs w:val="20"/>
        </w:rPr>
        <w:t>Lu, Z., Shen, C., Zhan, C., Tang, H., Luo, C., Meng, S., &amp;</w:t>
      </w:r>
      <w:r w:rsidR="00501C62" w:rsidRPr="00146346">
        <w:rPr>
          <w:sz w:val="20"/>
          <w:szCs w:val="20"/>
        </w:rPr>
        <w:t xml:space="preserve"> </w:t>
      </w:r>
      <w:r w:rsidRPr="00146346">
        <w:rPr>
          <w:sz w:val="20"/>
          <w:szCs w:val="20"/>
        </w:rPr>
        <w:t xml:space="preserve">Kou, X. (2025). Quantifying </w:t>
      </w:r>
      <w:r w:rsidR="00AE2200" w:rsidRPr="00146346">
        <w:rPr>
          <w:sz w:val="20"/>
          <w:szCs w:val="20"/>
        </w:rPr>
        <w:t>m</w:t>
      </w:r>
      <w:r w:rsidRPr="00146346">
        <w:rPr>
          <w:sz w:val="20"/>
          <w:szCs w:val="20"/>
        </w:rPr>
        <w:t xml:space="preserve">ultifactorial </w:t>
      </w:r>
      <w:r w:rsidR="00AE2200" w:rsidRPr="00146346">
        <w:rPr>
          <w:sz w:val="20"/>
          <w:szCs w:val="20"/>
        </w:rPr>
        <w:t>d</w:t>
      </w:r>
      <w:r w:rsidRPr="00146346">
        <w:rPr>
          <w:sz w:val="20"/>
          <w:szCs w:val="20"/>
        </w:rPr>
        <w:t xml:space="preserve">rivers of </w:t>
      </w:r>
      <w:r w:rsidR="00AE2200" w:rsidRPr="00146346">
        <w:rPr>
          <w:sz w:val="20"/>
          <w:szCs w:val="20"/>
        </w:rPr>
        <w:t>g</w:t>
      </w:r>
      <w:r w:rsidRPr="00146346">
        <w:rPr>
          <w:sz w:val="20"/>
          <w:szCs w:val="20"/>
        </w:rPr>
        <w:t>roundwater–</w:t>
      </w:r>
      <w:r w:rsidR="00AE2200" w:rsidRPr="00146346">
        <w:rPr>
          <w:sz w:val="20"/>
          <w:szCs w:val="20"/>
        </w:rPr>
        <w:t>c</w:t>
      </w:r>
      <w:r w:rsidRPr="00146346">
        <w:rPr>
          <w:sz w:val="20"/>
          <w:szCs w:val="20"/>
        </w:rPr>
        <w:t xml:space="preserve">limate </w:t>
      </w:r>
      <w:r w:rsidR="00AE2200" w:rsidRPr="00146346">
        <w:rPr>
          <w:sz w:val="20"/>
          <w:szCs w:val="20"/>
        </w:rPr>
        <w:t>i</w:t>
      </w:r>
      <w:r w:rsidRPr="00146346">
        <w:rPr>
          <w:sz w:val="20"/>
          <w:szCs w:val="20"/>
        </w:rPr>
        <w:t xml:space="preserve">nteractions in an </w:t>
      </w:r>
      <w:r w:rsidR="00AE2200" w:rsidRPr="00146346">
        <w:rPr>
          <w:sz w:val="20"/>
          <w:szCs w:val="20"/>
        </w:rPr>
        <w:t>a</w:t>
      </w:r>
      <w:r w:rsidRPr="00146346">
        <w:rPr>
          <w:sz w:val="20"/>
          <w:szCs w:val="20"/>
        </w:rPr>
        <w:t xml:space="preserve">rid </w:t>
      </w:r>
      <w:r w:rsidR="00AE2200" w:rsidRPr="00146346">
        <w:rPr>
          <w:sz w:val="20"/>
          <w:szCs w:val="20"/>
        </w:rPr>
        <w:t>b</w:t>
      </w:r>
      <w:r w:rsidRPr="00146346">
        <w:rPr>
          <w:sz w:val="20"/>
          <w:szCs w:val="20"/>
        </w:rPr>
        <w:t xml:space="preserve">asin </w:t>
      </w:r>
      <w:r w:rsidR="00AE2200" w:rsidRPr="00146346">
        <w:rPr>
          <w:sz w:val="20"/>
          <w:szCs w:val="20"/>
        </w:rPr>
        <w:t>b</w:t>
      </w:r>
      <w:r w:rsidRPr="00146346">
        <w:rPr>
          <w:sz w:val="20"/>
          <w:szCs w:val="20"/>
        </w:rPr>
        <w:t xml:space="preserve">ased on </w:t>
      </w:r>
      <w:r w:rsidR="00AE2200" w:rsidRPr="00146346">
        <w:rPr>
          <w:sz w:val="20"/>
          <w:szCs w:val="20"/>
        </w:rPr>
        <w:t>r</w:t>
      </w:r>
      <w:r w:rsidRPr="00146346">
        <w:rPr>
          <w:sz w:val="20"/>
          <w:szCs w:val="20"/>
        </w:rPr>
        <w:t xml:space="preserve">emote </w:t>
      </w:r>
      <w:r w:rsidR="00AE2200" w:rsidRPr="00146346">
        <w:rPr>
          <w:sz w:val="20"/>
          <w:szCs w:val="20"/>
        </w:rPr>
        <w:t>s</w:t>
      </w:r>
      <w:r w:rsidRPr="00146346">
        <w:rPr>
          <w:sz w:val="20"/>
          <w:szCs w:val="20"/>
        </w:rPr>
        <w:t xml:space="preserve">ensing </w:t>
      </w:r>
      <w:r w:rsidR="00AE2200" w:rsidRPr="00146346">
        <w:rPr>
          <w:sz w:val="20"/>
          <w:szCs w:val="20"/>
        </w:rPr>
        <w:t>d</w:t>
      </w:r>
      <w:r w:rsidRPr="00146346">
        <w:rPr>
          <w:sz w:val="20"/>
          <w:szCs w:val="20"/>
        </w:rPr>
        <w:t xml:space="preserve">ata. </w:t>
      </w:r>
      <w:r w:rsidRPr="00146346">
        <w:rPr>
          <w:i/>
          <w:iCs/>
          <w:sz w:val="20"/>
          <w:szCs w:val="20"/>
        </w:rPr>
        <w:t>Remote Sensing</w:t>
      </w:r>
      <w:r w:rsidRPr="00146346">
        <w:rPr>
          <w:sz w:val="20"/>
          <w:szCs w:val="20"/>
        </w:rPr>
        <w:t xml:space="preserve">, </w:t>
      </w:r>
      <w:r w:rsidRPr="00146346">
        <w:rPr>
          <w:i/>
          <w:iCs/>
          <w:sz w:val="20"/>
          <w:szCs w:val="20"/>
        </w:rPr>
        <w:t>17</w:t>
      </w:r>
      <w:r w:rsidRPr="00146346">
        <w:rPr>
          <w:sz w:val="20"/>
          <w:szCs w:val="20"/>
        </w:rPr>
        <w:t>(14), 2472. https://doi.org/10.3390/rs17142472</w:t>
      </w:r>
    </w:p>
    <w:p w14:paraId="0A55E05F" w14:textId="3CE61362" w:rsidR="00213A2B" w:rsidRPr="00146346" w:rsidRDefault="00213A2B" w:rsidP="008E6351">
      <w:pPr>
        <w:pStyle w:val="Newparagraph"/>
        <w:spacing w:line="240" w:lineRule="auto"/>
        <w:ind w:left="426" w:hanging="426"/>
        <w:jc w:val="both"/>
        <w:rPr>
          <w:sz w:val="20"/>
          <w:szCs w:val="20"/>
        </w:rPr>
      </w:pPr>
      <w:r w:rsidRPr="00146346">
        <w:rPr>
          <w:sz w:val="20"/>
          <w:szCs w:val="20"/>
        </w:rPr>
        <w:t>McVicar, T.R., Roderick, M.L., Donohue, R.J., Li, L.T., Van Niel, T.G., Thomas, A.,</w:t>
      </w:r>
      <w:r w:rsidR="009326EF" w:rsidRPr="00146346">
        <w:rPr>
          <w:sz w:val="20"/>
          <w:szCs w:val="20"/>
        </w:rPr>
        <w:t xml:space="preserve"> &amp;</w:t>
      </w:r>
      <w:r w:rsidRPr="00146346">
        <w:rPr>
          <w:sz w:val="20"/>
          <w:szCs w:val="20"/>
        </w:rPr>
        <w:t xml:space="preserve"> Dinpashoh, Y. (2012). Global review and synthesis of trends in observed terrestrial near-surface wind speeds: Implications for evaporation. </w:t>
      </w:r>
      <w:r w:rsidRPr="00146346">
        <w:rPr>
          <w:i/>
          <w:iCs/>
          <w:sz w:val="20"/>
          <w:szCs w:val="20"/>
        </w:rPr>
        <w:t>Journal of Hydrology</w:t>
      </w:r>
      <w:r w:rsidRPr="001B2CCC">
        <w:rPr>
          <w:sz w:val="20"/>
          <w:szCs w:val="20"/>
        </w:rPr>
        <w:t>, </w:t>
      </w:r>
      <w:r w:rsidRPr="00146346">
        <w:rPr>
          <w:i/>
          <w:iCs/>
          <w:sz w:val="20"/>
          <w:szCs w:val="20"/>
        </w:rPr>
        <w:t>416</w:t>
      </w:r>
      <w:r w:rsidRPr="00146346">
        <w:rPr>
          <w:sz w:val="20"/>
          <w:szCs w:val="20"/>
        </w:rPr>
        <w:t>, 182</w:t>
      </w:r>
      <w:r w:rsidR="001B2CCC">
        <w:rPr>
          <w:sz w:val="20"/>
          <w:szCs w:val="20"/>
        </w:rPr>
        <w:t>–</w:t>
      </w:r>
      <w:r w:rsidRPr="00146346">
        <w:rPr>
          <w:sz w:val="20"/>
          <w:szCs w:val="20"/>
        </w:rPr>
        <w:t>205. https://doi.org/10.1016/j.jhydrol.2011.10.024</w:t>
      </w:r>
    </w:p>
    <w:p w14:paraId="53682B77" w14:textId="644E6EA7" w:rsidR="009D3054" w:rsidRPr="00146346" w:rsidRDefault="009D3054" w:rsidP="008E6351">
      <w:pPr>
        <w:pStyle w:val="Newparagraph"/>
        <w:spacing w:line="240" w:lineRule="auto"/>
        <w:ind w:left="426" w:hanging="426"/>
        <w:jc w:val="both"/>
        <w:rPr>
          <w:sz w:val="20"/>
          <w:szCs w:val="20"/>
        </w:rPr>
      </w:pPr>
      <w:r w:rsidRPr="00146346">
        <w:rPr>
          <w:sz w:val="20"/>
          <w:szCs w:val="20"/>
        </w:rPr>
        <w:t xml:space="preserve">McFeeters, S.K. (1996). The use of the Normalized Difference Water Index (NDWI) in the delineation of open water features. </w:t>
      </w:r>
      <w:r w:rsidRPr="00146346">
        <w:rPr>
          <w:i/>
          <w:iCs/>
          <w:sz w:val="20"/>
          <w:szCs w:val="20"/>
        </w:rPr>
        <w:t>International journal of remote sensing</w:t>
      </w:r>
      <w:r w:rsidRPr="00146346">
        <w:rPr>
          <w:sz w:val="20"/>
          <w:szCs w:val="20"/>
        </w:rPr>
        <w:t xml:space="preserve">, </w:t>
      </w:r>
      <w:r w:rsidRPr="00146346">
        <w:rPr>
          <w:i/>
          <w:iCs/>
          <w:sz w:val="20"/>
          <w:szCs w:val="20"/>
        </w:rPr>
        <w:t>17</w:t>
      </w:r>
      <w:r w:rsidRPr="00146346">
        <w:rPr>
          <w:sz w:val="20"/>
          <w:szCs w:val="20"/>
        </w:rPr>
        <w:t>(7), 1425</w:t>
      </w:r>
      <w:r w:rsidR="001B2CCC">
        <w:rPr>
          <w:sz w:val="20"/>
          <w:szCs w:val="20"/>
        </w:rPr>
        <w:t>–</w:t>
      </w:r>
      <w:r w:rsidRPr="00146346">
        <w:rPr>
          <w:sz w:val="20"/>
          <w:szCs w:val="20"/>
        </w:rPr>
        <w:t>1432. https://doi.org/10.1080/01431169608948714</w:t>
      </w:r>
    </w:p>
    <w:p w14:paraId="6A2D81EC" w14:textId="5379B90D" w:rsidR="009D3054" w:rsidRPr="00146346" w:rsidRDefault="009D3054" w:rsidP="008E6351">
      <w:pPr>
        <w:pStyle w:val="Newparagraph"/>
        <w:spacing w:line="240" w:lineRule="auto"/>
        <w:ind w:left="426" w:hanging="426"/>
        <w:jc w:val="both"/>
        <w:rPr>
          <w:sz w:val="20"/>
          <w:szCs w:val="20"/>
        </w:rPr>
      </w:pPr>
      <w:r w:rsidRPr="00146346">
        <w:rPr>
          <w:sz w:val="20"/>
          <w:szCs w:val="20"/>
        </w:rPr>
        <w:t xml:space="preserve">Noto, L.V., Cipolla, G., </w:t>
      </w:r>
      <w:proofErr w:type="spellStart"/>
      <w:r w:rsidRPr="00146346">
        <w:rPr>
          <w:sz w:val="20"/>
          <w:szCs w:val="20"/>
        </w:rPr>
        <w:t>Francipane</w:t>
      </w:r>
      <w:proofErr w:type="spellEnd"/>
      <w:r w:rsidRPr="00146346">
        <w:rPr>
          <w:sz w:val="20"/>
          <w:szCs w:val="20"/>
        </w:rPr>
        <w:t xml:space="preserve">, A., &amp; Pumo, D. (2023). Climate change in the mediterranean basin (part I): Induced alterations on climate forcings and hydrological processes. </w:t>
      </w:r>
      <w:r w:rsidRPr="00146346">
        <w:rPr>
          <w:i/>
          <w:iCs/>
          <w:sz w:val="20"/>
          <w:szCs w:val="20"/>
        </w:rPr>
        <w:t>Water Resources Management</w:t>
      </w:r>
      <w:r w:rsidRPr="00146346">
        <w:rPr>
          <w:sz w:val="20"/>
          <w:szCs w:val="20"/>
        </w:rPr>
        <w:t xml:space="preserve">, </w:t>
      </w:r>
      <w:r w:rsidRPr="00146346">
        <w:rPr>
          <w:i/>
          <w:iCs/>
          <w:sz w:val="20"/>
          <w:szCs w:val="20"/>
        </w:rPr>
        <w:t>37</w:t>
      </w:r>
      <w:r w:rsidRPr="00146346">
        <w:rPr>
          <w:sz w:val="20"/>
          <w:szCs w:val="20"/>
        </w:rPr>
        <w:t>(6), 2287</w:t>
      </w:r>
      <w:r w:rsidR="001B2CCC">
        <w:rPr>
          <w:sz w:val="20"/>
          <w:szCs w:val="20"/>
        </w:rPr>
        <w:t>–</w:t>
      </w:r>
      <w:r w:rsidRPr="00146346">
        <w:rPr>
          <w:sz w:val="20"/>
          <w:szCs w:val="20"/>
        </w:rPr>
        <w:t>2305. https://doi.org/10.1007/s11269-022-03400-0</w:t>
      </w:r>
    </w:p>
    <w:p w14:paraId="7F713649" w14:textId="11E33820" w:rsidR="009D3054" w:rsidRPr="00146346" w:rsidRDefault="009D3054" w:rsidP="008E6351">
      <w:pPr>
        <w:pStyle w:val="Newparagraph"/>
        <w:spacing w:line="240" w:lineRule="auto"/>
        <w:ind w:left="426" w:hanging="426"/>
        <w:jc w:val="both"/>
        <w:rPr>
          <w:sz w:val="20"/>
          <w:szCs w:val="20"/>
        </w:rPr>
      </w:pPr>
      <w:r w:rsidRPr="00146346">
        <w:rPr>
          <w:sz w:val="20"/>
          <w:szCs w:val="20"/>
        </w:rPr>
        <w:t xml:space="preserve">O'Callaghan, J.F., &amp; Mark, D.M. (1984). The extraction of drainage networks from digital elevation data. </w:t>
      </w:r>
      <w:r w:rsidRPr="00146346">
        <w:rPr>
          <w:i/>
          <w:iCs/>
          <w:sz w:val="20"/>
          <w:szCs w:val="20"/>
        </w:rPr>
        <w:t>Computer vision, graphics, and image processing</w:t>
      </w:r>
      <w:r w:rsidRPr="00146346">
        <w:rPr>
          <w:sz w:val="20"/>
          <w:szCs w:val="20"/>
        </w:rPr>
        <w:t xml:space="preserve">, </w:t>
      </w:r>
      <w:r w:rsidRPr="00146346">
        <w:rPr>
          <w:i/>
          <w:iCs/>
          <w:sz w:val="20"/>
          <w:szCs w:val="20"/>
        </w:rPr>
        <w:t>28</w:t>
      </w:r>
      <w:r w:rsidRPr="00146346">
        <w:rPr>
          <w:sz w:val="20"/>
          <w:szCs w:val="20"/>
        </w:rPr>
        <w:t>(3), 323</w:t>
      </w:r>
      <w:r w:rsidR="001B2CCC">
        <w:rPr>
          <w:sz w:val="20"/>
          <w:szCs w:val="20"/>
        </w:rPr>
        <w:t>–</w:t>
      </w:r>
      <w:r w:rsidRPr="00146346">
        <w:rPr>
          <w:sz w:val="20"/>
          <w:szCs w:val="20"/>
        </w:rPr>
        <w:t>344.</w:t>
      </w:r>
    </w:p>
    <w:p w14:paraId="0EDE077A" w14:textId="1CD6D430" w:rsidR="009F7CF9" w:rsidRPr="00146346" w:rsidRDefault="009F7CF9" w:rsidP="008E6351">
      <w:pPr>
        <w:pStyle w:val="Newparagraph"/>
        <w:spacing w:line="240" w:lineRule="auto"/>
        <w:ind w:left="426" w:hanging="426"/>
        <w:jc w:val="both"/>
        <w:rPr>
          <w:sz w:val="20"/>
          <w:szCs w:val="20"/>
        </w:rPr>
      </w:pPr>
      <w:r w:rsidRPr="00146346">
        <w:rPr>
          <w:sz w:val="20"/>
          <w:szCs w:val="20"/>
        </w:rPr>
        <w:t xml:space="preserve">Orfanidis, S., &amp; </w:t>
      </w:r>
      <w:proofErr w:type="spellStart"/>
      <w:r w:rsidRPr="00146346">
        <w:rPr>
          <w:sz w:val="20"/>
          <w:szCs w:val="20"/>
        </w:rPr>
        <w:t>Kevrekidis</w:t>
      </w:r>
      <w:proofErr w:type="spellEnd"/>
      <w:r w:rsidRPr="00146346">
        <w:rPr>
          <w:sz w:val="20"/>
          <w:szCs w:val="20"/>
        </w:rPr>
        <w:t>, T. (2005). Biological components of Greek lagoonal ecosystems: an overview.</w:t>
      </w:r>
      <w:r w:rsidR="000508F5" w:rsidRPr="00146346">
        <w:rPr>
          <w:sz w:val="20"/>
          <w:szCs w:val="20"/>
        </w:rPr>
        <w:t xml:space="preserve"> </w:t>
      </w:r>
      <w:r w:rsidRPr="00146346">
        <w:rPr>
          <w:i/>
          <w:iCs/>
          <w:sz w:val="20"/>
          <w:szCs w:val="20"/>
        </w:rPr>
        <w:t>Mediterranean Marine Science</w:t>
      </w:r>
      <w:r w:rsidRPr="00146346">
        <w:rPr>
          <w:sz w:val="20"/>
          <w:szCs w:val="20"/>
        </w:rPr>
        <w:t>,</w:t>
      </w:r>
      <w:r w:rsidR="000508F5" w:rsidRPr="00146346">
        <w:rPr>
          <w:sz w:val="20"/>
          <w:szCs w:val="20"/>
        </w:rPr>
        <w:t xml:space="preserve"> </w:t>
      </w:r>
      <w:r w:rsidRPr="00146346">
        <w:rPr>
          <w:i/>
          <w:iCs/>
          <w:sz w:val="20"/>
          <w:szCs w:val="20"/>
        </w:rPr>
        <w:t>6</w:t>
      </w:r>
      <w:r w:rsidRPr="00146346">
        <w:rPr>
          <w:sz w:val="20"/>
          <w:szCs w:val="20"/>
        </w:rPr>
        <w:t>(2), 31</w:t>
      </w:r>
      <w:r w:rsidR="001B2CCC">
        <w:rPr>
          <w:sz w:val="20"/>
          <w:szCs w:val="20"/>
        </w:rPr>
        <w:t>–</w:t>
      </w:r>
      <w:r w:rsidRPr="00146346">
        <w:rPr>
          <w:sz w:val="20"/>
          <w:szCs w:val="20"/>
        </w:rPr>
        <w:t>50.</w:t>
      </w:r>
    </w:p>
    <w:p w14:paraId="36BE2BA6" w14:textId="7355D91C" w:rsidR="009F7CF9" w:rsidRPr="00146346" w:rsidRDefault="009F7CF9" w:rsidP="008E6351">
      <w:pPr>
        <w:pStyle w:val="Newparagraph"/>
        <w:spacing w:line="240" w:lineRule="auto"/>
        <w:ind w:left="426" w:hanging="426"/>
        <w:jc w:val="both"/>
        <w:rPr>
          <w:sz w:val="20"/>
          <w:szCs w:val="20"/>
        </w:rPr>
      </w:pPr>
      <w:r w:rsidRPr="00146346">
        <w:rPr>
          <w:sz w:val="20"/>
          <w:szCs w:val="20"/>
        </w:rPr>
        <w:t xml:space="preserve">Papadimitriou, T., </w:t>
      </w:r>
      <w:proofErr w:type="spellStart"/>
      <w:r w:rsidRPr="00146346">
        <w:rPr>
          <w:sz w:val="20"/>
          <w:szCs w:val="20"/>
        </w:rPr>
        <w:t>Katsiapi</w:t>
      </w:r>
      <w:proofErr w:type="spellEnd"/>
      <w:r w:rsidRPr="00146346">
        <w:rPr>
          <w:sz w:val="20"/>
          <w:szCs w:val="20"/>
        </w:rPr>
        <w:t xml:space="preserve">, M., Stefanidou, N., </w:t>
      </w:r>
      <w:proofErr w:type="spellStart"/>
      <w:r w:rsidRPr="00146346">
        <w:rPr>
          <w:sz w:val="20"/>
          <w:szCs w:val="20"/>
        </w:rPr>
        <w:t>Paxinou</w:t>
      </w:r>
      <w:proofErr w:type="spellEnd"/>
      <w:r w:rsidRPr="00146346">
        <w:rPr>
          <w:sz w:val="20"/>
          <w:szCs w:val="20"/>
        </w:rPr>
        <w:t xml:space="preserve">, A., </w:t>
      </w:r>
      <w:proofErr w:type="spellStart"/>
      <w:r w:rsidRPr="00146346">
        <w:rPr>
          <w:sz w:val="20"/>
          <w:szCs w:val="20"/>
        </w:rPr>
        <w:t>Poulimenakou</w:t>
      </w:r>
      <w:proofErr w:type="spellEnd"/>
      <w:r w:rsidRPr="00146346">
        <w:rPr>
          <w:sz w:val="20"/>
          <w:szCs w:val="20"/>
        </w:rPr>
        <w:t xml:space="preserve">, V., Laspidou, C.S., &amp; Kormas, K.A. (2021). Differential effect of </w:t>
      </w:r>
      <w:proofErr w:type="spellStart"/>
      <w:r w:rsidRPr="00146346">
        <w:rPr>
          <w:sz w:val="20"/>
          <w:szCs w:val="20"/>
        </w:rPr>
        <w:t>hydroxen</w:t>
      </w:r>
      <w:proofErr w:type="spellEnd"/>
      <w:r w:rsidRPr="00146346">
        <w:rPr>
          <w:sz w:val="20"/>
          <w:szCs w:val="20"/>
        </w:rPr>
        <w:t xml:space="preserve"> peroxide </w:t>
      </w:r>
      <w:proofErr w:type="spellStart"/>
      <w:r w:rsidRPr="00146346">
        <w:rPr>
          <w:sz w:val="20"/>
          <w:szCs w:val="20"/>
        </w:rPr>
        <w:t>οn</w:t>
      </w:r>
      <w:proofErr w:type="spellEnd"/>
      <w:r w:rsidRPr="00146346">
        <w:rPr>
          <w:sz w:val="20"/>
          <w:szCs w:val="20"/>
        </w:rPr>
        <w:t xml:space="preserve"> toxic cyanobacteria of hypertrophic Mediterranean waterbodies.</w:t>
      </w:r>
      <w:r w:rsidR="000508F5" w:rsidRPr="00146346">
        <w:rPr>
          <w:sz w:val="20"/>
          <w:szCs w:val="20"/>
        </w:rPr>
        <w:t xml:space="preserve"> </w:t>
      </w:r>
      <w:r w:rsidRPr="00146346">
        <w:rPr>
          <w:i/>
          <w:iCs/>
          <w:sz w:val="20"/>
          <w:szCs w:val="20"/>
        </w:rPr>
        <w:t>Sustainability</w:t>
      </w:r>
      <w:r w:rsidRPr="00146346">
        <w:rPr>
          <w:sz w:val="20"/>
          <w:szCs w:val="20"/>
        </w:rPr>
        <w:t>,</w:t>
      </w:r>
      <w:r w:rsidR="000508F5" w:rsidRPr="00146346">
        <w:rPr>
          <w:sz w:val="20"/>
          <w:szCs w:val="20"/>
        </w:rPr>
        <w:t xml:space="preserve"> </w:t>
      </w:r>
      <w:r w:rsidRPr="00146346">
        <w:rPr>
          <w:i/>
          <w:iCs/>
          <w:sz w:val="20"/>
          <w:szCs w:val="20"/>
        </w:rPr>
        <w:t>14</w:t>
      </w:r>
      <w:r w:rsidRPr="00146346">
        <w:rPr>
          <w:sz w:val="20"/>
          <w:szCs w:val="20"/>
        </w:rPr>
        <w:t xml:space="preserve">(1), 123. </w:t>
      </w:r>
      <w:hyperlink r:id="rId20" w:history="1">
        <w:r w:rsidRPr="00146346">
          <w:rPr>
            <w:sz w:val="20"/>
            <w:szCs w:val="20"/>
          </w:rPr>
          <w:t>https://doi.org/10.3390/su14010123</w:t>
        </w:r>
      </w:hyperlink>
    </w:p>
    <w:p w14:paraId="314116D9" w14:textId="5482BBDD" w:rsidR="002F0A64" w:rsidRPr="00146346" w:rsidRDefault="002F0A64" w:rsidP="008E6351">
      <w:pPr>
        <w:pStyle w:val="Newparagraph"/>
        <w:spacing w:line="240" w:lineRule="auto"/>
        <w:ind w:left="426" w:hanging="426"/>
        <w:jc w:val="both"/>
        <w:rPr>
          <w:sz w:val="20"/>
          <w:szCs w:val="20"/>
          <w:lang w:val="pl-PL"/>
        </w:rPr>
      </w:pPr>
      <w:r w:rsidRPr="00146346">
        <w:rPr>
          <w:sz w:val="20"/>
          <w:szCs w:val="20"/>
        </w:rPr>
        <w:t xml:space="preserve">Pekel, J.F., Cottam, A., Gorelick, N., &amp; </w:t>
      </w:r>
      <w:proofErr w:type="spellStart"/>
      <w:r w:rsidRPr="00146346">
        <w:rPr>
          <w:sz w:val="20"/>
          <w:szCs w:val="20"/>
        </w:rPr>
        <w:t>Belward</w:t>
      </w:r>
      <w:proofErr w:type="spellEnd"/>
      <w:r w:rsidRPr="00146346">
        <w:rPr>
          <w:sz w:val="20"/>
          <w:szCs w:val="20"/>
        </w:rPr>
        <w:t>, A.S. (2016). High-resolution mapping of global surface water and its long-term changes. </w:t>
      </w:r>
      <w:r w:rsidRPr="00146346">
        <w:rPr>
          <w:i/>
          <w:iCs/>
          <w:sz w:val="20"/>
          <w:szCs w:val="20"/>
          <w:lang w:val="pl-PL"/>
        </w:rPr>
        <w:t>Nature</w:t>
      </w:r>
      <w:r w:rsidRPr="00146346">
        <w:rPr>
          <w:sz w:val="20"/>
          <w:szCs w:val="20"/>
          <w:lang w:val="pl-PL"/>
        </w:rPr>
        <w:t>, </w:t>
      </w:r>
      <w:r w:rsidRPr="00146346">
        <w:rPr>
          <w:i/>
          <w:iCs/>
          <w:sz w:val="20"/>
          <w:szCs w:val="20"/>
          <w:lang w:val="pl-PL"/>
        </w:rPr>
        <w:t>540</w:t>
      </w:r>
      <w:r w:rsidRPr="00146346">
        <w:rPr>
          <w:sz w:val="20"/>
          <w:szCs w:val="20"/>
          <w:lang w:val="pl-PL"/>
        </w:rPr>
        <w:t>(7633), 418</w:t>
      </w:r>
      <w:r w:rsidR="001B2CCC">
        <w:rPr>
          <w:sz w:val="20"/>
          <w:szCs w:val="20"/>
          <w:lang w:val="pl-PL"/>
        </w:rPr>
        <w:t>–</w:t>
      </w:r>
      <w:r w:rsidRPr="00146346">
        <w:rPr>
          <w:sz w:val="20"/>
          <w:szCs w:val="20"/>
          <w:lang w:val="pl-PL"/>
        </w:rPr>
        <w:t>422. https://doi.org/10.1038/nature20584</w:t>
      </w:r>
    </w:p>
    <w:p w14:paraId="79B01F82" w14:textId="31DE0193" w:rsidR="000A0497" w:rsidRPr="00146346" w:rsidRDefault="000A0497" w:rsidP="008E6351">
      <w:pPr>
        <w:pStyle w:val="Newparagraph"/>
        <w:spacing w:line="240" w:lineRule="auto"/>
        <w:ind w:left="426" w:hanging="426"/>
        <w:jc w:val="both"/>
        <w:rPr>
          <w:spacing w:val="-2"/>
          <w:sz w:val="20"/>
          <w:szCs w:val="20"/>
        </w:rPr>
      </w:pPr>
      <w:proofErr w:type="spellStart"/>
      <w:r w:rsidRPr="00146346">
        <w:rPr>
          <w:spacing w:val="-2"/>
          <w:sz w:val="20"/>
          <w:szCs w:val="20"/>
          <w:lang w:val="pl-PL"/>
        </w:rPr>
        <w:t>Rousta</w:t>
      </w:r>
      <w:proofErr w:type="spellEnd"/>
      <w:r w:rsidRPr="00146346">
        <w:rPr>
          <w:spacing w:val="-2"/>
          <w:sz w:val="20"/>
          <w:szCs w:val="20"/>
          <w:lang w:val="pl-PL"/>
        </w:rPr>
        <w:t xml:space="preserve">, I., </w:t>
      </w:r>
      <w:proofErr w:type="spellStart"/>
      <w:r w:rsidRPr="00146346">
        <w:rPr>
          <w:spacing w:val="-2"/>
          <w:sz w:val="20"/>
          <w:szCs w:val="20"/>
          <w:lang w:val="pl-PL"/>
        </w:rPr>
        <w:t>Sharif</w:t>
      </w:r>
      <w:proofErr w:type="spellEnd"/>
      <w:r w:rsidRPr="00146346">
        <w:rPr>
          <w:spacing w:val="-2"/>
          <w:sz w:val="20"/>
          <w:szCs w:val="20"/>
          <w:lang w:val="pl-PL"/>
        </w:rPr>
        <w:t xml:space="preserve">, M., </w:t>
      </w:r>
      <w:proofErr w:type="spellStart"/>
      <w:r w:rsidRPr="00146346">
        <w:rPr>
          <w:spacing w:val="-2"/>
          <w:sz w:val="20"/>
          <w:szCs w:val="20"/>
          <w:lang w:val="pl-PL"/>
        </w:rPr>
        <w:t>Heidari</w:t>
      </w:r>
      <w:proofErr w:type="spellEnd"/>
      <w:r w:rsidRPr="00146346">
        <w:rPr>
          <w:spacing w:val="-2"/>
          <w:sz w:val="20"/>
          <w:szCs w:val="20"/>
          <w:lang w:val="pl-PL"/>
        </w:rPr>
        <w:t xml:space="preserve">, S., </w:t>
      </w:r>
      <w:proofErr w:type="spellStart"/>
      <w:r w:rsidRPr="00146346">
        <w:rPr>
          <w:spacing w:val="-2"/>
          <w:sz w:val="20"/>
          <w:szCs w:val="20"/>
          <w:lang w:val="pl-PL"/>
        </w:rPr>
        <w:t>Kiani</w:t>
      </w:r>
      <w:proofErr w:type="spellEnd"/>
      <w:r w:rsidRPr="00146346">
        <w:rPr>
          <w:spacing w:val="-2"/>
          <w:sz w:val="20"/>
          <w:szCs w:val="20"/>
          <w:lang w:val="pl-PL"/>
        </w:rPr>
        <w:t xml:space="preserve">, A., </w:t>
      </w:r>
      <w:proofErr w:type="spellStart"/>
      <w:r w:rsidRPr="00146346">
        <w:rPr>
          <w:spacing w:val="-2"/>
          <w:sz w:val="20"/>
          <w:szCs w:val="20"/>
          <w:lang w:val="pl-PL"/>
        </w:rPr>
        <w:t>Olafsson</w:t>
      </w:r>
      <w:proofErr w:type="spellEnd"/>
      <w:r w:rsidRPr="00146346">
        <w:rPr>
          <w:spacing w:val="-2"/>
          <w:sz w:val="20"/>
          <w:szCs w:val="20"/>
          <w:lang w:val="pl-PL"/>
        </w:rPr>
        <w:t xml:space="preserve">, H., </w:t>
      </w:r>
      <w:proofErr w:type="spellStart"/>
      <w:r w:rsidRPr="00146346">
        <w:rPr>
          <w:spacing w:val="-2"/>
          <w:sz w:val="20"/>
          <w:szCs w:val="20"/>
          <w:lang w:val="pl-PL"/>
        </w:rPr>
        <w:t>Krzyszczak</w:t>
      </w:r>
      <w:proofErr w:type="spellEnd"/>
      <w:r w:rsidRPr="00146346">
        <w:rPr>
          <w:spacing w:val="-2"/>
          <w:sz w:val="20"/>
          <w:szCs w:val="20"/>
          <w:lang w:val="pl-PL"/>
        </w:rPr>
        <w:t xml:space="preserve">, J., &amp; Baranowski, P. (2023). </w:t>
      </w:r>
      <w:r w:rsidRPr="00146346">
        <w:rPr>
          <w:spacing w:val="-2"/>
          <w:sz w:val="20"/>
          <w:szCs w:val="20"/>
        </w:rPr>
        <w:t xml:space="preserve">Climatic variables impact on inland lakes water levels and area fluctuations in an arid/semi-arid region of Iran, Iraq, and Turkey based on the remote sensing data. </w:t>
      </w:r>
      <w:r w:rsidRPr="00146346">
        <w:rPr>
          <w:i/>
          <w:iCs/>
          <w:spacing w:val="-2"/>
          <w:sz w:val="20"/>
          <w:szCs w:val="20"/>
        </w:rPr>
        <w:t>Earth Science Informatics</w:t>
      </w:r>
      <w:r w:rsidRPr="00146346">
        <w:rPr>
          <w:spacing w:val="-2"/>
          <w:sz w:val="20"/>
          <w:szCs w:val="20"/>
        </w:rPr>
        <w:t xml:space="preserve">, </w:t>
      </w:r>
      <w:r w:rsidRPr="00146346">
        <w:rPr>
          <w:i/>
          <w:iCs/>
          <w:spacing w:val="-2"/>
          <w:sz w:val="20"/>
          <w:szCs w:val="20"/>
        </w:rPr>
        <w:t>16</w:t>
      </w:r>
      <w:r w:rsidRPr="00146346">
        <w:rPr>
          <w:spacing w:val="-2"/>
          <w:sz w:val="20"/>
          <w:szCs w:val="20"/>
        </w:rPr>
        <w:t>(2), 1611</w:t>
      </w:r>
      <w:r w:rsidR="001B2CCC">
        <w:rPr>
          <w:spacing w:val="-2"/>
          <w:sz w:val="20"/>
          <w:szCs w:val="20"/>
        </w:rPr>
        <w:t>–</w:t>
      </w:r>
      <w:r w:rsidRPr="00146346">
        <w:rPr>
          <w:spacing w:val="-2"/>
          <w:sz w:val="20"/>
          <w:szCs w:val="20"/>
        </w:rPr>
        <w:t>1635. https://doi.org/10.1007/s12145-023-00995-9</w:t>
      </w:r>
    </w:p>
    <w:p w14:paraId="4CB7D340" w14:textId="6DC409C4" w:rsidR="00B83E8D" w:rsidRPr="00146346" w:rsidRDefault="00B83E8D" w:rsidP="008E6351">
      <w:pPr>
        <w:pStyle w:val="Newparagraph"/>
        <w:spacing w:line="240" w:lineRule="auto"/>
        <w:ind w:left="426" w:hanging="426"/>
        <w:jc w:val="both"/>
        <w:rPr>
          <w:sz w:val="20"/>
          <w:szCs w:val="20"/>
        </w:rPr>
      </w:pPr>
      <w:r w:rsidRPr="00146346">
        <w:rPr>
          <w:sz w:val="20"/>
          <w:szCs w:val="20"/>
        </w:rPr>
        <w:t xml:space="preserve">Soydan, O. (2025). Salda Lake's Shrinking Waters: A 20-Year Satellite Analysis. </w:t>
      </w:r>
      <w:r w:rsidRPr="00146346">
        <w:rPr>
          <w:i/>
          <w:iCs/>
          <w:sz w:val="20"/>
          <w:szCs w:val="20"/>
        </w:rPr>
        <w:t>Eurasian Journal of Agricultural Research</w:t>
      </w:r>
      <w:r w:rsidRPr="00146346">
        <w:rPr>
          <w:sz w:val="20"/>
          <w:szCs w:val="20"/>
        </w:rPr>
        <w:t xml:space="preserve">, </w:t>
      </w:r>
      <w:r w:rsidRPr="00146346">
        <w:rPr>
          <w:i/>
          <w:iCs/>
          <w:sz w:val="20"/>
          <w:szCs w:val="20"/>
        </w:rPr>
        <w:t>9</w:t>
      </w:r>
      <w:r w:rsidRPr="00146346">
        <w:rPr>
          <w:sz w:val="20"/>
          <w:szCs w:val="20"/>
        </w:rPr>
        <w:t>(1), 118</w:t>
      </w:r>
      <w:r w:rsidR="001B2CCC">
        <w:rPr>
          <w:sz w:val="20"/>
          <w:szCs w:val="20"/>
        </w:rPr>
        <w:t>–</w:t>
      </w:r>
      <w:r w:rsidRPr="00146346">
        <w:rPr>
          <w:sz w:val="20"/>
          <w:szCs w:val="20"/>
        </w:rPr>
        <w:t>129.</w:t>
      </w:r>
    </w:p>
    <w:p w14:paraId="7E3540FB" w14:textId="635C04D6" w:rsidR="00335CEA" w:rsidRPr="00146346" w:rsidRDefault="00335CEA" w:rsidP="006633EC">
      <w:pPr>
        <w:pStyle w:val="Newparagraph"/>
        <w:spacing w:line="240" w:lineRule="auto"/>
        <w:ind w:left="426" w:hanging="426"/>
        <w:rPr>
          <w:sz w:val="20"/>
          <w:szCs w:val="20"/>
        </w:rPr>
      </w:pPr>
      <w:r w:rsidRPr="00146346">
        <w:rPr>
          <w:sz w:val="20"/>
          <w:szCs w:val="20"/>
        </w:rPr>
        <w:t xml:space="preserve">Tourian, M.J., Elmi, O., Chen, Q., Devaraju, B., Roohi, S., &amp; </w:t>
      </w:r>
      <w:proofErr w:type="spellStart"/>
      <w:r w:rsidRPr="00146346">
        <w:rPr>
          <w:sz w:val="20"/>
          <w:szCs w:val="20"/>
        </w:rPr>
        <w:t>Sneeuw</w:t>
      </w:r>
      <w:proofErr w:type="spellEnd"/>
      <w:r w:rsidRPr="00146346">
        <w:rPr>
          <w:sz w:val="20"/>
          <w:szCs w:val="20"/>
        </w:rPr>
        <w:t>, N. (2015). A spaceborne multi</w:t>
      </w:r>
      <w:r w:rsidR="00D712DC">
        <w:rPr>
          <w:sz w:val="20"/>
          <w:szCs w:val="20"/>
        </w:rPr>
        <w:t>-</w:t>
      </w:r>
      <w:r w:rsidRPr="00146346">
        <w:rPr>
          <w:sz w:val="20"/>
          <w:szCs w:val="20"/>
        </w:rPr>
        <w:t xml:space="preserve">sensor approach to monitor the desiccation of Lake Urmia in Iran. </w:t>
      </w:r>
      <w:r w:rsidRPr="00146346">
        <w:rPr>
          <w:i/>
          <w:iCs/>
          <w:sz w:val="20"/>
          <w:szCs w:val="20"/>
        </w:rPr>
        <w:t>Remote Sensing of Environment</w:t>
      </w:r>
      <w:r w:rsidRPr="00146346">
        <w:rPr>
          <w:sz w:val="20"/>
          <w:szCs w:val="20"/>
        </w:rPr>
        <w:t xml:space="preserve">, </w:t>
      </w:r>
      <w:r w:rsidRPr="00146346">
        <w:rPr>
          <w:i/>
          <w:iCs/>
          <w:sz w:val="20"/>
          <w:szCs w:val="20"/>
        </w:rPr>
        <w:t>156</w:t>
      </w:r>
      <w:r w:rsidRPr="00146346">
        <w:rPr>
          <w:sz w:val="20"/>
          <w:szCs w:val="20"/>
        </w:rPr>
        <w:t>, 349</w:t>
      </w:r>
      <w:r w:rsidR="001B2CCC">
        <w:rPr>
          <w:sz w:val="20"/>
          <w:szCs w:val="20"/>
        </w:rPr>
        <w:t>–</w:t>
      </w:r>
      <w:r w:rsidRPr="00146346">
        <w:rPr>
          <w:sz w:val="20"/>
          <w:szCs w:val="20"/>
        </w:rPr>
        <w:t xml:space="preserve">360. </w:t>
      </w:r>
      <w:r w:rsidR="004A2041" w:rsidRPr="00146346">
        <w:rPr>
          <w:sz w:val="20"/>
          <w:szCs w:val="20"/>
        </w:rPr>
        <w:t>https://doi.org/10.1016/j.rse.2014.10.006</w:t>
      </w:r>
    </w:p>
    <w:p w14:paraId="59BA590C" w14:textId="18BC8CED" w:rsidR="004A2041" w:rsidRPr="00146346" w:rsidRDefault="004A2041" w:rsidP="008E6351">
      <w:pPr>
        <w:pStyle w:val="Newparagraph"/>
        <w:spacing w:line="240" w:lineRule="auto"/>
        <w:ind w:left="426" w:hanging="426"/>
        <w:jc w:val="both"/>
        <w:rPr>
          <w:sz w:val="20"/>
          <w:szCs w:val="20"/>
        </w:rPr>
      </w:pPr>
      <w:r w:rsidRPr="00146346">
        <w:rPr>
          <w:sz w:val="20"/>
          <w:szCs w:val="20"/>
        </w:rPr>
        <w:t>Tuygun, G.T., Salgut, S., &amp; El</w:t>
      </w:r>
      <w:r w:rsidR="005F151C" w:rsidRPr="00146346">
        <w:rPr>
          <w:sz w:val="20"/>
          <w:szCs w:val="20"/>
        </w:rPr>
        <w:t>c</w:t>
      </w:r>
      <w:r w:rsidRPr="00146346">
        <w:rPr>
          <w:sz w:val="20"/>
          <w:szCs w:val="20"/>
        </w:rPr>
        <w:t xml:space="preserve">i, A. (2023). Long-term spatial-temporal monitoring of eutrophication in Lake Burdur using remote sensing data. </w:t>
      </w:r>
      <w:r w:rsidRPr="00146346">
        <w:rPr>
          <w:i/>
          <w:iCs/>
          <w:sz w:val="20"/>
          <w:szCs w:val="20"/>
        </w:rPr>
        <w:t>Water Science &amp; Technology</w:t>
      </w:r>
      <w:r w:rsidRPr="00146346">
        <w:rPr>
          <w:sz w:val="20"/>
          <w:szCs w:val="20"/>
        </w:rPr>
        <w:t xml:space="preserve">, </w:t>
      </w:r>
      <w:r w:rsidRPr="00146346">
        <w:rPr>
          <w:i/>
          <w:iCs/>
          <w:sz w:val="20"/>
          <w:szCs w:val="20"/>
        </w:rPr>
        <w:t>87</w:t>
      </w:r>
      <w:r w:rsidRPr="00146346">
        <w:rPr>
          <w:sz w:val="20"/>
          <w:szCs w:val="20"/>
        </w:rPr>
        <w:t>(9), 2184</w:t>
      </w:r>
      <w:r w:rsidR="001B2CCC">
        <w:rPr>
          <w:sz w:val="20"/>
          <w:szCs w:val="20"/>
        </w:rPr>
        <w:t>–</w:t>
      </w:r>
      <w:r w:rsidRPr="00146346">
        <w:rPr>
          <w:sz w:val="20"/>
          <w:szCs w:val="20"/>
        </w:rPr>
        <w:t xml:space="preserve">2194. </w:t>
      </w:r>
      <w:r w:rsidR="005E4DC3" w:rsidRPr="00146346">
        <w:rPr>
          <w:sz w:val="20"/>
          <w:szCs w:val="20"/>
        </w:rPr>
        <w:t>https://doi.org/10.2166/wst.2023.113</w:t>
      </w:r>
    </w:p>
    <w:p w14:paraId="0174EA4E" w14:textId="38A98F64" w:rsidR="005E4DC3" w:rsidRPr="00146346" w:rsidRDefault="005E4DC3" w:rsidP="006633EC">
      <w:pPr>
        <w:pStyle w:val="Newparagraph"/>
        <w:spacing w:line="240" w:lineRule="auto"/>
        <w:ind w:left="426" w:hanging="426"/>
        <w:rPr>
          <w:sz w:val="20"/>
          <w:szCs w:val="20"/>
        </w:rPr>
      </w:pPr>
      <w:r w:rsidRPr="00146346">
        <w:rPr>
          <w:sz w:val="20"/>
          <w:szCs w:val="20"/>
        </w:rPr>
        <w:t xml:space="preserve">Vicente-Serrano, S.M., </w:t>
      </w:r>
      <w:proofErr w:type="spellStart"/>
      <w:r w:rsidRPr="00146346">
        <w:rPr>
          <w:sz w:val="20"/>
          <w:szCs w:val="20"/>
        </w:rPr>
        <w:t>Beguería</w:t>
      </w:r>
      <w:proofErr w:type="spellEnd"/>
      <w:r w:rsidRPr="00146346">
        <w:rPr>
          <w:sz w:val="20"/>
          <w:szCs w:val="20"/>
        </w:rPr>
        <w:t xml:space="preserve">, S., &amp; López-Moreno, J.I. (2010). A </w:t>
      </w:r>
      <w:proofErr w:type="spellStart"/>
      <w:r w:rsidRPr="00146346">
        <w:rPr>
          <w:sz w:val="20"/>
          <w:szCs w:val="20"/>
        </w:rPr>
        <w:t>multiscalar</w:t>
      </w:r>
      <w:proofErr w:type="spellEnd"/>
      <w:r w:rsidRPr="00146346">
        <w:rPr>
          <w:sz w:val="20"/>
          <w:szCs w:val="20"/>
        </w:rPr>
        <w:t xml:space="preserve"> drought index sensitive to global warming: the standardized precipitation evapotranspiration index. </w:t>
      </w:r>
      <w:r w:rsidRPr="00146346">
        <w:rPr>
          <w:i/>
          <w:iCs/>
          <w:sz w:val="20"/>
          <w:szCs w:val="20"/>
        </w:rPr>
        <w:t>Journal of climate</w:t>
      </w:r>
      <w:r w:rsidRPr="00146346">
        <w:rPr>
          <w:sz w:val="20"/>
          <w:szCs w:val="20"/>
        </w:rPr>
        <w:t xml:space="preserve">, </w:t>
      </w:r>
      <w:r w:rsidRPr="00146346">
        <w:rPr>
          <w:i/>
          <w:iCs/>
          <w:sz w:val="20"/>
          <w:szCs w:val="20"/>
        </w:rPr>
        <w:t>23</w:t>
      </w:r>
      <w:r w:rsidRPr="00146346">
        <w:rPr>
          <w:sz w:val="20"/>
          <w:szCs w:val="20"/>
        </w:rPr>
        <w:t>(7), 1696</w:t>
      </w:r>
      <w:r w:rsidR="001B2CCC">
        <w:rPr>
          <w:sz w:val="20"/>
          <w:szCs w:val="20"/>
        </w:rPr>
        <w:t>–</w:t>
      </w:r>
      <w:r w:rsidRPr="00146346">
        <w:rPr>
          <w:sz w:val="20"/>
          <w:szCs w:val="20"/>
        </w:rPr>
        <w:t>1718. https://doi.org/10.1175/2009JCLI2909.1</w:t>
      </w:r>
    </w:p>
    <w:p w14:paraId="7D4D5D44" w14:textId="78F4D791" w:rsidR="005E4DC3" w:rsidRPr="00146346" w:rsidRDefault="005E4DC3" w:rsidP="008E6351">
      <w:pPr>
        <w:pStyle w:val="Newparagraph"/>
        <w:spacing w:line="240" w:lineRule="auto"/>
        <w:ind w:left="426" w:hanging="426"/>
        <w:jc w:val="both"/>
        <w:rPr>
          <w:sz w:val="20"/>
          <w:szCs w:val="20"/>
        </w:rPr>
      </w:pPr>
      <w:r w:rsidRPr="00146346">
        <w:rPr>
          <w:sz w:val="20"/>
          <w:szCs w:val="20"/>
        </w:rPr>
        <w:t>Vicente‐Serrano, S.M., McVicar, T.R., Miralles, D.G., Yang, Y., &amp; Tomas‐</w:t>
      </w:r>
      <w:proofErr w:type="spellStart"/>
      <w:r w:rsidRPr="00146346">
        <w:rPr>
          <w:sz w:val="20"/>
          <w:szCs w:val="20"/>
        </w:rPr>
        <w:t>Burguera</w:t>
      </w:r>
      <w:proofErr w:type="spellEnd"/>
      <w:r w:rsidRPr="00146346">
        <w:rPr>
          <w:sz w:val="20"/>
          <w:szCs w:val="20"/>
        </w:rPr>
        <w:t xml:space="preserve">, M. (2020). </w:t>
      </w:r>
      <w:proofErr w:type="spellStart"/>
      <w:r w:rsidRPr="00146346">
        <w:rPr>
          <w:sz w:val="20"/>
          <w:szCs w:val="20"/>
        </w:rPr>
        <w:t>Unraveling</w:t>
      </w:r>
      <w:proofErr w:type="spellEnd"/>
      <w:r w:rsidRPr="00146346">
        <w:rPr>
          <w:sz w:val="20"/>
          <w:szCs w:val="20"/>
        </w:rPr>
        <w:t xml:space="preserve"> the influence of atmospheric evaporative demand on drought and its response to climate change. </w:t>
      </w:r>
      <w:r w:rsidRPr="00146346">
        <w:rPr>
          <w:i/>
          <w:iCs/>
          <w:sz w:val="20"/>
          <w:szCs w:val="20"/>
        </w:rPr>
        <w:t>Wiley Interdisciplinary Reviews: Climate Change</w:t>
      </w:r>
      <w:r w:rsidRPr="00146346">
        <w:rPr>
          <w:sz w:val="20"/>
          <w:szCs w:val="20"/>
        </w:rPr>
        <w:t xml:space="preserve">, </w:t>
      </w:r>
      <w:r w:rsidRPr="00146346">
        <w:rPr>
          <w:i/>
          <w:iCs/>
          <w:sz w:val="20"/>
          <w:szCs w:val="20"/>
        </w:rPr>
        <w:t>11</w:t>
      </w:r>
      <w:r w:rsidRPr="00146346">
        <w:rPr>
          <w:sz w:val="20"/>
          <w:szCs w:val="20"/>
        </w:rPr>
        <w:t>(2), e632. https://doi.org/10.1002/wcc.632</w:t>
      </w:r>
    </w:p>
    <w:p w14:paraId="3979B3AF" w14:textId="63FEC624" w:rsidR="009F7CF9" w:rsidRPr="00146346" w:rsidRDefault="009F7CF9" w:rsidP="008E6351">
      <w:pPr>
        <w:pStyle w:val="Newparagraph"/>
        <w:spacing w:line="240" w:lineRule="auto"/>
        <w:ind w:left="426" w:hanging="426"/>
        <w:jc w:val="both"/>
        <w:rPr>
          <w:sz w:val="20"/>
          <w:szCs w:val="20"/>
        </w:rPr>
      </w:pPr>
      <w:r w:rsidRPr="00146346">
        <w:rPr>
          <w:sz w:val="20"/>
          <w:szCs w:val="20"/>
        </w:rPr>
        <w:t xml:space="preserve">Wang, D., &amp; Shi, L. (2019). Source identification of mine water inrush: a discussion on the application of </w:t>
      </w:r>
      <w:proofErr w:type="spellStart"/>
      <w:r w:rsidRPr="00146346">
        <w:rPr>
          <w:sz w:val="20"/>
          <w:szCs w:val="20"/>
        </w:rPr>
        <w:t>hydrochemical</w:t>
      </w:r>
      <w:proofErr w:type="spellEnd"/>
      <w:r w:rsidRPr="00146346">
        <w:rPr>
          <w:sz w:val="20"/>
          <w:szCs w:val="20"/>
        </w:rPr>
        <w:t xml:space="preserve"> method. </w:t>
      </w:r>
      <w:r w:rsidRPr="00146346">
        <w:rPr>
          <w:i/>
          <w:iCs/>
          <w:sz w:val="20"/>
          <w:szCs w:val="20"/>
        </w:rPr>
        <w:t>Arabian Journal of Geosciences</w:t>
      </w:r>
      <w:r w:rsidRPr="00146346">
        <w:rPr>
          <w:sz w:val="20"/>
          <w:szCs w:val="20"/>
        </w:rPr>
        <w:t>, </w:t>
      </w:r>
      <w:r w:rsidRPr="00146346">
        <w:rPr>
          <w:i/>
          <w:iCs/>
          <w:sz w:val="20"/>
          <w:szCs w:val="20"/>
        </w:rPr>
        <w:t>12</w:t>
      </w:r>
      <w:r w:rsidRPr="00146346">
        <w:rPr>
          <w:sz w:val="20"/>
          <w:szCs w:val="20"/>
        </w:rPr>
        <w:t xml:space="preserve">(2), 58. </w:t>
      </w:r>
      <w:hyperlink r:id="rId21" w:history="1">
        <w:r w:rsidRPr="00146346">
          <w:rPr>
            <w:sz w:val="20"/>
            <w:szCs w:val="20"/>
          </w:rPr>
          <w:t>https://doi.org/10.1007/s12517-018-4076-3</w:t>
        </w:r>
      </w:hyperlink>
    </w:p>
    <w:p w14:paraId="12C31053" w14:textId="400445A5" w:rsidR="00701D45" w:rsidRPr="00146346" w:rsidRDefault="00701D45" w:rsidP="008E6351">
      <w:pPr>
        <w:pStyle w:val="Newparagraph"/>
        <w:spacing w:line="240" w:lineRule="auto"/>
        <w:ind w:left="426" w:hanging="426"/>
        <w:jc w:val="both"/>
        <w:rPr>
          <w:sz w:val="20"/>
          <w:szCs w:val="20"/>
        </w:rPr>
      </w:pPr>
      <w:r w:rsidRPr="00146346">
        <w:rPr>
          <w:sz w:val="20"/>
          <w:szCs w:val="20"/>
        </w:rPr>
        <w:t>Wang, N., Yang, J., Zhang, Z., Xiao, Y., Wang, H., He, J., &amp; Yi, L. (2023). Analysis of detailed lake variations and associated hydrologic driving factors in a semi-arid ungauged closed watershed. </w:t>
      </w:r>
      <w:r w:rsidRPr="00146346">
        <w:rPr>
          <w:i/>
          <w:iCs/>
          <w:sz w:val="20"/>
          <w:szCs w:val="20"/>
        </w:rPr>
        <w:t>Sustainability</w:t>
      </w:r>
      <w:r w:rsidRPr="00146346">
        <w:rPr>
          <w:sz w:val="20"/>
          <w:szCs w:val="20"/>
        </w:rPr>
        <w:t>, </w:t>
      </w:r>
      <w:r w:rsidRPr="00146346">
        <w:rPr>
          <w:i/>
          <w:iCs/>
          <w:sz w:val="20"/>
          <w:szCs w:val="20"/>
        </w:rPr>
        <w:t>15</w:t>
      </w:r>
      <w:r w:rsidRPr="00146346">
        <w:rPr>
          <w:sz w:val="20"/>
          <w:szCs w:val="20"/>
        </w:rPr>
        <w:t>(8), 6535. https://doi.org/10.3390/su15086535</w:t>
      </w:r>
    </w:p>
    <w:p w14:paraId="40C2C4C2" w14:textId="7368DFA0" w:rsidR="00987F75" w:rsidRPr="00146346" w:rsidRDefault="00987F75" w:rsidP="008E6351">
      <w:pPr>
        <w:pStyle w:val="Newparagraph"/>
        <w:spacing w:line="240" w:lineRule="auto"/>
        <w:ind w:left="426" w:hanging="426"/>
        <w:jc w:val="both"/>
        <w:rPr>
          <w:sz w:val="20"/>
          <w:szCs w:val="20"/>
        </w:rPr>
      </w:pPr>
      <w:proofErr w:type="spellStart"/>
      <w:r w:rsidRPr="00146346">
        <w:rPr>
          <w:sz w:val="20"/>
          <w:szCs w:val="20"/>
        </w:rPr>
        <w:t>Woolway</w:t>
      </w:r>
      <w:proofErr w:type="spellEnd"/>
      <w:r w:rsidRPr="00146346">
        <w:rPr>
          <w:sz w:val="20"/>
          <w:szCs w:val="20"/>
        </w:rPr>
        <w:t>, R.I., Kayastha, M.B., Tong, Y., Feng, L., Shi, H., &amp; Xue, P. (2025). Subsurface heatwaves in lakes. </w:t>
      </w:r>
      <w:r w:rsidRPr="00146346">
        <w:rPr>
          <w:i/>
          <w:iCs/>
          <w:sz w:val="20"/>
          <w:szCs w:val="20"/>
        </w:rPr>
        <w:t>Nature Climate Change</w:t>
      </w:r>
      <w:r w:rsidRPr="00146346">
        <w:rPr>
          <w:sz w:val="20"/>
          <w:szCs w:val="20"/>
        </w:rPr>
        <w:t>, </w:t>
      </w:r>
      <w:r w:rsidRPr="00146346">
        <w:rPr>
          <w:i/>
          <w:iCs/>
          <w:sz w:val="20"/>
          <w:szCs w:val="20"/>
        </w:rPr>
        <w:t>15</w:t>
      </w:r>
      <w:r w:rsidRPr="00146346">
        <w:rPr>
          <w:sz w:val="20"/>
          <w:szCs w:val="20"/>
        </w:rPr>
        <w:t>(5), 554</w:t>
      </w:r>
      <w:r w:rsidR="001B2CCC">
        <w:rPr>
          <w:sz w:val="20"/>
          <w:szCs w:val="20"/>
        </w:rPr>
        <w:t>–</w:t>
      </w:r>
      <w:r w:rsidRPr="00146346">
        <w:rPr>
          <w:sz w:val="20"/>
          <w:szCs w:val="20"/>
        </w:rPr>
        <w:t>559. https://doi.org/10.1038/s41558-025-02314-0</w:t>
      </w:r>
    </w:p>
    <w:p w14:paraId="172965C4" w14:textId="6F5ED04D" w:rsidR="008C6000" w:rsidRPr="00146346" w:rsidRDefault="008C6000" w:rsidP="006633EC">
      <w:pPr>
        <w:pStyle w:val="Newparagraph"/>
        <w:spacing w:line="240" w:lineRule="auto"/>
        <w:ind w:left="426" w:hanging="426"/>
        <w:rPr>
          <w:sz w:val="20"/>
          <w:szCs w:val="20"/>
        </w:rPr>
      </w:pPr>
      <w:r w:rsidRPr="00146346">
        <w:rPr>
          <w:sz w:val="20"/>
          <w:szCs w:val="20"/>
        </w:rPr>
        <w:lastRenderedPageBreak/>
        <w:t xml:space="preserve">Yang, S., Zhou, H., Liu, Y., Dorjsuren, B., Demberel, O., &amp; Batmunkh, D. (2024). </w:t>
      </w:r>
      <w:r w:rsidR="00987F75" w:rsidRPr="00146346">
        <w:rPr>
          <w:sz w:val="20"/>
          <w:szCs w:val="20"/>
        </w:rPr>
        <w:t>Impacts of climate change and human activity on lakes around the depression of great lakes in Mongolia</w:t>
      </w:r>
      <w:r w:rsidRPr="00146346">
        <w:rPr>
          <w:sz w:val="20"/>
          <w:szCs w:val="20"/>
        </w:rPr>
        <w:t>. </w:t>
      </w:r>
      <w:r w:rsidRPr="00146346">
        <w:rPr>
          <w:i/>
          <w:iCs/>
          <w:sz w:val="20"/>
          <w:szCs w:val="20"/>
        </w:rPr>
        <w:t>Land</w:t>
      </w:r>
      <w:r w:rsidRPr="00146346">
        <w:rPr>
          <w:sz w:val="20"/>
          <w:szCs w:val="20"/>
        </w:rPr>
        <w:t>, </w:t>
      </w:r>
      <w:r w:rsidRPr="00146346">
        <w:rPr>
          <w:i/>
          <w:iCs/>
          <w:sz w:val="20"/>
          <w:szCs w:val="20"/>
        </w:rPr>
        <w:t>13</w:t>
      </w:r>
      <w:r w:rsidRPr="00146346">
        <w:rPr>
          <w:sz w:val="20"/>
          <w:szCs w:val="20"/>
        </w:rPr>
        <w:t>(3), 310.</w:t>
      </w:r>
      <w:r w:rsidR="00987F75" w:rsidRPr="00146346">
        <w:rPr>
          <w:sz w:val="20"/>
          <w:szCs w:val="20"/>
        </w:rPr>
        <w:t xml:space="preserve"> https://doi.org/10.3390/land13030310</w:t>
      </w:r>
    </w:p>
    <w:p w14:paraId="1BFE7B38" w14:textId="236A172E" w:rsidR="00B83E8D" w:rsidRPr="00146346" w:rsidRDefault="00B83E8D" w:rsidP="006633EC">
      <w:pPr>
        <w:pStyle w:val="Newparagraph"/>
        <w:spacing w:line="240" w:lineRule="auto"/>
        <w:ind w:left="426" w:hanging="426"/>
        <w:rPr>
          <w:sz w:val="20"/>
          <w:szCs w:val="20"/>
        </w:rPr>
      </w:pPr>
      <w:r w:rsidRPr="00146346">
        <w:rPr>
          <w:sz w:val="20"/>
          <w:szCs w:val="20"/>
        </w:rPr>
        <w:t xml:space="preserve">Yapiyev, V., Koriche, S.A., Snow, D.D., </w:t>
      </w:r>
      <w:proofErr w:type="spellStart"/>
      <w:r w:rsidRPr="00146346">
        <w:rPr>
          <w:sz w:val="20"/>
          <w:szCs w:val="20"/>
        </w:rPr>
        <w:t>Samarkhanov</w:t>
      </w:r>
      <w:proofErr w:type="spellEnd"/>
      <w:r w:rsidRPr="00146346">
        <w:rPr>
          <w:sz w:val="20"/>
          <w:szCs w:val="20"/>
        </w:rPr>
        <w:t xml:space="preserve">, K., Mao, X., &amp; Li, J. (2024). Climate change, land surface, and critical zone processes in endorheic basins. </w:t>
      </w:r>
      <w:r w:rsidRPr="00146346">
        <w:rPr>
          <w:i/>
          <w:iCs/>
          <w:sz w:val="20"/>
          <w:szCs w:val="20"/>
        </w:rPr>
        <w:t>Frontiers in Environmental Science</w:t>
      </w:r>
      <w:r w:rsidRPr="00146346">
        <w:rPr>
          <w:sz w:val="20"/>
          <w:szCs w:val="20"/>
        </w:rPr>
        <w:t xml:space="preserve">, </w:t>
      </w:r>
      <w:r w:rsidRPr="00146346">
        <w:rPr>
          <w:i/>
          <w:iCs/>
          <w:sz w:val="20"/>
          <w:szCs w:val="20"/>
        </w:rPr>
        <w:t>12</w:t>
      </w:r>
      <w:r w:rsidRPr="00146346">
        <w:rPr>
          <w:sz w:val="20"/>
          <w:szCs w:val="20"/>
        </w:rPr>
        <w:t xml:space="preserve">, 1479504. </w:t>
      </w:r>
      <w:r w:rsidR="00335CEA" w:rsidRPr="00146346">
        <w:rPr>
          <w:sz w:val="20"/>
          <w:szCs w:val="20"/>
        </w:rPr>
        <w:t>https://doi.org/10.3389/fenvs.2024.1479504</w:t>
      </w:r>
    </w:p>
    <w:p w14:paraId="6BC56CC2" w14:textId="37E3E650" w:rsidR="00335CEA" w:rsidRPr="00146346" w:rsidRDefault="00335CEA" w:rsidP="008E6351">
      <w:pPr>
        <w:pStyle w:val="Newparagraph"/>
        <w:spacing w:line="240" w:lineRule="auto"/>
        <w:ind w:left="426" w:hanging="426"/>
        <w:jc w:val="both"/>
        <w:rPr>
          <w:sz w:val="20"/>
          <w:szCs w:val="20"/>
        </w:rPr>
      </w:pPr>
      <w:r w:rsidRPr="00A25F0E">
        <w:rPr>
          <w:sz w:val="20"/>
          <w:szCs w:val="20"/>
        </w:rPr>
        <w:t xml:space="preserve">Yao, F., Wang, J., Yang, K., Wang, C., Walter, B.A., &amp; </w:t>
      </w:r>
      <w:proofErr w:type="spellStart"/>
      <w:r w:rsidRPr="00A25F0E">
        <w:rPr>
          <w:sz w:val="20"/>
          <w:szCs w:val="20"/>
        </w:rPr>
        <w:t>Crétaux</w:t>
      </w:r>
      <w:proofErr w:type="spellEnd"/>
      <w:r w:rsidRPr="00A25F0E">
        <w:rPr>
          <w:sz w:val="20"/>
          <w:szCs w:val="20"/>
        </w:rPr>
        <w:t xml:space="preserve">, J.F. (2018). </w:t>
      </w:r>
      <w:r w:rsidRPr="00146346">
        <w:rPr>
          <w:sz w:val="20"/>
          <w:szCs w:val="20"/>
        </w:rPr>
        <w:t>Lake storage variation on the endorheic Tibetan Plateau and its attribution to climate change since the new millennium. </w:t>
      </w:r>
      <w:r w:rsidRPr="00146346">
        <w:rPr>
          <w:i/>
          <w:iCs/>
          <w:sz w:val="20"/>
          <w:szCs w:val="20"/>
        </w:rPr>
        <w:t>Environmental Research Letters</w:t>
      </w:r>
      <w:r w:rsidRPr="00146346">
        <w:rPr>
          <w:sz w:val="20"/>
          <w:szCs w:val="20"/>
        </w:rPr>
        <w:t>, </w:t>
      </w:r>
      <w:r w:rsidRPr="00146346">
        <w:rPr>
          <w:i/>
          <w:iCs/>
          <w:sz w:val="20"/>
          <w:szCs w:val="20"/>
        </w:rPr>
        <w:t>13</w:t>
      </w:r>
      <w:r w:rsidRPr="00146346">
        <w:rPr>
          <w:sz w:val="20"/>
          <w:szCs w:val="20"/>
        </w:rPr>
        <w:t>(6), 064011.</w:t>
      </w:r>
    </w:p>
    <w:p w14:paraId="4C97505B" w14:textId="5E6ABF06" w:rsidR="00B83E8D" w:rsidRPr="00146346" w:rsidRDefault="00B83E8D" w:rsidP="00146346">
      <w:pPr>
        <w:pStyle w:val="Newparagraph"/>
        <w:spacing w:line="240" w:lineRule="auto"/>
        <w:ind w:left="426" w:hanging="426"/>
        <w:jc w:val="both"/>
        <w:rPr>
          <w:sz w:val="20"/>
          <w:szCs w:val="20"/>
        </w:rPr>
      </w:pPr>
      <w:r w:rsidRPr="00146346">
        <w:rPr>
          <w:sz w:val="20"/>
          <w:szCs w:val="20"/>
        </w:rPr>
        <w:t>Zhang, Y., Huang, K., Yu, Y., &amp; Yang, B. (2017). Mapping of water footprint research: A bibliometric analysis during 2006–2015. </w:t>
      </w:r>
      <w:r w:rsidRPr="00146346">
        <w:rPr>
          <w:i/>
          <w:iCs/>
          <w:sz w:val="20"/>
          <w:szCs w:val="20"/>
        </w:rPr>
        <w:t>Journal of Cleaner Production</w:t>
      </w:r>
      <w:r w:rsidRPr="00146346">
        <w:rPr>
          <w:sz w:val="20"/>
          <w:szCs w:val="20"/>
        </w:rPr>
        <w:t>, </w:t>
      </w:r>
      <w:r w:rsidRPr="00146346">
        <w:rPr>
          <w:i/>
          <w:iCs/>
          <w:sz w:val="20"/>
          <w:szCs w:val="20"/>
        </w:rPr>
        <w:t>149</w:t>
      </w:r>
      <w:r w:rsidRPr="00146346">
        <w:rPr>
          <w:sz w:val="20"/>
          <w:szCs w:val="20"/>
        </w:rPr>
        <w:t>, 70</w:t>
      </w:r>
      <w:r w:rsidR="001B2CCC">
        <w:rPr>
          <w:sz w:val="20"/>
          <w:szCs w:val="20"/>
        </w:rPr>
        <w:t>–</w:t>
      </w:r>
      <w:r w:rsidRPr="00146346">
        <w:rPr>
          <w:sz w:val="20"/>
          <w:szCs w:val="20"/>
        </w:rPr>
        <w:t xml:space="preserve">79. </w:t>
      </w:r>
      <w:hyperlink r:id="rId22" w:history="1">
        <w:r w:rsidRPr="00146346">
          <w:rPr>
            <w:sz w:val="20"/>
            <w:szCs w:val="20"/>
          </w:rPr>
          <w:t>https://doi.org/10.1016/j.jclepro.2017.02.067</w:t>
        </w:r>
      </w:hyperlink>
    </w:p>
    <w:sectPr w:rsidR="00B83E8D" w:rsidRPr="00146346" w:rsidSect="002E4748">
      <w:headerReference w:type="even" r:id="rId23"/>
      <w:headerReference w:type="default" r:id="rId24"/>
      <w:footerReference w:type="first" r:id="rId25"/>
      <w:pgSz w:w="11901" w:h="16840" w:code="9"/>
      <w:pgMar w:top="1134" w:right="1134" w:bottom="1134" w:left="1134" w:header="567" w:footer="567" w:gutter="0"/>
      <w:pgNumType w:start="13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9E8E0" w14:textId="77777777" w:rsidR="003D2C8B" w:rsidRDefault="003D2C8B" w:rsidP="00AF2C92">
      <w:r>
        <w:separator/>
      </w:r>
    </w:p>
  </w:endnote>
  <w:endnote w:type="continuationSeparator" w:id="0">
    <w:p w14:paraId="2879CF27" w14:textId="77777777" w:rsidR="003D2C8B" w:rsidRDefault="003D2C8B"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BF7669" w:rsidRPr="0062689F" w14:paraId="09C10E48" w14:textId="77777777" w:rsidTr="006E1D6D">
      <w:trPr>
        <w:trHeight w:val="198"/>
      </w:trPr>
      <w:tc>
        <w:tcPr>
          <w:tcW w:w="1384" w:type="dxa"/>
          <w:vAlign w:val="center"/>
        </w:tcPr>
        <w:p w14:paraId="3B983F00" w14:textId="77777777" w:rsidR="00BF7669" w:rsidRPr="0062689F" w:rsidRDefault="00BF7669" w:rsidP="00BF7669">
          <w:pPr>
            <w:spacing w:line="240" w:lineRule="auto"/>
            <w:ind w:left="-106"/>
          </w:pPr>
          <w:bookmarkStart w:id="5" w:name="_Hlk104286226"/>
          <w:bookmarkStart w:id="6" w:name="_Hlk104286227"/>
          <w:bookmarkStart w:id="7" w:name="_Hlk154270864"/>
          <w:bookmarkStart w:id="8" w:name="_Hlk154270865"/>
          <w:r w:rsidRPr="0062689F">
            <w:rPr>
              <w:noProof/>
            </w:rPr>
            <w:drawing>
              <wp:inline distT="0" distB="0" distL="0" distR="0" wp14:anchorId="0FC10F90" wp14:editId="7C7EC6A0">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5AB5C12F" w14:textId="77777777" w:rsidR="00BF7669" w:rsidRPr="0062689F" w:rsidRDefault="00BF7669" w:rsidP="00BF7669">
          <w:pPr>
            <w:suppressAutoHyphens/>
            <w:spacing w:line="240" w:lineRule="auto"/>
            <w:ind w:left="-75"/>
            <w:rPr>
              <w:sz w:val="18"/>
              <w:szCs w:val="18"/>
            </w:rPr>
          </w:pPr>
          <w:r w:rsidRPr="0062689F">
            <w:rPr>
              <w:sz w:val="18"/>
              <w:szCs w:val="18"/>
            </w:rPr>
            <w:t>© 2026. Author(s). This work is licensed under a Creative Commons Attribution 4.0 International License (CC BY-SA)</w:t>
          </w:r>
        </w:p>
      </w:tc>
    </w:tr>
    <w:bookmarkEnd w:id="5"/>
    <w:bookmarkEnd w:id="6"/>
    <w:bookmarkEnd w:id="7"/>
    <w:bookmarkEnd w:id="8"/>
  </w:tbl>
  <w:p w14:paraId="4E4D8A57" w14:textId="77777777" w:rsidR="00BF7669" w:rsidRPr="0062689F" w:rsidRDefault="00BF7669" w:rsidP="00BF7669">
    <w:pPr>
      <w:pStyle w:val="Stopka"/>
      <w:spacing w:before="0"/>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5B7BA" w14:textId="77777777" w:rsidR="003D2C8B" w:rsidRDefault="003D2C8B" w:rsidP="00AF2C92">
      <w:r>
        <w:separator/>
      </w:r>
    </w:p>
  </w:footnote>
  <w:footnote w:type="continuationSeparator" w:id="0">
    <w:p w14:paraId="3CCD2F60" w14:textId="77777777" w:rsidR="003D2C8B" w:rsidRDefault="003D2C8B"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BF7669" w:rsidRPr="00584564" w14:paraId="786EADDF" w14:textId="77777777" w:rsidTr="006E1D6D">
      <w:trPr>
        <w:trHeight w:hRule="exact" w:val="284"/>
      </w:trPr>
      <w:tc>
        <w:tcPr>
          <w:tcW w:w="397" w:type="dxa"/>
          <w:vAlign w:val="center"/>
        </w:tcPr>
        <w:p w14:paraId="33E1ABBC" w14:textId="77777777" w:rsidR="00BF7669" w:rsidRPr="00584564" w:rsidRDefault="00BF7669" w:rsidP="00BF7669">
          <w:pPr>
            <w:pStyle w:val="Nagwek"/>
            <w:rPr>
              <w:rFonts w:ascii="Arial" w:hAnsi="Arial" w:cs="Arial"/>
              <w:i/>
              <w:sz w:val="20"/>
              <w:szCs w:val="20"/>
            </w:rPr>
          </w:pPr>
          <w:r w:rsidRPr="00584564">
            <w:rPr>
              <w:rFonts w:ascii="Arial" w:hAnsi="Arial" w:cs="Arial"/>
              <w:sz w:val="20"/>
              <w:szCs w:val="20"/>
            </w:rPr>
            <w:fldChar w:fldCharType="begin"/>
          </w:r>
          <w:r w:rsidRPr="00584564">
            <w:rPr>
              <w:rFonts w:ascii="Arial" w:hAnsi="Arial" w:cs="Arial"/>
              <w:sz w:val="20"/>
              <w:szCs w:val="20"/>
            </w:rPr>
            <w:instrText xml:space="preserve"> PAGE   \* MERGEFORMAT </w:instrText>
          </w:r>
          <w:r w:rsidRPr="00584564">
            <w:rPr>
              <w:rFonts w:ascii="Arial" w:hAnsi="Arial" w:cs="Arial"/>
              <w:sz w:val="20"/>
              <w:szCs w:val="20"/>
            </w:rPr>
            <w:fldChar w:fldCharType="separate"/>
          </w:r>
          <w:r>
            <w:rPr>
              <w:rFonts w:ascii="Arial" w:hAnsi="Arial" w:cs="Arial"/>
              <w:sz w:val="20"/>
              <w:szCs w:val="20"/>
            </w:rPr>
            <w:t>2</w:t>
          </w:r>
          <w:r w:rsidRPr="00584564">
            <w:rPr>
              <w:rFonts w:ascii="Arial" w:hAnsi="Arial" w:cs="Arial"/>
              <w:sz w:val="20"/>
              <w:szCs w:val="20"/>
            </w:rPr>
            <w:fldChar w:fldCharType="end"/>
          </w:r>
        </w:p>
      </w:tc>
      <w:tc>
        <w:tcPr>
          <w:tcW w:w="9242" w:type="dxa"/>
          <w:vAlign w:val="center"/>
        </w:tcPr>
        <w:p w14:paraId="73860B5C" w14:textId="77777777" w:rsidR="00BF7669" w:rsidRPr="00584564" w:rsidRDefault="00BF7669" w:rsidP="00BF7669">
          <w:pPr>
            <w:pStyle w:val="Nagwek"/>
            <w:jc w:val="center"/>
            <w:rPr>
              <w:rFonts w:ascii="Arial" w:hAnsi="Arial" w:cs="Arial"/>
              <w:i/>
              <w:sz w:val="20"/>
              <w:szCs w:val="20"/>
            </w:rPr>
          </w:pPr>
          <w:proofErr w:type="spellStart"/>
          <w:r w:rsidRPr="00252DD2">
            <w:rPr>
              <w:rFonts w:ascii="Arial" w:hAnsi="Arial" w:cs="Arial"/>
              <w:i/>
              <w:sz w:val="20"/>
              <w:szCs w:val="20"/>
            </w:rPr>
            <w:t>Orhun</w:t>
          </w:r>
          <w:proofErr w:type="spellEnd"/>
          <w:r w:rsidRPr="00252DD2">
            <w:rPr>
              <w:rFonts w:ascii="Arial" w:hAnsi="Arial" w:cs="Arial"/>
              <w:i/>
              <w:sz w:val="20"/>
              <w:szCs w:val="20"/>
            </w:rPr>
            <w:t xml:space="preserve"> Soydan</w:t>
          </w:r>
        </w:p>
      </w:tc>
    </w:tr>
  </w:tbl>
  <w:p w14:paraId="4911421E" w14:textId="77777777" w:rsidR="00BF7669" w:rsidRPr="005265A7" w:rsidRDefault="00BF7669" w:rsidP="00BF7669">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BF7669" w:rsidRPr="00584564" w14:paraId="513C4A2A" w14:textId="77777777" w:rsidTr="006E1D6D">
      <w:trPr>
        <w:trHeight w:hRule="exact" w:val="284"/>
        <w:jc w:val="right"/>
      </w:trPr>
      <w:tc>
        <w:tcPr>
          <w:tcW w:w="9243" w:type="dxa"/>
          <w:vAlign w:val="center"/>
        </w:tcPr>
        <w:p w14:paraId="7FB72874" w14:textId="27A19508" w:rsidR="00BF7669" w:rsidRPr="00584564" w:rsidRDefault="00A25F0E" w:rsidP="00BF7669">
          <w:pPr>
            <w:pStyle w:val="Nagwek"/>
            <w:jc w:val="center"/>
            <w:rPr>
              <w:rFonts w:ascii="Arial" w:hAnsi="Arial" w:cs="Arial"/>
              <w:i/>
              <w:sz w:val="20"/>
              <w:szCs w:val="16"/>
            </w:rPr>
          </w:pPr>
          <w:r w:rsidRPr="00A25F0E">
            <w:rPr>
              <w:rFonts w:ascii="Arial" w:hAnsi="Arial" w:cs="Arial"/>
              <w:i/>
              <w:sz w:val="20"/>
              <w:szCs w:val="16"/>
            </w:rPr>
            <w:t>Climate-Induced Evaporation and Salinity Dynamics in Southwestern Türkiye's Endorheic Lakes</w:t>
          </w:r>
          <w:r>
            <w:rPr>
              <w:rFonts w:ascii="Arial" w:hAnsi="Arial" w:cs="Arial"/>
              <w:i/>
              <w:sz w:val="20"/>
              <w:szCs w:val="16"/>
            </w:rPr>
            <w:t>…</w:t>
          </w:r>
        </w:p>
      </w:tc>
      <w:tc>
        <w:tcPr>
          <w:tcW w:w="397" w:type="dxa"/>
          <w:vAlign w:val="center"/>
        </w:tcPr>
        <w:p w14:paraId="3097F91B" w14:textId="77777777" w:rsidR="00BF7669" w:rsidRPr="00584564" w:rsidRDefault="00BF7669" w:rsidP="00BF7669">
          <w:pPr>
            <w:pStyle w:val="Nagwek"/>
            <w:jc w:val="right"/>
            <w:rPr>
              <w:rFonts w:ascii="Arial" w:hAnsi="Arial" w:cs="Arial"/>
              <w:i/>
              <w:sz w:val="20"/>
              <w:szCs w:val="16"/>
            </w:rPr>
          </w:pPr>
          <w:r w:rsidRPr="00584564">
            <w:rPr>
              <w:rFonts w:ascii="Arial" w:hAnsi="Arial" w:cs="Arial"/>
              <w:sz w:val="20"/>
              <w:szCs w:val="16"/>
            </w:rPr>
            <w:fldChar w:fldCharType="begin"/>
          </w:r>
          <w:r w:rsidRPr="00584564">
            <w:rPr>
              <w:rFonts w:ascii="Arial" w:hAnsi="Arial" w:cs="Arial"/>
              <w:sz w:val="20"/>
              <w:szCs w:val="16"/>
            </w:rPr>
            <w:instrText xml:space="preserve"> PAGE   \* MERGEFORMAT </w:instrText>
          </w:r>
          <w:r w:rsidRPr="00584564">
            <w:rPr>
              <w:rFonts w:ascii="Arial" w:hAnsi="Arial" w:cs="Arial"/>
              <w:sz w:val="20"/>
              <w:szCs w:val="16"/>
            </w:rPr>
            <w:fldChar w:fldCharType="separate"/>
          </w:r>
          <w:r>
            <w:rPr>
              <w:rFonts w:ascii="Arial" w:hAnsi="Arial" w:cs="Arial"/>
              <w:sz w:val="20"/>
              <w:szCs w:val="16"/>
            </w:rPr>
            <w:t>3</w:t>
          </w:r>
          <w:r w:rsidRPr="00584564">
            <w:rPr>
              <w:rFonts w:ascii="Arial" w:hAnsi="Arial" w:cs="Arial"/>
              <w:sz w:val="20"/>
              <w:szCs w:val="16"/>
            </w:rPr>
            <w:fldChar w:fldCharType="end"/>
          </w:r>
        </w:p>
      </w:tc>
    </w:tr>
  </w:tbl>
  <w:p w14:paraId="10F6006E" w14:textId="77777777" w:rsidR="00BF7669" w:rsidRPr="00584564" w:rsidRDefault="00BF7669" w:rsidP="00BF7669">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287"/>
    <w:multiLevelType w:val="hybridMultilevel"/>
    <w:tmpl w:val="9D08ED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846FF5"/>
    <w:multiLevelType w:val="hybridMultilevel"/>
    <w:tmpl w:val="A3C2D0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79651D"/>
    <w:multiLevelType w:val="hybridMultilevel"/>
    <w:tmpl w:val="95A8F0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C0C3D73"/>
    <w:multiLevelType w:val="hybridMultilevel"/>
    <w:tmpl w:val="2E4A2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F9E3591"/>
    <w:multiLevelType w:val="hybridMultilevel"/>
    <w:tmpl w:val="7B74A1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FDE46DB"/>
    <w:multiLevelType w:val="multilevel"/>
    <w:tmpl w:val="2892D8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9022A6"/>
    <w:multiLevelType w:val="hybridMultilevel"/>
    <w:tmpl w:val="ECBC6B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8DF3A11"/>
    <w:multiLevelType w:val="hybridMultilevel"/>
    <w:tmpl w:val="B3D0B0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6C79B0"/>
    <w:multiLevelType w:val="multilevel"/>
    <w:tmpl w:val="43884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5315AE"/>
    <w:multiLevelType w:val="hybridMultilevel"/>
    <w:tmpl w:val="E63E9A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4846CDF"/>
    <w:multiLevelType w:val="hybridMultilevel"/>
    <w:tmpl w:val="CC902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4A445C6"/>
    <w:multiLevelType w:val="hybridMultilevel"/>
    <w:tmpl w:val="021683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55D699D"/>
    <w:multiLevelType w:val="hybridMultilevel"/>
    <w:tmpl w:val="E2E03D28"/>
    <w:lvl w:ilvl="0" w:tplc="37DC595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1A0184"/>
    <w:multiLevelType w:val="hybridMultilevel"/>
    <w:tmpl w:val="B81817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CCE3D8F"/>
    <w:multiLevelType w:val="hybridMultilevel"/>
    <w:tmpl w:val="D056FD2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D322C5C"/>
    <w:multiLevelType w:val="hybridMultilevel"/>
    <w:tmpl w:val="E8E65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A997369"/>
    <w:multiLevelType w:val="multilevel"/>
    <w:tmpl w:val="9CF6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600851"/>
    <w:multiLevelType w:val="hybridMultilevel"/>
    <w:tmpl w:val="89FAE1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2DC6BBE"/>
    <w:multiLevelType w:val="hybridMultilevel"/>
    <w:tmpl w:val="333CCC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57339A8"/>
    <w:multiLevelType w:val="hybridMultilevel"/>
    <w:tmpl w:val="2ECA72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B6C50AB"/>
    <w:multiLevelType w:val="hybridMultilevel"/>
    <w:tmpl w:val="E76218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EFC7CFA"/>
    <w:multiLevelType w:val="hybridMultilevel"/>
    <w:tmpl w:val="B3BEF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02225F4"/>
    <w:multiLevelType w:val="multilevel"/>
    <w:tmpl w:val="7C94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CD1465"/>
    <w:multiLevelType w:val="hybridMultilevel"/>
    <w:tmpl w:val="50B00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AEB6BFD"/>
    <w:multiLevelType w:val="hybridMultilevel"/>
    <w:tmpl w:val="0C78D9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AFD14E6"/>
    <w:multiLevelType w:val="hybridMultilevel"/>
    <w:tmpl w:val="FFD42DCA"/>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230919667">
    <w:abstractNumId w:val="13"/>
  </w:num>
  <w:num w:numId="2" w16cid:durableId="350451035">
    <w:abstractNumId w:val="18"/>
  </w:num>
  <w:num w:numId="3" w16cid:durableId="1710951686">
    <w:abstractNumId w:val="11"/>
  </w:num>
  <w:num w:numId="4" w16cid:durableId="1754737261">
    <w:abstractNumId w:val="0"/>
  </w:num>
  <w:num w:numId="5" w16cid:durableId="487792040">
    <w:abstractNumId w:val="12"/>
  </w:num>
  <w:num w:numId="6" w16cid:durableId="474953797">
    <w:abstractNumId w:val="1"/>
  </w:num>
  <w:num w:numId="7" w16cid:durableId="733818482">
    <w:abstractNumId w:val="3"/>
  </w:num>
  <w:num w:numId="8" w16cid:durableId="930621022">
    <w:abstractNumId w:val="20"/>
  </w:num>
  <w:num w:numId="9" w16cid:durableId="140201378">
    <w:abstractNumId w:val="2"/>
  </w:num>
  <w:num w:numId="10" w16cid:durableId="277490831">
    <w:abstractNumId w:val="6"/>
  </w:num>
  <w:num w:numId="11" w16cid:durableId="1537162749">
    <w:abstractNumId w:val="7"/>
  </w:num>
  <w:num w:numId="12" w16cid:durableId="1958831843">
    <w:abstractNumId w:val="21"/>
  </w:num>
  <w:num w:numId="13" w16cid:durableId="1212378049">
    <w:abstractNumId w:val="10"/>
  </w:num>
  <w:num w:numId="14" w16cid:durableId="1278634253">
    <w:abstractNumId w:val="26"/>
  </w:num>
  <w:num w:numId="15" w16cid:durableId="277764209">
    <w:abstractNumId w:val="25"/>
  </w:num>
  <w:num w:numId="16" w16cid:durableId="1203057423">
    <w:abstractNumId w:val="19"/>
  </w:num>
  <w:num w:numId="17" w16cid:durableId="29385505">
    <w:abstractNumId w:val="16"/>
  </w:num>
  <w:num w:numId="18" w16cid:durableId="691809372">
    <w:abstractNumId w:val="9"/>
  </w:num>
  <w:num w:numId="19" w16cid:durableId="1046178629">
    <w:abstractNumId w:val="15"/>
  </w:num>
  <w:num w:numId="20" w16cid:durableId="2080787630">
    <w:abstractNumId w:val="17"/>
  </w:num>
  <w:num w:numId="21" w16cid:durableId="1559316821">
    <w:abstractNumId w:val="4"/>
  </w:num>
  <w:num w:numId="22" w16cid:durableId="1403985329">
    <w:abstractNumId w:val="24"/>
  </w:num>
  <w:num w:numId="23" w16cid:durableId="194973681">
    <w:abstractNumId w:val="22"/>
  </w:num>
  <w:num w:numId="24" w16cid:durableId="993334797">
    <w:abstractNumId w:val="14"/>
  </w:num>
  <w:num w:numId="25" w16cid:durableId="1910580711">
    <w:abstractNumId w:val="8"/>
  </w:num>
  <w:num w:numId="26" w16cid:durableId="1918444448">
    <w:abstractNumId w:val="5"/>
  </w:num>
  <w:num w:numId="27" w16cid:durableId="249389884">
    <w:abstractNumId w:val="23"/>
  </w:num>
  <w:num w:numId="28" w16cid:durableId="484661096">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hideSpellingErrors/>
  <w:hideGrammaticalErrors/>
  <w:proofState w:spelling="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C2NDExNDQxNDWwMDRR0lEKTi0uzszPAykwrAUAZ2BYfSwAAAA="/>
  </w:docVars>
  <w:rsids>
    <w:rsidRoot w:val="004B5473"/>
    <w:rsid w:val="00000478"/>
    <w:rsid w:val="00001729"/>
    <w:rsid w:val="00001899"/>
    <w:rsid w:val="00001DE2"/>
    <w:rsid w:val="00002011"/>
    <w:rsid w:val="000049AD"/>
    <w:rsid w:val="00005166"/>
    <w:rsid w:val="00006033"/>
    <w:rsid w:val="00006532"/>
    <w:rsid w:val="0000681B"/>
    <w:rsid w:val="000112FC"/>
    <w:rsid w:val="000126D4"/>
    <w:rsid w:val="000133C0"/>
    <w:rsid w:val="0001477D"/>
    <w:rsid w:val="00014C4E"/>
    <w:rsid w:val="00017107"/>
    <w:rsid w:val="00017C5F"/>
    <w:rsid w:val="000202E2"/>
    <w:rsid w:val="00022441"/>
    <w:rsid w:val="0002261E"/>
    <w:rsid w:val="00024839"/>
    <w:rsid w:val="00024DA4"/>
    <w:rsid w:val="00026871"/>
    <w:rsid w:val="00031F6E"/>
    <w:rsid w:val="00032AF3"/>
    <w:rsid w:val="00037A98"/>
    <w:rsid w:val="000427FB"/>
    <w:rsid w:val="00043880"/>
    <w:rsid w:val="0004406A"/>
    <w:rsid w:val="0004455E"/>
    <w:rsid w:val="00047CB5"/>
    <w:rsid w:val="0005038C"/>
    <w:rsid w:val="000508F5"/>
    <w:rsid w:val="00051FAA"/>
    <w:rsid w:val="000520B9"/>
    <w:rsid w:val="00055CF0"/>
    <w:rsid w:val="000572A9"/>
    <w:rsid w:val="00061325"/>
    <w:rsid w:val="00061417"/>
    <w:rsid w:val="000635C9"/>
    <w:rsid w:val="00063AEE"/>
    <w:rsid w:val="00071903"/>
    <w:rsid w:val="000733AC"/>
    <w:rsid w:val="00074B81"/>
    <w:rsid w:val="00074D22"/>
    <w:rsid w:val="00075081"/>
    <w:rsid w:val="0007528A"/>
    <w:rsid w:val="000811AB"/>
    <w:rsid w:val="00083C5F"/>
    <w:rsid w:val="0009172C"/>
    <w:rsid w:val="000930EC"/>
    <w:rsid w:val="00095E61"/>
    <w:rsid w:val="0009641E"/>
    <w:rsid w:val="000966C1"/>
    <w:rsid w:val="000970AC"/>
    <w:rsid w:val="000A0497"/>
    <w:rsid w:val="000A0FB3"/>
    <w:rsid w:val="000A1167"/>
    <w:rsid w:val="000A3DA9"/>
    <w:rsid w:val="000A4428"/>
    <w:rsid w:val="000A467D"/>
    <w:rsid w:val="000A5F97"/>
    <w:rsid w:val="000A6D40"/>
    <w:rsid w:val="000A7598"/>
    <w:rsid w:val="000A77FB"/>
    <w:rsid w:val="000A7BC3"/>
    <w:rsid w:val="000B1661"/>
    <w:rsid w:val="000B1F0B"/>
    <w:rsid w:val="000B25B5"/>
    <w:rsid w:val="000B2E88"/>
    <w:rsid w:val="000B4603"/>
    <w:rsid w:val="000C09BE"/>
    <w:rsid w:val="000C1380"/>
    <w:rsid w:val="000C17DB"/>
    <w:rsid w:val="000C1E42"/>
    <w:rsid w:val="000C417C"/>
    <w:rsid w:val="000C554F"/>
    <w:rsid w:val="000C643D"/>
    <w:rsid w:val="000D0DC5"/>
    <w:rsid w:val="000D15FF"/>
    <w:rsid w:val="000D2752"/>
    <w:rsid w:val="000D28DF"/>
    <w:rsid w:val="000D488B"/>
    <w:rsid w:val="000D59DF"/>
    <w:rsid w:val="000D68DF"/>
    <w:rsid w:val="000D7D38"/>
    <w:rsid w:val="000E138D"/>
    <w:rsid w:val="000E187A"/>
    <w:rsid w:val="000E2D61"/>
    <w:rsid w:val="000E450E"/>
    <w:rsid w:val="000E6259"/>
    <w:rsid w:val="000E6A6A"/>
    <w:rsid w:val="000F149E"/>
    <w:rsid w:val="000F1798"/>
    <w:rsid w:val="000F1B5A"/>
    <w:rsid w:val="000F2A9E"/>
    <w:rsid w:val="000F4677"/>
    <w:rsid w:val="000F4B04"/>
    <w:rsid w:val="000F5BE0"/>
    <w:rsid w:val="000F709D"/>
    <w:rsid w:val="000F726D"/>
    <w:rsid w:val="00100587"/>
    <w:rsid w:val="00101837"/>
    <w:rsid w:val="0010284E"/>
    <w:rsid w:val="00103122"/>
    <w:rsid w:val="0010336A"/>
    <w:rsid w:val="0010477A"/>
    <w:rsid w:val="0010496E"/>
    <w:rsid w:val="001050F1"/>
    <w:rsid w:val="00105AEA"/>
    <w:rsid w:val="00106B70"/>
    <w:rsid w:val="00106DAF"/>
    <w:rsid w:val="00106DC8"/>
    <w:rsid w:val="00110334"/>
    <w:rsid w:val="00111A9B"/>
    <w:rsid w:val="0011329B"/>
    <w:rsid w:val="00114ABE"/>
    <w:rsid w:val="00116023"/>
    <w:rsid w:val="00125082"/>
    <w:rsid w:val="00127D8D"/>
    <w:rsid w:val="0013009E"/>
    <w:rsid w:val="00133C0B"/>
    <w:rsid w:val="00134A51"/>
    <w:rsid w:val="00140727"/>
    <w:rsid w:val="00145F69"/>
    <w:rsid w:val="001462B0"/>
    <w:rsid w:val="00146346"/>
    <w:rsid w:val="00152549"/>
    <w:rsid w:val="00155EAB"/>
    <w:rsid w:val="00157514"/>
    <w:rsid w:val="00160628"/>
    <w:rsid w:val="00161344"/>
    <w:rsid w:val="00162195"/>
    <w:rsid w:val="0016322A"/>
    <w:rsid w:val="00165A21"/>
    <w:rsid w:val="00165A66"/>
    <w:rsid w:val="00166306"/>
    <w:rsid w:val="001705CE"/>
    <w:rsid w:val="0017714B"/>
    <w:rsid w:val="00177F49"/>
    <w:rsid w:val="001804DF"/>
    <w:rsid w:val="00181BDC"/>
    <w:rsid w:val="00181DB0"/>
    <w:rsid w:val="001829E3"/>
    <w:rsid w:val="00186B71"/>
    <w:rsid w:val="001916D2"/>
    <w:rsid w:val="001924C0"/>
    <w:rsid w:val="00194536"/>
    <w:rsid w:val="00196E11"/>
    <w:rsid w:val="0019731E"/>
    <w:rsid w:val="00197F7A"/>
    <w:rsid w:val="001A0182"/>
    <w:rsid w:val="001A09FE"/>
    <w:rsid w:val="001A4BCE"/>
    <w:rsid w:val="001A4C42"/>
    <w:rsid w:val="001A67C9"/>
    <w:rsid w:val="001A69DE"/>
    <w:rsid w:val="001A713C"/>
    <w:rsid w:val="001B1182"/>
    <w:rsid w:val="001B1C7C"/>
    <w:rsid w:val="001B2CCC"/>
    <w:rsid w:val="001B3214"/>
    <w:rsid w:val="001B398F"/>
    <w:rsid w:val="001B46C6"/>
    <w:rsid w:val="001B4B48"/>
    <w:rsid w:val="001B4D1F"/>
    <w:rsid w:val="001B6A73"/>
    <w:rsid w:val="001B7681"/>
    <w:rsid w:val="001B7CAE"/>
    <w:rsid w:val="001C0772"/>
    <w:rsid w:val="001C094A"/>
    <w:rsid w:val="001C0D4F"/>
    <w:rsid w:val="001C1BA3"/>
    <w:rsid w:val="001C1DEC"/>
    <w:rsid w:val="001C23CA"/>
    <w:rsid w:val="001C3061"/>
    <w:rsid w:val="001C5736"/>
    <w:rsid w:val="001C59A2"/>
    <w:rsid w:val="001C68D4"/>
    <w:rsid w:val="001C753E"/>
    <w:rsid w:val="001D27DC"/>
    <w:rsid w:val="001D647F"/>
    <w:rsid w:val="001D6857"/>
    <w:rsid w:val="001D6AEB"/>
    <w:rsid w:val="001E0383"/>
    <w:rsid w:val="001E0572"/>
    <w:rsid w:val="001E0A67"/>
    <w:rsid w:val="001E1028"/>
    <w:rsid w:val="001E14E2"/>
    <w:rsid w:val="001E1E3C"/>
    <w:rsid w:val="001E3ED1"/>
    <w:rsid w:val="001E5ED5"/>
    <w:rsid w:val="001E6302"/>
    <w:rsid w:val="001E7DCB"/>
    <w:rsid w:val="001F3411"/>
    <w:rsid w:val="001F4287"/>
    <w:rsid w:val="001F4DBA"/>
    <w:rsid w:val="001F570D"/>
    <w:rsid w:val="001F7DBA"/>
    <w:rsid w:val="00203A94"/>
    <w:rsid w:val="0020415E"/>
    <w:rsid w:val="0020429A"/>
    <w:rsid w:val="00204FF4"/>
    <w:rsid w:val="002061FC"/>
    <w:rsid w:val="002073C6"/>
    <w:rsid w:val="0021056E"/>
    <w:rsid w:val="0021075D"/>
    <w:rsid w:val="00210ECB"/>
    <w:rsid w:val="0021165A"/>
    <w:rsid w:val="00211BC9"/>
    <w:rsid w:val="00213A2B"/>
    <w:rsid w:val="0021620C"/>
    <w:rsid w:val="00216E78"/>
    <w:rsid w:val="00217275"/>
    <w:rsid w:val="00217F23"/>
    <w:rsid w:val="002211DD"/>
    <w:rsid w:val="00221BC0"/>
    <w:rsid w:val="00222022"/>
    <w:rsid w:val="002233C6"/>
    <w:rsid w:val="002307A1"/>
    <w:rsid w:val="002329A9"/>
    <w:rsid w:val="00236F4B"/>
    <w:rsid w:val="00237D9C"/>
    <w:rsid w:val="00242B0D"/>
    <w:rsid w:val="002444ED"/>
    <w:rsid w:val="002467C6"/>
    <w:rsid w:val="0024692A"/>
    <w:rsid w:val="0025054C"/>
    <w:rsid w:val="0025270E"/>
    <w:rsid w:val="00252BBA"/>
    <w:rsid w:val="00253123"/>
    <w:rsid w:val="00257258"/>
    <w:rsid w:val="00261483"/>
    <w:rsid w:val="00264001"/>
    <w:rsid w:val="00266354"/>
    <w:rsid w:val="00267A18"/>
    <w:rsid w:val="00267FC7"/>
    <w:rsid w:val="00273462"/>
    <w:rsid w:val="0027395B"/>
    <w:rsid w:val="00275854"/>
    <w:rsid w:val="0028295B"/>
    <w:rsid w:val="00283B41"/>
    <w:rsid w:val="00285F28"/>
    <w:rsid w:val="00286398"/>
    <w:rsid w:val="00287346"/>
    <w:rsid w:val="002941F3"/>
    <w:rsid w:val="002954B9"/>
    <w:rsid w:val="00296AC2"/>
    <w:rsid w:val="00297525"/>
    <w:rsid w:val="002A3C42"/>
    <w:rsid w:val="002A5AF4"/>
    <w:rsid w:val="002A5D75"/>
    <w:rsid w:val="002B1401"/>
    <w:rsid w:val="002B1B1A"/>
    <w:rsid w:val="002B3B06"/>
    <w:rsid w:val="002B6653"/>
    <w:rsid w:val="002B6F17"/>
    <w:rsid w:val="002B7228"/>
    <w:rsid w:val="002C51DA"/>
    <w:rsid w:val="002C53EE"/>
    <w:rsid w:val="002D093E"/>
    <w:rsid w:val="002D24F7"/>
    <w:rsid w:val="002D2799"/>
    <w:rsid w:val="002D2CD7"/>
    <w:rsid w:val="002D4DDC"/>
    <w:rsid w:val="002D4F75"/>
    <w:rsid w:val="002D53FE"/>
    <w:rsid w:val="002D6493"/>
    <w:rsid w:val="002D7AB6"/>
    <w:rsid w:val="002E06D0"/>
    <w:rsid w:val="002E3C27"/>
    <w:rsid w:val="002E403A"/>
    <w:rsid w:val="002E4748"/>
    <w:rsid w:val="002E7181"/>
    <w:rsid w:val="002E7F3A"/>
    <w:rsid w:val="002F0A64"/>
    <w:rsid w:val="002F41D0"/>
    <w:rsid w:val="002F4EDB"/>
    <w:rsid w:val="002F5D60"/>
    <w:rsid w:val="002F6054"/>
    <w:rsid w:val="002F750B"/>
    <w:rsid w:val="00302A47"/>
    <w:rsid w:val="00303475"/>
    <w:rsid w:val="00303FBE"/>
    <w:rsid w:val="00304F19"/>
    <w:rsid w:val="0030723C"/>
    <w:rsid w:val="00310D36"/>
    <w:rsid w:val="00310E13"/>
    <w:rsid w:val="003126EE"/>
    <w:rsid w:val="003127D4"/>
    <w:rsid w:val="00315713"/>
    <w:rsid w:val="0031686C"/>
    <w:rsid w:val="00316FE0"/>
    <w:rsid w:val="003204D2"/>
    <w:rsid w:val="003221DB"/>
    <w:rsid w:val="0032605E"/>
    <w:rsid w:val="003275D1"/>
    <w:rsid w:val="00330B2A"/>
    <w:rsid w:val="00331806"/>
    <w:rsid w:val="00331E17"/>
    <w:rsid w:val="00333063"/>
    <w:rsid w:val="00335CEA"/>
    <w:rsid w:val="003408E3"/>
    <w:rsid w:val="00341035"/>
    <w:rsid w:val="00343480"/>
    <w:rsid w:val="00344669"/>
    <w:rsid w:val="00345B43"/>
    <w:rsid w:val="00345E89"/>
    <w:rsid w:val="00347E3C"/>
    <w:rsid w:val="0035185A"/>
    <w:rsid w:val="003522A1"/>
    <w:rsid w:val="0035254B"/>
    <w:rsid w:val="00353555"/>
    <w:rsid w:val="003542DC"/>
    <w:rsid w:val="0035559D"/>
    <w:rsid w:val="003565D4"/>
    <w:rsid w:val="003607FB"/>
    <w:rsid w:val="00360FD5"/>
    <w:rsid w:val="00361BA5"/>
    <w:rsid w:val="0036340D"/>
    <w:rsid w:val="003634A5"/>
    <w:rsid w:val="00366868"/>
    <w:rsid w:val="00367506"/>
    <w:rsid w:val="00370085"/>
    <w:rsid w:val="00372B62"/>
    <w:rsid w:val="00373FDB"/>
    <w:rsid w:val="003744A7"/>
    <w:rsid w:val="003748F0"/>
    <w:rsid w:val="00376235"/>
    <w:rsid w:val="0037637B"/>
    <w:rsid w:val="003814B5"/>
    <w:rsid w:val="00381885"/>
    <w:rsid w:val="00381FB6"/>
    <w:rsid w:val="003836D3"/>
    <w:rsid w:val="00383A52"/>
    <w:rsid w:val="003842FB"/>
    <w:rsid w:val="0039045D"/>
    <w:rsid w:val="00391652"/>
    <w:rsid w:val="0039507F"/>
    <w:rsid w:val="003965B6"/>
    <w:rsid w:val="00397693"/>
    <w:rsid w:val="003A11D2"/>
    <w:rsid w:val="003A1260"/>
    <w:rsid w:val="003A1CBB"/>
    <w:rsid w:val="003A295F"/>
    <w:rsid w:val="003A2F4E"/>
    <w:rsid w:val="003A41DD"/>
    <w:rsid w:val="003A7033"/>
    <w:rsid w:val="003B0B30"/>
    <w:rsid w:val="003B47FE"/>
    <w:rsid w:val="003B55D6"/>
    <w:rsid w:val="003B5673"/>
    <w:rsid w:val="003B5EC7"/>
    <w:rsid w:val="003B6287"/>
    <w:rsid w:val="003B62C9"/>
    <w:rsid w:val="003C1020"/>
    <w:rsid w:val="003C15A6"/>
    <w:rsid w:val="003C3BD1"/>
    <w:rsid w:val="003C54F8"/>
    <w:rsid w:val="003C62C1"/>
    <w:rsid w:val="003C6AD5"/>
    <w:rsid w:val="003C7176"/>
    <w:rsid w:val="003D0929"/>
    <w:rsid w:val="003D2C8B"/>
    <w:rsid w:val="003D4729"/>
    <w:rsid w:val="003D7DD6"/>
    <w:rsid w:val="003E3F3B"/>
    <w:rsid w:val="003E5AAF"/>
    <w:rsid w:val="003E600D"/>
    <w:rsid w:val="003E64DF"/>
    <w:rsid w:val="003E6A5D"/>
    <w:rsid w:val="003E6F4C"/>
    <w:rsid w:val="003F169B"/>
    <w:rsid w:val="003F193A"/>
    <w:rsid w:val="003F4207"/>
    <w:rsid w:val="003F5096"/>
    <w:rsid w:val="003F5C46"/>
    <w:rsid w:val="003F7CBB"/>
    <w:rsid w:val="003F7D34"/>
    <w:rsid w:val="00400B29"/>
    <w:rsid w:val="00407A64"/>
    <w:rsid w:val="0041013B"/>
    <w:rsid w:val="00412C8E"/>
    <w:rsid w:val="00413EDA"/>
    <w:rsid w:val="0041518D"/>
    <w:rsid w:val="00420E2B"/>
    <w:rsid w:val="0042221D"/>
    <w:rsid w:val="00424DD3"/>
    <w:rsid w:val="004269C5"/>
    <w:rsid w:val="00426C11"/>
    <w:rsid w:val="0043347B"/>
    <w:rsid w:val="0043447C"/>
    <w:rsid w:val="00435939"/>
    <w:rsid w:val="00437CC7"/>
    <w:rsid w:val="004425A1"/>
    <w:rsid w:val="00442B9C"/>
    <w:rsid w:val="00445EFA"/>
    <w:rsid w:val="00446761"/>
    <w:rsid w:val="0044738A"/>
    <w:rsid w:val="004473D3"/>
    <w:rsid w:val="00452231"/>
    <w:rsid w:val="00460C13"/>
    <w:rsid w:val="00463228"/>
    <w:rsid w:val="00463782"/>
    <w:rsid w:val="004667E0"/>
    <w:rsid w:val="0046760E"/>
    <w:rsid w:val="00470E10"/>
    <w:rsid w:val="00477650"/>
    <w:rsid w:val="00477A97"/>
    <w:rsid w:val="00481343"/>
    <w:rsid w:val="004834D6"/>
    <w:rsid w:val="0048549E"/>
    <w:rsid w:val="0049020A"/>
    <w:rsid w:val="004930C6"/>
    <w:rsid w:val="00493347"/>
    <w:rsid w:val="00496092"/>
    <w:rsid w:val="00496753"/>
    <w:rsid w:val="00496CC4"/>
    <w:rsid w:val="00497AE5"/>
    <w:rsid w:val="00497F2F"/>
    <w:rsid w:val="004A08DB"/>
    <w:rsid w:val="004A0FF6"/>
    <w:rsid w:val="004A1FA9"/>
    <w:rsid w:val="004A2041"/>
    <w:rsid w:val="004A25D0"/>
    <w:rsid w:val="004A37E8"/>
    <w:rsid w:val="004A38D5"/>
    <w:rsid w:val="004A7549"/>
    <w:rsid w:val="004B09D4"/>
    <w:rsid w:val="004B309D"/>
    <w:rsid w:val="004B330A"/>
    <w:rsid w:val="004B5473"/>
    <w:rsid w:val="004B7C8E"/>
    <w:rsid w:val="004C1187"/>
    <w:rsid w:val="004C1435"/>
    <w:rsid w:val="004C1ACA"/>
    <w:rsid w:val="004C3D3C"/>
    <w:rsid w:val="004D0EDC"/>
    <w:rsid w:val="004D1220"/>
    <w:rsid w:val="004D14B3"/>
    <w:rsid w:val="004D1529"/>
    <w:rsid w:val="004D1668"/>
    <w:rsid w:val="004D2253"/>
    <w:rsid w:val="004D2CC5"/>
    <w:rsid w:val="004D3F2E"/>
    <w:rsid w:val="004D5514"/>
    <w:rsid w:val="004D56C3"/>
    <w:rsid w:val="004D5E8A"/>
    <w:rsid w:val="004D7491"/>
    <w:rsid w:val="004E0338"/>
    <w:rsid w:val="004E0DE2"/>
    <w:rsid w:val="004E4990"/>
    <w:rsid w:val="004E4FF3"/>
    <w:rsid w:val="004E56A8"/>
    <w:rsid w:val="004F35BB"/>
    <w:rsid w:val="004F3660"/>
    <w:rsid w:val="004F3B55"/>
    <w:rsid w:val="004F428E"/>
    <w:rsid w:val="004F4E46"/>
    <w:rsid w:val="004F51C3"/>
    <w:rsid w:val="004F6B7D"/>
    <w:rsid w:val="005014C2"/>
    <w:rsid w:val="005015F6"/>
    <w:rsid w:val="00501C62"/>
    <w:rsid w:val="005030C4"/>
    <w:rsid w:val="005031C5"/>
    <w:rsid w:val="00504E04"/>
    <w:rsid w:val="00504FDC"/>
    <w:rsid w:val="005120CC"/>
    <w:rsid w:val="00512B7B"/>
    <w:rsid w:val="00513879"/>
    <w:rsid w:val="00514EA1"/>
    <w:rsid w:val="0051798B"/>
    <w:rsid w:val="00521F5A"/>
    <w:rsid w:val="0052499B"/>
    <w:rsid w:val="00525173"/>
    <w:rsid w:val="00525E06"/>
    <w:rsid w:val="0052614E"/>
    <w:rsid w:val="0052641A"/>
    <w:rsid w:val="00526454"/>
    <w:rsid w:val="00531823"/>
    <w:rsid w:val="0053292C"/>
    <w:rsid w:val="00534ECC"/>
    <w:rsid w:val="00536C1F"/>
    <w:rsid w:val="0053720D"/>
    <w:rsid w:val="00540EF5"/>
    <w:rsid w:val="00541B96"/>
    <w:rsid w:val="00541BF3"/>
    <w:rsid w:val="00541CD3"/>
    <w:rsid w:val="00544604"/>
    <w:rsid w:val="005476FA"/>
    <w:rsid w:val="00551159"/>
    <w:rsid w:val="0055309E"/>
    <w:rsid w:val="0055563E"/>
    <w:rsid w:val="0055595E"/>
    <w:rsid w:val="00557988"/>
    <w:rsid w:val="00562C49"/>
    <w:rsid w:val="00562DEF"/>
    <w:rsid w:val="0056321A"/>
    <w:rsid w:val="00563A35"/>
    <w:rsid w:val="00565FD4"/>
    <w:rsid w:val="00566596"/>
    <w:rsid w:val="00566A88"/>
    <w:rsid w:val="00566E2B"/>
    <w:rsid w:val="00567551"/>
    <w:rsid w:val="0057233F"/>
    <w:rsid w:val="00573131"/>
    <w:rsid w:val="00573341"/>
    <w:rsid w:val="005741E9"/>
    <w:rsid w:val="005744E3"/>
    <w:rsid w:val="005748CF"/>
    <w:rsid w:val="00577295"/>
    <w:rsid w:val="0058414F"/>
    <w:rsid w:val="00584270"/>
    <w:rsid w:val="00584738"/>
    <w:rsid w:val="00584A1A"/>
    <w:rsid w:val="005856E0"/>
    <w:rsid w:val="00585B39"/>
    <w:rsid w:val="005915AC"/>
    <w:rsid w:val="005920B0"/>
    <w:rsid w:val="005927C5"/>
    <w:rsid w:val="00593405"/>
    <w:rsid w:val="0059380D"/>
    <w:rsid w:val="005938CA"/>
    <w:rsid w:val="00595A8F"/>
    <w:rsid w:val="005977C2"/>
    <w:rsid w:val="00597BF2"/>
    <w:rsid w:val="005A04E5"/>
    <w:rsid w:val="005A1B2B"/>
    <w:rsid w:val="005A1F54"/>
    <w:rsid w:val="005A2188"/>
    <w:rsid w:val="005A222E"/>
    <w:rsid w:val="005A3020"/>
    <w:rsid w:val="005B07FF"/>
    <w:rsid w:val="005B134E"/>
    <w:rsid w:val="005B2039"/>
    <w:rsid w:val="005B344F"/>
    <w:rsid w:val="005B3FBA"/>
    <w:rsid w:val="005B4A1D"/>
    <w:rsid w:val="005B565F"/>
    <w:rsid w:val="005B674D"/>
    <w:rsid w:val="005B6E59"/>
    <w:rsid w:val="005C056D"/>
    <w:rsid w:val="005C06A5"/>
    <w:rsid w:val="005C0CBE"/>
    <w:rsid w:val="005C19A8"/>
    <w:rsid w:val="005C1FCF"/>
    <w:rsid w:val="005C2DA1"/>
    <w:rsid w:val="005C2F27"/>
    <w:rsid w:val="005C3F41"/>
    <w:rsid w:val="005D014A"/>
    <w:rsid w:val="005D1885"/>
    <w:rsid w:val="005D4A38"/>
    <w:rsid w:val="005D7E9F"/>
    <w:rsid w:val="005E28CC"/>
    <w:rsid w:val="005E2EEA"/>
    <w:rsid w:val="005E3708"/>
    <w:rsid w:val="005E3CCD"/>
    <w:rsid w:val="005E3D6B"/>
    <w:rsid w:val="005E4DC3"/>
    <w:rsid w:val="005E5B55"/>
    <w:rsid w:val="005E5E4A"/>
    <w:rsid w:val="005E693D"/>
    <w:rsid w:val="005E75BF"/>
    <w:rsid w:val="005F151C"/>
    <w:rsid w:val="005F57BA"/>
    <w:rsid w:val="005F61E6"/>
    <w:rsid w:val="005F6C45"/>
    <w:rsid w:val="00601EF8"/>
    <w:rsid w:val="0060217A"/>
    <w:rsid w:val="00602C99"/>
    <w:rsid w:val="0060385D"/>
    <w:rsid w:val="00604986"/>
    <w:rsid w:val="00605A69"/>
    <w:rsid w:val="00606C54"/>
    <w:rsid w:val="006070CE"/>
    <w:rsid w:val="00607169"/>
    <w:rsid w:val="00607225"/>
    <w:rsid w:val="006107EC"/>
    <w:rsid w:val="006128D5"/>
    <w:rsid w:val="006130D1"/>
    <w:rsid w:val="00614375"/>
    <w:rsid w:val="00615B0A"/>
    <w:rsid w:val="006168CF"/>
    <w:rsid w:val="0062011B"/>
    <w:rsid w:val="006239B5"/>
    <w:rsid w:val="00624D2F"/>
    <w:rsid w:val="00626DE0"/>
    <w:rsid w:val="00630451"/>
    <w:rsid w:val="00630901"/>
    <w:rsid w:val="00631F8E"/>
    <w:rsid w:val="00632F2A"/>
    <w:rsid w:val="00634580"/>
    <w:rsid w:val="00634F0D"/>
    <w:rsid w:val="00636EE9"/>
    <w:rsid w:val="00637164"/>
    <w:rsid w:val="00640950"/>
    <w:rsid w:val="00641AE7"/>
    <w:rsid w:val="00642629"/>
    <w:rsid w:val="00643693"/>
    <w:rsid w:val="006442BE"/>
    <w:rsid w:val="006458B7"/>
    <w:rsid w:val="0064715F"/>
    <w:rsid w:val="0064782B"/>
    <w:rsid w:val="00647850"/>
    <w:rsid w:val="00650C98"/>
    <w:rsid w:val="0065293D"/>
    <w:rsid w:val="00653EFC"/>
    <w:rsid w:val="00654021"/>
    <w:rsid w:val="00661045"/>
    <w:rsid w:val="006633EC"/>
    <w:rsid w:val="00664250"/>
    <w:rsid w:val="00666DA8"/>
    <w:rsid w:val="00667FED"/>
    <w:rsid w:val="00671057"/>
    <w:rsid w:val="00675AAF"/>
    <w:rsid w:val="00676C14"/>
    <w:rsid w:val="00676D7C"/>
    <w:rsid w:val="0068031A"/>
    <w:rsid w:val="00681B2F"/>
    <w:rsid w:val="00683338"/>
    <w:rsid w:val="0068335F"/>
    <w:rsid w:val="00683C1D"/>
    <w:rsid w:val="00683ED5"/>
    <w:rsid w:val="00687217"/>
    <w:rsid w:val="00690E92"/>
    <w:rsid w:val="00693302"/>
    <w:rsid w:val="0069502D"/>
    <w:rsid w:val="00695559"/>
    <w:rsid w:val="0069640B"/>
    <w:rsid w:val="006A1B83"/>
    <w:rsid w:val="006A21CD"/>
    <w:rsid w:val="006A5918"/>
    <w:rsid w:val="006A5997"/>
    <w:rsid w:val="006B21B2"/>
    <w:rsid w:val="006B2E0F"/>
    <w:rsid w:val="006B399B"/>
    <w:rsid w:val="006B4355"/>
    <w:rsid w:val="006B4A4A"/>
    <w:rsid w:val="006B526C"/>
    <w:rsid w:val="006B767B"/>
    <w:rsid w:val="006C19B2"/>
    <w:rsid w:val="006C2F65"/>
    <w:rsid w:val="006C4409"/>
    <w:rsid w:val="006C5BB8"/>
    <w:rsid w:val="006C6936"/>
    <w:rsid w:val="006C7B01"/>
    <w:rsid w:val="006D0255"/>
    <w:rsid w:val="006D0FE8"/>
    <w:rsid w:val="006D2C65"/>
    <w:rsid w:val="006D4B2B"/>
    <w:rsid w:val="006D4F3C"/>
    <w:rsid w:val="006D542C"/>
    <w:rsid w:val="006D5C66"/>
    <w:rsid w:val="006D7002"/>
    <w:rsid w:val="006E0033"/>
    <w:rsid w:val="006E1B3C"/>
    <w:rsid w:val="006E23FB"/>
    <w:rsid w:val="006E325A"/>
    <w:rsid w:val="006E33EC"/>
    <w:rsid w:val="006E3802"/>
    <w:rsid w:val="006E48D7"/>
    <w:rsid w:val="006E508E"/>
    <w:rsid w:val="006E6A5F"/>
    <w:rsid w:val="006E6C02"/>
    <w:rsid w:val="006F1A1F"/>
    <w:rsid w:val="006F231A"/>
    <w:rsid w:val="006F2470"/>
    <w:rsid w:val="006F36E1"/>
    <w:rsid w:val="006F6B55"/>
    <w:rsid w:val="006F788D"/>
    <w:rsid w:val="006F78E1"/>
    <w:rsid w:val="006F7F25"/>
    <w:rsid w:val="00701072"/>
    <w:rsid w:val="007014CF"/>
    <w:rsid w:val="00701C44"/>
    <w:rsid w:val="00701D45"/>
    <w:rsid w:val="00701F4B"/>
    <w:rsid w:val="00702054"/>
    <w:rsid w:val="007035A4"/>
    <w:rsid w:val="007054D6"/>
    <w:rsid w:val="00706400"/>
    <w:rsid w:val="00711799"/>
    <w:rsid w:val="00712B78"/>
    <w:rsid w:val="00712D8A"/>
    <w:rsid w:val="0071393B"/>
    <w:rsid w:val="00713EE2"/>
    <w:rsid w:val="007177FC"/>
    <w:rsid w:val="007179F4"/>
    <w:rsid w:val="00720C5E"/>
    <w:rsid w:val="00721701"/>
    <w:rsid w:val="007304B0"/>
    <w:rsid w:val="00731835"/>
    <w:rsid w:val="007341F8"/>
    <w:rsid w:val="00734372"/>
    <w:rsid w:val="00734EB8"/>
    <w:rsid w:val="00735F8B"/>
    <w:rsid w:val="00736FCA"/>
    <w:rsid w:val="0074090B"/>
    <w:rsid w:val="00742D1F"/>
    <w:rsid w:val="00743E39"/>
    <w:rsid w:val="00743EBA"/>
    <w:rsid w:val="00744C05"/>
    <w:rsid w:val="00744C8E"/>
    <w:rsid w:val="0074707E"/>
    <w:rsid w:val="007516DC"/>
    <w:rsid w:val="00751D43"/>
    <w:rsid w:val="007523C8"/>
    <w:rsid w:val="00752DF5"/>
    <w:rsid w:val="00752E58"/>
    <w:rsid w:val="00754B80"/>
    <w:rsid w:val="00756AE9"/>
    <w:rsid w:val="00761918"/>
    <w:rsid w:val="00761AC1"/>
    <w:rsid w:val="00762F03"/>
    <w:rsid w:val="0076370D"/>
    <w:rsid w:val="0076413B"/>
    <w:rsid w:val="00764178"/>
    <w:rsid w:val="007648AE"/>
    <w:rsid w:val="00764BF8"/>
    <w:rsid w:val="007650D7"/>
    <w:rsid w:val="0076514D"/>
    <w:rsid w:val="00766D3F"/>
    <w:rsid w:val="00766DFF"/>
    <w:rsid w:val="00770C55"/>
    <w:rsid w:val="007723FA"/>
    <w:rsid w:val="00772BC0"/>
    <w:rsid w:val="00773A6D"/>
    <w:rsid w:val="00773D59"/>
    <w:rsid w:val="0077660B"/>
    <w:rsid w:val="00777878"/>
    <w:rsid w:val="007801DD"/>
    <w:rsid w:val="00781003"/>
    <w:rsid w:val="0078201A"/>
    <w:rsid w:val="007838AF"/>
    <w:rsid w:val="00784469"/>
    <w:rsid w:val="00785820"/>
    <w:rsid w:val="007864BD"/>
    <w:rsid w:val="007911FD"/>
    <w:rsid w:val="00792595"/>
    <w:rsid w:val="00792BBC"/>
    <w:rsid w:val="00792E4B"/>
    <w:rsid w:val="00793930"/>
    <w:rsid w:val="00793DD1"/>
    <w:rsid w:val="00794738"/>
    <w:rsid w:val="00794FEC"/>
    <w:rsid w:val="007A003E"/>
    <w:rsid w:val="007A1965"/>
    <w:rsid w:val="007A1B1D"/>
    <w:rsid w:val="007A2ED1"/>
    <w:rsid w:val="007A4BE6"/>
    <w:rsid w:val="007A70E3"/>
    <w:rsid w:val="007B085B"/>
    <w:rsid w:val="007B0DC6"/>
    <w:rsid w:val="007B1094"/>
    <w:rsid w:val="007B1762"/>
    <w:rsid w:val="007B3320"/>
    <w:rsid w:val="007C15BE"/>
    <w:rsid w:val="007C203A"/>
    <w:rsid w:val="007C301F"/>
    <w:rsid w:val="007C4540"/>
    <w:rsid w:val="007C65AF"/>
    <w:rsid w:val="007D135D"/>
    <w:rsid w:val="007D617B"/>
    <w:rsid w:val="007D6631"/>
    <w:rsid w:val="007D730F"/>
    <w:rsid w:val="007D73B8"/>
    <w:rsid w:val="007D7CD8"/>
    <w:rsid w:val="007E3AA7"/>
    <w:rsid w:val="007F3481"/>
    <w:rsid w:val="007F664A"/>
    <w:rsid w:val="007F737D"/>
    <w:rsid w:val="00800641"/>
    <w:rsid w:val="008008B2"/>
    <w:rsid w:val="0080095D"/>
    <w:rsid w:val="0080308E"/>
    <w:rsid w:val="00804A15"/>
    <w:rsid w:val="00805303"/>
    <w:rsid w:val="00806705"/>
    <w:rsid w:val="00806738"/>
    <w:rsid w:val="008072F6"/>
    <w:rsid w:val="008200FB"/>
    <w:rsid w:val="008216D5"/>
    <w:rsid w:val="008228B9"/>
    <w:rsid w:val="00822A4A"/>
    <w:rsid w:val="0082405B"/>
    <w:rsid w:val="00824201"/>
    <w:rsid w:val="008249CE"/>
    <w:rsid w:val="00824AB4"/>
    <w:rsid w:val="008257E0"/>
    <w:rsid w:val="00831A50"/>
    <w:rsid w:val="00831B3C"/>
    <w:rsid w:val="00831C89"/>
    <w:rsid w:val="00832114"/>
    <w:rsid w:val="00834544"/>
    <w:rsid w:val="00834C46"/>
    <w:rsid w:val="008365AE"/>
    <w:rsid w:val="00837D4C"/>
    <w:rsid w:val="0084093E"/>
    <w:rsid w:val="00841CE1"/>
    <w:rsid w:val="008473D8"/>
    <w:rsid w:val="0084777B"/>
    <w:rsid w:val="008528DC"/>
    <w:rsid w:val="00852B8C"/>
    <w:rsid w:val="008533D4"/>
    <w:rsid w:val="00854981"/>
    <w:rsid w:val="00855C91"/>
    <w:rsid w:val="00856DAA"/>
    <w:rsid w:val="00864B2E"/>
    <w:rsid w:val="00865963"/>
    <w:rsid w:val="00866AA2"/>
    <w:rsid w:val="00867423"/>
    <w:rsid w:val="00871C1D"/>
    <w:rsid w:val="0087450E"/>
    <w:rsid w:val="00874782"/>
    <w:rsid w:val="00875A82"/>
    <w:rsid w:val="00876CA3"/>
    <w:rsid w:val="008772FE"/>
    <w:rsid w:val="008775F1"/>
    <w:rsid w:val="008821AE"/>
    <w:rsid w:val="00882C4F"/>
    <w:rsid w:val="00883D3A"/>
    <w:rsid w:val="00884AD6"/>
    <w:rsid w:val="008854F7"/>
    <w:rsid w:val="00885A9D"/>
    <w:rsid w:val="00887BB5"/>
    <w:rsid w:val="008929D2"/>
    <w:rsid w:val="00893636"/>
    <w:rsid w:val="00893B94"/>
    <w:rsid w:val="00896E9D"/>
    <w:rsid w:val="00896F11"/>
    <w:rsid w:val="008A1049"/>
    <w:rsid w:val="008A1C98"/>
    <w:rsid w:val="008A322D"/>
    <w:rsid w:val="008A3743"/>
    <w:rsid w:val="008A4D72"/>
    <w:rsid w:val="008A6282"/>
    <w:rsid w:val="008A6285"/>
    <w:rsid w:val="008A63B2"/>
    <w:rsid w:val="008B1145"/>
    <w:rsid w:val="008B2772"/>
    <w:rsid w:val="008B2BF9"/>
    <w:rsid w:val="008B345D"/>
    <w:rsid w:val="008B44CA"/>
    <w:rsid w:val="008B51AE"/>
    <w:rsid w:val="008C1FC2"/>
    <w:rsid w:val="008C2574"/>
    <w:rsid w:val="008C2980"/>
    <w:rsid w:val="008C4DD6"/>
    <w:rsid w:val="008C5AFB"/>
    <w:rsid w:val="008C6000"/>
    <w:rsid w:val="008D07FB"/>
    <w:rsid w:val="008D0C02"/>
    <w:rsid w:val="008D357D"/>
    <w:rsid w:val="008D36E2"/>
    <w:rsid w:val="008D3DA5"/>
    <w:rsid w:val="008D435A"/>
    <w:rsid w:val="008D6347"/>
    <w:rsid w:val="008E387B"/>
    <w:rsid w:val="008E6087"/>
    <w:rsid w:val="008E6351"/>
    <w:rsid w:val="008E758D"/>
    <w:rsid w:val="008E7D71"/>
    <w:rsid w:val="008F10A7"/>
    <w:rsid w:val="008F2554"/>
    <w:rsid w:val="008F755D"/>
    <w:rsid w:val="008F7A39"/>
    <w:rsid w:val="009021E8"/>
    <w:rsid w:val="009039C9"/>
    <w:rsid w:val="00903B8D"/>
    <w:rsid w:val="009040DE"/>
    <w:rsid w:val="00904677"/>
    <w:rsid w:val="00905EE2"/>
    <w:rsid w:val="00911440"/>
    <w:rsid w:val="00911712"/>
    <w:rsid w:val="00911B27"/>
    <w:rsid w:val="0091273A"/>
    <w:rsid w:val="009149B5"/>
    <w:rsid w:val="009170BE"/>
    <w:rsid w:val="00917630"/>
    <w:rsid w:val="009179F8"/>
    <w:rsid w:val="00920B55"/>
    <w:rsid w:val="00923A22"/>
    <w:rsid w:val="009253E1"/>
    <w:rsid w:val="009262C9"/>
    <w:rsid w:val="00930EB9"/>
    <w:rsid w:val="009321C1"/>
    <w:rsid w:val="009326EF"/>
    <w:rsid w:val="00933DC7"/>
    <w:rsid w:val="009348F0"/>
    <w:rsid w:val="0093527B"/>
    <w:rsid w:val="009418F4"/>
    <w:rsid w:val="00942BBC"/>
    <w:rsid w:val="0094331A"/>
    <w:rsid w:val="00944180"/>
    <w:rsid w:val="00944AA0"/>
    <w:rsid w:val="00947DA2"/>
    <w:rsid w:val="00950BB9"/>
    <w:rsid w:val="00951177"/>
    <w:rsid w:val="009557EB"/>
    <w:rsid w:val="00955B44"/>
    <w:rsid w:val="00957CC4"/>
    <w:rsid w:val="00964A5D"/>
    <w:rsid w:val="00965AD2"/>
    <w:rsid w:val="00966F3E"/>
    <w:rsid w:val="009673E8"/>
    <w:rsid w:val="00970BAA"/>
    <w:rsid w:val="00971904"/>
    <w:rsid w:val="009727CF"/>
    <w:rsid w:val="00974BE5"/>
    <w:rsid w:val="00974DB8"/>
    <w:rsid w:val="00980661"/>
    <w:rsid w:val="0098093B"/>
    <w:rsid w:val="00981914"/>
    <w:rsid w:val="00986DAF"/>
    <w:rsid w:val="009876D4"/>
    <w:rsid w:val="00987F75"/>
    <w:rsid w:val="009914A5"/>
    <w:rsid w:val="009922D6"/>
    <w:rsid w:val="0099548E"/>
    <w:rsid w:val="00996456"/>
    <w:rsid w:val="00996A12"/>
    <w:rsid w:val="00997B0F"/>
    <w:rsid w:val="009A0CC3"/>
    <w:rsid w:val="009A1CAD"/>
    <w:rsid w:val="009A2F8D"/>
    <w:rsid w:val="009A3440"/>
    <w:rsid w:val="009A5832"/>
    <w:rsid w:val="009A6838"/>
    <w:rsid w:val="009B2332"/>
    <w:rsid w:val="009B24B5"/>
    <w:rsid w:val="009B444B"/>
    <w:rsid w:val="009B4EBC"/>
    <w:rsid w:val="009B5ABB"/>
    <w:rsid w:val="009B73CE"/>
    <w:rsid w:val="009C2461"/>
    <w:rsid w:val="009C5A15"/>
    <w:rsid w:val="009C6FE2"/>
    <w:rsid w:val="009C7674"/>
    <w:rsid w:val="009D004A"/>
    <w:rsid w:val="009D3054"/>
    <w:rsid w:val="009D3315"/>
    <w:rsid w:val="009D33B9"/>
    <w:rsid w:val="009D3CD3"/>
    <w:rsid w:val="009D3FD4"/>
    <w:rsid w:val="009D4285"/>
    <w:rsid w:val="009D5880"/>
    <w:rsid w:val="009D78A5"/>
    <w:rsid w:val="009E1FD4"/>
    <w:rsid w:val="009E36A6"/>
    <w:rsid w:val="009E3B07"/>
    <w:rsid w:val="009E51D1"/>
    <w:rsid w:val="009E5531"/>
    <w:rsid w:val="009F171E"/>
    <w:rsid w:val="009F3D2F"/>
    <w:rsid w:val="009F7052"/>
    <w:rsid w:val="009F7CF9"/>
    <w:rsid w:val="00A006E0"/>
    <w:rsid w:val="00A02668"/>
    <w:rsid w:val="00A02801"/>
    <w:rsid w:val="00A06A39"/>
    <w:rsid w:val="00A07F58"/>
    <w:rsid w:val="00A10314"/>
    <w:rsid w:val="00A114F5"/>
    <w:rsid w:val="00A1162A"/>
    <w:rsid w:val="00A126AD"/>
    <w:rsid w:val="00A131CB"/>
    <w:rsid w:val="00A14847"/>
    <w:rsid w:val="00A14DCA"/>
    <w:rsid w:val="00A15639"/>
    <w:rsid w:val="00A16D6D"/>
    <w:rsid w:val="00A21383"/>
    <w:rsid w:val="00A2199F"/>
    <w:rsid w:val="00A21B31"/>
    <w:rsid w:val="00A2360E"/>
    <w:rsid w:val="00A25F0E"/>
    <w:rsid w:val="00A26E0C"/>
    <w:rsid w:val="00A31A59"/>
    <w:rsid w:val="00A32FCB"/>
    <w:rsid w:val="00A34C25"/>
    <w:rsid w:val="00A3507D"/>
    <w:rsid w:val="00A35D0E"/>
    <w:rsid w:val="00A3717A"/>
    <w:rsid w:val="00A4088C"/>
    <w:rsid w:val="00A4246D"/>
    <w:rsid w:val="00A42F35"/>
    <w:rsid w:val="00A4456B"/>
    <w:rsid w:val="00A448D4"/>
    <w:rsid w:val="00A452E0"/>
    <w:rsid w:val="00A46420"/>
    <w:rsid w:val="00A478C4"/>
    <w:rsid w:val="00A506DF"/>
    <w:rsid w:val="00A50FD1"/>
    <w:rsid w:val="00A51EA5"/>
    <w:rsid w:val="00A5319A"/>
    <w:rsid w:val="00A53742"/>
    <w:rsid w:val="00A54DC6"/>
    <w:rsid w:val="00A557A1"/>
    <w:rsid w:val="00A565B3"/>
    <w:rsid w:val="00A57DAC"/>
    <w:rsid w:val="00A62406"/>
    <w:rsid w:val="00A63059"/>
    <w:rsid w:val="00A63AE3"/>
    <w:rsid w:val="00A651A4"/>
    <w:rsid w:val="00A70E96"/>
    <w:rsid w:val="00A71361"/>
    <w:rsid w:val="00A746E2"/>
    <w:rsid w:val="00A81FF2"/>
    <w:rsid w:val="00A83904"/>
    <w:rsid w:val="00A90A79"/>
    <w:rsid w:val="00A94D70"/>
    <w:rsid w:val="00A95969"/>
    <w:rsid w:val="00A96B30"/>
    <w:rsid w:val="00AA4024"/>
    <w:rsid w:val="00AA442D"/>
    <w:rsid w:val="00AA59B5"/>
    <w:rsid w:val="00AA7777"/>
    <w:rsid w:val="00AA7B84"/>
    <w:rsid w:val="00AC0B4C"/>
    <w:rsid w:val="00AC1164"/>
    <w:rsid w:val="00AC1298"/>
    <w:rsid w:val="00AC20D0"/>
    <w:rsid w:val="00AC2296"/>
    <w:rsid w:val="00AC2754"/>
    <w:rsid w:val="00AC4108"/>
    <w:rsid w:val="00AC48B0"/>
    <w:rsid w:val="00AC4ACD"/>
    <w:rsid w:val="00AC5DFB"/>
    <w:rsid w:val="00AD0A32"/>
    <w:rsid w:val="00AD13DC"/>
    <w:rsid w:val="00AD1CD4"/>
    <w:rsid w:val="00AD2659"/>
    <w:rsid w:val="00AD3302"/>
    <w:rsid w:val="00AD3F17"/>
    <w:rsid w:val="00AD6141"/>
    <w:rsid w:val="00AD6861"/>
    <w:rsid w:val="00AD6DE2"/>
    <w:rsid w:val="00AE0A40"/>
    <w:rsid w:val="00AE1ED4"/>
    <w:rsid w:val="00AE21E1"/>
    <w:rsid w:val="00AE2200"/>
    <w:rsid w:val="00AE29FD"/>
    <w:rsid w:val="00AE2F8D"/>
    <w:rsid w:val="00AE3BAE"/>
    <w:rsid w:val="00AE6476"/>
    <w:rsid w:val="00AE6A21"/>
    <w:rsid w:val="00AF083B"/>
    <w:rsid w:val="00AF0E02"/>
    <w:rsid w:val="00AF1C8F"/>
    <w:rsid w:val="00AF2B68"/>
    <w:rsid w:val="00AF2C92"/>
    <w:rsid w:val="00AF3EC1"/>
    <w:rsid w:val="00AF48A0"/>
    <w:rsid w:val="00AF5025"/>
    <w:rsid w:val="00AF519F"/>
    <w:rsid w:val="00AF5387"/>
    <w:rsid w:val="00AF55F5"/>
    <w:rsid w:val="00AF7E86"/>
    <w:rsid w:val="00B024B9"/>
    <w:rsid w:val="00B03A2B"/>
    <w:rsid w:val="00B0425F"/>
    <w:rsid w:val="00B077FA"/>
    <w:rsid w:val="00B127D7"/>
    <w:rsid w:val="00B13B0C"/>
    <w:rsid w:val="00B14408"/>
    <w:rsid w:val="00B1453A"/>
    <w:rsid w:val="00B2096F"/>
    <w:rsid w:val="00B20F82"/>
    <w:rsid w:val="00B22C0C"/>
    <w:rsid w:val="00B25BD5"/>
    <w:rsid w:val="00B27748"/>
    <w:rsid w:val="00B30231"/>
    <w:rsid w:val="00B3163A"/>
    <w:rsid w:val="00B31C2C"/>
    <w:rsid w:val="00B320B7"/>
    <w:rsid w:val="00B33E62"/>
    <w:rsid w:val="00B34079"/>
    <w:rsid w:val="00B36A60"/>
    <w:rsid w:val="00B3793A"/>
    <w:rsid w:val="00B401BA"/>
    <w:rsid w:val="00B407E4"/>
    <w:rsid w:val="00B41979"/>
    <w:rsid w:val="00B425B6"/>
    <w:rsid w:val="00B42A72"/>
    <w:rsid w:val="00B432CF"/>
    <w:rsid w:val="00B441AE"/>
    <w:rsid w:val="00B44622"/>
    <w:rsid w:val="00B45A65"/>
    <w:rsid w:val="00B45F33"/>
    <w:rsid w:val="00B46D50"/>
    <w:rsid w:val="00B53170"/>
    <w:rsid w:val="00B53ACA"/>
    <w:rsid w:val="00B54789"/>
    <w:rsid w:val="00B548B9"/>
    <w:rsid w:val="00B56DBE"/>
    <w:rsid w:val="00B57F8B"/>
    <w:rsid w:val="00B62999"/>
    <w:rsid w:val="00B63BE3"/>
    <w:rsid w:val="00B64885"/>
    <w:rsid w:val="00B64FA3"/>
    <w:rsid w:val="00B66810"/>
    <w:rsid w:val="00B72BE3"/>
    <w:rsid w:val="00B73B80"/>
    <w:rsid w:val="00B748E5"/>
    <w:rsid w:val="00B770C7"/>
    <w:rsid w:val="00B77395"/>
    <w:rsid w:val="00B80EC2"/>
    <w:rsid w:val="00B80F26"/>
    <w:rsid w:val="00B81DE9"/>
    <w:rsid w:val="00B822BD"/>
    <w:rsid w:val="00B830F6"/>
    <w:rsid w:val="00B83E8D"/>
    <w:rsid w:val="00B842F4"/>
    <w:rsid w:val="00B86D2E"/>
    <w:rsid w:val="00B90219"/>
    <w:rsid w:val="00B91A7B"/>
    <w:rsid w:val="00B929DD"/>
    <w:rsid w:val="00B93AF6"/>
    <w:rsid w:val="00B95405"/>
    <w:rsid w:val="00B963F1"/>
    <w:rsid w:val="00BA020A"/>
    <w:rsid w:val="00BA1802"/>
    <w:rsid w:val="00BB025A"/>
    <w:rsid w:val="00BB02A4"/>
    <w:rsid w:val="00BB1270"/>
    <w:rsid w:val="00BB1E44"/>
    <w:rsid w:val="00BB3576"/>
    <w:rsid w:val="00BB449D"/>
    <w:rsid w:val="00BB5267"/>
    <w:rsid w:val="00BB52B8"/>
    <w:rsid w:val="00BB59D8"/>
    <w:rsid w:val="00BB5D91"/>
    <w:rsid w:val="00BB7E69"/>
    <w:rsid w:val="00BC0E51"/>
    <w:rsid w:val="00BC382F"/>
    <w:rsid w:val="00BC3C1F"/>
    <w:rsid w:val="00BC4D64"/>
    <w:rsid w:val="00BC7CE7"/>
    <w:rsid w:val="00BD0476"/>
    <w:rsid w:val="00BD1334"/>
    <w:rsid w:val="00BD295E"/>
    <w:rsid w:val="00BD4664"/>
    <w:rsid w:val="00BE1193"/>
    <w:rsid w:val="00BE4040"/>
    <w:rsid w:val="00BF1AD7"/>
    <w:rsid w:val="00BF1FDD"/>
    <w:rsid w:val="00BF3067"/>
    <w:rsid w:val="00BF4849"/>
    <w:rsid w:val="00BF4EA7"/>
    <w:rsid w:val="00BF6525"/>
    <w:rsid w:val="00BF7669"/>
    <w:rsid w:val="00C00822"/>
    <w:rsid w:val="00C00EDB"/>
    <w:rsid w:val="00C02863"/>
    <w:rsid w:val="00C0383A"/>
    <w:rsid w:val="00C038BB"/>
    <w:rsid w:val="00C067FF"/>
    <w:rsid w:val="00C1065F"/>
    <w:rsid w:val="00C11CD4"/>
    <w:rsid w:val="00C11D55"/>
    <w:rsid w:val="00C12862"/>
    <w:rsid w:val="00C132AD"/>
    <w:rsid w:val="00C13D28"/>
    <w:rsid w:val="00C14585"/>
    <w:rsid w:val="00C165A0"/>
    <w:rsid w:val="00C17179"/>
    <w:rsid w:val="00C216CE"/>
    <w:rsid w:val="00C2184F"/>
    <w:rsid w:val="00C22A78"/>
    <w:rsid w:val="00C23C7E"/>
    <w:rsid w:val="00C23E95"/>
    <w:rsid w:val="00C246C5"/>
    <w:rsid w:val="00C25A82"/>
    <w:rsid w:val="00C30A2A"/>
    <w:rsid w:val="00C33993"/>
    <w:rsid w:val="00C3564A"/>
    <w:rsid w:val="00C35AEF"/>
    <w:rsid w:val="00C4069E"/>
    <w:rsid w:val="00C41ADC"/>
    <w:rsid w:val="00C43994"/>
    <w:rsid w:val="00C44149"/>
    <w:rsid w:val="00C44410"/>
    <w:rsid w:val="00C44A15"/>
    <w:rsid w:val="00C4630A"/>
    <w:rsid w:val="00C46725"/>
    <w:rsid w:val="00C508AC"/>
    <w:rsid w:val="00C523F0"/>
    <w:rsid w:val="00C526D2"/>
    <w:rsid w:val="00C53A91"/>
    <w:rsid w:val="00C55ABE"/>
    <w:rsid w:val="00C5675F"/>
    <w:rsid w:val="00C5794E"/>
    <w:rsid w:val="00C60968"/>
    <w:rsid w:val="00C63D39"/>
    <w:rsid w:val="00C63EDD"/>
    <w:rsid w:val="00C647BB"/>
    <w:rsid w:val="00C65B36"/>
    <w:rsid w:val="00C673FA"/>
    <w:rsid w:val="00C7292E"/>
    <w:rsid w:val="00C72B50"/>
    <w:rsid w:val="00C73844"/>
    <w:rsid w:val="00C74D92"/>
    <w:rsid w:val="00C74E88"/>
    <w:rsid w:val="00C76049"/>
    <w:rsid w:val="00C80924"/>
    <w:rsid w:val="00C8259A"/>
    <w:rsid w:val="00C8286B"/>
    <w:rsid w:val="00C92B13"/>
    <w:rsid w:val="00C947F8"/>
    <w:rsid w:val="00C9515F"/>
    <w:rsid w:val="00C963C5"/>
    <w:rsid w:val="00CA030C"/>
    <w:rsid w:val="00CA13F4"/>
    <w:rsid w:val="00CA1BF0"/>
    <w:rsid w:val="00CA1F41"/>
    <w:rsid w:val="00CA32EE"/>
    <w:rsid w:val="00CA5771"/>
    <w:rsid w:val="00CA57F7"/>
    <w:rsid w:val="00CA6A1A"/>
    <w:rsid w:val="00CB5B89"/>
    <w:rsid w:val="00CB5E82"/>
    <w:rsid w:val="00CB685E"/>
    <w:rsid w:val="00CC1E75"/>
    <w:rsid w:val="00CC2E0E"/>
    <w:rsid w:val="00CC361C"/>
    <w:rsid w:val="00CC474B"/>
    <w:rsid w:val="00CC658C"/>
    <w:rsid w:val="00CC67BF"/>
    <w:rsid w:val="00CD0843"/>
    <w:rsid w:val="00CD4D97"/>
    <w:rsid w:val="00CD4E31"/>
    <w:rsid w:val="00CD5A78"/>
    <w:rsid w:val="00CD7345"/>
    <w:rsid w:val="00CE1AE3"/>
    <w:rsid w:val="00CE2BEB"/>
    <w:rsid w:val="00CE340E"/>
    <w:rsid w:val="00CE372E"/>
    <w:rsid w:val="00CE5CAE"/>
    <w:rsid w:val="00CF0340"/>
    <w:rsid w:val="00CF0A1B"/>
    <w:rsid w:val="00CF1988"/>
    <w:rsid w:val="00CF19F6"/>
    <w:rsid w:val="00CF21C1"/>
    <w:rsid w:val="00CF2F4F"/>
    <w:rsid w:val="00CF536D"/>
    <w:rsid w:val="00D02E9D"/>
    <w:rsid w:val="00D100E7"/>
    <w:rsid w:val="00D10CB8"/>
    <w:rsid w:val="00D12806"/>
    <w:rsid w:val="00D12D44"/>
    <w:rsid w:val="00D14392"/>
    <w:rsid w:val="00D14691"/>
    <w:rsid w:val="00D15018"/>
    <w:rsid w:val="00D158AC"/>
    <w:rsid w:val="00D1599E"/>
    <w:rsid w:val="00D1694C"/>
    <w:rsid w:val="00D17137"/>
    <w:rsid w:val="00D2052C"/>
    <w:rsid w:val="00D20F57"/>
    <w:rsid w:val="00D20F5E"/>
    <w:rsid w:val="00D23B76"/>
    <w:rsid w:val="00D24B4A"/>
    <w:rsid w:val="00D33210"/>
    <w:rsid w:val="00D3349C"/>
    <w:rsid w:val="00D3625A"/>
    <w:rsid w:val="00D37942"/>
    <w:rsid w:val="00D379A3"/>
    <w:rsid w:val="00D37E85"/>
    <w:rsid w:val="00D45A5C"/>
    <w:rsid w:val="00D45FF3"/>
    <w:rsid w:val="00D50EDE"/>
    <w:rsid w:val="00D512CF"/>
    <w:rsid w:val="00D528B9"/>
    <w:rsid w:val="00D53186"/>
    <w:rsid w:val="00D5487D"/>
    <w:rsid w:val="00D55390"/>
    <w:rsid w:val="00D5624E"/>
    <w:rsid w:val="00D56740"/>
    <w:rsid w:val="00D60140"/>
    <w:rsid w:val="00D6024A"/>
    <w:rsid w:val="00D608B5"/>
    <w:rsid w:val="00D61AFC"/>
    <w:rsid w:val="00D636CE"/>
    <w:rsid w:val="00D64739"/>
    <w:rsid w:val="00D657F3"/>
    <w:rsid w:val="00D7005F"/>
    <w:rsid w:val="00D712DC"/>
    <w:rsid w:val="00D71F99"/>
    <w:rsid w:val="00D73CA4"/>
    <w:rsid w:val="00D73D71"/>
    <w:rsid w:val="00D74396"/>
    <w:rsid w:val="00D758D1"/>
    <w:rsid w:val="00D76D38"/>
    <w:rsid w:val="00D80284"/>
    <w:rsid w:val="00D81F71"/>
    <w:rsid w:val="00D8642D"/>
    <w:rsid w:val="00D902D9"/>
    <w:rsid w:val="00D90A5E"/>
    <w:rsid w:val="00D9174F"/>
    <w:rsid w:val="00D91A68"/>
    <w:rsid w:val="00D943F0"/>
    <w:rsid w:val="00D95688"/>
    <w:rsid w:val="00D95A68"/>
    <w:rsid w:val="00D96FE3"/>
    <w:rsid w:val="00DA0666"/>
    <w:rsid w:val="00DA17C7"/>
    <w:rsid w:val="00DA53EC"/>
    <w:rsid w:val="00DA6A9A"/>
    <w:rsid w:val="00DB1EFD"/>
    <w:rsid w:val="00DB3AB4"/>
    <w:rsid w:val="00DB3EAF"/>
    <w:rsid w:val="00DB46C6"/>
    <w:rsid w:val="00DB5A11"/>
    <w:rsid w:val="00DC0487"/>
    <w:rsid w:val="00DC3203"/>
    <w:rsid w:val="00DC3C99"/>
    <w:rsid w:val="00DC52F5"/>
    <w:rsid w:val="00DC5FD0"/>
    <w:rsid w:val="00DD02F3"/>
    <w:rsid w:val="00DD0354"/>
    <w:rsid w:val="00DD0F3D"/>
    <w:rsid w:val="00DD12A7"/>
    <w:rsid w:val="00DD226F"/>
    <w:rsid w:val="00DD27D7"/>
    <w:rsid w:val="00DD458C"/>
    <w:rsid w:val="00DD53D6"/>
    <w:rsid w:val="00DD6C19"/>
    <w:rsid w:val="00DD72E9"/>
    <w:rsid w:val="00DD7605"/>
    <w:rsid w:val="00DE084F"/>
    <w:rsid w:val="00DE2020"/>
    <w:rsid w:val="00DE32C0"/>
    <w:rsid w:val="00DE3476"/>
    <w:rsid w:val="00DE4347"/>
    <w:rsid w:val="00DE7BEA"/>
    <w:rsid w:val="00DF17A1"/>
    <w:rsid w:val="00DF2EAA"/>
    <w:rsid w:val="00DF5041"/>
    <w:rsid w:val="00DF5B84"/>
    <w:rsid w:val="00DF6D5B"/>
    <w:rsid w:val="00DF771B"/>
    <w:rsid w:val="00DF79C1"/>
    <w:rsid w:val="00DF7EE2"/>
    <w:rsid w:val="00E01BAA"/>
    <w:rsid w:val="00E0282A"/>
    <w:rsid w:val="00E02F9B"/>
    <w:rsid w:val="00E03B7D"/>
    <w:rsid w:val="00E03BC0"/>
    <w:rsid w:val="00E07E14"/>
    <w:rsid w:val="00E14F94"/>
    <w:rsid w:val="00E152E3"/>
    <w:rsid w:val="00E17336"/>
    <w:rsid w:val="00E17928"/>
    <w:rsid w:val="00E17D15"/>
    <w:rsid w:val="00E17DFA"/>
    <w:rsid w:val="00E22B95"/>
    <w:rsid w:val="00E23DF8"/>
    <w:rsid w:val="00E24EB4"/>
    <w:rsid w:val="00E25589"/>
    <w:rsid w:val="00E30331"/>
    <w:rsid w:val="00E30BB8"/>
    <w:rsid w:val="00E31F9C"/>
    <w:rsid w:val="00E40488"/>
    <w:rsid w:val="00E471C9"/>
    <w:rsid w:val="00E50367"/>
    <w:rsid w:val="00E51ABA"/>
    <w:rsid w:val="00E524CB"/>
    <w:rsid w:val="00E56AD5"/>
    <w:rsid w:val="00E60DD6"/>
    <w:rsid w:val="00E6277C"/>
    <w:rsid w:val="00E6422C"/>
    <w:rsid w:val="00E64A52"/>
    <w:rsid w:val="00E65456"/>
    <w:rsid w:val="00E65A91"/>
    <w:rsid w:val="00E66188"/>
    <w:rsid w:val="00E664FB"/>
    <w:rsid w:val="00E6665D"/>
    <w:rsid w:val="00E672F0"/>
    <w:rsid w:val="00E677DF"/>
    <w:rsid w:val="00E67C29"/>
    <w:rsid w:val="00E70373"/>
    <w:rsid w:val="00E72E40"/>
    <w:rsid w:val="00E73665"/>
    <w:rsid w:val="00E73999"/>
    <w:rsid w:val="00E73BDC"/>
    <w:rsid w:val="00E73E9E"/>
    <w:rsid w:val="00E7698C"/>
    <w:rsid w:val="00E77EC8"/>
    <w:rsid w:val="00E81660"/>
    <w:rsid w:val="00E82A5A"/>
    <w:rsid w:val="00E854FE"/>
    <w:rsid w:val="00E86E69"/>
    <w:rsid w:val="00E87F5D"/>
    <w:rsid w:val="00E906CC"/>
    <w:rsid w:val="00E939A0"/>
    <w:rsid w:val="00E97E4E"/>
    <w:rsid w:val="00EA1CC2"/>
    <w:rsid w:val="00EA2085"/>
    <w:rsid w:val="00EA2D76"/>
    <w:rsid w:val="00EA4644"/>
    <w:rsid w:val="00EA758A"/>
    <w:rsid w:val="00EA797A"/>
    <w:rsid w:val="00EB096F"/>
    <w:rsid w:val="00EB113B"/>
    <w:rsid w:val="00EB199F"/>
    <w:rsid w:val="00EB21A4"/>
    <w:rsid w:val="00EB27C4"/>
    <w:rsid w:val="00EB4E24"/>
    <w:rsid w:val="00EB5387"/>
    <w:rsid w:val="00EB5C10"/>
    <w:rsid w:val="00EB7322"/>
    <w:rsid w:val="00EC0FE9"/>
    <w:rsid w:val="00EC198B"/>
    <w:rsid w:val="00EC2951"/>
    <w:rsid w:val="00EC3EA4"/>
    <w:rsid w:val="00EC3FBA"/>
    <w:rsid w:val="00EC4068"/>
    <w:rsid w:val="00EC426D"/>
    <w:rsid w:val="00EC43ED"/>
    <w:rsid w:val="00EC571B"/>
    <w:rsid w:val="00EC57D7"/>
    <w:rsid w:val="00EC5B2F"/>
    <w:rsid w:val="00EC6385"/>
    <w:rsid w:val="00ED1DE9"/>
    <w:rsid w:val="00ED23D4"/>
    <w:rsid w:val="00ED5E0B"/>
    <w:rsid w:val="00EE0515"/>
    <w:rsid w:val="00EE224E"/>
    <w:rsid w:val="00EE34F8"/>
    <w:rsid w:val="00EE37B6"/>
    <w:rsid w:val="00EE529C"/>
    <w:rsid w:val="00EF0F45"/>
    <w:rsid w:val="00EF5807"/>
    <w:rsid w:val="00EF5A8A"/>
    <w:rsid w:val="00EF7463"/>
    <w:rsid w:val="00EF7971"/>
    <w:rsid w:val="00F002EF"/>
    <w:rsid w:val="00F01842"/>
    <w:rsid w:val="00F01EE9"/>
    <w:rsid w:val="00F04900"/>
    <w:rsid w:val="00F065A4"/>
    <w:rsid w:val="00F06AE2"/>
    <w:rsid w:val="00F126B9"/>
    <w:rsid w:val="00F12715"/>
    <w:rsid w:val="00F144D5"/>
    <w:rsid w:val="00F146F0"/>
    <w:rsid w:val="00F15039"/>
    <w:rsid w:val="00F20FF3"/>
    <w:rsid w:val="00F2190B"/>
    <w:rsid w:val="00F228B5"/>
    <w:rsid w:val="00F22C3F"/>
    <w:rsid w:val="00F2389C"/>
    <w:rsid w:val="00F25C67"/>
    <w:rsid w:val="00F2772D"/>
    <w:rsid w:val="00F30DFF"/>
    <w:rsid w:val="00F32B80"/>
    <w:rsid w:val="00F340EB"/>
    <w:rsid w:val="00F35285"/>
    <w:rsid w:val="00F41C5B"/>
    <w:rsid w:val="00F43B9D"/>
    <w:rsid w:val="00F44D5E"/>
    <w:rsid w:val="00F45E06"/>
    <w:rsid w:val="00F45F8C"/>
    <w:rsid w:val="00F476AD"/>
    <w:rsid w:val="00F5344A"/>
    <w:rsid w:val="00F53A35"/>
    <w:rsid w:val="00F54B4F"/>
    <w:rsid w:val="00F55A3D"/>
    <w:rsid w:val="00F5744B"/>
    <w:rsid w:val="00F61209"/>
    <w:rsid w:val="00F6259E"/>
    <w:rsid w:val="00F65DD4"/>
    <w:rsid w:val="00F672B2"/>
    <w:rsid w:val="00F67EB7"/>
    <w:rsid w:val="00F733CF"/>
    <w:rsid w:val="00F73747"/>
    <w:rsid w:val="00F74E40"/>
    <w:rsid w:val="00F83973"/>
    <w:rsid w:val="00F87FA3"/>
    <w:rsid w:val="00F91895"/>
    <w:rsid w:val="00F93BE5"/>
    <w:rsid w:val="00F93C46"/>
    <w:rsid w:val="00F93D8C"/>
    <w:rsid w:val="00F94C26"/>
    <w:rsid w:val="00FA0B6B"/>
    <w:rsid w:val="00FA3102"/>
    <w:rsid w:val="00FA3ED0"/>
    <w:rsid w:val="00FA48D4"/>
    <w:rsid w:val="00FA54FA"/>
    <w:rsid w:val="00FA5EBF"/>
    <w:rsid w:val="00FA6D39"/>
    <w:rsid w:val="00FA7AA1"/>
    <w:rsid w:val="00FB029B"/>
    <w:rsid w:val="00FB227E"/>
    <w:rsid w:val="00FB3D61"/>
    <w:rsid w:val="00FB44CE"/>
    <w:rsid w:val="00FB5009"/>
    <w:rsid w:val="00FB59DC"/>
    <w:rsid w:val="00FB76AB"/>
    <w:rsid w:val="00FC1AAA"/>
    <w:rsid w:val="00FC4ADA"/>
    <w:rsid w:val="00FD03FE"/>
    <w:rsid w:val="00FD1220"/>
    <w:rsid w:val="00FD126E"/>
    <w:rsid w:val="00FD1CA4"/>
    <w:rsid w:val="00FD3C36"/>
    <w:rsid w:val="00FD4D81"/>
    <w:rsid w:val="00FD67CF"/>
    <w:rsid w:val="00FD7176"/>
    <w:rsid w:val="00FD7498"/>
    <w:rsid w:val="00FD75BF"/>
    <w:rsid w:val="00FD79D4"/>
    <w:rsid w:val="00FD7FB3"/>
    <w:rsid w:val="00FE4713"/>
    <w:rsid w:val="00FE47DF"/>
    <w:rsid w:val="00FF1F44"/>
    <w:rsid w:val="00FF225E"/>
    <w:rsid w:val="00FF672C"/>
    <w:rsid w:val="00FF6CE8"/>
    <w:rsid w:val="00FF6E5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2E3D8"/>
  <w14:defaultImageDpi w14:val="330"/>
  <w15:docId w15:val="{07B15FC5-E348-4DD9-AB38-781A241BF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rsid w:val="00EB096F"/>
    <w:pPr>
      <w:spacing w:line="480" w:lineRule="auto"/>
    </w:pPr>
    <w:rPr>
      <w:sz w:val="24"/>
      <w:szCs w:val="24"/>
    </w:rPr>
  </w:style>
  <w:style w:type="paragraph" w:styleId="Nagwek1">
    <w:name w:val="heading 1"/>
    <w:basedOn w:val="Normalny"/>
    <w:next w:val="Paragraph"/>
    <w:link w:val="Nagwek1Znak"/>
    <w:rsid w:val="00AE1ED4"/>
    <w:pPr>
      <w:keepNext/>
      <w:spacing w:before="360" w:after="60" w:line="360" w:lineRule="auto"/>
      <w:ind w:right="567"/>
      <w:contextualSpacing/>
      <w:outlineLvl w:val="0"/>
    </w:pPr>
    <w:rPr>
      <w:rFonts w:cs="Arial"/>
      <w:b/>
      <w:bCs/>
      <w:kern w:val="32"/>
      <w:szCs w:val="32"/>
    </w:rPr>
  </w:style>
  <w:style w:type="paragraph" w:styleId="Nagwek2">
    <w:name w:val="heading 2"/>
    <w:basedOn w:val="Normalny"/>
    <w:next w:val="Paragraph"/>
    <w:link w:val="Nagwek2Znak"/>
    <w:rsid w:val="008D07FB"/>
    <w:pPr>
      <w:keepNext/>
      <w:spacing w:before="360" w:after="60" w:line="360" w:lineRule="auto"/>
      <w:ind w:right="567"/>
      <w:contextualSpacing/>
      <w:outlineLvl w:val="1"/>
    </w:pPr>
    <w:rPr>
      <w:rFonts w:cs="Arial"/>
      <w:b/>
      <w:bCs/>
      <w:i/>
      <w:iCs/>
      <w:szCs w:val="28"/>
    </w:rPr>
  </w:style>
  <w:style w:type="paragraph" w:styleId="Nagwek3">
    <w:name w:val="heading 3"/>
    <w:basedOn w:val="Normalny"/>
    <w:next w:val="Paragraph"/>
    <w:link w:val="Nagwek3Znak"/>
    <w:rsid w:val="00DF7EE2"/>
    <w:pPr>
      <w:keepNext/>
      <w:spacing w:before="360" w:after="60" w:line="360" w:lineRule="auto"/>
      <w:ind w:right="567"/>
      <w:contextualSpacing/>
      <w:outlineLvl w:val="2"/>
    </w:pPr>
    <w:rPr>
      <w:rFonts w:cs="Arial"/>
      <w:bCs/>
      <w:i/>
      <w:szCs w:val="26"/>
    </w:rPr>
  </w:style>
  <w:style w:type="paragraph" w:styleId="Nagwek4">
    <w:name w:val="heading 4"/>
    <w:basedOn w:val="Paragraph"/>
    <w:next w:val="Newparagraph"/>
    <w:link w:val="Nagwek4Znak"/>
    <w:rsid w:val="00F43B9D"/>
    <w:pPr>
      <w:spacing w:before="360"/>
      <w:outlineLvl w:val="3"/>
    </w:pPr>
    <w:rPr>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rticletitle">
    <w:name w:val="Article title"/>
    <w:basedOn w:val="Normalny"/>
    <w:next w:val="Normalny"/>
    <w:rsid w:val="0024692A"/>
    <w:pPr>
      <w:spacing w:after="120" w:line="360" w:lineRule="auto"/>
    </w:pPr>
    <w:rPr>
      <w:b/>
      <w:sz w:val="28"/>
    </w:rPr>
  </w:style>
  <w:style w:type="paragraph" w:customStyle="1" w:styleId="Authornames">
    <w:name w:val="Author names"/>
    <w:basedOn w:val="Normalny"/>
    <w:next w:val="Normalny"/>
    <w:rsid w:val="00F04900"/>
    <w:pPr>
      <w:spacing w:before="240" w:line="360" w:lineRule="auto"/>
    </w:pPr>
    <w:rPr>
      <w:sz w:val="28"/>
    </w:rPr>
  </w:style>
  <w:style w:type="paragraph" w:customStyle="1" w:styleId="Affiliation">
    <w:name w:val="Affiliation"/>
    <w:basedOn w:val="Normalny"/>
    <w:rsid w:val="00F04900"/>
    <w:pPr>
      <w:spacing w:before="240" w:line="360" w:lineRule="auto"/>
    </w:pPr>
    <w:rPr>
      <w:i/>
    </w:rPr>
  </w:style>
  <w:style w:type="paragraph" w:customStyle="1" w:styleId="Receiveddates">
    <w:name w:val="Received dates"/>
    <w:basedOn w:val="Affiliation"/>
    <w:next w:val="Normalny"/>
    <w:qFormat/>
    <w:rsid w:val="00CC474B"/>
  </w:style>
  <w:style w:type="paragraph" w:customStyle="1" w:styleId="Abstract">
    <w:name w:val="Abstract"/>
    <w:basedOn w:val="Normalny"/>
    <w:next w:val="Keywords"/>
    <w:rsid w:val="00310E13"/>
    <w:pPr>
      <w:spacing w:before="360" w:after="300" w:line="360" w:lineRule="auto"/>
      <w:ind w:left="720" w:right="567"/>
    </w:pPr>
    <w:rPr>
      <w:sz w:val="22"/>
    </w:rPr>
  </w:style>
  <w:style w:type="paragraph" w:customStyle="1" w:styleId="Keywords">
    <w:name w:val="Keywords"/>
    <w:basedOn w:val="Normalny"/>
    <w:next w:val="Paragraph"/>
    <w:rsid w:val="00BB1270"/>
    <w:pPr>
      <w:spacing w:before="240" w:after="240" w:line="360" w:lineRule="auto"/>
      <w:ind w:left="720" w:right="567"/>
    </w:pPr>
    <w:rPr>
      <w:sz w:val="22"/>
    </w:rPr>
  </w:style>
  <w:style w:type="paragraph" w:customStyle="1" w:styleId="Correspondencedetails">
    <w:name w:val="Correspondence details"/>
    <w:basedOn w:val="Normalny"/>
    <w:rsid w:val="00F04900"/>
    <w:pPr>
      <w:spacing w:before="240" w:line="360" w:lineRule="auto"/>
    </w:pPr>
  </w:style>
  <w:style w:type="paragraph" w:customStyle="1" w:styleId="Displayedquotation">
    <w:name w:val="Displayed quotation"/>
    <w:basedOn w:val="Normalny"/>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rsid w:val="00D80284"/>
    <w:pPr>
      <w:widowControl/>
      <w:numPr>
        <w:numId w:val="1"/>
      </w:numPr>
      <w:spacing w:after="240"/>
      <w:contextualSpacing/>
    </w:pPr>
  </w:style>
  <w:style w:type="paragraph" w:customStyle="1" w:styleId="Displayedequation">
    <w:name w:val="Displayed equation"/>
    <w:basedOn w:val="Normalny"/>
    <w:next w:val="Paragraph"/>
    <w:rsid w:val="00EF0F45"/>
    <w:pPr>
      <w:tabs>
        <w:tab w:val="center" w:pos="4253"/>
        <w:tab w:val="right" w:pos="8222"/>
      </w:tabs>
      <w:spacing w:before="240" w:after="240"/>
      <w:jc w:val="center"/>
    </w:pPr>
  </w:style>
  <w:style w:type="paragraph" w:customStyle="1" w:styleId="Acknowledgements">
    <w:name w:val="Acknowledgements"/>
    <w:basedOn w:val="Normalny"/>
    <w:next w:val="Normalny"/>
    <w:rsid w:val="00D379A3"/>
    <w:pPr>
      <w:spacing w:before="120" w:line="360" w:lineRule="auto"/>
    </w:pPr>
    <w:rPr>
      <w:sz w:val="22"/>
    </w:rPr>
  </w:style>
  <w:style w:type="paragraph" w:customStyle="1" w:styleId="Tabletitle">
    <w:name w:val="Table title"/>
    <w:basedOn w:val="Normalny"/>
    <w:next w:val="Normalny"/>
    <w:qFormat/>
    <w:rsid w:val="0031686C"/>
    <w:pPr>
      <w:spacing w:before="240" w:line="360" w:lineRule="auto"/>
    </w:pPr>
  </w:style>
  <w:style w:type="paragraph" w:customStyle="1" w:styleId="Figurecaption">
    <w:name w:val="Figure caption"/>
    <w:basedOn w:val="Normalny"/>
    <w:next w:val="Normalny"/>
    <w:rsid w:val="0031686C"/>
    <w:pPr>
      <w:spacing w:before="240" w:line="360" w:lineRule="auto"/>
    </w:pPr>
  </w:style>
  <w:style w:type="paragraph" w:customStyle="1" w:styleId="Footnotes">
    <w:name w:val="Footnotes"/>
    <w:basedOn w:val="Normalny"/>
    <w:rsid w:val="006C6936"/>
    <w:pPr>
      <w:spacing w:before="120" w:line="360" w:lineRule="auto"/>
      <w:ind w:left="482" w:hanging="482"/>
      <w:contextualSpacing/>
    </w:pPr>
    <w:rPr>
      <w:sz w:val="22"/>
    </w:rPr>
  </w:style>
  <w:style w:type="paragraph" w:customStyle="1" w:styleId="Notesoncontributors">
    <w:name w:val="Notes on contributors"/>
    <w:basedOn w:val="Normalny"/>
    <w:rsid w:val="00F04900"/>
    <w:pPr>
      <w:spacing w:before="240" w:line="360" w:lineRule="auto"/>
    </w:pPr>
    <w:rPr>
      <w:sz w:val="22"/>
    </w:rPr>
  </w:style>
  <w:style w:type="paragraph" w:customStyle="1" w:styleId="Normalparagraphstyle">
    <w:name w:val="Normal paragraph style"/>
    <w:basedOn w:val="Normalny"/>
    <w:next w:val="Normalny"/>
    <w:rsid w:val="00562DEF"/>
  </w:style>
  <w:style w:type="paragraph" w:customStyle="1" w:styleId="Paragraph">
    <w:name w:val="Paragraph"/>
    <w:basedOn w:val="Normalny"/>
    <w:next w:val="Newparagraph"/>
    <w:rsid w:val="001B7681"/>
    <w:pPr>
      <w:widowControl w:val="0"/>
      <w:spacing w:before="240"/>
    </w:pPr>
  </w:style>
  <w:style w:type="paragraph" w:customStyle="1" w:styleId="Newparagraph">
    <w:name w:val="New paragraph"/>
    <w:basedOn w:val="Normalny"/>
    <w:rsid w:val="00AE2F8D"/>
    <w:pPr>
      <w:ind w:firstLine="720"/>
    </w:pPr>
  </w:style>
  <w:style w:type="paragraph" w:styleId="Wcicienormalne">
    <w:name w:val="Normal Indent"/>
    <w:basedOn w:val="Normalny"/>
    <w:rsid w:val="00526454"/>
    <w:pPr>
      <w:ind w:left="720"/>
    </w:pPr>
  </w:style>
  <w:style w:type="paragraph" w:customStyle="1" w:styleId="References">
    <w:name w:val="References"/>
    <w:basedOn w:val="Normalny"/>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Nagwek2Znak">
    <w:name w:val="Nagłówek 2 Znak"/>
    <w:basedOn w:val="Domylnaczcionkaakapitu"/>
    <w:link w:val="Nagwek2"/>
    <w:rsid w:val="008D07FB"/>
    <w:rPr>
      <w:rFonts w:cs="Arial"/>
      <w:b/>
      <w:bCs/>
      <w:i/>
      <w:iCs/>
      <w:sz w:val="24"/>
      <w:szCs w:val="28"/>
    </w:rPr>
  </w:style>
  <w:style w:type="character" w:customStyle="1" w:styleId="Nagwek1Znak">
    <w:name w:val="Nagłówek 1 Znak"/>
    <w:basedOn w:val="Domylnaczcionkaakapitu"/>
    <w:link w:val="Nagwek1"/>
    <w:rsid w:val="00AE1ED4"/>
    <w:rPr>
      <w:rFonts w:cs="Arial"/>
      <w:b/>
      <w:bCs/>
      <w:kern w:val="32"/>
      <w:sz w:val="24"/>
      <w:szCs w:val="32"/>
    </w:rPr>
  </w:style>
  <w:style w:type="character" w:customStyle="1" w:styleId="Nagwek3Znak">
    <w:name w:val="Nagłówek 3 Znak"/>
    <w:basedOn w:val="Domylnaczcionkaakapitu"/>
    <w:link w:val="Nagwek3"/>
    <w:rsid w:val="00DF7EE2"/>
    <w:rPr>
      <w:rFonts w:eastAsia="Times New Roman" w:cs="Arial"/>
      <w:bCs/>
      <w:i/>
      <w:sz w:val="24"/>
      <w:szCs w:val="26"/>
      <w:lang w:eastAsia="en-GB"/>
    </w:rPr>
  </w:style>
  <w:style w:type="paragraph" w:customStyle="1" w:styleId="Bulletedlist">
    <w:name w:val="Bulleted list"/>
    <w:basedOn w:val="Paragraph"/>
    <w:next w:val="Paragraph"/>
    <w:rsid w:val="004E0338"/>
    <w:pPr>
      <w:widowControl/>
      <w:numPr>
        <w:numId w:val="2"/>
      </w:numPr>
      <w:spacing w:after="240"/>
      <w:contextualSpacing/>
    </w:pPr>
  </w:style>
  <w:style w:type="paragraph" w:styleId="Tekstprzypisudolnego">
    <w:name w:val="footnote text"/>
    <w:basedOn w:val="Normalny"/>
    <w:link w:val="TekstprzypisudolnegoZnak"/>
    <w:autoRedefine/>
    <w:uiPriority w:val="99"/>
    <w:rsid w:val="006C19B2"/>
    <w:pPr>
      <w:ind w:left="284" w:hanging="284"/>
    </w:pPr>
    <w:rPr>
      <w:sz w:val="22"/>
      <w:szCs w:val="20"/>
    </w:rPr>
  </w:style>
  <w:style w:type="character" w:customStyle="1" w:styleId="TekstprzypisudolnegoZnak">
    <w:name w:val="Tekst przypisu dolnego Znak"/>
    <w:basedOn w:val="Domylnaczcionkaakapitu"/>
    <w:link w:val="Tekstprzypisudolnego"/>
    <w:uiPriority w:val="99"/>
    <w:rsid w:val="006C19B2"/>
    <w:rPr>
      <w:sz w:val="22"/>
    </w:rPr>
  </w:style>
  <w:style w:type="character" w:styleId="Odwoanieprzypisudolnego">
    <w:name w:val="footnote reference"/>
    <w:basedOn w:val="Domylnaczcionkaakapitu"/>
    <w:rsid w:val="00AF2C92"/>
    <w:rPr>
      <w:vertAlign w:val="superscript"/>
    </w:rPr>
  </w:style>
  <w:style w:type="paragraph" w:styleId="Tekstprzypisukocowego">
    <w:name w:val="endnote text"/>
    <w:basedOn w:val="Normalny"/>
    <w:link w:val="TekstprzypisukocowegoZnak"/>
    <w:autoRedefine/>
    <w:rsid w:val="006C19B2"/>
    <w:pPr>
      <w:ind w:left="284" w:hanging="284"/>
    </w:pPr>
    <w:rPr>
      <w:sz w:val="22"/>
      <w:szCs w:val="20"/>
    </w:rPr>
  </w:style>
  <w:style w:type="character" w:customStyle="1" w:styleId="TekstprzypisukocowegoZnak">
    <w:name w:val="Tekst przypisu końcowego Znak"/>
    <w:basedOn w:val="Domylnaczcionkaakapitu"/>
    <w:link w:val="Tekstprzypisukocowego"/>
    <w:rsid w:val="006C19B2"/>
    <w:rPr>
      <w:sz w:val="22"/>
    </w:rPr>
  </w:style>
  <w:style w:type="character" w:styleId="Odwoanieprzypisukocowego">
    <w:name w:val="endnote reference"/>
    <w:basedOn w:val="Domylnaczcionkaakapitu"/>
    <w:rsid w:val="00EC571B"/>
    <w:rPr>
      <w:vertAlign w:val="superscript"/>
    </w:rPr>
  </w:style>
  <w:style w:type="character" w:customStyle="1" w:styleId="Nagwek4Znak">
    <w:name w:val="Nagłówek 4 Znak"/>
    <w:basedOn w:val="Domylnaczcionkaakapitu"/>
    <w:link w:val="Nagwek4"/>
    <w:rsid w:val="00F43B9D"/>
    <w:rPr>
      <w:bCs/>
      <w:sz w:val="24"/>
      <w:szCs w:val="28"/>
    </w:rPr>
  </w:style>
  <w:style w:type="paragraph" w:styleId="Nagwek">
    <w:name w:val="header"/>
    <w:basedOn w:val="Normalny"/>
    <w:link w:val="NagwekZnak"/>
    <w:uiPriority w:val="99"/>
    <w:rsid w:val="003F193A"/>
    <w:pPr>
      <w:tabs>
        <w:tab w:val="center" w:pos="4320"/>
        <w:tab w:val="right" w:pos="8640"/>
      </w:tabs>
      <w:spacing w:after="120" w:line="240" w:lineRule="auto"/>
      <w:contextualSpacing/>
    </w:pPr>
  </w:style>
  <w:style w:type="character" w:customStyle="1" w:styleId="NagwekZnak">
    <w:name w:val="Nagłówek Znak"/>
    <w:basedOn w:val="Domylnaczcionkaakapitu"/>
    <w:link w:val="Nagwek"/>
    <w:uiPriority w:val="99"/>
    <w:qFormat/>
    <w:rsid w:val="003F193A"/>
    <w:rPr>
      <w:rFonts w:eastAsia="Times New Roman"/>
      <w:sz w:val="24"/>
      <w:szCs w:val="24"/>
      <w:lang w:eastAsia="en-GB"/>
    </w:rPr>
  </w:style>
  <w:style w:type="paragraph" w:styleId="Stopka">
    <w:name w:val="footer"/>
    <w:basedOn w:val="Normalny"/>
    <w:link w:val="StopkaZnak"/>
    <w:uiPriority w:val="99"/>
    <w:qFormat/>
    <w:rsid w:val="00AE6A21"/>
    <w:pPr>
      <w:tabs>
        <w:tab w:val="center" w:pos="4320"/>
        <w:tab w:val="right" w:pos="8640"/>
      </w:tabs>
      <w:spacing w:before="240" w:line="240" w:lineRule="auto"/>
      <w:contextualSpacing/>
    </w:pPr>
  </w:style>
  <w:style w:type="character" w:customStyle="1" w:styleId="StopkaZnak">
    <w:name w:val="Stopka Znak"/>
    <w:basedOn w:val="Domylnaczcionkaakapitu"/>
    <w:link w:val="Stopka"/>
    <w:uiPriority w:val="99"/>
    <w:qFormat/>
    <w:rsid w:val="00AE6A21"/>
    <w:rPr>
      <w:sz w:val="24"/>
      <w:szCs w:val="24"/>
    </w:rPr>
  </w:style>
  <w:style w:type="paragraph" w:customStyle="1" w:styleId="Heading4Paragraph">
    <w:name w:val="Heading 4 + Paragraph"/>
    <w:basedOn w:val="Paragraph"/>
    <w:next w:val="Newparagraph"/>
    <w:rsid w:val="00AE1ED4"/>
    <w:pPr>
      <w:widowControl/>
      <w:spacing w:before="360"/>
    </w:pPr>
  </w:style>
  <w:style w:type="paragraph" w:styleId="Akapitzlist">
    <w:name w:val="List Paragraph"/>
    <w:basedOn w:val="Normalny"/>
    <w:uiPriority w:val="34"/>
    <w:qFormat/>
    <w:rsid w:val="00E17928"/>
    <w:pPr>
      <w:spacing w:before="240" w:after="240" w:line="240" w:lineRule="auto"/>
      <w:ind w:left="720"/>
      <w:contextualSpacing/>
      <w:jc w:val="both"/>
    </w:pPr>
    <w:rPr>
      <w:rFonts w:eastAsia="Calibri"/>
      <w:szCs w:val="22"/>
      <w:lang w:val="tr-TR" w:eastAsia="en-US"/>
    </w:rPr>
  </w:style>
  <w:style w:type="character" w:styleId="Hipercze">
    <w:name w:val="Hyperlink"/>
    <w:uiPriority w:val="99"/>
    <w:rsid w:val="00DD226F"/>
    <w:rPr>
      <w:color w:val="0000FF"/>
      <w:u w:val="single"/>
    </w:rPr>
  </w:style>
  <w:style w:type="paragraph" w:styleId="Legenda">
    <w:name w:val="caption"/>
    <w:basedOn w:val="Normalny"/>
    <w:next w:val="Normalny"/>
    <w:unhideWhenUsed/>
    <w:rsid w:val="005938CA"/>
    <w:pPr>
      <w:spacing w:after="200" w:line="240" w:lineRule="auto"/>
    </w:pPr>
    <w:rPr>
      <w:i/>
      <w:iCs/>
      <w:color w:val="1F497D" w:themeColor="text2"/>
      <w:sz w:val="18"/>
      <w:szCs w:val="18"/>
    </w:rPr>
  </w:style>
  <w:style w:type="table" w:styleId="Tabela-Siatka">
    <w:name w:val="Table Grid"/>
    <w:basedOn w:val="Standardowy"/>
    <w:uiPriority w:val="39"/>
    <w:rsid w:val="0020429A"/>
    <w:rPr>
      <w:rFonts w:ascii="Calibri" w:eastAsia="Calibri" w:hAnsi="Calibri"/>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semiHidden/>
    <w:unhideWhenUsed/>
    <w:rsid w:val="001C094A"/>
  </w:style>
  <w:style w:type="character" w:customStyle="1" w:styleId="mord">
    <w:name w:val="mord"/>
    <w:basedOn w:val="Domylnaczcionkaakapitu"/>
    <w:rsid w:val="0011329B"/>
  </w:style>
  <w:style w:type="character" w:customStyle="1" w:styleId="mopen">
    <w:name w:val="mopen"/>
    <w:basedOn w:val="Domylnaczcionkaakapitu"/>
    <w:rsid w:val="0011329B"/>
  </w:style>
  <w:style w:type="character" w:customStyle="1" w:styleId="vlist-s">
    <w:name w:val="vlist-s"/>
    <w:basedOn w:val="Domylnaczcionkaakapitu"/>
    <w:rsid w:val="0011329B"/>
  </w:style>
  <w:style w:type="character" w:customStyle="1" w:styleId="mclose">
    <w:name w:val="mclose"/>
    <w:basedOn w:val="Domylnaczcionkaakapitu"/>
    <w:rsid w:val="0011329B"/>
  </w:style>
  <w:style w:type="character" w:customStyle="1" w:styleId="mrel">
    <w:name w:val="mrel"/>
    <w:basedOn w:val="Domylnaczcionkaakapitu"/>
    <w:rsid w:val="0011329B"/>
  </w:style>
  <w:style w:type="character" w:customStyle="1" w:styleId="mop">
    <w:name w:val="mop"/>
    <w:basedOn w:val="Domylnaczcionkaakapitu"/>
    <w:rsid w:val="0011329B"/>
  </w:style>
  <w:style w:type="character" w:customStyle="1" w:styleId="mpunct">
    <w:name w:val="mpunct"/>
    <w:basedOn w:val="Domylnaczcionkaakapitu"/>
    <w:rsid w:val="0011329B"/>
  </w:style>
  <w:style w:type="character" w:styleId="Numerwiersza">
    <w:name w:val="line number"/>
    <w:basedOn w:val="Domylnaczcionkaakapitu"/>
    <w:semiHidden/>
    <w:unhideWhenUsed/>
    <w:rsid w:val="003A2F4E"/>
  </w:style>
  <w:style w:type="character" w:styleId="Nierozpoznanawzmianka">
    <w:name w:val="Unresolved Mention"/>
    <w:basedOn w:val="Domylnaczcionkaakapitu"/>
    <w:uiPriority w:val="99"/>
    <w:semiHidden/>
    <w:unhideWhenUsed/>
    <w:rsid w:val="00EA797A"/>
    <w:rPr>
      <w:color w:val="605E5C"/>
      <w:shd w:val="clear" w:color="auto" w:fill="E1DFDD"/>
    </w:rPr>
  </w:style>
  <w:style w:type="character" w:styleId="Tekstzastpczy">
    <w:name w:val="Placeholder Text"/>
    <w:basedOn w:val="Domylnaczcionkaakapitu"/>
    <w:rsid w:val="00CA1BF0"/>
    <w:rPr>
      <w:color w:val="666666"/>
    </w:rPr>
  </w:style>
  <w:style w:type="paragraph" w:customStyle="1" w:styleId="Rab1">
    <w:name w:val="R_ab1"/>
    <w:next w:val="Normalny"/>
    <w:autoRedefine/>
    <w:qFormat/>
    <w:rsid w:val="0035185A"/>
    <w:pPr>
      <w:suppressAutoHyphens/>
      <w:spacing w:before="120"/>
      <w:ind w:left="567" w:right="567"/>
      <w:jc w:val="both"/>
    </w:pPr>
    <w:rPr>
      <w:rFonts w:eastAsia="SimSun"/>
      <w:kern w:val="2"/>
      <w:sz w:val="18"/>
      <w:lang w:eastAsia="pl-PL"/>
      <w14:ligatures w14:val="standardContextual"/>
    </w:rPr>
  </w:style>
  <w:style w:type="paragraph" w:customStyle="1" w:styleId="Rab2">
    <w:name w:val="R_ab2"/>
    <w:basedOn w:val="Rab1"/>
    <w:next w:val="Normalny"/>
    <w:autoRedefine/>
    <w:qFormat/>
    <w:rsid w:val="0035185A"/>
    <w:pPr>
      <w:spacing w:before="60"/>
    </w:pPr>
  </w:style>
  <w:style w:type="paragraph" w:customStyle="1" w:styleId="Rafiliacja">
    <w:name w:val="R_afiliacja"/>
    <w:basedOn w:val="Normalny"/>
    <w:link w:val="RafiliacjaZnak"/>
    <w:qFormat/>
    <w:rsid w:val="0035185A"/>
    <w:pPr>
      <w:suppressAutoHyphens/>
      <w:spacing w:line="240" w:lineRule="auto"/>
      <w:jc w:val="center"/>
    </w:pPr>
    <w:rPr>
      <w:rFonts w:eastAsiaTheme="minorHAnsi"/>
      <w:i/>
      <w:kern w:val="2"/>
      <w:sz w:val="20"/>
      <w:szCs w:val="28"/>
      <w:lang w:val="pl-PL" w:eastAsia="en-US"/>
      <w14:ligatures w14:val="standardContextual"/>
    </w:rPr>
  </w:style>
  <w:style w:type="character" w:customStyle="1" w:styleId="RafiliacjaZnak">
    <w:name w:val="R_afiliacja Znak"/>
    <w:basedOn w:val="Domylnaczcionkaakapitu"/>
    <w:link w:val="Rafiliacja"/>
    <w:rsid w:val="0035185A"/>
    <w:rPr>
      <w:rFonts w:eastAsiaTheme="minorHAnsi"/>
      <w:i/>
      <w:kern w:val="2"/>
      <w:szCs w:val="28"/>
      <w:lang w:val="pl-PL" w:eastAsia="en-US"/>
      <w14:ligatures w14:val="standardContextual"/>
    </w:rPr>
  </w:style>
  <w:style w:type="paragraph" w:customStyle="1" w:styleId="Rauco">
    <w:name w:val="R_au_co"/>
    <w:basedOn w:val="Rafiliacja"/>
    <w:autoRedefine/>
    <w:qFormat/>
    <w:rsid w:val="0035185A"/>
    <w:pPr>
      <w:spacing w:before="120"/>
    </w:pPr>
    <w:rPr>
      <w:lang w:val="en-GB"/>
    </w:rPr>
  </w:style>
  <w:style w:type="paragraph" w:customStyle="1" w:styleId="Rn1">
    <w:name w:val="R_n1"/>
    <w:basedOn w:val="Normalny"/>
    <w:link w:val="Rn1Znak"/>
    <w:qFormat/>
    <w:rsid w:val="0035185A"/>
    <w:pPr>
      <w:suppressAutoHyphens/>
      <w:spacing w:before="240" w:after="120" w:line="240" w:lineRule="auto"/>
      <w:jc w:val="both"/>
    </w:pPr>
    <w:rPr>
      <w:rFonts w:eastAsiaTheme="minorHAnsi" w:cstheme="minorBidi"/>
      <w:b/>
      <w:kern w:val="2"/>
      <w:szCs w:val="22"/>
      <w:lang w:val="pl-PL" w:eastAsia="en-US"/>
      <w14:ligatures w14:val="standardContextual"/>
    </w:rPr>
  </w:style>
  <w:style w:type="character" w:customStyle="1" w:styleId="Rn1Znak">
    <w:name w:val="R_n1 Znak"/>
    <w:basedOn w:val="Domylnaczcionkaakapitu"/>
    <w:link w:val="Rn1"/>
    <w:rsid w:val="0035185A"/>
    <w:rPr>
      <w:rFonts w:eastAsiaTheme="minorHAnsi" w:cstheme="minorBidi"/>
      <w:b/>
      <w:kern w:val="2"/>
      <w:sz w:val="24"/>
      <w:szCs w:val="22"/>
      <w:lang w:val="pl-PL" w:eastAsia="en-US"/>
      <w14:ligatures w14:val="standardContextual"/>
    </w:rPr>
  </w:style>
  <w:style w:type="paragraph" w:customStyle="1" w:styleId="Rn2">
    <w:name w:val="R_n2"/>
    <w:basedOn w:val="Rn1"/>
    <w:link w:val="Rn2Znak"/>
    <w:qFormat/>
    <w:rsid w:val="0035185A"/>
    <w:pPr>
      <w:spacing w:before="120"/>
      <w:jc w:val="left"/>
    </w:pPr>
    <w:rPr>
      <w:sz w:val="22"/>
    </w:rPr>
  </w:style>
  <w:style w:type="character" w:customStyle="1" w:styleId="Rn2Znak">
    <w:name w:val="R_n2 Znak"/>
    <w:link w:val="Rn2"/>
    <w:rsid w:val="0035185A"/>
    <w:rPr>
      <w:rFonts w:eastAsiaTheme="minorHAnsi" w:cstheme="minorBidi"/>
      <w:b/>
      <w:kern w:val="2"/>
      <w:sz w:val="22"/>
      <w:szCs w:val="22"/>
      <w:lang w:val="pl-PL" w:eastAsia="en-US"/>
      <w14:ligatures w14:val="standardContextual"/>
    </w:rPr>
  </w:style>
  <w:style w:type="paragraph" w:customStyle="1" w:styleId="Rtytu">
    <w:name w:val="R_tytuł"/>
    <w:basedOn w:val="Rn2"/>
    <w:link w:val="RtytuZnak"/>
    <w:autoRedefine/>
    <w:qFormat/>
    <w:rsid w:val="0035185A"/>
    <w:pPr>
      <w:spacing w:before="240" w:after="0"/>
      <w:jc w:val="center"/>
    </w:pPr>
    <w:rPr>
      <w:sz w:val="24"/>
      <w:szCs w:val="28"/>
    </w:rPr>
  </w:style>
  <w:style w:type="character" w:customStyle="1" w:styleId="RtytuZnak">
    <w:name w:val="R_tytuł Znak"/>
    <w:basedOn w:val="Rn2Znak"/>
    <w:link w:val="Rtytu"/>
    <w:rsid w:val="0035185A"/>
    <w:rPr>
      <w:rFonts w:eastAsiaTheme="minorHAnsi" w:cstheme="minorBidi"/>
      <w:b/>
      <w:kern w:val="2"/>
      <w:sz w:val="24"/>
      <w:szCs w:val="28"/>
      <w:lang w:val="pl-PL" w:eastAsia="en-US"/>
      <w14:ligatures w14:val="standardContextual"/>
    </w:rPr>
  </w:style>
  <w:style w:type="paragraph" w:customStyle="1" w:styleId="Rautor">
    <w:name w:val="R_autor"/>
    <w:basedOn w:val="Rtytu"/>
    <w:link w:val="RautorZnak"/>
    <w:autoRedefine/>
    <w:qFormat/>
    <w:rsid w:val="0035185A"/>
    <w:pPr>
      <w:spacing w:before="120"/>
    </w:pPr>
    <w:rPr>
      <w:rFonts w:eastAsia="Calibri" w:cs="Times New Roman"/>
      <w:b w:val="0"/>
      <w:i/>
    </w:rPr>
  </w:style>
  <w:style w:type="character" w:customStyle="1" w:styleId="RautorZnak">
    <w:name w:val="R_autor Znak"/>
    <w:link w:val="Rautor"/>
    <w:rsid w:val="0035185A"/>
    <w:rPr>
      <w:rFonts w:eastAsia="Calibri"/>
      <w:i/>
      <w:kern w:val="2"/>
      <w:sz w:val="24"/>
      <w:szCs w:val="28"/>
      <w:lang w:val="pl-PL" w:eastAsia="en-US"/>
      <w14:ligatures w14:val="standardContextual"/>
    </w:rPr>
  </w:style>
  <w:style w:type="paragraph" w:customStyle="1" w:styleId="Rlit">
    <w:name w:val="R_lit"/>
    <w:basedOn w:val="Normalny"/>
    <w:link w:val="RlitZnak"/>
    <w:qFormat/>
    <w:rsid w:val="0035185A"/>
    <w:pPr>
      <w:spacing w:line="240" w:lineRule="auto"/>
      <w:ind w:left="425" w:hanging="425"/>
      <w:jc w:val="both"/>
    </w:pPr>
    <w:rPr>
      <w:kern w:val="2"/>
      <w:sz w:val="20"/>
      <w:szCs w:val="20"/>
      <w:lang w:val="en-US" w:eastAsia="pl-PL"/>
      <w14:ligatures w14:val="standardContextual"/>
    </w:rPr>
  </w:style>
  <w:style w:type="character" w:customStyle="1" w:styleId="RlitZnak">
    <w:name w:val="R_lit Znak"/>
    <w:basedOn w:val="Domylnaczcionkaakapitu"/>
    <w:link w:val="Rlit"/>
    <w:rsid w:val="0035185A"/>
    <w:rPr>
      <w:kern w:val="2"/>
      <w:lang w:val="en-US" w:eastAsia="pl-PL"/>
      <w14:ligatures w14:val="standardContextual"/>
    </w:rPr>
  </w:style>
  <w:style w:type="paragraph" w:customStyle="1" w:styleId="Rtab">
    <w:name w:val="R_tab"/>
    <w:basedOn w:val="Normalny"/>
    <w:link w:val="RtabZnak"/>
    <w:qFormat/>
    <w:rsid w:val="0035185A"/>
    <w:pPr>
      <w:suppressAutoHyphens/>
      <w:spacing w:after="120" w:line="240" w:lineRule="auto"/>
    </w:pPr>
    <w:rPr>
      <w:rFonts w:eastAsiaTheme="minorHAnsi" w:cstheme="minorBidi"/>
      <w:kern w:val="2"/>
      <w:sz w:val="20"/>
      <w:szCs w:val="22"/>
      <w:lang w:val="pl-PL" w:eastAsia="en-US"/>
      <w14:ligatures w14:val="standardContextual"/>
    </w:rPr>
  </w:style>
  <w:style w:type="character" w:customStyle="1" w:styleId="RtabZnak">
    <w:name w:val="R_tab Znak"/>
    <w:basedOn w:val="Domylnaczcionkaakapitu"/>
    <w:link w:val="Rtab"/>
    <w:rsid w:val="0035185A"/>
    <w:rPr>
      <w:rFonts w:eastAsiaTheme="minorHAnsi" w:cstheme="minorBidi"/>
      <w:kern w:val="2"/>
      <w:szCs w:val="22"/>
      <w:lang w:val="pl-PL" w:eastAsia="en-US"/>
      <w14:ligatures w14:val="standardContextual"/>
    </w:rPr>
  </w:style>
  <w:style w:type="paragraph" w:customStyle="1" w:styleId="Rn3">
    <w:name w:val="R_n3"/>
    <w:basedOn w:val="Rtab"/>
    <w:link w:val="Rn3Znak"/>
    <w:autoRedefine/>
    <w:qFormat/>
    <w:rsid w:val="00664250"/>
    <w:pPr>
      <w:spacing w:before="120"/>
      <w:jc w:val="both"/>
    </w:pPr>
    <w:rPr>
      <w:i/>
      <w:sz w:val="22"/>
    </w:rPr>
  </w:style>
  <w:style w:type="character" w:customStyle="1" w:styleId="Rn3Znak">
    <w:name w:val="R_n3 Znak"/>
    <w:basedOn w:val="RtabZnak"/>
    <w:link w:val="Rn3"/>
    <w:rsid w:val="00664250"/>
    <w:rPr>
      <w:rFonts w:eastAsiaTheme="minorHAnsi" w:cstheme="minorBidi"/>
      <w:i/>
      <w:kern w:val="2"/>
      <w:sz w:val="22"/>
      <w:szCs w:val="22"/>
      <w:lang w:val="pl-PL" w:eastAsia="en-US"/>
      <w14:ligatures w14:val="standardContextual"/>
    </w:rPr>
  </w:style>
  <w:style w:type="paragraph" w:customStyle="1" w:styleId="Rrys">
    <w:name w:val="R_rys"/>
    <w:basedOn w:val="Rafiliacja"/>
    <w:link w:val="RrysZnak"/>
    <w:qFormat/>
    <w:rsid w:val="0035185A"/>
    <w:pPr>
      <w:spacing w:before="120"/>
      <w:jc w:val="left"/>
    </w:pPr>
    <w:rPr>
      <w:i w:val="0"/>
    </w:rPr>
  </w:style>
  <w:style w:type="character" w:customStyle="1" w:styleId="RrysZnak">
    <w:name w:val="R_rys Znak"/>
    <w:basedOn w:val="RafiliacjaZnak"/>
    <w:link w:val="Rrys"/>
    <w:rsid w:val="0035185A"/>
    <w:rPr>
      <w:rFonts w:eastAsiaTheme="minorHAnsi"/>
      <w:i w:val="0"/>
      <w:kern w:val="2"/>
      <w:szCs w:val="28"/>
      <w:lang w:val="pl-P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6441">
      <w:bodyDiv w:val="1"/>
      <w:marLeft w:val="0"/>
      <w:marRight w:val="0"/>
      <w:marTop w:val="0"/>
      <w:marBottom w:val="0"/>
      <w:divBdr>
        <w:top w:val="none" w:sz="0" w:space="0" w:color="auto"/>
        <w:left w:val="none" w:sz="0" w:space="0" w:color="auto"/>
        <w:bottom w:val="none" w:sz="0" w:space="0" w:color="auto"/>
        <w:right w:val="none" w:sz="0" w:space="0" w:color="auto"/>
      </w:divBdr>
    </w:div>
    <w:div w:id="89351552">
      <w:bodyDiv w:val="1"/>
      <w:marLeft w:val="0"/>
      <w:marRight w:val="0"/>
      <w:marTop w:val="0"/>
      <w:marBottom w:val="0"/>
      <w:divBdr>
        <w:top w:val="none" w:sz="0" w:space="0" w:color="auto"/>
        <w:left w:val="none" w:sz="0" w:space="0" w:color="auto"/>
        <w:bottom w:val="none" w:sz="0" w:space="0" w:color="auto"/>
        <w:right w:val="none" w:sz="0" w:space="0" w:color="auto"/>
      </w:divBdr>
    </w:div>
    <w:div w:id="125205857">
      <w:bodyDiv w:val="1"/>
      <w:marLeft w:val="0"/>
      <w:marRight w:val="0"/>
      <w:marTop w:val="0"/>
      <w:marBottom w:val="0"/>
      <w:divBdr>
        <w:top w:val="none" w:sz="0" w:space="0" w:color="auto"/>
        <w:left w:val="none" w:sz="0" w:space="0" w:color="auto"/>
        <w:bottom w:val="none" w:sz="0" w:space="0" w:color="auto"/>
        <w:right w:val="none" w:sz="0" w:space="0" w:color="auto"/>
      </w:divBdr>
    </w:div>
    <w:div w:id="185366414">
      <w:bodyDiv w:val="1"/>
      <w:marLeft w:val="0"/>
      <w:marRight w:val="0"/>
      <w:marTop w:val="0"/>
      <w:marBottom w:val="0"/>
      <w:divBdr>
        <w:top w:val="none" w:sz="0" w:space="0" w:color="auto"/>
        <w:left w:val="none" w:sz="0" w:space="0" w:color="auto"/>
        <w:bottom w:val="none" w:sz="0" w:space="0" w:color="auto"/>
        <w:right w:val="none" w:sz="0" w:space="0" w:color="auto"/>
      </w:divBdr>
    </w:div>
    <w:div w:id="200365354">
      <w:bodyDiv w:val="1"/>
      <w:marLeft w:val="0"/>
      <w:marRight w:val="0"/>
      <w:marTop w:val="0"/>
      <w:marBottom w:val="0"/>
      <w:divBdr>
        <w:top w:val="none" w:sz="0" w:space="0" w:color="auto"/>
        <w:left w:val="none" w:sz="0" w:space="0" w:color="auto"/>
        <w:bottom w:val="none" w:sz="0" w:space="0" w:color="auto"/>
        <w:right w:val="none" w:sz="0" w:space="0" w:color="auto"/>
      </w:divBdr>
    </w:div>
    <w:div w:id="217128317">
      <w:bodyDiv w:val="1"/>
      <w:marLeft w:val="0"/>
      <w:marRight w:val="0"/>
      <w:marTop w:val="0"/>
      <w:marBottom w:val="0"/>
      <w:divBdr>
        <w:top w:val="none" w:sz="0" w:space="0" w:color="auto"/>
        <w:left w:val="none" w:sz="0" w:space="0" w:color="auto"/>
        <w:bottom w:val="none" w:sz="0" w:space="0" w:color="auto"/>
        <w:right w:val="none" w:sz="0" w:space="0" w:color="auto"/>
      </w:divBdr>
    </w:div>
    <w:div w:id="277689905">
      <w:bodyDiv w:val="1"/>
      <w:marLeft w:val="0"/>
      <w:marRight w:val="0"/>
      <w:marTop w:val="0"/>
      <w:marBottom w:val="0"/>
      <w:divBdr>
        <w:top w:val="none" w:sz="0" w:space="0" w:color="auto"/>
        <w:left w:val="none" w:sz="0" w:space="0" w:color="auto"/>
        <w:bottom w:val="none" w:sz="0" w:space="0" w:color="auto"/>
        <w:right w:val="none" w:sz="0" w:space="0" w:color="auto"/>
      </w:divBdr>
    </w:div>
    <w:div w:id="431779009">
      <w:bodyDiv w:val="1"/>
      <w:marLeft w:val="0"/>
      <w:marRight w:val="0"/>
      <w:marTop w:val="0"/>
      <w:marBottom w:val="0"/>
      <w:divBdr>
        <w:top w:val="none" w:sz="0" w:space="0" w:color="auto"/>
        <w:left w:val="none" w:sz="0" w:space="0" w:color="auto"/>
        <w:bottom w:val="none" w:sz="0" w:space="0" w:color="auto"/>
        <w:right w:val="none" w:sz="0" w:space="0" w:color="auto"/>
      </w:divBdr>
    </w:div>
    <w:div w:id="756438094">
      <w:bodyDiv w:val="1"/>
      <w:marLeft w:val="0"/>
      <w:marRight w:val="0"/>
      <w:marTop w:val="0"/>
      <w:marBottom w:val="0"/>
      <w:divBdr>
        <w:top w:val="none" w:sz="0" w:space="0" w:color="auto"/>
        <w:left w:val="none" w:sz="0" w:space="0" w:color="auto"/>
        <w:bottom w:val="none" w:sz="0" w:space="0" w:color="auto"/>
        <w:right w:val="none" w:sz="0" w:space="0" w:color="auto"/>
      </w:divBdr>
    </w:div>
    <w:div w:id="756558797">
      <w:bodyDiv w:val="1"/>
      <w:marLeft w:val="0"/>
      <w:marRight w:val="0"/>
      <w:marTop w:val="0"/>
      <w:marBottom w:val="0"/>
      <w:divBdr>
        <w:top w:val="none" w:sz="0" w:space="0" w:color="auto"/>
        <w:left w:val="none" w:sz="0" w:space="0" w:color="auto"/>
        <w:bottom w:val="none" w:sz="0" w:space="0" w:color="auto"/>
        <w:right w:val="none" w:sz="0" w:space="0" w:color="auto"/>
      </w:divBdr>
    </w:div>
    <w:div w:id="849609654">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116409036">
      <w:bodyDiv w:val="1"/>
      <w:marLeft w:val="0"/>
      <w:marRight w:val="0"/>
      <w:marTop w:val="0"/>
      <w:marBottom w:val="0"/>
      <w:divBdr>
        <w:top w:val="none" w:sz="0" w:space="0" w:color="auto"/>
        <w:left w:val="none" w:sz="0" w:space="0" w:color="auto"/>
        <w:bottom w:val="none" w:sz="0" w:space="0" w:color="auto"/>
        <w:right w:val="none" w:sz="0" w:space="0" w:color="auto"/>
      </w:divBdr>
    </w:div>
    <w:div w:id="1153907134">
      <w:bodyDiv w:val="1"/>
      <w:marLeft w:val="0"/>
      <w:marRight w:val="0"/>
      <w:marTop w:val="0"/>
      <w:marBottom w:val="0"/>
      <w:divBdr>
        <w:top w:val="none" w:sz="0" w:space="0" w:color="auto"/>
        <w:left w:val="none" w:sz="0" w:space="0" w:color="auto"/>
        <w:bottom w:val="none" w:sz="0" w:space="0" w:color="auto"/>
        <w:right w:val="none" w:sz="0" w:space="0" w:color="auto"/>
      </w:divBdr>
    </w:div>
    <w:div w:id="1206019089">
      <w:bodyDiv w:val="1"/>
      <w:marLeft w:val="0"/>
      <w:marRight w:val="0"/>
      <w:marTop w:val="0"/>
      <w:marBottom w:val="0"/>
      <w:divBdr>
        <w:top w:val="none" w:sz="0" w:space="0" w:color="auto"/>
        <w:left w:val="none" w:sz="0" w:space="0" w:color="auto"/>
        <w:bottom w:val="none" w:sz="0" w:space="0" w:color="auto"/>
        <w:right w:val="none" w:sz="0" w:space="0" w:color="auto"/>
      </w:divBdr>
    </w:div>
    <w:div w:id="1270547995">
      <w:bodyDiv w:val="1"/>
      <w:marLeft w:val="0"/>
      <w:marRight w:val="0"/>
      <w:marTop w:val="0"/>
      <w:marBottom w:val="0"/>
      <w:divBdr>
        <w:top w:val="none" w:sz="0" w:space="0" w:color="auto"/>
        <w:left w:val="none" w:sz="0" w:space="0" w:color="auto"/>
        <w:bottom w:val="none" w:sz="0" w:space="0" w:color="auto"/>
        <w:right w:val="none" w:sz="0" w:space="0" w:color="auto"/>
      </w:divBdr>
    </w:div>
    <w:div w:id="1337146448">
      <w:bodyDiv w:val="1"/>
      <w:marLeft w:val="0"/>
      <w:marRight w:val="0"/>
      <w:marTop w:val="0"/>
      <w:marBottom w:val="0"/>
      <w:divBdr>
        <w:top w:val="none" w:sz="0" w:space="0" w:color="auto"/>
        <w:left w:val="none" w:sz="0" w:space="0" w:color="auto"/>
        <w:bottom w:val="none" w:sz="0" w:space="0" w:color="auto"/>
        <w:right w:val="none" w:sz="0" w:space="0" w:color="auto"/>
      </w:divBdr>
    </w:div>
    <w:div w:id="1685664052">
      <w:bodyDiv w:val="1"/>
      <w:marLeft w:val="0"/>
      <w:marRight w:val="0"/>
      <w:marTop w:val="0"/>
      <w:marBottom w:val="0"/>
      <w:divBdr>
        <w:top w:val="none" w:sz="0" w:space="0" w:color="auto"/>
        <w:left w:val="none" w:sz="0" w:space="0" w:color="auto"/>
        <w:bottom w:val="none" w:sz="0" w:space="0" w:color="auto"/>
        <w:right w:val="none" w:sz="0" w:space="0" w:color="auto"/>
      </w:divBdr>
    </w:div>
    <w:div w:id="1830707934">
      <w:bodyDiv w:val="1"/>
      <w:marLeft w:val="0"/>
      <w:marRight w:val="0"/>
      <w:marTop w:val="0"/>
      <w:marBottom w:val="0"/>
      <w:divBdr>
        <w:top w:val="none" w:sz="0" w:space="0" w:color="auto"/>
        <w:left w:val="none" w:sz="0" w:space="0" w:color="auto"/>
        <w:bottom w:val="none" w:sz="0" w:space="0" w:color="auto"/>
        <w:right w:val="none" w:sz="0" w:space="0" w:color="auto"/>
      </w:divBdr>
    </w:div>
    <w:div w:id="198950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doi.org/10.3390/ijgi1107040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07/s12517-018-4076-3"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3390/su140101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1007/s10712-016-936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 Id="rId22" Type="http://schemas.openxmlformats.org/officeDocument/2006/relationships/hyperlink" Target="https://doi.org/10.1016/j.jclepro.2017.02.067"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hunSOYDAN\Desktop\Francis\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0026C-D79D-4B05-B638-6A121B1BB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161</TotalTime>
  <Pages>14</Pages>
  <Words>7439</Words>
  <Characters>44634</Characters>
  <Application>Microsoft Office Word</Application>
  <DocSecurity>0</DocSecurity>
  <Lines>371</Lines>
  <Paragraphs>103</Paragraphs>
  <ScaleCrop>false</ScaleCrop>
  <HeadingPairs>
    <vt:vector size="6" baseType="variant">
      <vt:variant>
        <vt:lpstr>Tytuł</vt:lpstr>
      </vt:variant>
      <vt:variant>
        <vt:i4>1</vt:i4>
      </vt:variant>
      <vt:variant>
        <vt:lpstr>Konu Başlığı</vt:lpstr>
      </vt:variant>
      <vt:variant>
        <vt:i4>1</vt:i4>
      </vt:variant>
      <vt:variant>
        <vt:lpstr>Title</vt:lpstr>
      </vt:variant>
      <vt:variant>
        <vt:i4>1</vt:i4>
      </vt:variant>
    </vt:vector>
  </HeadingPairs>
  <TitlesOfParts>
    <vt:vector size="3" baseType="lpstr">
      <vt:lpstr>TF_Template_Word_Windows_2016</vt:lpstr>
      <vt:lpstr>TF_Template_Word_Windows_2016</vt:lpstr>
      <vt:lpstr>TF_Template_Word_Windows_2016</vt:lpstr>
    </vt:vector>
  </TitlesOfParts>
  <Company>Informa Plc</Company>
  <LinksUpToDate>false</LinksUpToDate>
  <CharactersWithSpaces>51970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OrhunSOYDAN</dc:creator>
  <cp:lastModifiedBy>Janusz Dabrowski NA</cp:lastModifiedBy>
  <cp:revision>27</cp:revision>
  <cp:lastPrinted>2026-03-20T11:44:00Z</cp:lastPrinted>
  <dcterms:created xsi:type="dcterms:W3CDTF">2026-03-16T13:27:00Z</dcterms:created>
  <dcterms:modified xsi:type="dcterms:W3CDTF">2026-03-20T11:47:00Z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0329cd9d-3b22-4419-92d8-41227ee932e9</vt:lpwstr>
  </property>
</Properties>
</file>