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0B0464" w:rsidRPr="000B0464" w14:paraId="07F5573C" w14:textId="77777777" w:rsidTr="00F228A3">
        <w:trPr>
          <w:trHeight w:hRule="exact" w:val="142"/>
        </w:trPr>
        <w:tc>
          <w:tcPr>
            <w:tcW w:w="709" w:type="dxa"/>
            <w:vMerge w:val="restart"/>
            <w:shd w:val="clear" w:color="auto" w:fill="auto"/>
            <w:vAlign w:val="center"/>
          </w:tcPr>
          <w:p w14:paraId="77D88985" w14:textId="77777777" w:rsidR="000B0464" w:rsidRPr="000B0464" w:rsidRDefault="000B0464" w:rsidP="000B0464">
            <w:pPr>
              <w:spacing w:after="0" w:line="240" w:lineRule="auto"/>
              <w:rPr>
                <w:rFonts w:ascii="Times New Roman" w:hAnsi="Times New Roman" w:cs="Times New Roman"/>
                <w:lang w:val="en-GB"/>
              </w:rPr>
            </w:pPr>
            <w:bookmarkStart w:id="0" w:name="_Hlk191369917"/>
            <w:bookmarkStart w:id="1" w:name="_Hlk145412337"/>
            <w:bookmarkStart w:id="2" w:name="_Hlk103340665"/>
            <w:bookmarkStart w:id="3" w:name="_Hlk24804592"/>
            <w:bookmarkEnd w:id="0"/>
            <w:bookmarkEnd w:id="1"/>
            <w:bookmarkEnd w:id="2"/>
            <w:r w:rsidRPr="000B0464">
              <w:rPr>
                <w:rFonts w:ascii="Times New Roman" w:hAnsi="Times New Roman" w:cs="Times New Roman"/>
                <w:noProof/>
                <w:lang w:val="en-GB"/>
              </w:rPr>
              <w:drawing>
                <wp:anchor distT="0" distB="0" distL="114300" distR="114300" simplePos="0" relativeHeight="251718656" behindDoc="0" locked="0" layoutInCell="1" allowOverlap="1" wp14:anchorId="784A83D2" wp14:editId="5DB00C31">
                  <wp:simplePos x="0" y="0"/>
                  <wp:positionH relativeFrom="column">
                    <wp:posOffset>-635</wp:posOffset>
                  </wp:positionH>
                  <wp:positionV relativeFrom="paragraph">
                    <wp:posOffset>351155</wp:posOffset>
                  </wp:positionV>
                  <wp:extent cx="438084" cy="432000"/>
                  <wp:effectExtent l="0" t="0" r="635" b="6350"/>
                  <wp:wrapNone/>
                  <wp:docPr id="1408409996" name="Obraz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84" cy="432000"/>
                          </a:xfrm>
                          <a:prstGeom prst="rect">
                            <a:avLst/>
                          </a:prstGeom>
                          <a:noFill/>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4920BCBC" w14:textId="77777777" w:rsidR="000B0464" w:rsidRPr="000B0464" w:rsidRDefault="000B0464" w:rsidP="000B0464">
            <w:pPr>
              <w:spacing w:after="0" w:line="240" w:lineRule="auto"/>
              <w:rPr>
                <w:rFonts w:ascii="Times New Roman" w:hAnsi="Times New Roman" w:cs="Times New Roman"/>
                <w:lang w:val="en-GB"/>
              </w:rPr>
            </w:pPr>
          </w:p>
        </w:tc>
      </w:tr>
      <w:tr w:rsidR="000B0464" w:rsidRPr="000B0464" w14:paraId="5D417C12" w14:textId="77777777" w:rsidTr="00F228A3">
        <w:trPr>
          <w:trHeight w:hRule="exact" w:val="283"/>
        </w:trPr>
        <w:tc>
          <w:tcPr>
            <w:tcW w:w="709" w:type="dxa"/>
            <w:vMerge/>
            <w:shd w:val="clear" w:color="auto" w:fill="auto"/>
          </w:tcPr>
          <w:p w14:paraId="6A205197" w14:textId="77777777" w:rsidR="000B0464" w:rsidRPr="000B0464" w:rsidRDefault="000B0464" w:rsidP="000B0464">
            <w:pPr>
              <w:spacing w:after="0" w:line="240" w:lineRule="auto"/>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74E701EB" w14:textId="77777777" w:rsidR="000B0464" w:rsidRPr="000B0464" w:rsidRDefault="000B0464" w:rsidP="000B0464">
            <w:pPr>
              <w:spacing w:after="0" w:line="240" w:lineRule="auto"/>
              <w:jc w:val="center"/>
              <w:rPr>
                <w:rFonts w:ascii="Times New Roman" w:hAnsi="Times New Roman" w:cs="Times New Roman"/>
                <w:lang w:val="en-GB"/>
              </w:rPr>
            </w:pPr>
            <w:proofErr w:type="spellStart"/>
            <w:r w:rsidRPr="000B0464">
              <w:rPr>
                <w:rFonts w:ascii="Times New Roman" w:hAnsi="Times New Roman" w:cs="Times New Roman"/>
                <w:b/>
                <w:lang w:val="en-GB"/>
              </w:rPr>
              <w:t>Rocznik</w:t>
            </w:r>
            <w:proofErr w:type="spellEnd"/>
            <w:r w:rsidRPr="000B0464">
              <w:rPr>
                <w:rFonts w:ascii="Times New Roman" w:hAnsi="Times New Roman" w:cs="Times New Roman"/>
                <w:b/>
                <w:lang w:val="en-GB"/>
              </w:rPr>
              <w:t xml:space="preserve"> </w:t>
            </w:r>
            <w:proofErr w:type="spellStart"/>
            <w:r w:rsidRPr="000B0464">
              <w:rPr>
                <w:rFonts w:ascii="Times New Roman" w:hAnsi="Times New Roman" w:cs="Times New Roman"/>
                <w:b/>
                <w:lang w:val="en-GB"/>
              </w:rPr>
              <w:t>Ochrona</w:t>
            </w:r>
            <w:proofErr w:type="spellEnd"/>
            <w:r w:rsidRPr="000B0464">
              <w:rPr>
                <w:rFonts w:ascii="Times New Roman" w:hAnsi="Times New Roman" w:cs="Times New Roman"/>
                <w:b/>
                <w:lang w:val="en-GB"/>
              </w:rPr>
              <w:t xml:space="preserve"> </w:t>
            </w:r>
            <w:proofErr w:type="spellStart"/>
            <w:r w:rsidRPr="000B0464">
              <w:rPr>
                <w:rFonts w:ascii="Times New Roman" w:hAnsi="Times New Roman" w:cs="Times New Roman"/>
                <w:b/>
                <w:lang w:val="en-GB"/>
              </w:rPr>
              <w:t>Środowiska</w:t>
            </w:r>
            <w:proofErr w:type="spellEnd"/>
          </w:p>
        </w:tc>
      </w:tr>
      <w:tr w:rsidR="000B0464" w:rsidRPr="000B0464" w14:paraId="3078FEB1" w14:textId="77777777" w:rsidTr="00F228A3">
        <w:trPr>
          <w:trHeight w:hRule="exact" w:val="283"/>
        </w:trPr>
        <w:tc>
          <w:tcPr>
            <w:tcW w:w="709" w:type="dxa"/>
            <w:vMerge/>
            <w:shd w:val="clear" w:color="auto" w:fill="auto"/>
          </w:tcPr>
          <w:p w14:paraId="3441A75D" w14:textId="77777777" w:rsidR="000B0464" w:rsidRPr="000B0464" w:rsidRDefault="000B0464" w:rsidP="000B0464">
            <w:pPr>
              <w:spacing w:after="0" w:line="240" w:lineRule="auto"/>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55BE790B" w14:textId="77777777" w:rsidR="000B0464" w:rsidRPr="000B0464" w:rsidRDefault="000B0464" w:rsidP="000B0464">
            <w:pPr>
              <w:spacing w:after="0" w:line="240" w:lineRule="auto"/>
              <w:rPr>
                <w:rFonts w:ascii="Times New Roman" w:hAnsi="Times New Roman" w:cs="Times New Roman"/>
                <w:sz w:val="18"/>
                <w:szCs w:val="18"/>
                <w:lang w:val="en-GB"/>
              </w:rPr>
            </w:pPr>
            <w:r w:rsidRPr="000B0464">
              <w:rPr>
                <w:rFonts w:ascii="Times New Roman" w:hAnsi="Times New Roman" w:cs="Times New Roman"/>
                <w:sz w:val="18"/>
                <w:szCs w:val="18"/>
                <w:lang w:val="en-GB"/>
              </w:rPr>
              <w:t>Volume 27</w:t>
            </w:r>
          </w:p>
        </w:tc>
        <w:tc>
          <w:tcPr>
            <w:tcW w:w="6304" w:type="dxa"/>
            <w:tcBorders>
              <w:top w:val="single" w:sz="2" w:space="0" w:color="auto"/>
              <w:bottom w:val="single" w:sz="2" w:space="0" w:color="auto"/>
            </w:tcBorders>
            <w:shd w:val="clear" w:color="auto" w:fill="auto"/>
            <w:vAlign w:val="center"/>
          </w:tcPr>
          <w:p w14:paraId="0736882C" w14:textId="77777777" w:rsidR="000B0464" w:rsidRPr="000B0464" w:rsidRDefault="000B0464" w:rsidP="000B0464">
            <w:pPr>
              <w:tabs>
                <w:tab w:val="left" w:pos="3057"/>
              </w:tabs>
              <w:spacing w:after="0" w:line="240" w:lineRule="auto"/>
              <w:ind w:left="142"/>
              <w:rPr>
                <w:rFonts w:ascii="Times New Roman" w:hAnsi="Times New Roman" w:cs="Times New Roman"/>
                <w:sz w:val="18"/>
                <w:szCs w:val="18"/>
                <w:lang w:val="en-GB"/>
              </w:rPr>
            </w:pPr>
            <w:r w:rsidRPr="000B0464">
              <w:rPr>
                <w:rFonts w:ascii="Times New Roman" w:hAnsi="Times New Roman" w:cs="Times New Roman"/>
                <w:sz w:val="18"/>
                <w:szCs w:val="18"/>
                <w:lang w:val="en-GB"/>
              </w:rPr>
              <w:t>Year 2025</w:t>
            </w:r>
            <w:r w:rsidRPr="000B0464">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5212A60C" w14:textId="29FEF18A" w:rsidR="000B0464" w:rsidRPr="000B0464" w:rsidRDefault="000B0464" w:rsidP="000B0464">
            <w:pPr>
              <w:spacing w:after="0" w:line="240" w:lineRule="auto"/>
              <w:jc w:val="right"/>
              <w:rPr>
                <w:rFonts w:ascii="Times New Roman" w:hAnsi="Times New Roman" w:cs="Times New Roman"/>
                <w:sz w:val="18"/>
                <w:szCs w:val="18"/>
                <w:lang w:val="en-GB"/>
              </w:rPr>
            </w:pPr>
            <w:r w:rsidRPr="000B0464">
              <w:rPr>
                <w:rFonts w:ascii="Times New Roman" w:hAnsi="Times New Roman" w:cs="Times New Roman"/>
                <w:sz w:val="18"/>
                <w:szCs w:val="18"/>
                <w:lang w:val="en-GB"/>
              </w:rPr>
              <w:t xml:space="preserve">pp. </w:t>
            </w:r>
            <w:r w:rsidR="00A04185">
              <w:rPr>
                <w:rFonts w:ascii="Times New Roman" w:hAnsi="Times New Roman" w:cs="Times New Roman"/>
                <w:sz w:val="18"/>
                <w:szCs w:val="18"/>
                <w:lang w:val="en-GB"/>
              </w:rPr>
              <w:t>305</w:t>
            </w:r>
            <w:r w:rsidRPr="000B0464">
              <w:rPr>
                <w:rFonts w:ascii="Times New Roman" w:hAnsi="Times New Roman" w:cs="Times New Roman"/>
                <w:sz w:val="18"/>
                <w:szCs w:val="18"/>
                <w:lang w:val="en-GB"/>
              </w:rPr>
              <w:t>-</w:t>
            </w:r>
            <w:r w:rsidR="00A04185">
              <w:rPr>
                <w:rFonts w:ascii="Times New Roman" w:hAnsi="Times New Roman" w:cs="Times New Roman"/>
                <w:sz w:val="18"/>
                <w:szCs w:val="18"/>
                <w:lang w:val="en-GB"/>
              </w:rPr>
              <w:t>311</w:t>
            </w:r>
          </w:p>
        </w:tc>
      </w:tr>
      <w:tr w:rsidR="000B0464" w:rsidRPr="000B0464" w14:paraId="3F16B4FC" w14:textId="77777777" w:rsidTr="00F228A3">
        <w:trPr>
          <w:trHeight w:hRule="exact" w:val="283"/>
        </w:trPr>
        <w:tc>
          <w:tcPr>
            <w:tcW w:w="709" w:type="dxa"/>
            <w:shd w:val="clear" w:color="auto" w:fill="auto"/>
          </w:tcPr>
          <w:p w14:paraId="2CCF8818" w14:textId="77777777" w:rsidR="000B0464" w:rsidRPr="000B0464" w:rsidRDefault="000B0464" w:rsidP="000B0464">
            <w:pPr>
              <w:spacing w:after="0" w:line="240" w:lineRule="auto"/>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30A4D89C" w14:textId="2C849083" w:rsidR="000B0464" w:rsidRPr="000B0464" w:rsidRDefault="000B0464" w:rsidP="000B0464">
            <w:pPr>
              <w:tabs>
                <w:tab w:val="right" w:pos="8928"/>
              </w:tabs>
              <w:spacing w:after="0" w:line="240" w:lineRule="auto"/>
              <w:rPr>
                <w:rFonts w:ascii="Times New Roman" w:hAnsi="Times New Roman" w:cs="Times New Roman"/>
                <w:sz w:val="18"/>
                <w:szCs w:val="18"/>
                <w:lang w:val="en-GB"/>
              </w:rPr>
            </w:pPr>
            <w:r w:rsidRPr="000B0464">
              <w:rPr>
                <w:rFonts w:ascii="Times New Roman" w:hAnsi="Times New Roman" w:cs="Times New Roman"/>
                <w:sz w:val="18"/>
                <w:szCs w:val="18"/>
                <w:lang w:val="en-GB"/>
              </w:rPr>
              <w:t>https://doi.org/10.54740/ros.2025.0</w:t>
            </w:r>
            <w:r w:rsidR="00A04185">
              <w:rPr>
                <w:rFonts w:ascii="Times New Roman" w:hAnsi="Times New Roman" w:cs="Times New Roman"/>
                <w:sz w:val="18"/>
                <w:szCs w:val="18"/>
                <w:lang w:val="en-GB"/>
              </w:rPr>
              <w:t>24</w:t>
            </w:r>
            <w:r w:rsidRPr="000B0464">
              <w:rPr>
                <w:rFonts w:ascii="Times New Roman" w:hAnsi="Times New Roman" w:cs="Times New Roman"/>
                <w:sz w:val="18"/>
                <w:szCs w:val="18"/>
                <w:lang w:val="en-GB"/>
              </w:rPr>
              <w:tab/>
              <w:t>open access</w:t>
            </w:r>
          </w:p>
        </w:tc>
      </w:tr>
      <w:tr w:rsidR="000B0464" w:rsidRPr="000B0464" w14:paraId="7FE466D9" w14:textId="77777777" w:rsidTr="00F228A3">
        <w:trPr>
          <w:trHeight w:hRule="exact" w:val="283"/>
        </w:trPr>
        <w:tc>
          <w:tcPr>
            <w:tcW w:w="709" w:type="dxa"/>
            <w:shd w:val="clear" w:color="auto" w:fill="auto"/>
          </w:tcPr>
          <w:p w14:paraId="6529F8FE" w14:textId="77777777" w:rsidR="000B0464" w:rsidRPr="000B0464" w:rsidRDefault="000B0464" w:rsidP="000B0464">
            <w:pPr>
              <w:spacing w:after="0" w:line="240" w:lineRule="auto"/>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16421320" w14:textId="0E670A93" w:rsidR="000B0464" w:rsidRPr="000B0464" w:rsidRDefault="000B0464" w:rsidP="000B0464">
            <w:pPr>
              <w:tabs>
                <w:tab w:val="left" w:pos="3895"/>
                <w:tab w:val="right" w:pos="8928"/>
              </w:tabs>
              <w:spacing w:after="0" w:line="240" w:lineRule="auto"/>
              <w:rPr>
                <w:rFonts w:ascii="Times New Roman" w:hAnsi="Times New Roman" w:cs="Times New Roman"/>
                <w:sz w:val="18"/>
                <w:szCs w:val="18"/>
                <w:lang w:val="en-GB"/>
              </w:rPr>
            </w:pPr>
            <w:r w:rsidRPr="000B0464">
              <w:rPr>
                <w:rFonts w:ascii="Times New Roman" w:hAnsi="Times New Roman" w:cs="Times New Roman"/>
                <w:sz w:val="18"/>
                <w:szCs w:val="18"/>
                <w:lang w:val="en-GB"/>
              </w:rPr>
              <w:t xml:space="preserve">Received: </w:t>
            </w:r>
            <w:r w:rsidR="00745D82">
              <w:rPr>
                <w:rFonts w:ascii="Times New Roman" w:hAnsi="Times New Roman" w:cs="Times New Roman"/>
                <w:sz w:val="18"/>
                <w:szCs w:val="18"/>
                <w:lang w:val="en-GB"/>
              </w:rPr>
              <w:t>April</w:t>
            </w:r>
            <w:r w:rsidRPr="000B0464">
              <w:rPr>
                <w:rFonts w:ascii="Times New Roman" w:hAnsi="Times New Roman" w:cs="Times New Roman"/>
                <w:sz w:val="18"/>
                <w:szCs w:val="18"/>
                <w:lang w:val="en-GB"/>
              </w:rPr>
              <w:t xml:space="preserve"> 2025</w:t>
            </w:r>
            <w:r w:rsidRPr="000B0464">
              <w:rPr>
                <w:rFonts w:ascii="Times New Roman" w:hAnsi="Times New Roman" w:cs="Times New Roman"/>
                <w:sz w:val="18"/>
                <w:szCs w:val="18"/>
                <w:lang w:val="en-GB"/>
              </w:rPr>
              <w:tab/>
              <w:t>Accepted: May 2025</w:t>
            </w:r>
            <w:r w:rsidRPr="000B0464">
              <w:rPr>
                <w:rFonts w:ascii="Times New Roman" w:hAnsi="Times New Roman" w:cs="Times New Roman"/>
                <w:sz w:val="18"/>
                <w:szCs w:val="18"/>
                <w:lang w:val="en-GB"/>
              </w:rPr>
              <w:tab/>
              <w:t>Published: May 2025</w:t>
            </w:r>
          </w:p>
        </w:tc>
      </w:tr>
    </w:tbl>
    <w:bookmarkEnd w:id="3"/>
    <w:p w14:paraId="2533EFEC" w14:textId="510023EB" w:rsidR="00627B30" w:rsidRPr="000B0464" w:rsidRDefault="003B7396" w:rsidP="004075ED">
      <w:pPr>
        <w:pStyle w:val="Rtytu"/>
        <w:rPr>
          <w:lang w:val="en-GB"/>
        </w:rPr>
      </w:pPr>
      <w:r w:rsidRPr="000B0464">
        <w:rPr>
          <w:rFonts w:cs="Times New Roman"/>
          <w:bCs/>
          <w:szCs w:val="24"/>
          <w:lang w:val="en-GB"/>
        </w:rPr>
        <w:t xml:space="preserve">Evaluation of the </w:t>
      </w:r>
      <w:r w:rsidR="00CF47F6" w:rsidRPr="000B0464">
        <w:rPr>
          <w:rFonts w:cs="Times New Roman"/>
          <w:bCs/>
          <w:szCs w:val="24"/>
          <w:lang w:val="en-GB"/>
        </w:rPr>
        <w:t>E</w:t>
      </w:r>
      <w:r w:rsidRPr="000B0464">
        <w:rPr>
          <w:rFonts w:cs="Times New Roman"/>
          <w:bCs/>
          <w:szCs w:val="24"/>
          <w:lang w:val="en-GB"/>
        </w:rPr>
        <w:t xml:space="preserve">ffectiveness of </w:t>
      </w:r>
      <w:proofErr w:type="spellStart"/>
      <w:r w:rsidR="00EB56DC" w:rsidRPr="000B0464">
        <w:rPr>
          <w:rFonts w:cs="Times New Roman"/>
          <w:bCs/>
          <w:szCs w:val="24"/>
          <w:lang w:val="en-GB"/>
        </w:rPr>
        <w:t>Leanum</w:t>
      </w:r>
      <w:proofErr w:type="spellEnd"/>
      <w:r w:rsidR="00EB56DC" w:rsidRPr="000B0464">
        <w:rPr>
          <w:rFonts w:cs="Times New Roman"/>
          <w:bCs/>
          <w:szCs w:val="24"/>
          <w:lang w:val="en-GB"/>
        </w:rPr>
        <w:t xml:space="preserve"> </w:t>
      </w:r>
      <w:r w:rsidR="00CF47F6" w:rsidRPr="000B0464">
        <w:rPr>
          <w:rFonts w:cs="Times New Roman"/>
          <w:bCs/>
          <w:szCs w:val="24"/>
          <w:lang w:val="en-GB"/>
        </w:rPr>
        <w:t>B</w:t>
      </w:r>
      <w:r w:rsidRPr="000B0464">
        <w:rPr>
          <w:rFonts w:cs="Times New Roman"/>
          <w:bCs/>
          <w:szCs w:val="24"/>
          <w:lang w:val="en-GB"/>
        </w:rPr>
        <w:t>iofertilizer</w:t>
      </w:r>
      <w:r w:rsidR="00BD31CD" w:rsidRPr="000B0464">
        <w:rPr>
          <w:rFonts w:cs="Times New Roman"/>
          <w:bCs/>
          <w:szCs w:val="24"/>
          <w:lang w:val="en-GB"/>
        </w:rPr>
        <w:t xml:space="preserve"> </w:t>
      </w:r>
      <w:r w:rsidRPr="000B0464">
        <w:rPr>
          <w:rFonts w:cs="Times New Roman"/>
          <w:bCs/>
          <w:szCs w:val="24"/>
          <w:lang w:val="en-GB"/>
        </w:rPr>
        <w:t>in</w:t>
      </w:r>
      <w:r w:rsidR="003F229C" w:rsidRPr="000B0464">
        <w:rPr>
          <w:rFonts w:cs="Times New Roman"/>
          <w:bCs/>
          <w:szCs w:val="24"/>
          <w:lang w:val="en-GB"/>
        </w:rPr>
        <w:t xml:space="preserve"> the</w:t>
      </w:r>
      <w:r w:rsidRPr="000B0464">
        <w:rPr>
          <w:rFonts w:cs="Times New Roman"/>
          <w:bCs/>
          <w:szCs w:val="24"/>
          <w:lang w:val="en-GB"/>
        </w:rPr>
        <w:t xml:space="preserve"> </w:t>
      </w:r>
      <w:r w:rsidR="00CF47F6" w:rsidRPr="000B0464">
        <w:rPr>
          <w:rFonts w:cs="Times New Roman"/>
          <w:bCs/>
          <w:szCs w:val="24"/>
          <w:lang w:val="en-GB"/>
        </w:rPr>
        <w:t>M</w:t>
      </w:r>
      <w:r w:rsidR="003F229C" w:rsidRPr="000B0464">
        <w:rPr>
          <w:rFonts w:cs="Times New Roman"/>
          <w:bCs/>
          <w:szCs w:val="24"/>
          <w:lang w:val="en-GB"/>
        </w:rPr>
        <w:t xml:space="preserve">anagement </w:t>
      </w:r>
      <w:r w:rsidR="00F8530D">
        <w:rPr>
          <w:rFonts w:cs="Times New Roman"/>
          <w:bCs/>
          <w:szCs w:val="24"/>
          <w:lang w:val="en-GB"/>
        </w:rPr>
        <w:br/>
      </w:r>
      <w:r w:rsidR="003F229C" w:rsidRPr="000B0464">
        <w:rPr>
          <w:rFonts w:cs="Times New Roman"/>
          <w:bCs/>
          <w:szCs w:val="24"/>
          <w:lang w:val="en-GB"/>
        </w:rPr>
        <w:t xml:space="preserve">of </w:t>
      </w:r>
      <w:r w:rsidR="00CF47F6" w:rsidRPr="000B0464">
        <w:rPr>
          <w:rFonts w:cs="Times New Roman"/>
          <w:bCs/>
          <w:szCs w:val="24"/>
          <w:lang w:val="en-GB"/>
        </w:rPr>
        <w:t>O</w:t>
      </w:r>
      <w:r w:rsidR="003F229C" w:rsidRPr="000B0464">
        <w:rPr>
          <w:rFonts w:cs="Times New Roman"/>
          <w:bCs/>
          <w:szCs w:val="24"/>
          <w:lang w:val="en-GB"/>
        </w:rPr>
        <w:t xml:space="preserve">rganic </w:t>
      </w:r>
      <w:r w:rsidR="00CF47F6" w:rsidRPr="000B0464">
        <w:rPr>
          <w:rFonts w:cs="Times New Roman"/>
          <w:bCs/>
          <w:szCs w:val="24"/>
          <w:lang w:val="en-GB"/>
        </w:rPr>
        <w:t>C</w:t>
      </w:r>
      <w:r w:rsidR="003F229C" w:rsidRPr="000B0464">
        <w:rPr>
          <w:rFonts w:cs="Times New Roman"/>
          <w:bCs/>
          <w:szCs w:val="24"/>
          <w:lang w:val="en-GB"/>
        </w:rPr>
        <w:t xml:space="preserve">rop </w:t>
      </w:r>
      <w:r w:rsidR="00CF47F6" w:rsidRPr="000B0464">
        <w:rPr>
          <w:rFonts w:cs="Times New Roman"/>
          <w:bCs/>
          <w:szCs w:val="24"/>
          <w:lang w:val="en-GB"/>
        </w:rPr>
        <w:t>R</w:t>
      </w:r>
      <w:r w:rsidR="003F229C" w:rsidRPr="000B0464">
        <w:rPr>
          <w:rFonts w:cs="Times New Roman"/>
          <w:bCs/>
          <w:szCs w:val="24"/>
          <w:lang w:val="en-GB"/>
        </w:rPr>
        <w:t>otation</w:t>
      </w:r>
      <w:r w:rsidRPr="000B0464">
        <w:rPr>
          <w:rFonts w:cs="Times New Roman"/>
          <w:bCs/>
          <w:szCs w:val="24"/>
          <w:lang w:val="en-GB"/>
        </w:rPr>
        <w:t xml:space="preserve"> </w:t>
      </w:r>
      <w:r w:rsidR="003F229C" w:rsidRPr="000B0464">
        <w:rPr>
          <w:rFonts w:cs="Times New Roman"/>
          <w:bCs/>
          <w:szCs w:val="24"/>
          <w:lang w:val="en-GB"/>
        </w:rPr>
        <w:t xml:space="preserve">and </w:t>
      </w:r>
      <w:r w:rsidR="00CF47F6" w:rsidRPr="000B0464">
        <w:rPr>
          <w:rFonts w:cs="Times New Roman"/>
          <w:bCs/>
          <w:szCs w:val="24"/>
          <w:lang w:val="en-GB"/>
        </w:rPr>
        <w:t>B</w:t>
      </w:r>
      <w:r w:rsidRPr="000B0464">
        <w:rPr>
          <w:rFonts w:cs="Times New Roman"/>
          <w:bCs/>
          <w:szCs w:val="24"/>
          <w:lang w:val="en-GB"/>
        </w:rPr>
        <w:t xml:space="preserve">uckwheat </w:t>
      </w:r>
      <w:r w:rsidR="00CF47F6" w:rsidRPr="000B0464">
        <w:rPr>
          <w:rFonts w:cs="Times New Roman"/>
          <w:bCs/>
          <w:szCs w:val="24"/>
          <w:lang w:val="en-GB"/>
        </w:rPr>
        <w:t>P</w:t>
      </w:r>
      <w:r w:rsidRPr="000B0464">
        <w:rPr>
          <w:rFonts w:cs="Times New Roman"/>
          <w:bCs/>
          <w:szCs w:val="24"/>
          <w:lang w:val="en-GB"/>
        </w:rPr>
        <w:t>roductivity</w:t>
      </w:r>
    </w:p>
    <w:p w14:paraId="63A5EF38" w14:textId="449CDE12" w:rsidR="002B25D7" w:rsidRPr="00DB7EF7" w:rsidRDefault="003B7396" w:rsidP="004075ED">
      <w:pPr>
        <w:pStyle w:val="Rautor"/>
        <w:rPr>
          <w:lang w:val="en-GB"/>
        </w:rPr>
      </w:pPr>
      <w:r w:rsidRPr="000B0464">
        <w:rPr>
          <w:lang w:val="en-GB"/>
        </w:rPr>
        <w:t>Andrii</w:t>
      </w:r>
      <w:r w:rsidR="00EB53B0" w:rsidRPr="000B0464">
        <w:rPr>
          <w:lang w:val="en-GB"/>
        </w:rPr>
        <w:t xml:space="preserve"> Butenko</w:t>
      </w:r>
      <w:r w:rsidR="002B25D7" w:rsidRPr="000B0464">
        <w:rPr>
          <w:vertAlign w:val="superscript"/>
          <w:lang w:val="en-GB"/>
        </w:rPr>
        <w:t>1</w:t>
      </w:r>
      <w:r w:rsidR="00355B39" w:rsidRPr="000B0464">
        <w:rPr>
          <w:vertAlign w:val="superscript"/>
          <w:lang w:val="en-GB"/>
        </w:rPr>
        <w:t>*</w:t>
      </w:r>
      <w:r w:rsidR="00EB53B0" w:rsidRPr="000B0464">
        <w:rPr>
          <w:lang w:val="en-GB"/>
        </w:rPr>
        <w:t>,</w:t>
      </w:r>
      <w:r w:rsidR="00B07B03" w:rsidRPr="000B0464">
        <w:rPr>
          <w:szCs w:val="24"/>
          <w:lang w:val="en-GB"/>
        </w:rPr>
        <w:t xml:space="preserve"> Oksana Datsko</w:t>
      </w:r>
      <w:r w:rsidR="00BE0575" w:rsidRPr="000B0464">
        <w:rPr>
          <w:szCs w:val="24"/>
          <w:vertAlign w:val="superscript"/>
          <w:lang w:val="en-GB"/>
        </w:rPr>
        <w:t>2</w:t>
      </w:r>
      <w:r w:rsidR="00B07B03" w:rsidRPr="000B0464">
        <w:rPr>
          <w:lang w:val="en-GB"/>
        </w:rPr>
        <w:t>, Mykola Sobko</w:t>
      </w:r>
      <w:r w:rsidR="00BE0575" w:rsidRPr="000B0464">
        <w:rPr>
          <w:vertAlign w:val="superscript"/>
          <w:lang w:val="en-GB"/>
        </w:rPr>
        <w:t>3</w:t>
      </w:r>
      <w:r w:rsidR="00BE0575" w:rsidRPr="000B0464">
        <w:rPr>
          <w:lang w:val="en-GB"/>
        </w:rPr>
        <w:t>,</w:t>
      </w:r>
      <w:r w:rsidR="00355B39" w:rsidRPr="000B0464">
        <w:rPr>
          <w:lang w:val="en-GB"/>
        </w:rPr>
        <w:t xml:space="preserve"> Viktor Onychko</w:t>
      </w:r>
      <w:r w:rsidR="00BE0575" w:rsidRPr="000B0464">
        <w:rPr>
          <w:vertAlign w:val="superscript"/>
          <w:lang w:val="en-GB"/>
        </w:rPr>
        <w:t>4</w:t>
      </w:r>
      <w:r w:rsidR="006F3642" w:rsidRPr="000B0464">
        <w:rPr>
          <w:lang w:val="en-GB"/>
        </w:rPr>
        <w:t xml:space="preserve">, </w:t>
      </w:r>
      <w:r w:rsidR="00F8530D">
        <w:rPr>
          <w:lang w:val="en-GB"/>
        </w:rPr>
        <w:br/>
      </w:r>
      <w:r w:rsidR="00355B39" w:rsidRPr="000B0464">
        <w:rPr>
          <w:szCs w:val="24"/>
          <w:lang w:val="en-GB"/>
        </w:rPr>
        <w:t>Svitlana Turchina</w:t>
      </w:r>
      <w:r w:rsidR="00BE0575" w:rsidRPr="000B0464">
        <w:rPr>
          <w:vertAlign w:val="superscript"/>
          <w:lang w:val="en-GB"/>
        </w:rPr>
        <w:t>5</w:t>
      </w:r>
      <w:r w:rsidR="00660497" w:rsidRPr="000B0464">
        <w:rPr>
          <w:lang w:val="en-GB"/>
        </w:rPr>
        <w:t xml:space="preserve">, </w:t>
      </w:r>
      <w:proofErr w:type="spellStart"/>
      <w:r w:rsidR="00355B39" w:rsidRPr="000B0464">
        <w:rPr>
          <w:szCs w:val="24"/>
          <w:lang w:val="en-GB"/>
        </w:rPr>
        <w:t>Liudmyla</w:t>
      </w:r>
      <w:proofErr w:type="spellEnd"/>
      <w:r w:rsidR="00355B39" w:rsidRPr="000B0464">
        <w:rPr>
          <w:szCs w:val="24"/>
          <w:lang w:val="en-GB"/>
        </w:rPr>
        <w:t xml:space="preserve"> Dashutina</w:t>
      </w:r>
      <w:r w:rsidR="00BE0575" w:rsidRPr="000B0464">
        <w:rPr>
          <w:vertAlign w:val="superscript"/>
          <w:lang w:val="en-GB"/>
        </w:rPr>
        <w:t>6</w:t>
      </w:r>
      <w:r w:rsidR="00BE0575" w:rsidRPr="000B0464">
        <w:rPr>
          <w:lang w:val="en-GB"/>
        </w:rPr>
        <w:t xml:space="preserve">, </w:t>
      </w:r>
      <w:r w:rsidR="00A559FA" w:rsidRPr="000B0464">
        <w:rPr>
          <w:szCs w:val="24"/>
          <w:lang w:val="en-GB"/>
        </w:rPr>
        <w:t>Nataliya Tymchuk</w:t>
      </w:r>
      <w:r w:rsidR="00A559FA" w:rsidRPr="000B0464">
        <w:rPr>
          <w:vertAlign w:val="superscript"/>
          <w:lang w:val="en-GB"/>
        </w:rPr>
        <w:t>7</w:t>
      </w:r>
      <w:r w:rsidR="00A559FA" w:rsidRPr="000B0464">
        <w:rPr>
          <w:lang w:val="en-GB"/>
        </w:rPr>
        <w:t xml:space="preserve">, </w:t>
      </w:r>
      <w:r w:rsidR="00BE0575" w:rsidRPr="000B0464">
        <w:rPr>
          <w:lang w:val="en-GB"/>
        </w:rPr>
        <w:t>Olena Volokhova</w:t>
      </w:r>
      <w:r w:rsidR="00A559FA" w:rsidRPr="000B0464">
        <w:rPr>
          <w:szCs w:val="24"/>
          <w:vertAlign w:val="superscript"/>
          <w:lang w:val="en-GB"/>
        </w:rPr>
        <w:t>8</w:t>
      </w:r>
      <w:r w:rsidR="00A559FA" w:rsidRPr="000B0464">
        <w:rPr>
          <w:szCs w:val="24"/>
          <w:lang w:val="en-GB"/>
        </w:rPr>
        <w:t xml:space="preserve">, </w:t>
      </w:r>
      <w:r w:rsidR="00F8530D">
        <w:rPr>
          <w:szCs w:val="24"/>
          <w:lang w:val="en-GB"/>
        </w:rPr>
        <w:br/>
      </w:r>
      <w:r w:rsidR="00A559FA" w:rsidRPr="000B0464">
        <w:rPr>
          <w:szCs w:val="24"/>
          <w:lang w:val="en-GB"/>
        </w:rPr>
        <w:t>Vitalii Vechirka</w:t>
      </w:r>
      <w:r w:rsidR="00A559FA" w:rsidRPr="000B0464">
        <w:rPr>
          <w:szCs w:val="24"/>
          <w:vertAlign w:val="superscript"/>
          <w:lang w:val="en-GB"/>
        </w:rPr>
        <w:t>9</w:t>
      </w:r>
      <w:r w:rsidR="00DB7EF7">
        <w:rPr>
          <w:szCs w:val="24"/>
          <w:lang w:val="en-GB"/>
        </w:rPr>
        <w:t xml:space="preserve">, </w:t>
      </w:r>
      <w:r w:rsidR="00DB7EF7" w:rsidRPr="00DB7EF7">
        <w:rPr>
          <w:szCs w:val="24"/>
          <w:lang w:val="en-GB"/>
        </w:rPr>
        <w:t>Volodymyr Shpetnyi</w:t>
      </w:r>
      <w:r w:rsidR="00DB7EF7" w:rsidRPr="00DB7EF7">
        <w:rPr>
          <w:szCs w:val="24"/>
          <w:vertAlign w:val="superscript"/>
          <w:lang w:val="en-GB"/>
        </w:rPr>
        <w:t>10</w:t>
      </w:r>
    </w:p>
    <w:p w14:paraId="16A42249" w14:textId="54411F21" w:rsidR="007F00C4" w:rsidRPr="000B0464" w:rsidRDefault="002B25D7" w:rsidP="004075ED">
      <w:pPr>
        <w:pStyle w:val="Rafiliacja"/>
        <w:rPr>
          <w:lang w:val="en-GB"/>
        </w:rPr>
      </w:pPr>
      <w:r w:rsidRPr="000B0464">
        <w:rPr>
          <w:szCs w:val="20"/>
          <w:vertAlign w:val="superscript"/>
          <w:lang w:val="en-GB"/>
        </w:rPr>
        <w:t>1</w:t>
      </w:r>
      <w:r w:rsidR="00271ED8" w:rsidRPr="000B0464">
        <w:rPr>
          <w:szCs w:val="20"/>
          <w:shd w:val="clear" w:color="auto" w:fill="FFFFFF"/>
          <w:lang w:val="en-GB"/>
        </w:rPr>
        <w:t xml:space="preserve">Department of </w:t>
      </w:r>
      <w:proofErr w:type="spellStart"/>
      <w:r w:rsidR="00271ED8" w:rsidRPr="000B0464">
        <w:rPr>
          <w:szCs w:val="20"/>
          <w:shd w:val="clear" w:color="auto" w:fill="FFFFFF"/>
          <w:lang w:val="en-GB"/>
        </w:rPr>
        <w:t>Agrotechnologies</w:t>
      </w:r>
      <w:proofErr w:type="spellEnd"/>
      <w:r w:rsidR="00271ED8" w:rsidRPr="000B0464">
        <w:rPr>
          <w:szCs w:val="20"/>
          <w:shd w:val="clear" w:color="auto" w:fill="FFFFFF"/>
          <w:lang w:val="en-GB"/>
        </w:rPr>
        <w:t xml:space="preserve"> and Soil Science,</w:t>
      </w:r>
      <w:r w:rsidR="00271ED8" w:rsidRPr="000B0464">
        <w:rPr>
          <w:rFonts w:ascii="Arial" w:hAnsi="Arial" w:cs="Arial"/>
          <w:sz w:val="21"/>
          <w:szCs w:val="21"/>
          <w:shd w:val="clear" w:color="auto" w:fill="FFFFFF"/>
          <w:lang w:val="en-GB"/>
        </w:rPr>
        <w:t xml:space="preserve"> </w:t>
      </w:r>
      <w:r w:rsidR="00A559FA" w:rsidRPr="000B0464">
        <w:rPr>
          <w:szCs w:val="20"/>
          <w:lang w:val="en-GB"/>
        </w:rPr>
        <w:t>Sumy National Agrarian University, Sumy, Ukraine</w:t>
      </w:r>
      <w:r w:rsidR="00CF47F6" w:rsidRPr="000B0464">
        <w:rPr>
          <w:lang w:val="en-GB"/>
        </w:rPr>
        <w:t xml:space="preserve"> </w:t>
      </w:r>
      <w:r w:rsidRPr="000B0464">
        <w:rPr>
          <w:lang w:val="en-GB"/>
        </w:rPr>
        <w:t>https://orcid.org/</w:t>
      </w:r>
      <w:r w:rsidR="00A559FA" w:rsidRPr="000B0464">
        <w:rPr>
          <w:lang w:val="en-GB"/>
        </w:rPr>
        <w:t>0000-0001-9639-9826</w:t>
      </w:r>
    </w:p>
    <w:p w14:paraId="7D85A183" w14:textId="00440A4F" w:rsidR="007F00C4" w:rsidRPr="000B0464" w:rsidRDefault="002B25D7" w:rsidP="004075ED">
      <w:pPr>
        <w:pStyle w:val="Rafiliacja"/>
        <w:rPr>
          <w:lang w:val="en-GB"/>
        </w:rPr>
      </w:pPr>
      <w:r w:rsidRPr="000B0464">
        <w:rPr>
          <w:vertAlign w:val="superscript"/>
          <w:lang w:val="en-GB"/>
        </w:rPr>
        <w:t>2</w:t>
      </w:r>
      <w:r w:rsidR="00271ED8" w:rsidRPr="000B0464">
        <w:rPr>
          <w:szCs w:val="20"/>
          <w:shd w:val="clear" w:color="auto" w:fill="FFFFFF"/>
          <w:lang w:val="en-GB"/>
        </w:rPr>
        <w:t xml:space="preserve">Department of </w:t>
      </w:r>
      <w:proofErr w:type="spellStart"/>
      <w:r w:rsidR="00271ED8" w:rsidRPr="000B0464">
        <w:rPr>
          <w:szCs w:val="20"/>
          <w:shd w:val="clear" w:color="auto" w:fill="FFFFFF"/>
          <w:lang w:val="en-GB"/>
        </w:rPr>
        <w:t>Agrotechnologies</w:t>
      </w:r>
      <w:proofErr w:type="spellEnd"/>
      <w:r w:rsidR="00271ED8" w:rsidRPr="000B0464">
        <w:rPr>
          <w:szCs w:val="20"/>
          <w:shd w:val="clear" w:color="auto" w:fill="FFFFFF"/>
          <w:lang w:val="en-GB"/>
        </w:rPr>
        <w:t xml:space="preserve"> and Soil Science,</w:t>
      </w:r>
      <w:r w:rsidR="00271ED8" w:rsidRPr="000B0464">
        <w:rPr>
          <w:rFonts w:ascii="Arial" w:hAnsi="Arial" w:cs="Arial"/>
          <w:sz w:val="21"/>
          <w:szCs w:val="21"/>
          <w:shd w:val="clear" w:color="auto" w:fill="FFFFFF"/>
          <w:lang w:val="en-GB"/>
        </w:rPr>
        <w:t xml:space="preserve"> </w:t>
      </w:r>
      <w:r w:rsidR="00A559FA" w:rsidRPr="000B0464">
        <w:rPr>
          <w:szCs w:val="20"/>
          <w:lang w:val="en-GB"/>
        </w:rPr>
        <w:t>Sumy National Agrarian University, Sumy, Ukraine</w:t>
      </w:r>
      <w:r w:rsidR="00A559FA" w:rsidRPr="000B0464">
        <w:rPr>
          <w:lang w:val="en-GB"/>
        </w:rPr>
        <w:t xml:space="preserve"> </w:t>
      </w:r>
      <w:r w:rsidRPr="000B0464">
        <w:rPr>
          <w:lang w:val="en-GB"/>
        </w:rPr>
        <w:t>https://orcid.org/</w:t>
      </w:r>
      <w:r w:rsidR="000801A8" w:rsidRPr="000B0464">
        <w:rPr>
          <w:lang w:val="en-GB"/>
        </w:rPr>
        <w:t>0000-0001-9610-3087</w:t>
      </w:r>
    </w:p>
    <w:p w14:paraId="79BAD916" w14:textId="5A71A436" w:rsidR="007F00C4" w:rsidRPr="000B0464" w:rsidRDefault="002B25D7" w:rsidP="004075ED">
      <w:pPr>
        <w:pStyle w:val="Rafiliacja"/>
        <w:rPr>
          <w:lang w:val="en-GB"/>
        </w:rPr>
      </w:pPr>
      <w:r w:rsidRPr="000B0464">
        <w:rPr>
          <w:szCs w:val="20"/>
          <w:vertAlign w:val="superscript"/>
          <w:lang w:val="en-GB"/>
        </w:rPr>
        <w:t>3</w:t>
      </w:r>
      <w:r w:rsidR="000801A8" w:rsidRPr="000B0464">
        <w:rPr>
          <w:szCs w:val="20"/>
          <w:lang w:val="en-GB" w:eastAsia="ru-RU"/>
        </w:rPr>
        <w:t>Institute of Agriculture of Northern East of National Academy of Agrarian Sciences of Ukraine</w:t>
      </w:r>
      <w:r w:rsidR="008C0BC9">
        <w:rPr>
          <w:szCs w:val="20"/>
          <w:lang w:val="en-GB" w:eastAsia="ru-RU"/>
        </w:rPr>
        <w:t xml:space="preserve"> </w:t>
      </w:r>
      <w:r w:rsidR="008C0BC9">
        <w:rPr>
          <w:szCs w:val="20"/>
          <w:lang w:val="en-GB" w:eastAsia="ru-RU"/>
        </w:rPr>
        <w:br/>
      </w:r>
      <w:r w:rsidRPr="000B0464">
        <w:rPr>
          <w:lang w:val="en-GB"/>
        </w:rPr>
        <w:t>https://orcid.org/</w:t>
      </w:r>
      <w:r w:rsidR="000801A8" w:rsidRPr="000B0464">
        <w:rPr>
          <w:lang w:val="en-GB"/>
        </w:rPr>
        <w:t>0000-0002-3752-2449</w:t>
      </w:r>
    </w:p>
    <w:p w14:paraId="4DF0F885" w14:textId="5C6F9F79" w:rsidR="001B402A" w:rsidRPr="000B0464" w:rsidRDefault="006F3642" w:rsidP="004075ED">
      <w:pPr>
        <w:pStyle w:val="Rafiliacja"/>
        <w:rPr>
          <w:lang w:val="en-GB"/>
        </w:rPr>
      </w:pPr>
      <w:r w:rsidRPr="000B0464">
        <w:rPr>
          <w:vertAlign w:val="superscript"/>
          <w:lang w:val="en-GB"/>
        </w:rPr>
        <w:t>4</w:t>
      </w:r>
      <w:r w:rsidR="00587B82" w:rsidRPr="000B0464">
        <w:rPr>
          <w:lang w:val="en-GB"/>
        </w:rPr>
        <w:t xml:space="preserve">Department of Selection and Seeds </w:t>
      </w:r>
      <w:r w:rsidR="00300BD2" w:rsidRPr="000B0464">
        <w:rPr>
          <w:lang w:val="en-GB"/>
        </w:rPr>
        <w:t xml:space="preserve">named after </w:t>
      </w:r>
      <w:r w:rsidR="00587B82" w:rsidRPr="000B0464">
        <w:rPr>
          <w:lang w:val="en-GB"/>
        </w:rPr>
        <w:t xml:space="preserve">M.D. </w:t>
      </w:r>
      <w:proofErr w:type="spellStart"/>
      <w:r w:rsidR="00587B82" w:rsidRPr="000B0464">
        <w:rPr>
          <w:lang w:val="en-GB"/>
        </w:rPr>
        <w:t>Honcharov</w:t>
      </w:r>
      <w:proofErr w:type="spellEnd"/>
      <w:r w:rsidR="00587B82" w:rsidRPr="000B0464">
        <w:rPr>
          <w:lang w:val="en-GB"/>
        </w:rPr>
        <w:t xml:space="preserve">, </w:t>
      </w:r>
      <w:r w:rsidR="009A0C90" w:rsidRPr="000B0464">
        <w:rPr>
          <w:szCs w:val="20"/>
          <w:lang w:val="en-GB"/>
        </w:rPr>
        <w:t>Sumy National Agrarian University, Sumy, Ukraine</w:t>
      </w:r>
      <w:r w:rsidR="009A0C90" w:rsidRPr="000B0464">
        <w:rPr>
          <w:lang w:val="en-GB"/>
        </w:rPr>
        <w:t xml:space="preserve"> https://orcid.org/0000-0003-0584-319X</w:t>
      </w:r>
    </w:p>
    <w:p w14:paraId="22381469" w14:textId="21B0FF25" w:rsidR="00660497" w:rsidRPr="000B0464" w:rsidRDefault="003226E4" w:rsidP="004075ED">
      <w:pPr>
        <w:pStyle w:val="Rafiliacja"/>
        <w:rPr>
          <w:lang w:val="en-GB"/>
        </w:rPr>
      </w:pPr>
      <w:r w:rsidRPr="000B0464">
        <w:rPr>
          <w:vertAlign w:val="superscript"/>
          <w:lang w:val="en-GB"/>
        </w:rPr>
        <w:t>5</w:t>
      </w:r>
      <w:r w:rsidR="00DB7EF7" w:rsidRPr="00DB7EF7">
        <w:rPr>
          <w:lang w:val="en-GB"/>
        </w:rPr>
        <w:t xml:space="preserve">Management </w:t>
      </w:r>
      <w:r w:rsidR="0026465A" w:rsidRPr="000B0464">
        <w:rPr>
          <w:szCs w:val="20"/>
          <w:lang w:val="en-GB"/>
        </w:rPr>
        <w:t xml:space="preserve">Department named after Professor L.I. </w:t>
      </w:r>
      <w:proofErr w:type="spellStart"/>
      <w:r w:rsidR="0026465A" w:rsidRPr="000B0464">
        <w:rPr>
          <w:szCs w:val="20"/>
          <w:lang w:val="en-GB"/>
        </w:rPr>
        <w:t>Mykhaylova</w:t>
      </w:r>
      <w:proofErr w:type="spellEnd"/>
      <w:r w:rsidR="0026465A" w:rsidRPr="000B0464">
        <w:rPr>
          <w:szCs w:val="20"/>
          <w:lang w:val="en-GB"/>
        </w:rPr>
        <w:t xml:space="preserve">, </w:t>
      </w:r>
      <w:r w:rsidR="009A0C90" w:rsidRPr="000B0464">
        <w:rPr>
          <w:szCs w:val="20"/>
          <w:lang w:val="en-GB"/>
        </w:rPr>
        <w:t>Sumy National Agrarian University, Sumy, Ukraine</w:t>
      </w:r>
      <w:r w:rsidR="009A0C90" w:rsidRPr="000B0464">
        <w:rPr>
          <w:lang w:val="en-GB"/>
        </w:rPr>
        <w:t xml:space="preserve"> </w:t>
      </w:r>
      <w:r w:rsidR="00660497" w:rsidRPr="000B0464">
        <w:rPr>
          <w:lang w:val="en-GB"/>
        </w:rPr>
        <w:t>https://orci</w:t>
      </w:r>
      <w:r w:rsidR="0026465A" w:rsidRPr="000B0464">
        <w:rPr>
          <w:lang w:val="en-GB"/>
        </w:rPr>
        <w:t>d.org/0000-0002-3110-6647</w:t>
      </w:r>
    </w:p>
    <w:p w14:paraId="6D6EFB23" w14:textId="32862632" w:rsidR="00BC7BC0" w:rsidRPr="000B0464" w:rsidRDefault="003226E4" w:rsidP="004075ED">
      <w:pPr>
        <w:pStyle w:val="Rafiliacja"/>
        <w:rPr>
          <w:lang w:val="en-GB"/>
        </w:rPr>
      </w:pPr>
      <w:r w:rsidRPr="00DB7EF7">
        <w:rPr>
          <w:vertAlign w:val="superscript"/>
          <w:lang w:val="en-GB"/>
        </w:rPr>
        <w:t>6</w:t>
      </w:r>
      <w:r w:rsidR="00DB7EF7" w:rsidRPr="00DB7EF7">
        <w:rPr>
          <w:lang w:val="en-GB"/>
        </w:rPr>
        <w:t xml:space="preserve">Management </w:t>
      </w:r>
      <w:r w:rsidR="0026465A" w:rsidRPr="00DB7EF7">
        <w:rPr>
          <w:szCs w:val="20"/>
          <w:lang w:val="en-GB"/>
        </w:rPr>
        <w:t>Department</w:t>
      </w:r>
      <w:r w:rsidR="0026465A" w:rsidRPr="000B0464">
        <w:rPr>
          <w:szCs w:val="20"/>
          <w:lang w:val="en-GB"/>
        </w:rPr>
        <w:t xml:space="preserve"> named after Professor L.I. </w:t>
      </w:r>
      <w:proofErr w:type="spellStart"/>
      <w:r w:rsidR="0026465A" w:rsidRPr="000B0464">
        <w:rPr>
          <w:szCs w:val="20"/>
          <w:lang w:val="en-GB"/>
        </w:rPr>
        <w:t>Mykhaylova</w:t>
      </w:r>
      <w:proofErr w:type="spellEnd"/>
      <w:r w:rsidR="0026465A" w:rsidRPr="000B0464">
        <w:rPr>
          <w:szCs w:val="20"/>
          <w:lang w:val="en-GB"/>
        </w:rPr>
        <w:t>, Sumy National Agrarian University, Sumy, Ukraine</w:t>
      </w:r>
      <w:r w:rsidR="0026465A" w:rsidRPr="000B0464">
        <w:rPr>
          <w:lang w:val="en-GB"/>
        </w:rPr>
        <w:t xml:space="preserve"> https://orcid.org/0000-0002-6421-816X</w:t>
      </w:r>
    </w:p>
    <w:p w14:paraId="3693965E" w14:textId="1EB0DE83" w:rsidR="00967407" w:rsidRPr="000B0464" w:rsidRDefault="003226E4" w:rsidP="004075ED">
      <w:pPr>
        <w:pStyle w:val="Rafiliacja"/>
        <w:rPr>
          <w:lang w:val="en-GB"/>
        </w:rPr>
      </w:pPr>
      <w:r w:rsidRPr="000B0464">
        <w:rPr>
          <w:szCs w:val="20"/>
          <w:vertAlign w:val="superscript"/>
          <w:lang w:val="en-GB"/>
        </w:rPr>
        <w:t>7</w:t>
      </w:r>
      <w:r w:rsidR="00D709F8" w:rsidRPr="000B0464">
        <w:rPr>
          <w:szCs w:val="20"/>
          <w:lang w:val="en-GB"/>
        </w:rPr>
        <w:t xml:space="preserve">Department of Biology and Agronomy, </w:t>
      </w:r>
      <w:r w:rsidR="0026465A" w:rsidRPr="000B0464">
        <w:rPr>
          <w:szCs w:val="20"/>
          <w:lang w:val="en-GB"/>
        </w:rPr>
        <w:t>Luhansk Taras Shevchenko Nati</w:t>
      </w:r>
      <w:r w:rsidR="00C33FF3" w:rsidRPr="000B0464">
        <w:rPr>
          <w:szCs w:val="20"/>
          <w:lang w:val="en-GB"/>
        </w:rPr>
        <w:t>onal University</w:t>
      </w:r>
      <w:r w:rsidR="0026465A" w:rsidRPr="000B0464">
        <w:rPr>
          <w:szCs w:val="20"/>
          <w:lang w:val="en-GB"/>
        </w:rPr>
        <w:t xml:space="preserve">, Poltava, Ukraine </w:t>
      </w:r>
      <w:r w:rsidR="00C33FF3" w:rsidRPr="000B0464">
        <w:rPr>
          <w:lang w:val="en-GB"/>
        </w:rPr>
        <w:t>https://orcid.org/0000-0002-6523-9966</w:t>
      </w:r>
    </w:p>
    <w:p w14:paraId="652D2689" w14:textId="02551179" w:rsidR="00C33FF3" w:rsidRPr="000B0464" w:rsidRDefault="00C33FF3" w:rsidP="00C33FF3">
      <w:pPr>
        <w:pStyle w:val="Rafiliacja"/>
        <w:rPr>
          <w:lang w:val="en-GB"/>
        </w:rPr>
      </w:pPr>
      <w:r w:rsidRPr="000B0464">
        <w:rPr>
          <w:vertAlign w:val="superscript"/>
          <w:lang w:val="en-GB"/>
        </w:rPr>
        <w:t>8</w:t>
      </w:r>
      <w:r w:rsidR="00363641" w:rsidRPr="000B0464">
        <w:rPr>
          <w:lang w:val="en-GB"/>
        </w:rPr>
        <w:t xml:space="preserve">Department of Selection and Seeds named after M.D. </w:t>
      </w:r>
      <w:proofErr w:type="spellStart"/>
      <w:r w:rsidR="00363641" w:rsidRPr="000B0464">
        <w:rPr>
          <w:lang w:val="en-GB"/>
        </w:rPr>
        <w:t>Honcharov</w:t>
      </w:r>
      <w:proofErr w:type="spellEnd"/>
      <w:r w:rsidR="00363641" w:rsidRPr="000B0464">
        <w:rPr>
          <w:lang w:val="en-GB"/>
        </w:rPr>
        <w:t>,</w:t>
      </w:r>
      <w:r w:rsidR="00363641" w:rsidRPr="000B0464">
        <w:rPr>
          <w:szCs w:val="20"/>
          <w:lang w:val="en-GB"/>
        </w:rPr>
        <w:t xml:space="preserve"> </w:t>
      </w:r>
      <w:r w:rsidRPr="000B0464">
        <w:rPr>
          <w:szCs w:val="20"/>
          <w:lang w:val="en-GB"/>
        </w:rPr>
        <w:t>Sumy National Agrarian University, Sumy, Ukraine</w:t>
      </w:r>
      <w:r w:rsidRPr="000B0464">
        <w:rPr>
          <w:lang w:val="en-GB"/>
        </w:rPr>
        <w:t xml:space="preserve"> https://orcid.org/0009-0008-2737-1780</w:t>
      </w:r>
    </w:p>
    <w:p w14:paraId="29FC84E6" w14:textId="148C062F" w:rsidR="00C33FF3" w:rsidRDefault="00C33FF3" w:rsidP="00C33FF3">
      <w:pPr>
        <w:pStyle w:val="Rafiliacja"/>
        <w:rPr>
          <w:lang w:val="en-GB"/>
        </w:rPr>
      </w:pPr>
      <w:r w:rsidRPr="000B0464">
        <w:rPr>
          <w:vertAlign w:val="superscript"/>
          <w:lang w:val="en-GB"/>
        </w:rPr>
        <w:t>9</w:t>
      </w:r>
      <w:r w:rsidR="006C0888" w:rsidRPr="000B0464">
        <w:rPr>
          <w:lang w:val="en-GB"/>
        </w:rPr>
        <w:t xml:space="preserve">Department of Biotechnology and Chemistry, </w:t>
      </w:r>
      <w:r w:rsidRPr="000B0464">
        <w:rPr>
          <w:szCs w:val="20"/>
          <w:lang w:val="en-GB"/>
        </w:rPr>
        <w:t>Sumy National Agrarian University, Sumy, Ukraine</w:t>
      </w:r>
      <w:r w:rsidRPr="000B0464">
        <w:rPr>
          <w:lang w:val="en-GB"/>
        </w:rPr>
        <w:t xml:space="preserve"> https://orcid.org/0009-0002-0566-6138</w:t>
      </w:r>
    </w:p>
    <w:p w14:paraId="016C229C" w14:textId="5E8E74CD" w:rsidR="00DB7EF7" w:rsidRPr="000B0464" w:rsidRDefault="00DB7EF7" w:rsidP="00DB7EF7">
      <w:pPr>
        <w:pStyle w:val="Rafiliacja"/>
        <w:rPr>
          <w:lang w:val="en-GB"/>
        </w:rPr>
      </w:pPr>
      <w:r w:rsidRPr="00DB7EF7">
        <w:rPr>
          <w:vertAlign w:val="superscript"/>
          <w:lang w:val="en-GB"/>
        </w:rPr>
        <w:t>10</w:t>
      </w:r>
      <w:r w:rsidRPr="00DB7EF7">
        <w:rPr>
          <w:lang w:val="en-GB"/>
        </w:rPr>
        <w:t xml:space="preserve">Management Department named after Professor L.I. </w:t>
      </w:r>
      <w:proofErr w:type="spellStart"/>
      <w:r w:rsidRPr="00DB7EF7">
        <w:rPr>
          <w:lang w:val="en-GB"/>
        </w:rPr>
        <w:t>Mykhaylova</w:t>
      </w:r>
      <w:proofErr w:type="spellEnd"/>
      <w:r w:rsidRPr="00DB7EF7">
        <w:rPr>
          <w:lang w:val="en-GB"/>
        </w:rPr>
        <w:t>, Sumy National Agrarian University, Sumy, Ukraine https://orcid.org/0009-0007-3488-9046</w:t>
      </w:r>
    </w:p>
    <w:p w14:paraId="6D477929" w14:textId="4B3C3A6F" w:rsidR="002B25D7" w:rsidRPr="000B0464" w:rsidRDefault="006F3642" w:rsidP="004075ED">
      <w:pPr>
        <w:pStyle w:val="Rauco"/>
        <w:rPr>
          <w:szCs w:val="20"/>
        </w:rPr>
      </w:pPr>
      <w:r w:rsidRPr="000B0464">
        <w:rPr>
          <w:vertAlign w:val="superscript"/>
        </w:rPr>
        <w:t>*</w:t>
      </w:r>
      <w:r w:rsidRPr="000B0464">
        <w:t xml:space="preserve">corresponding author's e-mail: </w:t>
      </w:r>
      <w:r w:rsidR="006C0888" w:rsidRPr="000B0464">
        <w:rPr>
          <w:szCs w:val="20"/>
        </w:rPr>
        <w:t>andb201727@ukr.net</w:t>
      </w:r>
    </w:p>
    <w:p w14:paraId="256D48EC" w14:textId="21771BF7" w:rsidR="002B2C75" w:rsidRPr="000B0464" w:rsidRDefault="00865C90" w:rsidP="004075ED">
      <w:pPr>
        <w:pStyle w:val="Rab1"/>
      </w:pPr>
      <w:r w:rsidRPr="000B0464">
        <w:rPr>
          <w:b/>
          <w:bCs/>
        </w:rPr>
        <w:t>Abstract:</w:t>
      </w:r>
      <w:r w:rsidRPr="000B0464">
        <w:t xml:space="preserve"> </w:t>
      </w:r>
      <w:r w:rsidR="00000AFF" w:rsidRPr="000B0464">
        <w:rPr>
          <w:szCs w:val="18"/>
        </w:rPr>
        <w:t xml:space="preserve">This article examines the effectiveness of the </w:t>
      </w:r>
      <w:proofErr w:type="spellStart"/>
      <w:r w:rsidR="00B54735" w:rsidRPr="000B0464">
        <w:rPr>
          <w:szCs w:val="18"/>
        </w:rPr>
        <w:t>Leanum</w:t>
      </w:r>
      <w:proofErr w:type="spellEnd"/>
      <w:r w:rsidR="00B54735" w:rsidRPr="000B0464">
        <w:rPr>
          <w:szCs w:val="18"/>
        </w:rPr>
        <w:t xml:space="preserve"> </w:t>
      </w:r>
      <w:r w:rsidR="00000AFF" w:rsidRPr="000B0464">
        <w:rPr>
          <w:szCs w:val="18"/>
        </w:rPr>
        <w:t xml:space="preserve">biofertilizers in </w:t>
      </w:r>
      <w:r w:rsidR="00B54735">
        <w:rPr>
          <w:szCs w:val="18"/>
        </w:rPr>
        <w:t>cultivating</w:t>
      </w:r>
      <w:r w:rsidR="00000AFF" w:rsidRPr="000B0464">
        <w:rPr>
          <w:szCs w:val="18"/>
        </w:rPr>
        <w:t xml:space="preserve"> the "Yaroslava" buckwheat (</w:t>
      </w:r>
      <w:r w:rsidR="00000AFF" w:rsidRPr="000B0464">
        <w:rPr>
          <w:i/>
          <w:iCs/>
          <w:szCs w:val="18"/>
        </w:rPr>
        <w:t>Fagopyrum esculentum</w:t>
      </w:r>
      <w:r w:rsidR="00000AFF" w:rsidRPr="000B0464">
        <w:rPr>
          <w:szCs w:val="18"/>
        </w:rPr>
        <w:t xml:space="preserve">) variety. Four application variants of the biofertilizers were tested: control (no treatment), pre-sowing seed inoculation, foliar feeding, and their combination. The analysis included </w:t>
      </w:r>
      <w:r w:rsidR="00B54735">
        <w:rPr>
          <w:szCs w:val="18"/>
        </w:rPr>
        <w:t>each variant's biometric indicators, yield, yield structure, and economic efficiency</w:t>
      </w:r>
      <w:r w:rsidR="00000AFF" w:rsidRPr="000B0464">
        <w:rPr>
          <w:szCs w:val="18"/>
        </w:rPr>
        <w:t xml:space="preserve">. The research results indicate a significant increase in buckwheat productivity </w:t>
      </w:r>
      <w:r w:rsidR="00B54735">
        <w:rPr>
          <w:szCs w:val="18"/>
        </w:rPr>
        <w:t>using</w:t>
      </w:r>
      <w:r w:rsidR="00000AFF" w:rsidRPr="000B0464">
        <w:rPr>
          <w:szCs w:val="18"/>
        </w:rPr>
        <w:t xml:space="preserve"> biofertilizers. The highest yield increase was recorded with the combined application of inoculation and foliar feeding (I + F), which led to an increase in grain mass per plant and a higher weight of 1000 grains. The </w:t>
      </w:r>
      <w:r w:rsidR="00B54735">
        <w:rPr>
          <w:szCs w:val="18"/>
        </w:rPr>
        <w:t>results demonstrate biofertilizers' potential</w:t>
      </w:r>
      <w:r w:rsidR="00000AFF" w:rsidRPr="000B0464">
        <w:rPr>
          <w:szCs w:val="18"/>
        </w:rPr>
        <w:t xml:space="preserve"> for increasing buckwheat productivity and promoting the sustainable development of agricultural production. </w:t>
      </w:r>
      <w:r w:rsidR="00B54735">
        <w:rPr>
          <w:szCs w:val="18"/>
        </w:rPr>
        <w:t>Implementing such technologies will not only boost yields but also optimize costs and</w:t>
      </w:r>
      <w:r w:rsidR="003F229C" w:rsidRPr="000B0464">
        <w:rPr>
          <w:szCs w:val="18"/>
        </w:rPr>
        <w:t xml:space="preserve"> </w:t>
      </w:r>
      <w:r w:rsidR="00000AFF" w:rsidRPr="000B0464">
        <w:rPr>
          <w:szCs w:val="18"/>
        </w:rPr>
        <w:t>reduce environmental impact</w:t>
      </w:r>
      <w:r w:rsidR="003F229C" w:rsidRPr="000B0464">
        <w:rPr>
          <w:szCs w:val="18"/>
        </w:rPr>
        <w:t xml:space="preserve"> </w:t>
      </w:r>
      <w:r w:rsidR="00B54735">
        <w:rPr>
          <w:szCs w:val="18"/>
        </w:rPr>
        <w:t>by</w:t>
      </w:r>
      <w:r w:rsidR="003F229C" w:rsidRPr="000B0464">
        <w:rPr>
          <w:szCs w:val="18"/>
        </w:rPr>
        <w:t xml:space="preserve"> redu</w:t>
      </w:r>
      <w:r w:rsidR="00B54735">
        <w:rPr>
          <w:szCs w:val="18"/>
        </w:rPr>
        <w:t>c</w:t>
      </w:r>
      <w:r w:rsidR="003F229C" w:rsidRPr="000B0464">
        <w:rPr>
          <w:szCs w:val="18"/>
        </w:rPr>
        <w:t xml:space="preserve">ing </w:t>
      </w:r>
      <w:r w:rsidR="00B54735">
        <w:rPr>
          <w:szCs w:val="18"/>
        </w:rPr>
        <w:t xml:space="preserve">the </w:t>
      </w:r>
      <w:r w:rsidR="003F229C" w:rsidRPr="000B0464">
        <w:rPr>
          <w:szCs w:val="18"/>
        </w:rPr>
        <w:t>usage of mineral fer</w:t>
      </w:r>
      <w:r w:rsidR="00B54735">
        <w:rPr>
          <w:szCs w:val="18"/>
        </w:rPr>
        <w:t>t</w:t>
      </w:r>
      <w:r w:rsidR="003F229C" w:rsidRPr="000B0464">
        <w:rPr>
          <w:szCs w:val="18"/>
        </w:rPr>
        <w:t>ilizers.</w:t>
      </w:r>
    </w:p>
    <w:p w14:paraId="6C933AC8" w14:textId="2CC36F62" w:rsidR="00005FF8" w:rsidRPr="000B0464" w:rsidRDefault="005C1F6B" w:rsidP="00E0145A">
      <w:pPr>
        <w:pStyle w:val="Rab2"/>
        <w:rPr>
          <w:i/>
        </w:rPr>
      </w:pPr>
      <w:r w:rsidRPr="000B0464">
        <w:rPr>
          <w:b/>
        </w:rPr>
        <w:t>Keywords:</w:t>
      </w:r>
      <w:r w:rsidRPr="000B0464">
        <w:t xml:space="preserve"> </w:t>
      </w:r>
      <w:r w:rsidR="002A38AB" w:rsidRPr="000B0464">
        <w:t>organic farming, organic fertilizer-</w:t>
      </w:r>
      <w:proofErr w:type="spellStart"/>
      <w:r w:rsidR="002A38AB" w:rsidRPr="000B0464">
        <w:t>biostimulant</w:t>
      </w:r>
      <w:proofErr w:type="spellEnd"/>
      <w:r w:rsidR="002A38AB" w:rsidRPr="000B0464">
        <w:t xml:space="preserve">, </w:t>
      </w:r>
      <w:r w:rsidR="00000AFF" w:rsidRPr="000B0464">
        <w:t xml:space="preserve">buckwheat, yield, </w:t>
      </w:r>
      <w:r w:rsidR="00000AFF" w:rsidRPr="000B0464">
        <w:rPr>
          <w:bCs/>
        </w:rPr>
        <w:t>ecological management</w:t>
      </w:r>
      <w:r w:rsidR="00000AFF" w:rsidRPr="000B0464">
        <w:t xml:space="preserve">, </w:t>
      </w:r>
      <w:proofErr w:type="spellStart"/>
      <w:r w:rsidR="00000AFF" w:rsidRPr="000B0464">
        <w:t>Leanum</w:t>
      </w:r>
      <w:proofErr w:type="spellEnd"/>
      <w:r w:rsidR="002A38AB" w:rsidRPr="000B0464">
        <w:t xml:space="preserve">, </w:t>
      </w:r>
      <w:r w:rsidR="000B0464">
        <w:br/>
      </w:r>
      <w:r w:rsidR="002A38AB" w:rsidRPr="000B0464">
        <w:t>soil fertility conservation</w:t>
      </w:r>
      <w:r w:rsidR="0057688F">
        <w:t xml:space="preserve">, </w:t>
      </w:r>
      <w:r w:rsidR="0057688F" w:rsidRPr="0057688F">
        <w:t>management of efficiency</w:t>
      </w:r>
    </w:p>
    <w:p w14:paraId="0FBA060E" w14:textId="511E83D4" w:rsidR="00435850" w:rsidRPr="000B0464" w:rsidRDefault="00285A8E" w:rsidP="00DC4BE1">
      <w:pPr>
        <w:pStyle w:val="Rn1"/>
        <w:rPr>
          <w:lang w:val="en-GB"/>
        </w:rPr>
      </w:pPr>
      <w:r w:rsidRPr="000B0464">
        <w:rPr>
          <w:lang w:val="en-GB"/>
        </w:rPr>
        <w:t xml:space="preserve">1. </w:t>
      </w:r>
      <w:r w:rsidR="00095941" w:rsidRPr="000B0464">
        <w:rPr>
          <w:lang w:val="en-GB"/>
        </w:rPr>
        <w:t>Introduction</w:t>
      </w:r>
    </w:p>
    <w:p w14:paraId="15300E11" w14:textId="10313FA2" w:rsidR="00335DEC" w:rsidRPr="000B0464" w:rsidRDefault="00335DEC" w:rsidP="00335DEC">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Buckwheat (</w:t>
      </w:r>
      <w:r w:rsidRPr="000B0464">
        <w:rPr>
          <w:rFonts w:ascii="Times New Roman" w:hAnsi="Times New Roman" w:cs="Times New Roman"/>
          <w:i/>
          <w:iCs/>
          <w:lang w:val="en-GB"/>
        </w:rPr>
        <w:t>Fagopyrum esculentum</w:t>
      </w:r>
      <w:r w:rsidRPr="000B0464">
        <w:rPr>
          <w:rFonts w:ascii="Times New Roman" w:hAnsi="Times New Roman" w:cs="Times New Roman"/>
          <w:lang w:val="en-GB"/>
        </w:rPr>
        <w:t>) is a valuable grain crop that plays an important role in agriculture due to its nutritional properties, low soil requirements, and high ecological value (</w:t>
      </w:r>
      <w:proofErr w:type="spellStart"/>
      <w:r w:rsidRPr="000B0464">
        <w:rPr>
          <w:rFonts w:ascii="Times New Roman" w:hAnsi="Times New Roman" w:cs="Times New Roman"/>
          <w:lang w:val="en-GB"/>
        </w:rPr>
        <w:t>Moisiienko</w:t>
      </w:r>
      <w:proofErr w:type="spellEnd"/>
      <w:r w:rsidRPr="000B0464">
        <w:rPr>
          <w:rFonts w:ascii="Times New Roman" w:hAnsi="Times New Roman" w:cs="Times New Roman"/>
          <w:lang w:val="en-GB"/>
        </w:rPr>
        <w:t xml:space="preserve"> et al. 2023). In modern conditions, increasing the productivity of any crop is crucial</w:t>
      </w:r>
      <w:r w:rsidR="00B54735">
        <w:rPr>
          <w:rFonts w:ascii="Times New Roman" w:hAnsi="Times New Roman" w:cs="Times New Roman"/>
          <w:lang w:val="en-GB"/>
        </w:rPr>
        <w:t>. Still,</w:t>
      </w:r>
      <w:r w:rsidRPr="000B0464">
        <w:rPr>
          <w:rFonts w:ascii="Times New Roman" w:hAnsi="Times New Roman" w:cs="Times New Roman"/>
          <w:lang w:val="en-GB"/>
        </w:rPr>
        <w:t xml:space="preserve"> it is particularly important for buckwheat, as it is one of </w:t>
      </w:r>
      <w:r w:rsidR="00B54735">
        <w:rPr>
          <w:rFonts w:ascii="Times New Roman" w:hAnsi="Times New Roman" w:cs="Times New Roman"/>
          <w:lang w:val="en-GB"/>
        </w:rPr>
        <w:t>Ukraine's most consumed grain crops</w:t>
      </w:r>
      <w:r w:rsidRPr="000B0464">
        <w:rPr>
          <w:rFonts w:ascii="Times New Roman" w:hAnsi="Times New Roman" w:cs="Times New Roman"/>
          <w:lang w:val="en-GB"/>
        </w:rPr>
        <w:t xml:space="preserve">, yet its cultivation area has significantly declined. </w:t>
      </w:r>
      <w:r w:rsidRPr="008C0BC9">
        <w:rPr>
          <w:rFonts w:ascii="Times New Roman" w:hAnsi="Times New Roman" w:cs="Times New Roman"/>
          <w:spacing w:val="-2"/>
          <w:lang w:val="en-GB"/>
        </w:rPr>
        <w:t>Specifically, in the 2000s, buckwheat cultivation covered 574 thousand hectares, gradually decreasing to 69 thousand hectares by 2019, before increasing again to 121 thousand hectares by 2022 (</w:t>
      </w:r>
      <w:r w:rsidR="00E70B6A" w:rsidRPr="008C0BC9">
        <w:rPr>
          <w:rFonts w:ascii="Times New Roman" w:hAnsi="Times New Roman" w:cs="Times New Roman"/>
          <w:iCs/>
          <w:spacing w:val="-2"/>
          <w:lang w:val="en-GB"/>
        </w:rPr>
        <w:t>Agriculture of Ukraine</w:t>
      </w:r>
      <w:r w:rsidRPr="008C0BC9">
        <w:rPr>
          <w:rFonts w:ascii="Times New Roman" w:hAnsi="Times New Roman" w:cs="Times New Roman"/>
          <w:spacing w:val="-2"/>
          <w:lang w:val="en-GB"/>
        </w:rPr>
        <w:t xml:space="preserve"> 2023).</w:t>
      </w:r>
      <w:r w:rsidRPr="000B0464">
        <w:rPr>
          <w:rFonts w:ascii="Times New Roman" w:hAnsi="Times New Roman" w:cs="Times New Roman"/>
          <w:lang w:val="en-GB"/>
        </w:rPr>
        <w:t xml:space="preserve"> </w:t>
      </w:r>
      <w:r w:rsidRPr="008C0BC9">
        <w:rPr>
          <w:rFonts w:ascii="Times New Roman" w:hAnsi="Times New Roman" w:cs="Times New Roman"/>
          <w:spacing w:val="-2"/>
          <w:lang w:val="en-GB"/>
        </w:rPr>
        <w:t>The reduction in buckwheat cultivation areas may be attributed to several factors, including changes in the structure of agricultural production, market instability, and declining global demand (</w:t>
      </w:r>
      <w:proofErr w:type="spellStart"/>
      <w:r w:rsidRPr="008C0BC9">
        <w:rPr>
          <w:rFonts w:ascii="Times New Roman" w:hAnsi="Times New Roman" w:cs="Times New Roman"/>
          <w:spacing w:val="-2"/>
          <w:lang w:val="en-GB"/>
        </w:rPr>
        <w:t>Averchev</w:t>
      </w:r>
      <w:proofErr w:type="spellEnd"/>
      <w:r w:rsidRPr="008C0BC9">
        <w:rPr>
          <w:rFonts w:ascii="Times New Roman" w:hAnsi="Times New Roman" w:cs="Times New Roman"/>
          <w:spacing w:val="-2"/>
          <w:lang w:val="en-GB"/>
        </w:rPr>
        <w:t xml:space="preserve"> 2021).</w:t>
      </w:r>
      <w:r w:rsidRPr="000B0464">
        <w:rPr>
          <w:rFonts w:ascii="Times New Roman" w:hAnsi="Times New Roman" w:cs="Times New Roman"/>
          <w:lang w:val="en-GB"/>
        </w:rPr>
        <w:t xml:space="preserve"> Additionally, climate change, rising costs of fertilizers</w:t>
      </w:r>
      <w:r w:rsidR="00B54735">
        <w:rPr>
          <w:rFonts w:ascii="Times New Roman" w:hAnsi="Times New Roman" w:cs="Times New Roman"/>
          <w:lang w:val="en-GB"/>
        </w:rPr>
        <w:t>,</w:t>
      </w:r>
      <w:r w:rsidRPr="000B0464">
        <w:rPr>
          <w:rFonts w:ascii="Times New Roman" w:hAnsi="Times New Roman" w:cs="Times New Roman"/>
          <w:lang w:val="en-GB"/>
        </w:rPr>
        <w:t xml:space="preserve"> and plant protection products have significantly impacted the production volumes of this crop.</w:t>
      </w:r>
    </w:p>
    <w:p w14:paraId="579821E0" w14:textId="54B5A3E0" w:rsidR="0089630C" w:rsidRPr="000B0464" w:rsidRDefault="00335DEC" w:rsidP="00335DEC">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 xml:space="preserve">Given these challenges, </w:t>
      </w:r>
      <w:r w:rsidR="00B54735">
        <w:rPr>
          <w:rFonts w:ascii="Times New Roman" w:hAnsi="Times New Roman" w:cs="Times New Roman"/>
          <w:lang w:val="en-GB"/>
        </w:rPr>
        <w:t>implementing</w:t>
      </w:r>
      <w:r w:rsidRPr="000B0464">
        <w:rPr>
          <w:rFonts w:ascii="Times New Roman" w:hAnsi="Times New Roman" w:cs="Times New Roman"/>
          <w:lang w:val="en-GB"/>
        </w:rPr>
        <w:t xml:space="preserve"> modern cultivation technologies that enhance crop yields while reducing production costs is necessary. One promising approach is the use of </w:t>
      </w:r>
      <w:r w:rsidR="00EB56DC" w:rsidRPr="000B0464">
        <w:rPr>
          <w:rFonts w:ascii="Times New Roman" w:hAnsi="Times New Roman" w:cs="Times New Roman"/>
          <w:lang w:val="en-GB"/>
        </w:rPr>
        <w:t>biofertilizers,</w:t>
      </w:r>
      <w:r w:rsidRPr="000B0464">
        <w:rPr>
          <w:rFonts w:ascii="Times New Roman" w:hAnsi="Times New Roman" w:cs="Times New Roman"/>
          <w:lang w:val="en-GB"/>
        </w:rPr>
        <w:t xml:space="preserve"> which not only improve plant growth and development but also contribute to the ra</w:t>
      </w:r>
      <w:r w:rsidR="00161466" w:rsidRPr="000B0464">
        <w:rPr>
          <w:rFonts w:ascii="Times New Roman" w:hAnsi="Times New Roman" w:cs="Times New Roman"/>
          <w:lang w:val="en-GB"/>
        </w:rPr>
        <w:t xml:space="preserve">tional use of soil resources </w:t>
      </w:r>
      <w:r w:rsidR="00295731" w:rsidRPr="000B0464">
        <w:rPr>
          <w:rFonts w:ascii="Times New Roman" w:hAnsi="Times New Roman" w:cs="Times New Roman"/>
          <w:lang w:val="en-GB"/>
        </w:rPr>
        <w:t>–</w:t>
      </w:r>
      <w:r w:rsidR="00161466" w:rsidRPr="000B0464">
        <w:rPr>
          <w:rFonts w:ascii="Times New Roman" w:hAnsi="Times New Roman" w:cs="Times New Roman"/>
          <w:lang w:val="en-GB"/>
        </w:rPr>
        <w:t xml:space="preserve"> </w:t>
      </w:r>
      <w:r w:rsidRPr="000B0464">
        <w:rPr>
          <w:rFonts w:ascii="Times New Roman" w:hAnsi="Times New Roman" w:cs="Times New Roman"/>
          <w:lang w:val="en-GB"/>
        </w:rPr>
        <w:t xml:space="preserve">an aspect of </w:t>
      </w:r>
      <w:r w:rsidRPr="000B0464">
        <w:rPr>
          <w:rFonts w:ascii="Times New Roman" w:hAnsi="Times New Roman" w:cs="Times New Roman"/>
          <w:lang w:val="en-GB"/>
        </w:rPr>
        <w:lastRenderedPageBreak/>
        <w:t>particular importance in modern agriculture (</w:t>
      </w:r>
      <w:proofErr w:type="spellStart"/>
      <w:r w:rsidRPr="000B0464">
        <w:rPr>
          <w:rFonts w:ascii="Times New Roman" w:hAnsi="Times New Roman" w:cs="Times New Roman"/>
          <w:lang w:val="en-GB"/>
        </w:rPr>
        <w:t>Pocienė</w:t>
      </w:r>
      <w:proofErr w:type="spellEnd"/>
      <w:r w:rsidRPr="000B0464">
        <w:rPr>
          <w:rFonts w:ascii="Times New Roman" w:hAnsi="Times New Roman" w:cs="Times New Roman"/>
          <w:lang w:val="en-GB"/>
        </w:rPr>
        <w:t xml:space="preserve"> &amp; </w:t>
      </w:r>
      <w:proofErr w:type="spellStart"/>
      <w:r w:rsidRPr="000B0464">
        <w:rPr>
          <w:rFonts w:ascii="Times New Roman" w:hAnsi="Times New Roman" w:cs="Times New Roman"/>
          <w:lang w:val="en-GB"/>
        </w:rPr>
        <w:t>Šlinkšienė</w:t>
      </w:r>
      <w:proofErr w:type="spellEnd"/>
      <w:r w:rsidRPr="000B0464">
        <w:rPr>
          <w:rFonts w:ascii="Times New Roman" w:hAnsi="Times New Roman" w:cs="Times New Roman"/>
          <w:lang w:val="en-GB"/>
        </w:rPr>
        <w:t xml:space="preserve"> 2024, Datsko et al. 2025). The use of biofertilizers can positively affect soil biological activity by increasing beneficial microbial populations and improving soil structure</w:t>
      </w:r>
      <w:r w:rsidR="0089630C" w:rsidRPr="000B0464">
        <w:rPr>
          <w:rFonts w:ascii="Times New Roman" w:hAnsi="Times New Roman" w:cs="Times New Roman"/>
          <w:lang w:val="en-GB"/>
        </w:rPr>
        <w:t xml:space="preserve">. The term </w:t>
      </w:r>
      <w:r w:rsidR="00B54735">
        <w:rPr>
          <w:rFonts w:ascii="Times New Roman" w:hAnsi="Times New Roman" w:cs="Times New Roman"/>
          <w:lang w:val="en-GB"/>
        </w:rPr>
        <w:t>"</w:t>
      </w:r>
      <w:r w:rsidR="0089630C" w:rsidRPr="000B0464">
        <w:rPr>
          <w:rFonts w:ascii="Times New Roman" w:hAnsi="Times New Roman" w:cs="Times New Roman"/>
          <w:lang w:val="en-GB"/>
        </w:rPr>
        <w:t>biofertilizers</w:t>
      </w:r>
      <w:r w:rsidR="00B54735">
        <w:rPr>
          <w:rFonts w:ascii="Times New Roman" w:hAnsi="Times New Roman" w:cs="Times New Roman"/>
          <w:lang w:val="en-GB"/>
        </w:rPr>
        <w:t>"</w:t>
      </w:r>
      <w:r w:rsidR="0089630C" w:rsidRPr="000B0464">
        <w:rPr>
          <w:rFonts w:ascii="Times New Roman" w:hAnsi="Times New Roman" w:cs="Times New Roman"/>
          <w:lang w:val="en-GB"/>
        </w:rPr>
        <w:t xml:space="preserve"> refers to beneficial microorganisms and their metabolic by-products that can enhance crop productivity (such as phytohormones, enzymes, organic acids, and vitamins).</w:t>
      </w:r>
    </w:p>
    <w:p w14:paraId="45EC0D5E" w14:textId="58452B2E" w:rsidR="00335DEC" w:rsidRPr="000B0464" w:rsidRDefault="00335DEC" w:rsidP="00335DEC">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The effectiveness of biofertilizers has been demonstrated in multiple aspects, particularly in improving nutrient uptake from the soil, which leads to increased crop yields and enhanced agricultural product quality, as well as in improving soil properties (</w:t>
      </w:r>
      <w:r w:rsidR="00161466" w:rsidRPr="000B0464">
        <w:rPr>
          <w:rFonts w:ascii="Times New Roman" w:hAnsi="Times New Roman" w:cs="Times New Roman"/>
          <w:lang w:val="en-GB"/>
        </w:rPr>
        <w:t xml:space="preserve">Litvinov et al. 2024, </w:t>
      </w:r>
      <w:r w:rsidRPr="000B0464">
        <w:rPr>
          <w:rFonts w:ascii="Times New Roman" w:hAnsi="Times New Roman" w:cs="Times New Roman"/>
          <w:lang w:val="en-GB"/>
        </w:rPr>
        <w:t>Datsko et al. 2024). However, this statement is</w:t>
      </w:r>
      <w:r w:rsidR="008E3598">
        <w:rPr>
          <w:rFonts w:ascii="Times New Roman" w:hAnsi="Times New Roman" w:cs="Times New Roman"/>
          <w:lang w:val="en-GB"/>
        </w:rPr>
        <w:t> </w:t>
      </w:r>
      <w:r w:rsidRPr="000B0464">
        <w:rPr>
          <w:rFonts w:ascii="Times New Roman" w:hAnsi="Times New Roman" w:cs="Times New Roman"/>
          <w:lang w:val="en-GB"/>
        </w:rPr>
        <w:t xml:space="preserve">not always universally valid. For instance, a study by </w:t>
      </w:r>
      <w:proofErr w:type="spellStart"/>
      <w:r w:rsidRPr="000B0464">
        <w:rPr>
          <w:rFonts w:ascii="Times New Roman" w:hAnsi="Times New Roman" w:cs="Times New Roman"/>
          <w:lang w:val="en-GB"/>
        </w:rPr>
        <w:t>Jastrzębska</w:t>
      </w:r>
      <w:proofErr w:type="spellEnd"/>
      <w:r w:rsidRPr="000B0464">
        <w:rPr>
          <w:rFonts w:ascii="Times New Roman" w:hAnsi="Times New Roman" w:cs="Times New Roman"/>
          <w:lang w:val="en-GB"/>
        </w:rPr>
        <w:t xml:space="preserve"> et al. (2024) </w:t>
      </w:r>
      <w:r w:rsidRPr="008E3598">
        <w:rPr>
          <w:rFonts w:ascii="Times New Roman" w:hAnsi="Times New Roman" w:cs="Times New Roman"/>
          <w:spacing w:val="-2"/>
          <w:lang w:val="en-GB"/>
        </w:rPr>
        <w:t>found that the use of biofertilizers and mineral fertilizers had no significant effect on grain quality improvement in wheat under the conditions of northeastern Poland.</w:t>
      </w:r>
      <w:r w:rsidRPr="000B0464">
        <w:rPr>
          <w:rFonts w:ascii="Times New Roman" w:hAnsi="Times New Roman" w:cs="Times New Roman"/>
          <w:lang w:val="en-GB"/>
        </w:rPr>
        <w:t xml:space="preserve"> Conversely, researchers in Iran determined that </w:t>
      </w:r>
      <w:proofErr w:type="spellStart"/>
      <w:r w:rsidRPr="000B0464">
        <w:rPr>
          <w:rFonts w:ascii="Times New Roman" w:hAnsi="Times New Roman" w:cs="Times New Roman"/>
          <w:i/>
          <w:iCs/>
          <w:lang w:val="en-GB"/>
        </w:rPr>
        <w:t>Azospirillum</w:t>
      </w:r>
      <w:proofErr w:type="spellEnd"/>
      <w:r w:rsidRPr="000B0464">
        <w:rPr>
          <w:rFonts w:ascii="Times New Roman" w:hAnsi="Times New Roman" w:cs="Times New Roman"/>
          <w:i/>
          <w:iCs/>
          <w:lang w:val="en-GB"/>
        </w:rPr>
        <w:t xml:space="preserve"> </w:t>
      </w:r>
      <w:proofErr w:type="spellStart"/>
      <w:r w:rsidRPr="000B0464">
        <w:rPr>
          <w:rFonts w:ascii="Times New Roman" w:hAnsi="Times New Roman" w:cs="Times New Roman"/>
          <w:i/>
          <w:iCs/>
          <w:lang w:val="en-GB"/>
        </w:rPr>
        <w:t>lipoferum</w:t>
      </w:r>
      <w:proofErr w:type="spellEnd"/>
      <w:r w:rsidRPr="000B0464">
        <w:rPr>
          <w:rFonts w:ascii="Times New Roman" w:hAnsi="Times New Roman" w:cs="Times New Roman"/>
          <w:lang w:val="en-GB"/>
        </w:rPr>
        <w:t>, in combination with atrazine, increased protein content in wheat grain (</w:t>
      </w:r>
      <w:proofErr w:type="spellStart"/>
      <w:r w:rsidR="00161466" w:rsidRPr="000B0464">
        <w:rPr>
          <w:rFonts w:ascii="Times New Roman" w:hAnsi="Times New Roman" w:cs="Times New Roman"/>
          <w:lang w:val="en-GB" w:eastAsia="ru-RU"/>
        </w:rPr>
        <w:t>Tykhonova</w:t>
      </w:r>
      <w:proofErr w:type="spellEnd"/>
      <w:r w:rsidR="00161466" w:rsidRPr="000B0464">
        <w:rPr>
          <w:rFonts w:ascii="Times New Roman" w:hAnsi="Times New Roman" w:cs="Times New Roman"/>
          <w:lang w:val="en-GB"/>
        </w:rPr>
        <w:t xml:space="preserve"> et al. 2024, </w:t>
      </w:r>
      <w:r w:rsidRPr="000B0464">
        <w:rPr>
          <w:rFonts w:ascii="Times New Roman" w:hAnsi="Times New Roman" w:cs="Times New Roman"/>
          <w:lang w:val="en-GB"/>
        </w:rPr>
        <w:t xml:space="preserve">Nasiri et al. 2025). A positive effect on grain quality and yield was also observed in crops such as sunflower. Specifically, Dasgupta et al. (2024) demonstrated that applying 75% of the nitrogen norm </w:t>
      </w:r>
      <w:r w:rsidR="00B54735">
        <w:rPr>
          <w:rFonts w:ascii="Times New Roman" w:hAnsi="Times New Roman" w:cs="Times New Roman"/>
          <w:lang w:val="en-GB"/>
        </w:rPr>
        <w:t xml:space="preserve">combined with </w:t>
      </w:r>
      <w:proofErr w:type="spellStart"/>
      <w:r w:rsidR="00B54735">
        <w:rPr>
          <w:rFonts w:ascii="Times New Roman" w:hAnsi="Times New Roman" w:cs="Times New Roman"/>
          <w:lang w:val="en-GB"/>
        </w:rPr>
        <w:t>Azospirillum</w:t>
      </w:r>
      <w:proofErr w:type="spellEnd"/>
      <w:r w:rsidR="00B54735">
        <w:rPr>
          <w:rFonts w:ascii="Times New Roman" w:hAnsi="Times New Roman" w:cs="Times New Roman"/>
          <w:lang w:val="en-GB"/>
        </w:rPr>
        <w:t xml:space="preserve"> and Azotobacter strains improved biometric parameters, including head size, increased the weight of 1000 grains and</w:t>
      </w:r>
      <w:r w:rsidRPr="000B0464">
        <w:rPr>
          <w:rFonts w:ascii="Times New Roman" w:hAnsi="Times New Roman" w:cs="Times New Roman"/>
          <w:lang w:val="en-GB"/>
        </w:rPr>
        <w:t xml:space="preserve"> the overall yield. The effectiveness of biofertilizers has also been confirmed in maize cultivation; for example, </w:t>
      </w:r>
      <w:proofErr w:type="spellStart"/>
      <w:r w:rsidRPr="000B0464">
        <w:rPr>
          <w:rFonts w:ascii="Times New Roman" w:hAnsi="Times New Roman" w:cs="Times New Roman"/>
          <w:lang w:val="en-GB"/>
        </w:rPr>
        <w:t>Zinati</w:t>
      </w:r>
      <w:proofErr w:type="spellEnd"/>
      <w:r w:rsidRPr="000B0464">
        <w:rPr>
          <w:rFonts w:ascii="Times New Roman" w:hAnsi="Times New Roman" w:cs="Times New Roman"/>
          <w:lang w:val="en-GB"/>
        </w:rPr>
        <w:t xml:space="preserve"> et</w:t>
      </w:r>
      <w:r w:rsidR="008E3598">
        <w:rPr>
          <w:rFonts w:ascii="Times New Roman" w:hAnsi="Times New Roman" w:cs="Times New Roman"/>
          <w:lang w:val="en-GB"/>
        </w:rPr>
        <w:t> </w:t>
      </w:r>
      <w:r w:rsidRPr="000B0464">
        <w:rPr>
          <w:rFonts w:ascii="Times New Roman" w:hAnsi="Times New Roman" w:cs="Times New Roman"/>
          <w:lang w:val="en-GB"/>
        </w:rPr>
        <w:t>al. (2025) showed that arbuscular mycorrhiza reduced stress and enhanced crop nutrition, which is particularly important in regions with adverse climatic conditions.</w:t>
      </w:r>
    </w:p>
    <w:p w14:paraId="5AAD397F" w14:textId="493F2248" w:rsidR="003E1A18" w:rsidRPr="000B0464" w:rsidRDefault="00335DEC" w:rsidP="00335DEC">
      <w:pPr>
        <w:shd w:val="clear" w:color="auto" w:fill="FFFFFF"/>
        <w:spacing w:after="0" w:line="240" w:lineRule="auto"/>
        <w:ind w:firstLine="284"/>
        <w:jc w:val="both"/>
        <w:rPr>
          <w:rFonts w:ascii="Times New Roman" w:eastAsia="Times New Roman" w:hAnsi="Times New Roman" w:cs="Times New Roman"/>
          <w:lang w:val="en-GB"/>
        </w:rPr>
      </w:pPr>
      <w:r w:rsidRPr="000B0464">
        <w:rPr>
          <w:rFonts w:ascii="Times New Roman" w:hAnsi="Times New Roman" w:cs="Times New Roman"/>
          <w:lang w:val="en-GB"/>
        </w:rPr>
        <w:t xml:space="preserve">In light of the above, this study aims to evaluate the effectiveness of </w:t>
      </w:r>
      <w:r w:rsidR="00EB56DC" w:rsidRPr="000B0464">
        <w:rPr>
          <w:rFonts w:ascii="Times New Roman" w:hAnsi="Times New Roman" w:cs="Times New Roman"/>
          <w:lang w:val="en-GB"/>
        </w:rPr>
        <w:t>biofertilizers</w:t>
      </w:r>
      <w:r w:rsidRPr="000B0464">
        <w:rPr>
          <w:rFonts w:ascii="Times New Roman" w:hAnsi="Times New Roman" w:cs="Times New Roman"/>
          <w:lang w:val="en-GB"/>
        </w:rPr>
        <w:t xml:space="preserve"> in buckwheat cultivation to increase yield, improve grain quality, and ensure the sustainable development of agricultural production. The research focuses on identifying optimal technological approaches to applying biofertilizers in agroecosystems</w:t>
      </w:r>
      <w:r w:rsidR="00B54735">
        <w:rPr>
          <w:rFonts w:ascii="Times New Roman" w:hAnsi="Times New Roman" w:cs="Times New Roman"/>
          <w:lang w:val="en-GB"/>
        </w:rPr>
        <w:t xml:space="preserve"> and</w:t>
      </w:r>
      <w:r w:rsidRPr="000B0464">
        <w:rPr>
          <w:rFonts w:ascii="Times New Roman" w:hAnsi="Times New Roman" w:cs="Times New Roman"/>
          <w:lang w:val="en-GB"/>
        </w:rPr>
        <w:t xml:space="preserve"> </w:t>
      </w:r>
      <w:proofErr w:type="spellStart"/>
      <w:r w:rsidRPr="000B0464">
        <w:rPr>
          <w:rFonts w:ascii="Times New Roman" w:hAnsi="Times New Roman" w:cs="Times New Roman"/>
          <w:lang w:val="en-GB"/>
        </w:rPr>
        <w:t>analyzing</w:t>
      </w:r>
      <w:proofErr w:type="spellEnd"/>
      <w:r w:rsidRPr="000B0464">
        <w:rPr>
          <w:rFonts w:ascii="Times New Roman" w:hAnsi="Times New Roman" w:cs="Times New Roman"/>
          <w:lang w:val="en-GB"/>
        </w:rPr>
        <w:t xml:space="preserve"> the economic feasibility of their use in buckwheat production</w:t>
      </w:r>
      <w:r w:rsidR="00914842" w:rsidRPr="000B0464">
        <w:rPr>
          <w:rFonts w:ascii="Times New Roman" w:eastAsia="Times New Roman" w:hAnsi="Times New Roman" w:cs="Times New Roman"/>
          <w:lang w:val="en-GB"/>
        </w:rPr>
        <w:t>.</w:t>
      </w:r>
    </w:p>
    <w:p w14:paraId="33EB88C9" w14:textId="7482EA1D" w:rsidR="002D66CB" w:rsidRPr="000B0464" w:rsidRDefault="00285A8E" w:rsidP="00DC4BE1">
      <w:pPr>
        <w:pStyle w:val="Rn1"/>
        <w:rPr>
          <w:lang w:val="en-GB"/>
        </w:rPr>
      </w:pPr>
      <w:r w:rsidRPr="000B0464">
        <w:rPr>
          <w:lang w:val="en-GB"/>
        </w:rPr>
        <w:t xml:space="preserve">2. </w:t>
      </w:r>
      <w:r w:rsidR="00D5205B" w:rsidRPr="000B0464">
        <w:rPr>
          <w:rFonts w:cs="Times New Roman"/>
          <w:bCs/>
          <w:color w:val="000000"/>
          <w:szCs w:val="24"/>
          <w:lang w:val="en-GB"/>
        </w:rPr>
        <w:t>Materials and</w:t>
      </w:r>
      <w:r w:rsidR="00D5205B" w:rsidRPr="000B0464">
        <w:rPr>
          <w:rFonts w:cs="Times New Roman"/>
          <w:b w:val="0"/>
          <w:bCs/>
          <w:color w:val="000000"/>
          <w:szCs w:val="24"/>
          <w:lang w:val="en-GB"/>
        </w:rPr>
        <w:t xml:space="preserve"> </w:t>
      </w:r>
      <w:r w:rsidR="002D66CB" w:rsidRPr="000B0464">
        <w:rPr>
          <w:lang w:val="en-GB"/>
        </w:rPr>
        <w:t>Methods</w:t>
      </w:r>
    </w:p>
    <w:p w14:paraId="478992AF" w14:textId="1612F1CA" w:rsidR="00114409" w:rsidRPr="000B0464" w:rsidRDefault="00114409" w:rsidP="00114409">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 xml:space="preserve">Studies were conducted at the experimental field of the Institute of Agriculture of the North-East of the National Academy of Agrarian Sciences of Ukraine. The field is situated in the Sumy region (Ukraine) with geolocation coordinates of 50°53'22.3"N latitude and 34°42'34.1"E. The experiments were </w:t>
      </w:r>
      <w:r w:rsidR="009B2FB6" w:rsidRPr="000B0464">
        <w:rPr>
          <w:rFonts w:ascii="Times New Roman" w:hAnsi="Times New Roman" w:cs="Times New Roman"/>
          <w:lang w:val="en-GB"/>
        </w:rPr>
        <w:t xml:space="preserve">carried out from 2022 to 2024. </w:t>
      </w:r>
      <w:r w:rsidRPr="000B0464">
        <w:rPr>
          <w:rFonts w:ascii="Times New Roman" w:hAnsi="Times New Roman" w:cs="Times New Roman"/>
          <w:lang w:val="en-GB"/>
        </w:rPr>
        <w:t xml:space="preserve">The soil of the experimental plots was classified as </w:t>
      </w:r>
      <w:proofErr w:type="spellStart"/>
      <w:r w:rsidR="00A43CD7" w:rsidRPr="000B0464">
        <w:rPr>
          <w:rFonts w:ascii="Times New Roman" w:hAnsi="Times New Roman" w:cs="Times New Roman"/>
          <w:lang w:val="en-GB"/>
        </w:rPr>
        <w:t>Loamic</w:t>
      </w:r>
      <w:proofErr w:type="spellEnd"/>
      <w:r w:rsidR="00A43CD7" w:rsidRPr="000B0464">
        <w:rPr>
          <w:rFonts w:ascii="Times New Roman" w:hAnsi="Times New Roman" w:cs="Times New Roman"/>
          <w:lang w:val="en-GB"/>
        </w:rPr>
        <w:t xml:space="preserve"> </w:t>
      </w:r>
      <w:proofErr w:type="spellStart"/>
      <w:r w:rsidR="00A43CD7" w:rsidRPr="000B0464">
        <w:rPr>
          <w:rFonts w:ascii="Times New Roman" w:hAnsi="Times New Roman" w:cs="Times New Roman"/>
          <w:lang w:val="en-GB"/>
        </w:rPr>
        <w:t>Profondic</w:t>
      </w:r>
      <w:proofErr w:type="spellEnd"/>
      <w:r w:rsidR="00A43CD7" w:rsidRPr="000B0464">
        <w:rPr>
          <w:rFonts w:ascii="Times New Roman" w:hAnsi="Times New Roman" w:cs="Times New Roman"/>
          <w:lang w:val="en-GB"/>
        </w:rPr>
        <w:t xml:space="preserve"> Chernozem</w:t>
      </w:r>
      <w:r w:rsidRPr="000B0464">
        <w:rPr>
          <w:rFonts w:ascii="Times New Roman" w:hAnsi="Times New Roman" w:cs="Times New Roman"/>
          <w:lang w:val="en-GB"/>
        </w:rPr>
        <w:t>, with the following characteristics: humus content ranging from 4.1% to 4.3% (according to I.</w:t>
      </w:r>
      <w:r w:rsidR="005909AE">
        <w:rPr>
          <w:rFonts w:ascii="Times New Roman" w:hAnsi="Times New Roman" w:cs="Times New Roman"/>
          <w:lang w:val="en-GB"/>
        </w:rPr>
        <w:t xml:space="preserve"> </w:t>
      </w:r>
      <w:r w:rsidRPr="000B0464">
        <w:rPr>
          <w:rFonts w:ascii="Times New Roman" w:hAnsi="Times New Roman" w:cs="Times New Roman"/>
          <w:lang w:val="en-GB"/>
        </w:rPr>
        <w:t>V. Tyurin), salt pH between 6.2 and 6.5. The average nutrient content was nitrogen (by Kornfield) – 128.5 mg/kg of soil; phosphorus and potassium (by Chirikov) – 211.6 mg/kg and 81.1 mg/kg of soil, respectively.</w:t>
      </w:r>
    </w:p>
    <w:p w14:paraId="1F921109" w14:textId="2D8531EE" w:rsidR="00114409" w:rsidRPr="000B0464" w:rsidRDefault="00114409" w:rsidP="00114409">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 xml:space="preserve">In 2022, the total precipitation during </w:t>
      </w:r>
      <w:r w:rsidR="00B54735">
        <w:rPr>
          <w:rFonts w:ascii="Times New Roman" w:hAnsi="Times New Roman" w:cs="Times New Roman"/>
          <w:lang w:val="en-GB"/>
        </w:rPr>
        <w:t>the spring durum wheat growing season</w:t>
      </w:r>
      <w:r w:rsidRPr="000B0464">
        <w:rPr>
          <w:rFonts w:ascii="Times New Roman" w:hAnsi="Times New Roman" w:cs="Times New Roman"/>
          <w:lang w:val="en-GB"/>
        </w:rPr>
        <w:t xml:space="preserve"> amounted to 370 mm, </w:t>
      </w:r>
      <w:r w:rsidRPr="008E3598">
        <w:rPr>
          <w:rFonts w:ascii="Times New Roman" w:hAnsi="Times New Roman" w:cs="Times New Roman"/>
          <w:spacing w:val="-2"/>
          <w:lang w:val="en-GB"/>
        </w:rPr>
        <w:t>exceeding the long-term average (237 mm) by 133 mm. The monthly distribution was as follows: April – 107 mm, May – 26 mm, June – 155 mm, and July – 82 mm. In 2023, the total precipitation during the growing season reached 222 mm, 15 mm below the long-term average of 237 mm. The monthly distribution was: April – 54 mm, May – 17 mm, June – 71 mm, and July – 80 mm. In 2024, the total precipitation during the growing season was 150 mm, falling 87 mm short of the long-term average (237 mm). The monthly distribution was: April – 48 mm, May – 34 mm, June – 51 mm, and July – 17 mm (Figure 1).</w:t>
      </w:r>
    </w:p>
    <w:p w14:paraId="41A43D7E" w14:textId="77777777" w:rsidR="00114409" w:rsidRPr="000B0464" w:rsidRDefault="00114409" w:rsidP="00114409">
      <w:pPr>
        <w:spacing w:after="0" w:line="240" w:lineRule="auto"/>
        <w:ind w:firstLine="709"/>
        <w:jc w:val="both"/>
        <w:rPr>
          <w:rFonts w:ascii="Times New Roman" w:hAnsi="Times New Roman" w:cs="Times New Roman"/>
          <w:lang w:val="en-GB"/>
        </w:rPr>
      </w:pPr>
    </w:p>
    <w:p w14:paraId="54D7DF97" w14:textId="77777777" w:rsidR="00114409" w:rsidRPr="000B0464" w:rsidRDefault="00114409" w:rsidP="00114409">
      <w:pPr>
        <w:spacing w:after="0" w:line="240" w:lineRule="auto"/>
        <w:jc w:val="center"/>
        <w:rPr>
          <w:rFonts w:ascii="Times New Roman" w:hAnsi="Times New Roman" w:cs="Times New Roman"/>
          <w:lang w:val="en-GB"/>
        </w:rPr>
      </w:pPr>
      <w:r w:rsidRPr="000B0464">
        <w:rPr>
          <w:rFonts w:ascii="Times New Roman" w:hAnsi="Times New Roman" w:cs="Times New Roman"/>
          <w:noProof/>
          <w:lang w:val="en-GB" w:eastAsia="ru-RU"/>
        </w:rPr>
        <w:drawing>
          <wp:inline distT="0" distB="0" distL="0" distR="0" wp14:anchorId="5FB67455" wp14:editId="002DA2CA">
            <wp:extent cx="4987206" cy="2692958"/>
            <wp:effectExtent l="0" t="0" r="444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A9955E" w14:textId="4B202F3F" w:rsidR="00114409" w:rsidRPr="00B54735" w:rsidRDefault="00114409" w:rsidP="000B0464">
      <w:pPr>
        <w:pStyle w:val="Rrys"/>
        <w:rPr>
          <w:lang w:val="en-GB"/>
        </w:rPr>
      </w:pPr>
      <w:r w:rsidRPr="00B54735">
        <w:rPr>
          <w:b/>
          <w:bCs/>
          <w:lang w:val="en-GB"/>
        </w:rPr>
        <w:t>Fig. 1.</w:t>
      </w:r>
      <w:r w:rsidRPr="00B54735">
        <w:rPr>
          <w:lang w:val="en-GB"/>
        </w:rPr>
        <w:t xml:space="preserve"> </w:t>
      </w:r>
      <w:r w:rsidR="00C6661C" w:rsidRPr="00B54735">
        <w:rPr>
          <w:lang w:val="en-GB"/>
        </w:rPr>
        <w:t xml:space="preserve">Amount of atmospheric precipitation during the growing season </w:t>
      </w:r>
      <w:r w:rsidRPr="00B54735">
        <w:rPr>
          <w:lang w:val="en-GB"/>
        </w:rPr>
        <w:t>of 2022</w:t>
      </w:r>
      <w:r w:rsidR="000B0464" w:rsidRPr="00B54735">
        <w:rPr>
          <w:lang w:val="en-GB"/>
        </w:rPr>
        <w:t>-</w:t>
      </w:r>
      <w:r w:rsidRPr="00B54735">
        <w:rPr>
          <w:lang w:val="en-GB"/>
        </w:rPr>
        <w:t>2024</w:t>
      </w:r>
    </w:p>
    <w:p w14:paraId="4210639F" w14:textId="353530D9" w:rsidR="00114409" w:rsidRDefault="00114409" w:rsidP="00114409">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lastRenderedPageBreak/>
        <w:t xml:space="preserve">In 2022, the average daily temperature during </w:t>
      </w:r>
      <w:r w:rsidR="00B54735">
        <w:rPr>
          <w:rFonts w:ascii="Times New Roman" w:hAnsi="Times New Roman" w:cs="Times New Roman"/>
          <w:lang w:val="en-GB"/>
        </w:rPr>
        <w:t>the spring durum wheat growing season</w:t>
      </w:r>
      <w:r w:rsidRPr="000B0464">
        <w:rPr>
          <w:rFonts w:ascii="Times New Roman" w:hAnsi="Times New Roman" w:cs="Times New Roman"/>
          <w:lang w:val="en-GB"/>
        </w:rPr>
        <w:t xml:space="preserve"> was 16.0</w:t>
      </w:r>
      <w:r w:rsidR="00CF47F6" w:rsidRPr="000B0464">
        <w:rPr>
          <w:rFonts w:ascii="Times New Roman" w:hAnsi="Times New Roman" w:cs="Times New Roman"/>
          <w:lang w:val="en-GB"/>
        </w:rPr>
        <w:t>°</w:t>
      </w:r>
      <w:r w:rsidRPr="000B0464">
        <w:rPr>
          <w:rFonts w:ascii="Times New Roman" w:hAnsi="Times New Roman" w:cs="Times New Roman"/>
          <w:lang w:val="en-GB"/>
        </w:rPr>
        <w:t>C, which was 0.2</w:t>
      </w:r>
      <w:r w:rsidR="00CF47F6" w:rsidRPr="000B0464">
        <w:rPr>
          <w:rFonts w:ascii="Times New Roman" w:hAnsi="Times New Roman" w:cs="Times New Roman"/>
          <w:lang w:val="en-GB"/>
        </w:rPr>
        <w:t>°</w:t>
      </w:r>
      <w:r w:rsidRPr="000B0464">
        <w:rPr>
          <w:rFonts w:ascii="Times New Roman" w:hAnsi="Times New Roman" w:cs="Times New Roman"/>
          <w:lang w:val="en-GB"/>
        </w:rPr>
        <w:t>C above the long-term average of 15.8</w:t>
      </w:r>
      <w:r w:rsidR="00CF47F6" w:rsidRPr="000B0464">
        <w:rPr>
          <w:rFonts w:ascii="Times New Roman" w:hAnsi="Times New Roman" w:cs="Times New Roman"/>
          <w:lang w:val="en-GB"/>
        </w:rPr>
        <w:t>°</w:t>
      </w:r>
      <w:r w:rsidRPr="000B0464">
        <w:rPr>
          <w:rFonts w:ascii="Times New Roman" w:hAnsi="Times New Roman" w:cs="Times New Roman"/>
          <w:lang w:val="en-GB"/>
        </w:rPr>
        <w:t>C. The monthly temperature distribution was: April – 8.3</w:t>
      </w:r>
      <w:r w:rsidR="00CF47F6" w:rsidRPr="000B0464">
        <w:rPr>
          <w:rFonts w:ascii="Times New Roman" w:hAnsi="Times New Roman" w:cs="Times New Roman"/>
          <w:lang w:val="en-GB"/>
        </w:rPr>
        <w:t>°</w:t>
      </w:r>
      <w:r w:rsidRPr="000B0464">
        <w:rPr>
          <w:rFonts w:ascii="Times New Roman" w:hAnsi="Times New Roman" w:cs="Times New Roman"/>
          <w:lang w:val="en-GB"/>
        </w:rPr>
        <w:t>C, May – 13.3</w:t>
      </w:r>
      <w:r w:rsidR="00CF47F6" w:rsidRPr="000B0464">
        <w:rPr>
          <w:rFonts w:ascii="Times New Roman" w:hAnsi="Times New Roman" w:cs="Times New Roman"/>
          <w:lang w:val="en-GB"/>
        </w:rPr>
        <w:t>°</w:t>
      </w:r>
      <w:r w:rsidRPr="000B0464">
        <w:rPr>
          <w:rFonts w:ascii="Times New Roman" w:hAnsi="Times New Roman" w:cs="Times New Roman"/>
          <w:lang w:val="en-GB"/>
        </w:rPr>
        <w:t>C, June – 21.0</w:t>
      </w:r>
      <w:r w:rsidR="00CF47F6" w:rsidRPr="000B0464">
        <w:rPr>
          <w:rFonts w:ascii="Times New Roman" w:hAnsi="Times New Roman" w:cs="Times New Roman"/>
          <w:lang w:val="en-GB"/>
        </w:rPr>
        <w:t>°</w:t>
      </w:r>
      <w:r w:rsidRPr="000B0464">
        <w:rPr>
          <w:rFonts w:ascii="Times New Roman" w:hAnsi="Times New Roman" w:cs="Times New Roman"/>
          <w:lang w:val="en-GB"/>
        </w:rPr>
        <w:t>C, and July – 21.3</w:t>
      </w:r>
      <w:r w:rsidR="00CF47F6" w:rsidRPr="000B0464">
        <w:rPr>
          <w:rFonts w:ascii="Times New Roman" w:hAnsi="Times New Roman" w:cs="Times New Roman"/>
          <w:lang w:val="en-GB"/>
        </w:rPr>
        <w:t>°</w:t>
      </w:r>
      <w:r w:rsidRPr="000B0464">
        <w:rPr>
          <w:rFonts w:ascii="Times New Roman" w:hAnsi="Times New Roman" w:cs="Times New Roman"/>
          <w:lang w:val="en-GB"/>
        </w:rPr>
        <w:t>C. In 2023, the average daily temperature reached 16.6</w:t>
      </w:r>
      <w:r w:rsidR="00CF47F6" w:rsidRPr="000B0464">
        <w:rPr>
          <w:rFonts w:ascii="Times New Roman" w:hAnsi="Times New Roman" w:cs="Times New Roman"/>
          <w:lang w:val="en-GB"/>
        </w:rPr>
        <w:t>°</w:t>
      </w:r>
      <w:r w:rsidRPr="000B0464">
        <w:rPr>
          <w:rFonts w:ascii="Times New Roman" w:hAnsi="Times New Roman" w:cs="Times New Roman"/>
          <w:lang w:val="en-GB"/>
        </w:rPr>
        <w:t>C, exceeding the long-term average by 0.8</w:t>
      </w:r>
      <w:r w:rsidR="00CF47F6" w:rsidRPr="000B0464">
        <w:rPr>
          <w:rFonts w:ascii="Times New Roman" w:hAnsi="Times New Roman" w:cs="Times New Roman"/>
          <w:lang w:val="en-GB"/>
        </w:rPr>
        <w:t>°</w:t>
      </w:r>
      <w:r w:rsidRPr="000B0464">
        <w:rPr>
          <w:rFonts w:ascii="Times New Roman" w:hAnsi="Times New Roman" w:cs="Times New Roman"/>
          <w:lang w:val="en-GB"/>
        </w:rPr>
        <w:t>C. The monthly distribution was: April – 9.8</w:t>
      </w:r>
      <w:r w:rsidR="00CF47F6" w:rsidRPr="000B0464">
        <w:rPr>
          <w:rFonts w:ascii="Times New Roman" w:hAnsi="Times New Roman" w:cs="Times New Roman"/>
          <w:lang w:val="en-GB"/>
        </w:rPr>
        <w:t>°</w:t>
      </w:r>
      <w:r w:rsidRPr="000B0464">
        <w:rPr>
          <w:rFonts w:ascii="Times New Roman" w:hAnsi="Times New Roman" w:cs="Times New Roman"/>
          <w:lang w:val="en-GB"/>
        </w:rPr>
        <w:t>C, May – 15.5</w:t>
      </w:r>
      <w:r w:rsidR="00CF47F6" w:rsidRPr="000B0464">
        <w:rPr>
          <w:rFonts w:ascii="Times New Roman" w:hAnsi="Times New Roman" w:cs="Times New Roman"/>
          <w:lang w:val="en-GB"/>
        </w:rPr>
        <w:t>°</w:t>
      </w:r>
      <w:r w:rsidRPr="000B0464">
        <w:rPr>
          <w:rFonts w:ascii="Times New Roman" w:hAnsi="Times New Roman" w:cs="Times New Roman"/>
          <w:lang w:val="en-GB"/>
        </w:rPr>
        <w:t>C, June – 19.3</w:t>
      </w:r>
      <w:r w:rsidR="00CF47F6" w:rsidRPr="000B0464">
        <w:rPr>
          <w:rFonts w:ascii="Times New Roman" w:hAnsi="Times New Roman" w:cs="Times New Roman"/>
          <w:lang w:val="en-GB"/>
        </w:rPr>
        <w:t>°</w:t>
      </w:r>
      <w:r w:rsidRPr="000B0464">
        <w:rPr>
          <w:rFonts w:ascii="Times New Roman" w:hAnsi="Times New Roman" w:cs="Times New Roman"/>
          <w:lang w:val="en-GB"/>
        </w:rPr>
        <w:t>C, and July – 21.6</w:t>
      </w:r>
      <w:r w:rsidR="00CF47F6" w:rsidRPr="000B0464">
        <w:rPr>
          <w:rFonts w:ascii="Times New Roman" w:hAnsi="Times New Roman" w:cs="Times New Roman"/>
          <w:lang w:val="en-GB"/>
        </w:rPr>
        <w:t>°</w:t>
      </w:r>
      <w:r w:rsidRPr="000B0464">
        <w:rPr>
          <w:rFonts w:ascii="Times New Roman" w:hAnsi="Times New Roman" w:cs="Times New Roman"/>
          <w:lang w:val="en-GB"/>
        </w:rPr>
        <w:t>C. In 2024, the average daily temperature was 19.2</w:t>
      </w:r>
      <w:r w:rsidR="00CF47F6" w:rsidRPr="000B0464">
        <w:rPr>
          <w:rFonts w:ascii="Times New Roman" w:hAnsi="Times New Roman" w:cs="Times New Roman"/>
          <w:lang w:val="en-GB"/>
        </w:rPr>
        <w:t>°</w:t>
      </w:r>
      <w:r w:rsidRPr="000B0464">
        <w:rPr>
          <w:rFonts w:ascii="Times New Roman" w:hAnsi="Times New Roman" w:cs="Times New Roman"/>
          <w:lang w:val="en-GB"/>
        </w:rPr>
        <w:t>C, surpassing the long-term average by 3.4</w:t>
      </w:r>
      <w:r w:rsidR="00CF47F6" w:rsidRPr="000B0464">
        <w:rPr>
          <w:rFonts w:ascii="Times New Roman" w:hAnsi="Times New Roman" w:cs="Times New Roman"/>
          <w:lang w:val="en-GB"/>
        </w:rPr>
        <w:t>°</w:t>
      </w:r>
      <w:r w:rsidRPr="000B0464">
        <w:rPr>
          <w:rFonts w:ascii="Times New Roman" w:hAnsi="Times New Roman" w:cs="Times New Roman"/>
          <w:lang w:val="en-GB"/>
        </w:rPr>
        <w:t>C. The monthly temperature distribution was: April – 12.9</w:t>
      </w:r>
      <w:r w:rsidR="00CF47F6" w:rsidRPr="000B0464">
        <w:rPr>
          <w:rFonts w:ascii="Times New Roman" w:hAnsi="Times New Roman" w:cs="Times New Roman"/>
          <w:lang w:val="en-GB"/>
        </w:rPr>
        <w:t>°</w:t>
      </w:r>
      <w:r w:rsidRPr="000B0464">
        <w:rPr>
          <w:rFonts w:ascii="Times New Roman" w:hAnsi="Times New Roman" w:cs="Times New Roman"/>
          <w:lang w:val="en-GB"/>
        </w:rPr>
        <w:t>C, May – 16.0</w:t>
      </w:r>
      <w:r w:rsidR="00CF47F6" w:rsidRPr="000B0464">
        <w:rPr>
          <w:rFonts w:ascii="Times New Roman" w:hAnsi="Times New Roman" w:cs="Times New Roman"/>
          <w:lang w:val="en-GB"/>
        </w:rPr>
        <w:t>°</w:t>
      </w:r>
      <w:r w:rsidRPr="000B0464">
        <w:rPr>
          <w:rFonts w:ascii="Times New Roman" w:hAnsi="Times New Roman" w:cs="Times New Roman"/>
          <w:lang w:val="en-GB"/>
        </w:rPr>
        <w:t>C, June – 22.4</w:t>
      </w:r>
      <w:r w:rsidR="00CF47F6" w:rsidRPr="000B0464">
        <w:rPr>
          <w:rFonts w:ascii="Times New Roman" w:hAnsi="Times New Roman" w:cs="Times New Roman"/>
          <w:lang w:val="en-GB"/>
        </w:rPr>
        <w:t>°</w:t>
      </w:r>
      <w:r w:rsidRPr="000B0464">
        <w:rPr>
          <w:rFonts w:ascii="Times New Roman" w:hAnsi="Times New Roman" w:cs="Times New Roman"/>
          <w:lang w:val="en-GB"/>
        </w:rPr>
        <w:t>C, and July – 25.4</w:t>
      </w:r>
      <w:r w:rsidR="00CF47F6" w:rsidRPr="000B0464">
        <w:rPr>
          <w:rFonts w:ascii="Times New Roman" w:hAnsi="Times New Roman" w:cs="Times New Roman"/>
          <w:lang w:val="en-GB"/>
        </w:rPr>
        <w:t>°</w:t>
      </w:r>
      <w:r w:rsidRPr="000B0464">
        <w:rPr>
          <w:rFonts w:ascii="Times New Roman" w:hAnsi="Times New Roman" w:cs="Times New Roman"/>
          <w:lang w:val="en-GB"/>
        </w:rPr>
        <w:t>C (Figure 2).</w:t>
      </w:r>
    </w:p>
    <w:p w14:paraId="21DFC89C" w14:textId="77777777" w:rsidR="000B0464" w:rsidRPr="000B0464" w:rsidRDefault="000B0464" w:rsidP="00114409">
      <w:pPr>
        <w:spacing w:after="0" w:line="240" w:lineRule="auto"/>
        <w:ind w:firstLine="284"/>
        <w:jc w:val="both"/>
        <w:rPr>
          <w:rFonts w:ascii="Times New Roman" w:hAnsi="Times New Roman" w:cs="Times New Roman"/>
          <w:lang w:val="en-GB"/>
        </w:rPr>
      </w:pPr>
    </w:p>
    <w:p w14:paraId="09CAA13C" w14:textId="567733D7" w:rsidR="00114409" w:rsidRPr="000B0464" w:rsidRDefault="00C6661C" w:rsidP="00AF7710">
      <w:pPr>
        <w:spacing w:after="0" w:line="240" w:lineRule="auto"/>
        <w:jc w:val="center"/>
        <w:rPr>
          <w:rFonts w:ascii="Times New Roman" w:hAnsi="Times New Roman" w:cs="Times New Roman"/>
          <w:lang w:val="en-GB"/>
        </w:rPr>
      </w:pPr>
      <w:r w:rsidRPr="000B0464">
        <w:rPr>
          <w:rFonts w:ascii="Times New Roman" w:hAnsi="Times New Roman" w:cs="Times New Roman"/>
          <w:noProof/>
          <w:lang w:val="en-GB" w:eastAsia="ru-RU"/>
        </w:rPr>
        <mc:AlternateContent>
          <mc:Choice Requires="wps">
            <w:drawing>
              <wp:anchor distT="0" distB="0" distL="114300" distR="114300" simplePos="0" relativeHeight="251716608" behindDoc="0" locked="0" layoutInCell="1" allowOverlap="1" wp14:anchorId="043669FE" wp14:editId="7E916FD5">
                <wp:simplePos x="0" y="0"/>
                <wp:positionH relativeFrom="column">
                  <wp:posOffset>1737096</wp:posOffset>
                </wp:positionH>
                <wp:positionV relativeFrom="paragraph">
                  <wp:posOffset>2744890</wp:posOffset>
                </wp:positionV>
                <wp:extent cx="2872854" cy="272955"/>
                <wp:effectExtent l="0" t="0" r="22860" b="133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854" cy="272955"/>
                        </a:xfrm>
                        <a:prstGeom prst="rect">
                          <a:avLst/>
                        </a:prstGeom>
                        <a:solidFill>
                          <a:srgbClr val="FFFFFF"/>
                        </a:solidFill>
                        <a:ln w="9525">
                          <a:solidFill>
                            <a:schemeClr val="bg1"/>
                          </a:solidFill>
                          <a:miter lim="800000"/>
                          <a:headEnd/>
                          <a:tailEnd/>
                        </a:ln>
                      </wps:spPr>
                      <wps:txbx>
                        <w:txbxContent>
                          <w:p w14:paraId="0B9A150D" w14:textId="1C76CC09" w:rsidR="002A38AB" w:rsidRPr="00C6661C" w:rsidRDefault="002A38AB" w:rsidP="00D5205B">
                            <w:pPr>
                              <w:spacing w:after="0" w:line="240" w:lineRule="auto"/>
                              <w:jc w:val="center"/>
                              <w:rPr>
                                <w:lang w:val="ru-RU"/>
                              </w:rPr>
                            </w:pPr>
                            <w:r w:rsidRPr="00D5205B">
                              <w:rPr>
                                <w:rFonts w:ascii="Times New Roman" w:hAnsi="Times New Roman" w:cs="Times New Roman"/>
                                <w:noProof/>
                                <w:lang w:val="ru-RU" w:eastAsia="ru-RU"/>
                              </w:rPr>
                              <w:drawing>
                                <wp:inline distT="0" distB="0" distL="0" distR="0" wp14:anchorId="147E4393" wp14:editId="0EFED259">
                                  <wp:extent cx="2627211" cy="225189"/>
                                  <wp:effectExtent l="0" t="0" r="1905"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27211" cy="2251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669FE" id="_x0000_t202" coordsize="21600,21600" o:spt="202" path="m,l,21600r21600,l21600,xe">
                <v:stroke joinstyle="miter"/>
                <v:path gradientshapeok="t" o:connecttype="rect"/>
              </v:shapetype>
              <v:shape id="Надпись 2" o:spid="_x0000_s1026" type="#_x0000_t202" style="position:absolute;left:0;text-align:left;margin-left:136.8pt;margin-top:216.15pt;width:226.2pt;height:2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" strokecolor="white [3212]">
                <v:textbox>
                  <w:txbxContent>
                    <w:p w14:paraId="0B9A150D" w14:textId="1C76CC09" w:rsidR="002A38AB" w:rsidRPr="00C6661C" w:rsidRDefault="002A38AB" w:rsidP="00D5205B">
                      <w:pPr>
                        <w:spacing w:after="0" w:line="240" w:lineRule="auto"/>
                        <w:jc w:val="center"/>
                        <w:rPr>
                          <w:lang w:val="ru-RU"/>
                        </w:rPr>
                      </w:pPr>
                      <w:r w:rsidRPr="00D5205B">
                        <w:rPr>
                          <w:rFonts w:ascii="Times New Roman" w:hAnsi="Times New Roman" w:cs="Times New Roman"/>
                          <w:noProof/>
                          <w:lang w:val="ru-RU" w:eastAsia="ru-RU"/>
                        </w:rPr>
                        <w:drawing>
                          <wp:inline distT="0" distB="0" distL="0" distR="0" wp14:anchorId="147E4393" wp14:editId="0EFED259">
                            <wp:extent cx="2627211" cy="225189"/>
                            <wp:effectExtent l="0" t="0" r="1905"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27211" cy="225189"/>
                                    </a:xfrm>
                                    <a:prstGeom prst="rect">
                                      <a:avLst/>
                                    </a:prstGeom>
                                  </pic:spPr>
                                </pic:pic>
                              </a:graphicData>
                            </a:graphic>
                          </wp:inline>
                        </w:drawing>
                      </w:r>
                    </w:p>
                  </w:txbxContent>
                </v:textbox>
              </v:shape>
            </w:pict>
          </mc:Fallback>
        </mc:AlternateContent>
      </w:r>
      <w:r w:rsidR="00114409" w:rsidRPr="000B0464">
        <w:rPr>
          <w:rFonts w:ascii="Times New Roman" w:hAnsi="Times New Roman" w:cs="Times New Roman"/>
          <w:noProof/>
          <w:lang w:val="en-GB" w:eastAsia="ru-RU"/>
        </w:rPr>
        <w:drawing>
          <wp:inline distT="0" distB="0" distL="0" distR="0" wp14:anchorId="2893D460" wp14:editId="5819F6B0">
            <wp:extent cx="4981433" cy="3029803"/>
            <wp:effectExtent l="0" t="0" r="0" b="38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981F70" w14:textId="2DA382A8" w:rsidR="00114409" w:rsidRPr="00B54735" w:rsidRDefault="00114409" w:rsidP="000B0464">
      <w:pPr>
        <w:pStyle w:val="Rrys"/>
        <w:rPr>
          <w:lang w:val="en-GB"/>
        </w:rPr>
      </w:pPr>
      <w:r w:rsidRPr="00B54735">
        <w:rPr>
          <w:b/>
          <w:bCs/>
          <w:lang w:val="en-GB"/>
        </w:rPr>
        <w:t>Fig. 2.</w:t>
      </w:r>
      <w:r w:rsidRPr="00B54735">
        <w:rPr>
          <w:lang w:val="en-GB"/>
        </w:rPr>
        <w:t xml:space="preserve"> Dynamics </w:t>
      </w:r>
      <w:r w:rsidR="00C6661C" w:rsidRPr="00B54735">
        <w:rPr>
          <w:lang w:val="en-GB"/>
        </w:rPr>
        <w:t xml:space="preserve">of the average daily air temperature during the growing season </w:t>
      </w:r>
      <w:r w:rsidRPr="00B54735">
        <w:rPr>
          <w:lang w:val="en-GB"/>
        </w:rPr>
        <w:t>of 2022</w:t>
      </w:r>
      <w:r w:rsidR="00CF47F6" w:rsidRPr="00B54735">
        <w:rPr>
          <w:lang w:val="en-GB"/>
        </w:rPr>
        <w:t>-</w:t>
      </w:r>
      <w:r w:rsidRPr="00B54735">
        <w:rPr>
          <w:lang w:val="en-GB"/>
        </w:rPr>
        <w:t>2024</w:t>
      </w:r>
    </w:p>
    <w:p w14:paraId="0FFADEB6" w14:textId="77777777" w:rsidR="00114409" w:rsidRPr="000B0464" w:rsidRDefault="00114409" w:rsidP="00114409">
      <w:pPr>
        <w:spacing w:after="0" w:line="240" w:lineRule="auto"/>
        <w:jc w:val="both"/>
        <w:rPr>
          <w:rFonts w:ascii="Times New Roman" w:hAnsi="Times New Roman" w:cs="Times New Roman"/>
          <w:lang w:val="en-GB"/>
        </w:rPr>
      </w:pPr>
    </w:p>
    <w:p w14:paraId="4CF8CAD2" w14:textId="7032184E" w:rsidR="00114409" w:rsidRPr="000B0464" w:rsidRDefault="00B54735" w:rsidP="002A758C">
      <w:pPr>
        <w:pStyle w:val="Akapitzlist"/>
        <w:spacing w:after="0" w:line="240" w:lineRule="auto"/>
        <w:ind w:left="0" w:firstLine="284"/>
        <w:contextualSpacing w:val="0"/>
        <w:jc w:val="both"/>
        <w:rPr>
          <w:rFonts w:ascii="Times New Roman" w:hAnsi="Times New Roman" w:cs="Times New Roman"/>
          <w:lang w:val="en-GB"/>
        </w:rPr>
      </w:pPr>
      <w:r>
        <w:rPr>
          <w:rFonts w:ascii="Times New Roman" w:hAnsi="Times New Roman" w:cs="Times New Roman"/>
          <w:lang w:val="en-GB"/>
        </w:rPr>
        <w:t>T</w:t>
      </w:r>
      <w:r w:rsidR="00114409" w:rsidRPr="000B0464">
        <w:rPr>
          <w:rFonts w:ascii="Times New Roman" w:hAnsi="Times New Roman" w:cs="Times New Roman"/>
          <w:lang w:val="en-GB"/>
        </w:rPr>
        <w:t>he most favourable years for crop yield formation were 2022 and 2023. Dry conditions prevailed in 2024, characterized by low precipitation and extreme deviations in air temperature during the vegetation period.</w:t>
      </w:r>
      <w:r w:rsidR="002A758C" w:rsidRPr="000B0464">
        <w:rPr>
          <w:rFonts w:ascii="Times New Roman" w:hAnsi="Times New Roman" w:cs="Times New Roman"/>
          <w:lang w:val="en-GB"/>
        </w:rPr>
        <w:t xml:space="preserve"> </w:t>
      </w:r>
      <w:r w:rsidR="00114409" w:rsidRPr="000B0464">
        <w:rPr>
          <w:rFonts w:ascii="Times New Roman" w:hAnsi="Times New Roman" w:cs="Times New Roman"/>
          <w:lang w:val="en-GB"/>
        </w:rPr>
        <w:t xml:space="preserve">The study is a single-factor experiment examining the effect of the biofertilizer </w:t>
      </w:r>
      <w:proofErr w:type="spellStart"/>
      <w:r w:rsidR="00114409" w:rsidRPr="000B0464">
        <w:rPr>
          <w:rFonts w:ascii="Times New Roman" w:hAnsi="Times New Roman" w:cs="Times New Roman"/>
          <w:lang w:val="en-GB"/>
        </w:rPr>
        <w:t>Leanum</w:t>
      </w:r>
      <w:proofErr w:type="spellEnd"/>
      <w:r w:rsidR="00114409" w:rsidRPr="000B0464">
        <w:rPr>
          <w:rFonts w:ascii="Times New Roman" w:hAnsi="Times New Roman" w:cs="Times New Roman"/>
          <w:lang w:val="en-GB"/>
        </w:rPr>
        <w:t xml:space="preserve"> according to the following scheme: control (C); seed inoculation with </w:t>
      </w:r>
      <w:proofErr w:type="spellStart"/>
      <w:r w:rsidR="00114409" w:rsidRPr="000B0464">
        <w:rPr>
          <w:rFonts w:ascii="Times New Roman" w:hAnsi="Times New Roman" w:cs="Times New Roman"/>
          <w:lang w:val="en-GB"/>
        </w:rPr>
        <w:t>Leanum</w:t>
      </w:r>
      <w:proofErr w:type="spellEnd"/>
      <w:r w:rsidR="00114409" w:rsidRPr="000B0464">
        <w:rPr>
          <w:rFonts w:ascii="Times New Roman" w:hAnsi="Times New Roman" w:cs="Times New Roman"/>
          <w:lang w:val="en-GB"/>
        </w:rPr>
        <w:t xml:space="preserve"> before sowing – 2 L/t (I); foliar application – 2 L/ha (F); combined application: inoculation + foliar treatment – 2 L/t + 2 L/ha (I + F). </w:t>
      </w:r>
      <w:r w:rsidR="00176854" w:rsidRPr="000B0464">
        <w:rPr>
          <w:rFonts w:ascii="Times New Roman" w:hAnsi="Times New Roman" w:cs="Times New Roman"/>
          <w:lang w:val="en-GB"/>
        </w:rPr>
        <w:t xml:space="preserve">The composition of </w:t>
      </w:r>
      <w:proofErr w:type="spellStart"/>
      <w:r w:rsidR="00176854" w:rsidRPr="000B0464">
        <w:rPr>
          <w:rFonts w:ascii="Times New Roman" w:hAnsi="Times New Roman" w:cs="Times New Roman"/>
          <w:lang w:val="en-GB"/>
        </w:rPr>
        <w:t>Leanum</w:t>
      </w:r>
      <w:proofErr w:type="spellEnd"/>
      <w:r w:rsidR="00176854" w:rsidRPr="000B0464">
        <w:rPr>
          <w:rFonts w:ascii="Times New Roman" w:hAnsi="Times New Roman" w:cs="Times New Roman"/>
          <w:lang w:val="en-GB"/>
        </w:rPr>
        <w:t xml:space="preserve"> includes a complex of beneficial soil microorganisms combined with organic substances from fertile soils </w:t>
      </w:r>
      <w:r w:rsidR="008132E1">
        <w:rPr>
          <w:rFonts w:ascii="Times New Roman" w:hAnsi="Times New Roman" w:cs="Times New Roman"/>
          <w:lang w:val="en-GB"/>
        </w:rPr>
        <w:br/>
        <w:t>–</w:t>
      </w:r>
      <w:r w:rsidR="00176854" w:rsidRPr="000B0464">
        <w:rPr>
          <w:rFonts w:ascii="Times New Roman" w:hAnsi="Times New Roman" w:cs="Times New Roman"/>
          <w:lang w:val="en-GB"/>
        </w:rPr>
        <w:t xml:space="preserve"> humic and fulvic acids, amino acids, and vitamins. </w:t>
      </w:r>
      <w:r w:rsidR="00114409" w:rsidRPr="000B0464">
        <w:rPr>
          <w:rFonts w:ascii="Times New Roman" w:hAnsi="Times New Roman" w:cs="Times New Roman"/>
          <w:lang w:val="en-GB"/>
        </w:rPr>
        <w:t>The studied determinant buckwheat variety is Yaroslavna.</w:t>
      </w:r>
      <w:r w:rsidR="00390A3A" w:rsidRPr="000B0464">
        <w:rPr>
          <w:rFonts w:ascii="Times New Roman" w:hAnsi="Times New Roman" w:cs="Times New Roman"/>
          <w:lang w:val="en-GB"/>
        </w:rPr>
        <w:t xml:space="preserve"> Replication of the experiment was triple</w:t>
      </w:r>
      <w:r>
        <w:rPr>
          <w:rFonts w:ascii="Times New Roman" w:hAnsi="Times New Roman" w:cs="Times New Roman"/>
          <w:lang w:val="en-GB"/>
        </w:rPr>
        <w:t>d</w:t>
      </w:r>
      <w:r w:rsidR="00390A3A" w:rsidRPr="000B0464">
        <w:rPr>
          <w:rFonts w:ascii="Times New Roman" w:hAnsi="Times New Roman" w:cs="Times New Roman"/>
          <w:lang w:val="en-GB"/>
        </w:rPr>
        <w:t>.</w:t>
      </w:r>
      <w:r w:rsidR="009B2FB6" w:rsidRPr="000B0464">
        <w:rPr>
          <w:rFonts w:ascii="Times New Roman" w:hAnsi="Times New Roman" w:cs="Times New Roman"/>
          <w:lang w:val="en-GB"/>
        </w:rPr>
        <w:t xml:space="preserve"> </w:t>
      </w:r>
      <w:r>
        <w:rPr>
          <w:rFonts w:ascii="Times New Roman" w:hAnsi="Times New Roman" w:cs="Times New Roman"/>
          <w:lang w:val="en-GB"/>
        </w:rPr>
        <w:t>The experimental plot size is 30 m</w:t>
      </w:r>
      <w:r w:rsidRPr="00B54735">
        <w:rPr>
          <w:rFonts w:ascii="Times New Roman" w:hAnsi="Times New Roman" w:cs="Times New Roman"/>
          <w:vertAlign w:val="superscript"/>
          <w:lang w:val="en-GB"/>
        </w:rPr>
        <w:t>2</w:t>
      </w:r>
      <w:r>
        <w:rPr>
          <w:rFonts w:ascii="Times New Roman" w:hAnsi="Times New Roman" w:cs="Times New Roman"/>
          <w:lang w:val="en-GB"/>
        </w:rPr>
        <w:t>, and the size of the accounting area is</w:t>
      </w:r>
      <w:r w:rsidR="00390A3A" w:rsidRPr="000B0464">
        <w:rPr>
          <w:rFonts w:ascii="Times New Roman" w:hAnsi="Times New Roman" w:cs="Times New Roman"/>
          <w:lang w:val="en-GB"/>
        </w:rPr>
        <w:t xml:space="preserve"> 25 m</w:t>
      </w:r>
      <w:r w:rsidR="00390A3A" w:rsidRPr="000B0464">
        <w:rPr>
          <w:rFonts w:ascii="Times New Roman" w:hAnsi="Times New Roman" w:cs="Times New Roman"/>
          <w:vertAlign w:val="superscript"/>
          <w:lang w:val="en-GB"/>
        </w:rPr>
        <w:t>2</w:t>
      </w:r>
      <w:r w:rsidR="00390A3A" w:rsidRPr="000B0464">
        <w:rPr>
          <w:rFonts w:ascii="Times New Roman" w:hAnsi="Times New Roman" w:cs="Times New Roman"/>
          <w:lang w:val="en-GB"/>
        </w:rPr>
        <w:t>.</w:t>
      </w:r>
      <w:r w:rsidR="008B58D4" w:rsidRPr="000B0464">
        <w:rPr>
          <w:rFonts w:ascii="Times New Roman" w:hAnsi="Times New Roman" w:cs="Times New Roman"/>
          <w:lang w:val="en-GB"/>
        </w:rPr>
        <w:t xml:space="preserve"> The buckwheat yield in the experimental field was determined by the method of continuous harvesting of the accounting area by variants and then recalculated into tons per hectare, </w:t>
      </w:r>
      <w:r>
        <w:rPr>
          <w:rFonts w:ascii="Times New Roman" w:hAnsi="Times New Roman" w:cs="Times New Roman"/>
          <w:lang w:val="en-GB"/>
        </w:rPr>
        <w:t>considering</w:t>
      </w:r>
      <w:r w:rsidR="008B58D4" w:rsidRPr="000B0464">
        <w:rPr>
          <w:rFonts w:ascii="Times New Roman" w:hAnsi="Times New Roman" w:cs="Times New Roman"/>
          <w:lang w:val="en-GB"/>
        </w:rPr>
        <w:t xml:space="preserve"> grain moisture.</w:t>
      </w:r>
    </w:p>
    <w:p w14:paraId="43F9007E" w14:textId="0FC65734" w:rsidR="008D5278" w:rsidRPr="000B0464" w:rsidRDefault="00B54735" w:rsidP="00114409">
      <w:pPr>
        <w:shd w:val="clear" w:color="auto" w:fill="FFFFFF"/>
        <w:spacing w:after="0" w:line="240" w:lineRule="auto"/>
        <w:ind w:firstLine="284"/>
        <w:jc w:val="both"/>
        <w:rPr>
          <w:rFonts w:ascii="Times New Roman" w:hAnsi="Times New Roman" w:cs="Times New Roman"/>
          <w:lang w:val="en-GB"/>
        </w:rPr>
      </w:pPr>
      <w:r>
        <w:rPr>
          <w:rFonts w:ascii="Times New Roman" w:hAnsi="Times New Roman" w:cs="Times New Roman"/>
          <w:lang w:val="en-GB"/>
        </w:rPr>
        <w:t>A simplified cost-benefit analysis was performed to assess the economic efficiency of biofertilizer application</w:t>
      </w:r>
      <w:r w:rsidR="008D5278" w:rsidRPr="000B0464">
        <w:rPr>
          <w:rFonts w:ascii="Times New Roman" w:hAnsi="Times New Roman" w:cs="Times New Roman"/>
          <w:lang w:val="en-GB"/>
        </w:rPr>
        <w:t xml:space="preserve">. Growing costs included expenditures for seed, tillage, sowing, crop protection, harvesting, and the biofertilizer </w:t>
      </w:r>
      <w:proofErr w:type="spellStart"/>
      <w:r w:rsidR="008D5278" w:rsidRPr="000B0464">
        <w:rPr>
          <w:rFonts w:ascii="Times New Roman" w:hAnsi="Times New Roman" w:cs="Times New Roman"/>
          <w:lang w:val="en-GB"/>
        </w:rPr>
        <w:t>Leanum</w:t>
      </w:r>
      <w:proofErr w:type="spellEnd"/>
      <w:r w:rsidR="008D5278" w:rsidRPr="000B0464">
        <w:rPr>
          <w:rFonts w:ascii="Times New Roman" w:hAnsi="Times New Roman" w:cs="Times New Roman"/>
          <w:lang w:val="en-GB"/>
        </w:rPr>
        <w:t xml:space="preserve">, calculated at the market rate of €9.5/L. The average </w:t>
      </w:r>
      <w:r>
        <w:rPr>
          <w:rFonts w:ascii="Times New Roman" w:hAnsi="Times New Roman" w:cs="Times New Roman"/>
          <w:lang w:val="en-GB"/>
        </w:rPr>
        <w:t>buckwheat grain selling price was</w:t>
      </w:r>
      <w:r w:rsidR="008D5278" w:rsidRPr="000B0464">
        <w:rPr>
          <w:rFonts w:ascii="Times New Roman" w:hAnsi="Times New Roman" w:cs="Times New Roman"/>
          <w:lang w:val="en-GB"/>
        </w:rPr>
        <w:t xml:space="preserve"> €502.2 per ton. Sales revenue was determined by multiplying the yield by the sales price for each treatment. Net profit was calculated as the difference between sales revenue and total growing costs. Economic efficiency was evaluated by calculating </w:t>
      </w:r>
      <w:r>
        <w:rPr>
          <w:rFonts w:ascii="Times New Roman" w:hAnsi="Times New Roman" w:cs="Times New Roman"/>
          <w:lang w:val="en-GB"/>
        </w:rPr>
        <w:t>profitability</w:t>
      </w:r>
      <w:r w:rsidR="008D5278" w:rsidRPr="000B0464">
        <w:rPr>
          <w:rFonts w:ascii="Times New Roman" w:hAnsi="Times New Roman" w:cs="Times New Roman"/>
          <w:lang w:val="en-GB"/>
        </w:rPr>
        <w:t>, expressed as a percentage of net profit to growing costs.</w:t>
      </w:r>
    </w:p>
    <w:p w14:paraId="6DEB4E93" w14:textId="350EAACF" w:rsidR="00816FFF" w:rsidRPr="000B0464" w:rsidRDefault="00114409" w:rsidP="00114409">
      <w:pPr>
        <w:shd w:val="clear" w:color="auto" w:fill="FFFFFF"/>
        <w:spacing w:after="0" w:line="240" w:lineRule="auto"/>
        <w:ind w:firstLine="284"/>
        <w:jc w:val="both"/>
        <w:rPr>
          <w:rFonts w:ascii="Times New Roman" w:eastAsia="Times New Roman" w:hAnsi="Times New Roman" w:cs="Times New Roman"/>
          <w:lang w:val="en-GB"/>
        </w:rPr>
      </w:pPr>
      <w:r w:rsidRPr="000B0464">
        <w:rPr>
          <w:rFonts w:ascii="Times New Roman" w:hAnsi="Times New Roman" w:cs="Times New Roman"/>
          <w:lang w:val="en-GB"/>
        </w:rPr>
        <w:t>Mathematical processing of primary data and reliability assessment were performed using Microsoft Excel. Descriptive statistics were conducted in Statistica 10.0 (</w:t>
      </w:r>
      <w:proofErr w:type="spellStart"/>
      <w:r w:rsidRPr="000B0464">
        <w:rPr>
          <w:rFonts w:ascii="Times New Roman" w:hAnsi="Times New Roman" w:cs="Times New Roman"/>
          <w:lang w:val="en-GB"/>
        </w:rPr>
        <w:t>StatSoft</w:t>
      </w:r>
      <w:proofErr w:type="spellEnd"/>
      <w:r w:rsidRPr="000B0464">
        <w:rPr>
          <w:rFonts w:ascii="Times New Roman" w:hAnsi="Times New Roman" w:cs="Times New Roman"/>
          <w:lang w:val="en-GB"/>
        </w:rPr>
        <w:t xml:space="preserve"> Inc., Tulsa, USA)</w:t>
      </w:r>
      <w:r w:rsidR="002D66CB" w:rsidRPr="000B0464">
        <w:rPr>
          <w:rFonts w:ascii="Times New Roman" w:eastAsia="Times New Roman" w:hAnsi="Times New Roman" w:cs="Times New Roman"/>
          <w:spacing w:val="-4"/>
          <w:lang w:val="en-GB"/>
        </w:rPr>
        <w:t>.</w:t>
      </w:r>
      <w:r w:rsidR="008B58D4" w:rsidRPr="000B0464">
        <w:rPr>
          <w:rFonts w:ascii="Times New Roman" w:eastAsia="Times New Roman" w:hAnsi="Times New Roman" w:cs="Times New Roman"/>
          <w:spacing w:val="-4"/>
          <w:lang w:val="en-GB"/>
        </w:rPr>
        <w:t xml:space="preserve"> The Duncan's Multiple Range Test was used in the study to assess the significance of differences between treatment means at a 5% probability level</w:t>
      </w:r>
      <w:r w:rsidR="00B54735">
        <w:rPr>
          <w:rFonts w:ascii="Times New Roman" w:eastAsia="Times New Roman" w:hAnsi="Times New Roman" w:cs="Times New Roman"/>
          <w:spacing w:val="-4"/>
          <w:lang w:val="en-GB"/>
        </w:rPr>
        <w:t>. This</w:t>
      </w:r>
      <w:r w:rsidR="008B58D4" w:rsidRPr="000B0464">
        <w:rPr>
          <w:rFonts w:ascii="Times New Roman" w:eastAsia="Times New Roman" w:hAnsi="Times New Roman" w:cs="Times New Roman"/>
          <w:spacing w:val="-4"/>
          <w:lang w:val="en-GB"/>
        </w:rPr>
        <w:t xml:space="preserve"> allowed </w:t>
      </w:r>
      <w:r w:rsidR="00B54735">
        <w:rPr>
          <w:rFonts w:ascii="Times New Roman" w:eastAsia="Times New Roman" w:hAnsi="Times New Roman" w:cs="Times New Roman"/>
          <w:spacing w:val="-4"/>
          <w:lang w:val="en-GB"/>
        </w:rPr>
        <w:t xml:space="preserve">us </w:t>
      </w:r>
      <w:r w:rsidR="008B58D4" w:rsidRPr="000B0464">
        <w:rPr>
          <w:rFonts w:ascii="Times New Roman" w:eastAsia="Times New Roman" w:hAnsi="Times New Roman" w:cs="Times New Roman"/>
          <w:spacing w:val="-4"/>
          <w:lang w:val="en-GB"/>
        </w:rPr>
        <w:t xml:space="preserve">to statistically group the experimental variants and determine which treatments </w:t>
      </w:r>
      <w:r w:rsidR="00B54735">
        <w:rPr>
          <w:rFonts w:ascii="Times New Roman" w:eastAsia="Times New Roman" w:hAnsi="Times New Roman" w:cs="Times New Roman"/>
          <w:spacing w:val="-4"/>
          <w:lang w:val="en-GB"/>
        </w:rPr>
        <w:t>significantly affected</w:t>
      </w:r>
      <w:r w:rsidR="008B58D4" w:rsidRPr="000B0464">
        <w:rPr>
          <w:rFonts w:ascii="Times New Roman" w:eastAsia="Times New Roman" w:hAnsi="Times New Roman" w:cs="Times New Roman"/>
          <w:spacing w:val="-4"/>
          <w:lang w:val="en-GB"/>
        </w:rPr>
        <w:t xml:space="preserve"> buckwheat productivity.</w:t>
      </w:r>
    </w:p>
    <w:p w14:paraId="2E72C15A" w14:textId="77777777" w:rsidR="00AA6CB0" w:rsidRDefault="00AA6CB0">
      <w:pPr>
        <w:rPr>
          <w:rFonts w:ascii="Times New Roman" w:hAnsi="Times New Roman"/>
          <w:b/>
          <w:kern w:val="2"/>
          <w:sz w:val="24"/>
          <w:lang w:val="en-GB"/>
          <w14:ligatures w14:val="standardContextual"/>
        </w:rPr>
      </w:pPr>
      <w:r>
        <w:rPr>
          <w:lang w:val="en-GB"/>
        </w:rPr>
        <w:br w:type="page"/>
      </w:r>
    </w:p>
    <w:p w14:paraId="77324925" w14:textId="7719A8EF" w:rsidR="002D66CB" w:rsidRPr="000B0464" w:rsidRDefault="00285A8E" w:rsidP="00DC4BE1">
      <w:pPr>
        <w:pStyle w:val="Rn1"/>
        <w:rPr>
          <w:lang w:val="en-GB"/>
        </w:rPr>
      </w:pPr>
      <w:r w:rsidRPr="000B0464">
        <w:rPr>
          <w:lang w:val="en-GB"/>
        </w:rPr>
        <w:lastRenderedPageBreak/>
        <w:t xml:space="preserve">3. </w:t>
      </w:r>
      <w:r w:rsidR="002D66CB" w:rsidRPr="000B0464">
        <w:rPr>
          <w:lang w:val="en-GB"/>
        </w:rPr>
        <w:t>Results</w:t>
      </w:r>
      <w:r w:rsidR="002A758C" w:rsidRPr="000B0464">
        <w:rPr>
          <w:lang w:val="en-GB"/>
        </w:rPr>
        <w:t xml:space="preserve"> </w:t>
      </w:r>
      <w:r w:rsidR="002A758C" w:rsidRPr="000B0464">
        <w:rPr>
          <w:rFonts w:cs="Times New Roman"/>
          <w:bCs/>
          <w:color w:val="000000"/>
          <w:szCs w:val="24"/>
          <w:lang w:val="en-GB"/>
        </w:rPr>
        <w:t>and Discussion</w:t>
      </w:r>
    </w:p>
    <w:p w14:paraId="5A9C3ABE" w14:textId="77777777" w:rsidR="003D483D" w:rsidRPr="000B0464" w:rsidRDefault="003D483D" w:rsidP="003D483D">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The obtained results provide new insights into the impact of the studied factor on yield formation. One of the key components affecting crop yield is biometric indicators. For buckwheat, these include plant height, the number of nodes, primary branches, and inflorescences, as presented in Table 1.</w:t>
      </w:r>
    </w:p>
    <w:p w14:paraId="368669CF" w14:textId="2FAAFE21" w:rsidR="003D483D" w:rsidRPr="000B0464" w:rsidRDefault="003D483D" w:rsidP="003D483D">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The tallest plants were observed in variant I, which suggests a pronounced effect of the corresponding treatment on vegetative growth. However, both the control (C) and the I</w:t>
      </w:r>
      <w:r w:rsidR="008C63DD">
        <w:rPr>
          <w:rFonts w:ascii="Times New Roman" w:hAnsi="Times New Roman" w:cs="Times New Roman"/>
          <w:lang w:val="en-GB"/>
        </w:rPr>
        <w:t xml:space="preserve"> </w:t>
      </w:r>
      <w:r w:rsidRPr="000B0464">
        <w:rPr>
          <w:rFonts w:ascii="Times New Roman" w:hAnsi="Times New Roman" w:cs="Times New Roman"/>
          <w:lang w:val="en-GB"/>
        </w:rPr>
        <w:t>+</w:t>
      </w:r>
      <w:r w:rsidR="008C63DD">
        <w:rPr>
          <w:rFonts w:ascii="Times New Roman" w:hAnsi="Times New Roman" w:cs="Times New Roman"/>
          <w:lang w:val="en-GB"/>
        </w:rPr>
        <w:t xml:space="preserve"> </w:t>
      </w:r>
      <w:r w:rsidRPr="000B0464">
        <w:rPr>
          <w:rFonts w:ascii="Times New Roman" w:hAnsi="Times New Roman" w:cs="Times New Roman"/>
          <w:lang w:val="en-GB"/>
        </w:rPr>
        <w:t>F combination showed noticeably reduced plant height, with the lowest variance in F, indicating uniformity in response. Although the F-test for plant height did not reach statistical significance (F = 1.6, p = 0.2), the visible differences suggest potential physiological effects that warrant further investigation.</w:t>
      </w:r>
    </w:p>
    <w:p w14:paraId="5D95FB6C" w14:textId="77777777" w:rsidR="003D483D" w:rsidRPr="000B0464" w:rsidRDefault="003D483D" w:rsidP="003D483D">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The number of nodes displayed a clear increasing trend across the treatment variants, peaking in variant F. The high F-test value (F = 13.5, p = 0.00) confirms the statistical significance of these differences, highlighting this trait as particularly sensitive to the applied treatments.</w:t>
      </w:r>
    </w:p>
    <w:p w14:paraId="5DDB342D" w14:textId="3DE3ADD9" w:rsidR="003D483D" w:rsidRPr="000B0464" w:rsidRDefault="003D483D" w:rsidP="003D483D">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Regarding the development of branching, a modest yet consistent increase in the number of primary branches was recorded, with the highest mean value in the I</w:t>
      </w:r>
      <w:r w:rsidR="008C63DD">
        <w:rPr>
          <w:rFonts w:ascii="Times New Roman" w:hAnsi="Times New Roman" w:cs="Times New Roman"/>
          <w:lang w:val="en-GB"/>
        </w:rPr>
        <w:t xml:space="preserve"> </w:t>
      </w:r>
      <w:r w:rsidRPr="000B0464">
        <w:rPr>
          <w:rFonts w:ascii="Times New Roman" w:hAnsi="Times New Roman" w:cs="Times New Roman"/>
          <w:lang w:val="en-GB"/>
        </w:rPr>
        <w:t>+</w:t>
      </w:r>
      <w:r w:rsidR="008C63DD">
        <w:rPr>
          <w:rFonts w:ascii="Times New Roman" w:hAnsi="Times New Roman" w:cs="Times New Roman"/>
          <w:lang w:val="en-GB"/>
        </w:rPr>
        <w:t xml:space="preserve"> </w:t>
      </w:r>
      <w:r w:rsidRPr="000B0464">
        <w:rPr>
          <w:rFonts w:ascii="Times New Roman" w:hAnsi="Times New Roman" w:cs="Times New Roman"/>
          <w:lang w:val="en-GB"/>
        </w:rPr>
        <w:t>F variant. Although the range of variation was minimal, statistical analysis confirmed the significance of these differences (F = 9.9, p = 0.00), which may reflect enhanced morphogenesis under combined treatment conditions.</w:t>
      </w:r>
    </w:p>
    <w:p w14:paraId="3D6D894D" w14:textId="4CDB6B9C" w:rsidR="003D483D" w:rsidRPr="000B0464" w:rsidRDefault="003D483D" w:rsidP="003D483D">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In terms of reproductive development, the highest number of inflorescences was registered in variant I, suggesting a strong generative response to the individual treatment. Conversely, a notable decline in inflorescence number was observed in the I</w:t>
      </w:r>
      <w:r w:rsidR="008C63DD">
        <w:rPr>
          <w:rFonts w:ascii="Times New Roman" w:hAnsi="Times New Roman" w:cs="Times New Roman"/>
          <w:lang w:val="en-GB"/>
        </w:rPr>
        <w:t xml:space="preserve"> </w:t>
      </w:r>
      <w:r w:rsidRPr="000B0464">
        <w:rPr>
          <w:rFonts w:ascii="Times New Roman" w:hAnsi="Times New Roman" w:cs="Times New Roman"/>
          <w:lang w:val="en-GB"/>
        </w:rPr>
        <w:t>+</w:t>
      </w:r>
      <w:r w:rsidR="008C63DD">
        <w:rPr>
          <w:rFonts w:ascii="Times New Roman" w:hAnsi="Times New Roman" w:cs="Times New Roman"/>
          <w:lang w:val="en-GB"/>
        </w:rPr>
        <w:t xml:space="preserve"> </w:t>
      </w:r>
      <w:r w:rsidRPr="000B0464">
        <w:rPr>
          <w:rFonts w:ascii="Times New Roman" w:hAnsi="Times New Roman" w:cs="Times New Roman"/>
          <w:lang w:val="en-GB"/>
        </w:rPr>
        <w:t>F variant, which may imply a trade-off effect or possible antagonism when both factors are applied simultaneously. Despite the relatively high variability (s² = 19.5 in I</w:t>
      </w:r>
      <w:r w:rsidR="008C63DD">
        <w:rPr>
          <w:rFonts w:ascii="Times New Roman" w:hAnsi="Times New Roman" w:cs="Times New Roman"/>
          <w:lang w:val="en-GB"/>
        </w:rPr>
        <w:t xml:space="preserve"> </w:t>
      </w:r>
      <w:r w:rsidRPr="000B0464">
        <w:rPr>
          <w:rFonts w:ascii="Times New Roman" w:hAnsi="Times New Roman" w:cs="Times New Roman"/>
          <w:lang w:val="en-GB"/>
        </w:rPr>
        <w:t>+</w:t>
      </w:r>
      <w:r w:rsidR="008C63DD">
        <w:rPr>
          <w:rFonts w:ascii="Times New Roman" w:hAnsi="Times New Roman" w:cs="Times New Roman"/>
          <w:lang w:val="en-GB"/>
        </w:rPr>
        <w:t xml:space="preserve"> </w:t>
      </w:r>
      <w:r w:rsidRPr="000B0464">
        <w:rPr>
          <w:rFonts w:ascii="Times New Roman" w:hAnsi="Times New Roman" w:cs="Times New Roman"/>
          <w:lang w:val="en-GB"/>
        </w:rPr>
        <w:t xml:space="preserve">F), the </w:t>
      </w:r>
      <w:r w:rsidR="008132E1">
        <w:rPr>
          <w:rFonts w:ascii="Times New Roman" w:hAnsi="Times New Roman" w:cs="Times New Roman"/>
          <w:lang w:val="en-GB"/>
        </w:rPr>
        <w:t xml:space="preserve"> </w:t>
      </w:r>
      <w:r w:rsidRPr="000B0464">
        <w:rPr>
          <w:rFonts w:ascii="Times New Roman" w:hAnsi="Times New Roman" w:cs="Times New Roman"/>
          <w:lang w:val="en-GB"/>
        </w:rPr>
        <w:t>F-test result (</w:t>
      </w:r>
      <w:r w:rsidRPr="000B0464">
        <w:rPr>
          <w:rFonts w:ascii="Times New Roman" w:hAnsi="Times New Roman" w:cs="Times New Roman"/>
          <w:iCs/>
          <w:lang w:val="en-GB"/>
        </w:rPr>
        <w:t>F = 2.4, p = 1.3</w:t>
      </w:r>
      <w:r w:rsidRPr="000B0464">
        <w:rPr>
          <w:rFonts w:ascii="Times New Roman" w:hAnsi="Times New Roman" w:cs="Times New Roman"/>
          <w:lang w:val="en-GB"/>
        </w:rPr>
        <w:t>) did not confirm statistical significance, possibly due to inconsistent plant responses within this group.</w:t>
      </w:r>
    </w:p>
    <w:p w14:paraId="2E39187B" w14:textId="281BBFEE" w:rsidR="003D483D" w:rsidRPr="000B0464" w:rsidRDefault="003D483D" w:rsidP="003D483D">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These observations underscore the complex nature of buckwheat</w:t>
      </w:r>
      <w:r w:rsidR="00B54735">
        <w:rPr>
          <w:rFonts w:ascii="Times New Roman" w:hAnsi="Times New Roman" w:cs="Times New Roman"/>
          <w:lang w:val="en-GB"/>
        </w:rPr>
        <w:t>'</w:t>
      </w:r>
      <w:r w:rsidRPr="000B0464">
        <w:rPr>
          <w:rFonts w:ascii="Times New Roman" w:hAnsi="Times New Roman" w:cs="Times New Roman"/>
          <w:lang w:val="en-GB"/>
        </w:rPr>
        <w:t>s morphological responses to different treatments and highlight the importance of targeted application strategies to optimize both vegetative and reproductive traits for yield improvement.</w:t>
      </w:r>
    </w:p>
    <w:p w14:paraId="2EA4FD07" w14:textId="77777777" w:rsidR="00DA4159" w:rsidRPr="000B0464" w:rsidRDefault="00DA4159" w:rsidP="00DA4159">
      <w:pPr>
        <w:spacing w:after="0" w:line="240" w:lineRule="auto"/>
        <w:jc w:val="both"/>
        <w:rPr>
          <w:rFonts w:ascii="Times New Roman" w:hAnsi="Times New Roman" w:cs="Times New Roman"/>
          <w:bCs/>
          <w:lang w:val="en-GB"/>
        </w:rPr>
      </w:pPr>
    </w:p>
    <w:p w14:paraId="7B702DC6" w14:textId="77777777" w:rsidR="001100F4" w:rsidRPr="000B0464" w:rsidRDefault="001100F4" w:rsidP="000B0464">
      <w:pPr>
        <w:pStyle w:val="Rtab"/>
        <w:rPr>
          <w:lang w:val="en-GB"/>
        </w:rPr>
      </w:pPr>
      <w:r w:rsidRPr="000B0464">
        <w:rPr>
          <w:b/>
          <w:bCs/>
          <w:lang w:val="en-GB"/>
        </w:rPr>
        <w:t xml:space="preserve">Table 1. </w:t>
      </w:r>
      <w:r w:rsidRPr="000B0464">
        <w:rPr>
          <w:lang w:val="en-GB"/>
        </w:rPr>
        <w:t>Biometric indicators of Yaroslava buckwheat plants</w:t>
      </w:r>
    </w:p>
    <w:tbl>
      <w:tblPr>
        <w:tblStyle w:val="Tabela-Siatka"/>
        <w:tblW w:w="0" w:type="auto"/>
        <w:jc w:val="center"/>
        <w:tblLook w:val="04A0" w:firstRow="1" w:lastRow="0" w:firstColumn="1" w:lastColumn="0" w:noHBand="0" w:noVBand="1"/>
      </w:tblPr>
      <w:tblGrid>
        <w:gridCol w:w="1038"/>
        <w:gridCol w:w="1338"/>
        <w:gridCol w:w="807"/>
        <w:gridCol w:w="1320"/>
        <w:gridCol w:w="756"/>
        <w:gridCol w:w="1370"/>
        <w:gridCol w:w="707"/>
        <w:gridCol w:w="1277"/>
        <w:gridCol w:w="1013"/>
      </w:tblGrid>
      <w:tr w:rsidR="001100F4" w:rsidRPr="000B0464" w14:paraId="7A8A1F1F" w14:textId="77777777" w:rsidTr="000B0464">
        <w:trPr>
          <w:jc w:val="center"/>
        </w:trPr>
        <w:tc>
          <w:tcPr>
            <w:tcW w:w="1038" w:type="dxa"/>
            <w:vMerge w:val="restart"/>
            <w:vAlign w:val="center"/>
          </w:tcPr>
          <w:p w14:paraId="1998FFD1"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Variant</w:t>
            </w:r>
          </w:p>
        </w:tc>
        <w:tc>
          <w:tcPr>
            <w:tcW w:w="2145" w:type="dxa"/>
            <w:gridSpan w:val="2"/>
            <w:vAlign w:val="center"/>
          </w:tcPr>
          <w:p w14:paraId="1D9AA435"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Height, cm</w:t>
            </w:r>
          </w:p>
        </w:tc>
        <w:tc>
          <w:tcPr>
            <w:tcW w:w="2076" w:type="dxa"/>
            <w:gridSpan w:val="2"/>
            <w:vAlign w:val="center"/>
          </w:tcPr>
          <w:p w14:paraId="509A5055"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Nodes, pcs</w:t>
            </w:r>
          </w:p>
        </w:tc>
        <w:tc>
          <w:tcPr>
            <w:tcW w:w="2077" w:type="dxa"/>
            <w:gridSpan w:val="2"/>
            <w:vAlign w:val="center"/>
          </w:tcPr>
          <w:p w14:paraId="4B08A6DE"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Branches of the 1st order, pcs</w:t>
            </w:r>
          </w:p>
        </w:tc>
        <w:tc>
          <w:tcPr>
            <w:tcW w:w="2290" w:type="dxa"/>
            <w:gridSpan w:val="2"/>
            <w:vAlign w:val="center"/>
          </w:tcPr>
          <w:p w14:paraId="25F67242"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Inflorescences, pcs</w:t>
            </w:r>
          </w:p>
        </w:tc>
      </w:tr>
      <w:tr w:rsidR="001100F4" w:rsidRPr="000B0464" w14:paraId="0AECADDA" w14:textId="77777777" w:rsidTr="00AA6CB0">
        <w:trPr>
          <w:trHeight w:val="283"/>
          <w:jc w:val="center"/>
        </w:trPr>
        <w:tc>
          <w:tcPr>
            <w:tcW w:w="1038" w:type="dxa"/>
            <w:vMerge/>
            <w:vAlign w:val="center"/>
          </w:tcPr>
          <w:p w14:paraId="1FD8DD9A" w14:textId="77777777" w:rsidR="001100F4" w:rsidRPr="000B0464" w:rsidRDefault="001100F4" w:rsidP="00DA4159">
            <w:pPr>
              <w:jc w:val="center"/>
              <w:rPr>
                <w:rFonts w:ascii="Times New Roman" w:hAnsi="Times New Roman" w:cs="Times New Roman"/>
                <w:lang w:val="en-GB"/>
              </w:rPr>
            </w:pPr>
          </w:p>
        </w:tc>
        <w:tc>
          <w:tcPr>
            <w:tcW w:w="1338" w:type="dxa"/>
            <w:vAlign w:val="center"/>
          </w:tcPr>
          <w:p w14:paraId="5DBA21A7"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Mean ± SD</w:t>
            </w:r>
          </w:p>
        </w:tc>
        <w:tc>
          <w:tcPr>
            <w:tcW w:w="807" w:type="dxa"/>
            <w:vAlign w:val="center"/>
          </w:tcPr>
          <w:p w14:paraId="48A9F329"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s</w:t>
            </w:r>
            <w:r w:rsidRPr="000B0464">
              <w:rPr>
                <w:rFonts w:ascii="Times New Roman" w:hAnsi="Times New Roman" w:cs="Times New Roman"/>
                <w:vertAlign w:val="superscript"/>
                <w:lang w:val="en-GB"/>
              </w:rPr>
              <w:t>2</w:t>
            </w:r>
          </w:p>
        </w:tc>
        <w:tc>
          <w:tcPr>
            <w:tcW w:w="1320" w:type="dxa"/>
            <w:vAlign w:val="center"/>
          </w:tcPr>
          <w:p w14:paraId="3AE25086"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Mean ± SD</w:t>
            </w:r>
          </w:p>
        </w:tc>
        <w:tc>
          <w:tcPr>
            <w:tcW w:w="756" w:type="dxa"/>
            <w:vAlign w:val="center"/>
          </w:tcPr>
          <w:p w14:paraId="1737FC59"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s</w:t>
            </w:r>
            <w:r w:rsidRPr="000B0464">
              <w:rPr>
                <w:rFonts w:ascii="Times New Roman" w:hAnsi="Times New Roman" w:cs="Times New Roman"/>
                <w:vertAlign w:val="superscript"/>
                <w:lang w:val="en-GB"/>
              </w:rPr>
              <w:t>2</w:t>
            </w:r>
          </w:p>
        </w:tc>
        <w:tc>
          <w:tcPr>
            <w:tcW w:w="1370" w:type="dxa"/>
            <w:vAlign w:val="center"/>
          </w:tcPr>
          <w:p w14:paraId="59D8A9BD"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Mean ± SD</w:t>
            </w:r>
          </w:p>
        </w:tc>
        <w:tc>
          <w:tcPr>
            <w:tcW w:w="707" w:type="dxa"/>
            <w:vAlign w:val="center"/>
          </w:tcPr>
          <w:p w14:paraId="67F49578"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s</w:t>
            </w:r>
            <w:r w:rsidRPr="000B0464">
              <w:rPr>
                <w:rFonts w:ascii="Times New Roman" w:hAnsi="Times New Roman" w:cs="Times New Roman"/>
                <w:vertAlign w:val="superscript"/>
                <w:lang w:val="en-GB"/>
              </w:rPr>
              <w:t>2</w:t>
            </w:r>
          </w:p>
        </w:tc>
        <w:tc>
          <w:tcPr>
            <w:tcW w:w="1277" w:type="dxa"/>
            <w:vAlign w:val="center"/>
          </w:tcPr>
          <w:p w14:paraId="2D170652"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Mean ± SD</w:t>
            </w:r>
          </w:p>
        </w:tc>
        <w:tc>
          <w:tcPr>
            <w:tcW w:w="1013" w:type="dxa"/>
            <w:vAlign w:val="center"/>
          </w:tcPr>
          <w:p w14:paraId="675A3694"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s</w:t>
            </w:r>
            <w:r w:rsidRPr="000B0464">
              <w:rPr>
                <w:rFonts w:ascii="Times New Roman" w:hAnsi="Times New Roman" w:cs="Times New Roman"/>
                <w:vertAlign w:val="superscript"/>
                <w:lang w:val="en-GB"/>
              </w:rPr>
              <w:t>2</w:t>
            </w:r>
          </w:p>
        </w:tc>
      </w:tr>
      <w:tr w:rsidR="001100F4" w:rsidRPr="000B0464" w14:paraId="71FD9715" w14:textId="77777777" w:rsidTr="00AA6CB0">
        <w:trPr>
          <w:trHeight w:val="283"/>
          <w:jc w:val="center"/>
        </w:trPr>
        <w:tc>
          <w:tcPr>
            <w:tcW w:w="1038" w:type="dxa"/>
            <w:vAlign w:val="center"/>
          </w:tcPr>
          <w:p w14:paraId="34D62EC1"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C</w:t>
            </w:r>
          </w:p>
        </w:tc>
        <w:tc>
          <w:tcPr>
            <w:tcW w:w="1338" w:type="dxa"/>
            <w:vAlign w:val="center"/>
          </w:tcPr>
          <w:p w14:paraId="17CC828C" w14:textId="53E70C4B"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121.7±9.</w:t>
            </w:r>
            <w:r w:rsidR="001100F4" w:rsidRPr="000B0464">
              <w:rPr>
                <w:rFonts w:ascii="Times New Roman" w:hAnsi="Times New Roman" w:cs="Times New Roman"/>
                <w:lang w:val="en-GB"/>
              </w:rPr>
              <w:t>8</w:t>
            </w:r>
          </w:p>
        </w:tc>
        <w:tc>
          <w:tcPr>
            <w:tcW w:w="807" w:type="dxa"/>
            <w:vAlign w:val="center"/>
          </w:tcPr>
          <w:p w14:paraId="1BB905EF" w14:textId="603329BF"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96.</w:t>
            </w:r>
            <w:r w:rsidR="001100F4" w:rsidRPr="000B0464">
              <w:rPr>
                <w:rFonts w:ascii="Times New Roman" w:hAnsi="Times New Roman" w:cs="Times New Roman"/>
                <w:lang w:val="en-GB"/>
              </w:rPr>
              <w:t>2</w:t>
            </w:r>
          </w:p>
        </w:tc>
        <w:tc>
          <w:tcPr>
            <w:tcW w:w="1320" w:type="dxa"/>
            <w:vAlign w:val="center"/>
          </w:tcPr>
          <w:p w14:paraId="242569D5" w14:textId="0F0C383D"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7.1±0.</w:t>
            </w:r>
            <w:r w:rsidR="001100F4" w:rsidRPr="000B0464">
              <w:rPr>
                <w:rFonts w:ascii="Times New Roman" w:hAnsi="Times New Roman" w:cs="Times New Roman"/>
                <w:lang w:val="en-GB"/>
              </w:rPr>
              <w:t>8</w:t>
            </w:r>
          </w:p>
        </w:tc>
        <w:tc>
          <w:tcPr>
            <w:tcW w:w="756" w:type="dxa"/>
            <w:vAlign w:val="center"/>
          </w:tcPr>
          <w:p w14:paraId="4A59D935" w14:textId="03D006C5"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8</w:t>
            </w:r>
          </w:p>
        </w:tc>
        <w:tc>
          <w:tcPr>
            <w:tcW w:w="1370" w:type="dxa"/>
            <w:vAlign w:val="center"/>
          </w:tcPr>
          <w:p w14:paraId="73EEB55F" w14:textId="3E6E08F5"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1.5±0.</w:t>
            </w:r>
            <w:r w:rsidR="001100F4" w:rsidRPr="000B0464">
              <w:rPr>
                <w:rFonts w:ascii="Times New Roman" w:hAnsi="Times New Roman" w:cs="Times New Roman"/>
                <w:lang w:val="en-GB"/>
              </w:rPr>
              <w:t>1</w:t>
            </w:r>
          </w:p>
        </w:tc>
        <w:tc>
          <w:tcPr>
            <w:tcW w:w="707" w:type="dxa"/>
            <w:vAlign w:val="center"/>
          </w:tcPr>
          <w:p w14:paraId="27B0E5AA" w14:textId="2597BC26"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02</w:t>
            </w:r>
          </w:p>
        </w:tc>
        <w:tc>
          <w:tcPr>
            <w:tcW w:w="1277" w:type="dxa"/>
            <w:vAlign w:val="center"/>
          </w:tcPr>
          <w:p w14:paraId="486770AA" w14:textId="16A8F2A2"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15.9±1.</w:t>
            </w:r>
            <w:r w:rsidR="001100F4" w:rsidRPr="000B0464">
              <w:rPr>
                <w:rFonts w:ascii="Times New Roman" w:hAnsi="Times New Roman" w:cs="Times New Roman"/>
                <w:lang w:val="en-GB"/>
              </w:rPr>
              <w:t>3</w:t>
            </w:r>
          </w:p>
        </w:tc>
        <w:tc>
          <w:tcPr>
            <w:tcW w:w="1013" w:type="dxa"/>
            <w:vAlign w:val="center"/>
          </w:tcPr>
          <w:p w14:paraId="435A15A8" w14:textId="7CA4B527"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w:t>
            </w:r>
            <w:r w:rsidR="001100F4" w:rsidRPr="000B0464">
              <w:rPr>
                <w:rFonts w:ascii="Times New Roman" w:hAnsi="Times New Roman" w:cs="Times New Roman"/>
                <w:lang w:val="en-GB"/>
              </w:rPr>
              <w:t>8</w:t>
            </w:r>
          </w:p>
        </w:tc>
      </w:tr>
      <w:tr w:rsidR="001100F4" w:rsidRPr="000B0464" w14:paraId="2C82D0CC" w14:textId="77777777" w:rsidTr="00AA6CB0">
        <w:trPr>
          <w:trHeight w:val="283"/>
          <w:jc w:val="center"/>
        </w:trPr>
        <w:tc>
          <w:tcPr>
            <w:tcW w:w="1038" w:type="dxa"/>
            <w:vAlign w:val="center"/>
          </w:tcPr>
          <w:p w14:paraId="289A04A8"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I</w:t>
            </w:r>
          </w:p>
        </w:tc>
        <w:tc>
          <w:tcPr>
            <w:tcW w:w="1338" w:type="dxa"/>
            <w:vAlign w:val="center"/>
          </w:tcPr>
          <w:p w14:paraId="37B15675" w14:textId="2AFA8140"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130.8±7.</w:t>
            </w:r>
            <w:r w:rsidR="001100F4" w:rsidRPr="000B0464">
              <w:rPr>
                <w:rFonts w:ascii="Times New Roman" w:hAnsi="Times New Roman" w:cs="Times New Roman"/>
                <w:lang w:val="en-GB"/>
              </w:rPr>
              <w:t>8</w:t>
            </w:r>
          </w:p>
        </w:tc>
        <w:tc>
          <w:tcPr>
            <w:tcW w:w="807" w:type="dxa"/>
            <w:vAlign w:val="center"/>
          </w:tcPr>
          <w:p w14:paraId="294E8D8A" w14:textId="52A12857"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61.</w:t>
            </w:r>
            <w:r w:rsidR="001100F4" w:rsidRPr="000B0464">
              <w:rPr>
                <w:rFonts w:ascii="Times New Roman" w:hAnsi="Times New Roman" w:cs="Times New Roman"/>
                <w:lang w:val="en-GB"/>
              </w:rPr>
              <w:t>3</w:t>
            </w:r>
          </w:p>
        </w:tc>
        <w:tc>
          <w:tcPr>
            <w:tcW w:w="1320" w:type="dxa"/>
            <w:vAlign w:val="center"/>
          </w:tcPr>
          <w:p w14:paraId="4598A21A" w14:textId="19C6A7FA"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9.5±0.</w:t>
            </w:r>
            <w:r w:rsidR="001100F4" w:rsidRPr="000B0464">
              <w:rPr>
                <w:rFonts w:ascii="Times New Roman" w:hAnsi="Times New Roman" w:cs="Times New Roman"/>
                <w:lang w:val="en-GB"/>
              </w:rPr>
              <w:t>2</w:t>
            </w:r>
          </w:p>
        </w:tc>
        <w:tc>
          <w:tcPr>
            <w:tcW w:w="756" w:type="dxa"/>
            <w:vAlign w:val="center"/>
          </w:tcPr>
          <w:p w14:paraId="0B8F976A" w14:textId="66A3AE38"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7</w:t>
            </w:r>
          </w:p>
        </w:tc>
        <w:tc>
          <w:tcPr>
            <w:tcW w:w="1370" w:type="dxa"/>
            <w:vAlign w:val="center"/>
          </w:tcPr>
          <w:p w14:paraId="1EB07A6D" w14:textId="4D7C37EF"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1.9±0.</w:t>
            </w:r>
            <w:r w:rsidR="001100F4" w:rsidRPr="000B0464">
              <w:rPr>
                <w:rFonts w:ascii="Times New Roman" w:hAnsi="Times New Roman" w:cs="Times New Roman"/>
                <w:lang w:val="en-GB"/>
              </w:rPr>
              <w:t>1</w:t>
            </w:r>
          </w:p>
        </w:tc>
        <w:tc>
          <w:tcPr>
            <w:tcW w:w="707" w:type="dxa"/>
            <w:vAlign w:val="center"/>
          </w:tcPr>
          <w:p w14:paraId="735574EC" w14:textId="70F72531"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01</w:t>
            </w:r>
          </w:p>
        </w:tc>
        <w:tc>
          <w:tcPr>
            <w:tcW w:w="1277" w:type="dxa"/>
            <w:vAlign w:val="center"/>
          </w:tcPr>
          <w:p w14:paraId="30736CF5" w14:textId="379DD225"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19.6±0.</w:t>
            </w:r>
            <w:r w:rsidR="001100F4" w:rsidRPr="000B0464">
              <w:rPr>
                <w:rFonts w:ascii="Times New Roman" w:hAnsi="Times New Roman" w:cs="Times New Roman"/>
                <w:lang w:val="en-GB"/>
              </w:rPr>
              <w:t>5</w:t>
            </w:r>
          </w:p>
        </w:tc>
        <w:tc>
          <w:tcPr>
            <w:tcW w:w="1013" w:type="dxa"/>
            <w:vAlign w:val="center"/>
          </w:tcPr>
          <w:p w14:paraId="5727CA25" w14:textId="2E312088"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2</w:t>
            </w:r>
          </w:p>
        </w:tc>
      </w:tr>
      <w:tr w:rsidR="001100F4" w:rsidRPr="000B0464" w14:paraId="7EA98725" w14:textId="77777777" w:rsidTr="00AA6CB0">
        <w:trPr>
          <w:trHeight w:val="283"/>
          <w:jc w:val="center"/>
        </w:trPr>
        <w:tc>
          <w:tcPr>
            <w:tcW w:w="1038" w:type="dxa"/>
            <w:vAlign w:val="center"/>
          </w:tcPr>
          <w:p w14:paraId="3190F668"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F</w:t>
            </w:r>
          </w:p>
        </w:tc>
        <w:tc>
          <w:tcPr>
            <w:tcW w:w="1338" w:type="dxa"/>
            <w:vAlign w:val="center"/>
          </w:tcPr>
          <w:p w14:paraId="2149B486" w14:textId="44ADF175"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120.</w:t>
            </w:r>
            <w:r w:rsidR="001100F4" w:rsidRPr="000B0464">
              <w:rPr>
                <w:rFonts w:ascii="Times New Roman" w:hAnsi="Times New Roman" w:cs="Times New Roman"/>
                <w:lang w:val="en-GB"/>
              </w:rPr>
              <w:t>7±</w:t>
            </w:r>
            <w:r w:rsidRPr="000B0464">
              <w:rPr>
                <w:rFonts w:ascii="Times New Roman" w:hAnsi="Times New Roman" w:cs="Times New Roman"/>
                <w:lang w:val="en-GB"/>
              </w:rPr>
              <w:t>2.</w:t>
            </w:r>
            <w:r w:rsidR="001100F4" w:rsidRPr="000B0464">
              <w:rPr>
                <w:rFonts w:ascii="Times New Roman" w:hAnsi="Times New Roman" w:cs="Times New Roman"/>
                <w:lang w:val="en-GB"/>
              </w:rPr>
              <w:t>4</w:t>
            </w:r>
          </w:p>
        </w:tc>
        <w:tc>
          <w:tcPr>
            <w:tcW w:w="807" w:type="dxa"/>
            <w:vAlign w:val="center"/>
          </w:tcPr>
          <w:p w14:paraId="239F29C3" w14:textId="5B694F9F"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5.</w:t>
            </w:r>
            <w:r w:rsidR="001100F4" w:rsidRPr="000B0464">
              <w:rPr>
                <w:rFonts w:ascii="Times New Roman" w:hAnsi="Times New Roman" w:cs="Times New Roman"/>
                <w:lang w:val="en-GB"/>
              </w:rPr>
              <w:t>9</w:t>
            </w:r>
          </w:p>
        </w:tc>
        <w:tc>
          <w:tcPr>
            <w:tcW w:w="1320" w:type="dxa"/>
            <w:vAlign w:val="center"/>
          </w:tcPr>
          <w:p w14:paraId="2C11D058" w14:textId="7C7C6635"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9.8±0.</w:t>
            </w:r>
            <w:r w:rsidR="001100F4" w:rsidRPr="000B0464">
              <w:rPr>
                <w:rFonts w:ascii="Times New Roman" w:hAnsi="Times New Roman" w:cs="Times New Roman"/>
                <w:lang w:val="en-GB"/>
              </w:rPr>
              <w:t>3</w:t>
            </w:r>
          </w:p>
        </w:tc>
        <w:tc>
          <w:tcPr>
            <w:tcW w:w="756" w:type="dxa"/>
            <w:vAlign w:val="center"/>
          </w:tcPr>
          <w:p w14:paraId="427283C7" w14:textId="55171942"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1</w:t>
            </w:r>
          </w:p>
        </w:tc>
        <w:tc>
          <w:tcPr>
            <w:tcW w:w="1370" w:type="dxa"/>
            <w:vAlign w:val="center"/>
          </w:tcPr>
          <w:p w14:paraId="3E3651E5" w14:textId="3EB363A7"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1.7±0.</w:t>
            </w:r>
            <w:r w:rsidR="001100F4" w:rsidRPr="000B0464">
              <w:rPr>
                <w:rFonts w:ascii="Times New Roman" w:hAnsi="Times New Roman" w:cs="Times New Roman"/>
                <w:lang w:val="en-GB"/>
              </w:rPr>
              <w:t>1</w:t>
            </w:r>
          </w:p>
        </w:tc>
        <w:tc>
          <w:tcPr>
            <w:tcW w:w="707" w:type="dxa"/>
            <w:vAlign w:val="center"/>
          </w:tcPr>
          <w:p w14:paraId="44F0878C" w14:textId="7B0DF245"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01</w:t>
            </w:r>
          </w:p>
        </w:tc>
        <w:tc>
          <w:tcPr>
            <w:tcW w:w="1277" w:type="dxa"/>
            <w:vAlign w:val="center"/>
          </w:tcPr>
          <w:p w14:paraId="5A8CD907" w14:textId="22FB57EB"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17.6±1.</w:t>
            </w:r>
            <w:r w:rsidR="001100F4" w:rsidRPr="000B0464">
              <w:rPr>
                <w:rFonts w:ascii="Times New Roman" w:hAnsi="Times New Roman" w:cs="Times New Roman"/>
                <w:lang w:val="en-GB"/>
              </w:rPr>
              <w:t>2</w:t>
            </w:r>
          </w:p>
        </w:tc>
        <w:tc>
          <w:tcPr>
            <w:tcW w:w="1013" w:type="dxa"/>
            <w:vAlign w:val="center"/>
          </w:tcPr>
          <w:p w14:paraId="686ED335" w14:textId="27C1813C"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w:t>
            </w:r>
            <w:r w:rsidR="001100F4" w:rsidRPr="000B0464">
              <w:rPr>
                <w:rFonts w:ascii="Times New Roman" w:hAnsi="Times New Roman" w:cs="Times New Roman"/>
                <w:lang w:val="en-GB"/>
              </w:rPr>
              <w:t>5</w:t>
            </w:r>
          </w:p>
        </w:tc>
      </w:tr>
      <w:tr w:rsidR="001100F4" w:rsidRPr="000B0464" w14:paraId="7C70917A" w14:textId="77777777" w:rsidTr="00AA6CB0">
        <w:trPr>
          <w:trHeight w:val="283"/>
          <w:jc w:val="center"/>
        </w:trPr>
        <w:tc>
          <w:tcPr>
            <w:tcW w:w="1038" w:type="dxa"/>
            <w:vAlign w:val="center"/>
          </w:tcPr>
          <w:p w14:paraId="48B2900D"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I + F</w:t>
            </w:r>
          </w:p>
        </w:tc>
        <w:tc>
          <w:tcPr>
            <w:tcW w:w="1338" w:type="dxa"/>
            <w:vAlign w:val="center"/>
          </w:tcPr>
          <w:p w14:paraId="054D1513" w14:textId="1D68D0B4"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120.</w:t>
            </w:r>
            <w:r w:rsidR="001100F4" w:rsidRPr="000B0464">
              <w:rPr>
                <w:rFonts w:ascii="Times New Roman" w:hAnsi="Times New Roman" w:cs="Times New Roman"/>
                <w:lang w:val="en-GB"/>
              </w:rPr>
              <w:t>1±</w:t>
            </w:r>
            <w:r w:rsidRPr="000B0464">
              <w:rPr>
                <w:rFonts w:ascii="Times New Roman" w:hAnsi="Times New Roman" w:cs="Times New Roman"/>
                <w:lang w:val="en-GB"/>
              </w:rPr>
              <w:t>4.</w:t>
            </w:r>
            <w:r w:rsidR="001100F4" w:rsidRPr="000B0464">
              <w:rPr>
                <w:rFonts w:ascii="Times New Roman" w:hAnsi="Times New Roman" w:cs="Times New Roman"/>
                <w:lang w:val="en-GB"/>
              </w:rPr>
              <w:t>6</w:t>
            </w:r>
          </w:p>
        </w:tc>
        <w:tc>
          <w:tcPr>
            <w:tcW w:w="807" w:type="dxa"/>
            <w:vAlign w:val="center"/>
          </w:tcPr>
          <w:p w14:paraId="792E1EEA" w14:textId="597A464B"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21.</w:t>
            </w:r>
            <w:r w:rsidR="001100F4" w:rsidRPr="000B0464">
              <w:rPr>
                <w:rFonts w:ascii="Times New Roman" w:hAnsi="Times New Roman" w:cs="Times New Roman"/>
                <w:lang w:val="en-GB"/>
              </w:rPr>
              <w:t>1</w:t>
            </w:r>
          </w:p>
        </w:tc>
        <w:tc>
          <w:tcPr>
            <w:tcW w:w="1320" w:type="dxa"/>
            <w:vAlign w:val="center"/>
          </w:tcPr>
          <w:p w14:paraId="7964ECDE" w14:textId="21A5242A"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9.6±0.</w:t>
            </w:r>
            <w:r w:rsidR="001100F4" w:rsidRPr="000B0464">
              <w:rPr>
                <w:rFonts w:ascii="Times New Roman" w:hAnsi="Times New Roman" w:cs="Times New Roman"/>
                <w:lang w:val="en-GB"/>
              </w:rPr>
              <w:t>5</w:t>
            </w:r>
          </w:p>
        </w:tc>
        <w:tc>
          <w:tcPr>
            <w:tcW w:w="756" w:type="dxa"/>
            <w:vAlign w:val="center"/>
          </w:tcPr>
          <w:p w14:paraId="2FDFF636" w14:textId="34FB0D5B"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3</w:t>
            </w:r>
          </w:p>
        </w:tc>
        <w:tc>
          <w:tcPr>
            <w:tcW w:w="1370" w:type="dxa"/>
            <w:vAlign w:val="center"/>
          </w:tcPr>
          <w:p w14:paraId="3DF54F4F" w14:textId="43DA2261"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2.0±0.</w:t>
            </w:r>
            <w:r w:rsidR="001100F4" w:rsidRPr="000B0464">
              <w:rPr>
                <w:rFonts w:ascii="Times New Roman" w:hAnsi="Times New Roman" w:cs="Times New Roman"/>
                <w:lang w:val="en-GB"/>
              </w:rPr>
              <w:t>1</w:t>
            </w:r>
          </w:p>
        </w:tc>
        <w:tc>
          <w:tcPr>
            <w:tcW w:w="707" w:type="dxa"/>
            <w:vAlign w:val="center"/>
          </w:tcPr>
          <w:p w14:paraId="06F04D70" w14:textId="344021A2"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01</w:t>
            </w:r>
          </w:p>
        </w:tc>
        <w:tc>
          <w:tcPr>
            <w:tcW w:w="1277" w:type="dxa"/>
            <w:vAlign w:val="center"/>
          </w:tcPr>
          <w:p w14:paraId="4BD77CF5" w14:textId="36FD5DCD"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1</w:t>
            </w:r>
            <w:r w:rsidR="00CC154E" w:rsidRPr="000B0464">
              <w:rPr>
                <w:rFonts w:ascii="Times New Roman" w:hAnsi="Times New Roman" w:cs="Times New Roman"/>
                <w:lang w:val="en-GB"/>
              </w:rPr>
              <w:t>4.6±4.</w:t>
            </w:r>
            <w:r w:rsidRPr="000B0464">
              <w:rPr>
                <w:rFonts w:ascii="Times New Roman" w:hAnsi="Times New Roman" w:cs="Times New Roman"/>
                <w:lang w:val="en-GB"/>
              </w:rPr>
              <w:t>4</w:t>
            </w:r>
          </w:p>
        </w:tc>
        <w:tc>
          <w:tcPr>
            <w:tcW w:w="1013" w:type="dxa"/>
            <w:vAlign w:val="center"/>
          </w:tcPr>
          <w:p w14:paraId="24E1907B" w14:textId="6DDA7351"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19.</w:t>
            </w:r>
            <w:r w:rsidR="001100F4" w:rsidRPr="000B0464">
              <w:rPr>
                <w:rFonts w:ascii="Times New Roman" w:hAnsi="Times New Roman" w:cs="Times New Roman"/>
                <w:lang w:val="en-GB"/>
              </w:rPr>
              <w:t>5</w:t>
            </w:r>
          </w:p>
        </w:tc>
      </w:tr>
      <w:tr w:rsidR="001100F4" w:rsidRPr="000B0464" w14:paraId="22BE3ED1" w14:textId="77777777" w:rsidTr="00AA6CB0">
        <w:trPr>
          <w:trHeight w:val="283"/>
          <w:jc w:val="center"/>
        </w:trPr>
        <w:tc>
          <w:tcPr>
            <w:tcW w:w="1038" w:type="dxa"/>
            <w:vAlign w:val="center"/>
          </w:tcPr>
          <w:p w14:paraId="0589EA83" w14:textId="77777777" w:rsidR="001100F4" w:rsidRPr="000B0464" w:rsidRDefault="001100F4" w:rsidP="00DA4159">
            <w:pPr>
              <w:jc w:val="center"/>
              <w:rPr>
                <w:rFonts w:ascii="Times New Roman" w:hAnsi="Times New Roman" w:cs="Times New Roman"/>
                <w:lang w:val="en-GB"/>
              </w:rPr>
            </w:pPr>
            <w:r w:rsidRPr="000B0464">
              <w:rPr>
                <w:rFonts w:ascii="Times New Roman" w:hAnsi="Times New Roman" w:cs="Times New Roman"/>
                <w:lang w:val="en-GB"/>
              </w:rPr>
              <w:t>DMRT*</w:t>
            </w:r>
          </w:p>
        </w:tc>
        <w:tc>
          <w:tcPr>
            <w:tcW w:w="2145" w:type="dxa"/>
            <w:gridSpan w:val="2"/>
            <w:vAlign w:val="center"/>
          </w:tcPr>
          <w:p w14:paraId="16F65A5E" w14:textId="1F160FE6"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12.</w:t>
            </w:r>
            <w:r w:rsidR="001100F4" w:rsidRPr="000B0464">
              <w:rPr>
                <w:rFonts w:ascii="Times New Roman" w:hAnsi="Times New Roman" w:cs="Times New Roman"/>
                <w:lang w:val="en-GB"/>
              </w:rPr>
              <w:t>8</w:t>
            </w:r>
          </w:p>
        </w:tc>
        <w:tc>
          <w:tcPr>
            <w:tcW w:w="2076" w:type="dxa"/>
            <w:gridSpan w:val="2"/>
            <w:vAlign w:val="center"/>
          </w:tcPr>
          <w:p w14:paraId="03F57329" w14:textId="1E945B45"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1.</w:t>
            </w:r>
            <w:r w:rsidR="001100F4" w:rsidRPr="000B0464">
              <w:rPr>
                <w:rFonts w:ascii="Times New Roman" w:hAnsi="Times New Roman" w:cs="Times New Roman"/>
                <w:lang w:val="en-GB"/>
              </w:rPr>
              <w:t>1</w:t>
            </w:r>
          </w:p>
        </w:tc>
        <w:tc>
          <w:tcPr>
            <w:tcW w:w="2077" w:type="dxa"/>
            <w:gridSpan w:val="2"/>
            <w:vAlign w:val="center"/>
          </w:tcPr>
          <w:p w14:paraId="7A4FA968" w14:textId="23536D24"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2</w:t>
            </w:r>
          </w:p>
        </w:tc>
        <w:tc>
          <w:tcPr>
            <w:tcW w:w="2290" w:type="dxa"/>
            <w:gridSpan w:val="2"/>
            <w:vAlign w:val="center"/>
          </w:tcPr>
          <w:p w14:paraId="5D22FFDA" w14:textId="0346A84C" w:rsidR="001100F4" w:rsidRPr="000B0464" w:rsidRDefault="00CC154E" w:rsidP="00DA4159">
            <w:pPr>
              <w:jc w:val="center"/>
              <w:rPr>
                <w:rFonts w:ascii="Times New Roman" w:hAnsi="Times New Roman" w:cs="Times New Roman"/>
                <w:lang w:val="en-GB"/>
              </w:rPr>
            </w:pPr>
            <w:r w:rsidRPr="000B0464">
              <w:rPr>
                <w:rFonts w:ascii="Times New Roman" w:hAnsi="Times New Roman" w:cs="Times New Roman"/>
                <w:lang w:val="en-GB"/>
              </w:rPr>
              <w:t>4.</w:t>
            </w:r>
            <w:r w:rsidR="001100F4" w:rsidRPr="000B0464">
              <w:rPr>
                <w:rFonts w:ascii="Times New Roman" w:hAnsi="Times New Roman" w:cs="Times New Roman"/>
                <w:lang w:val="en-GB"/>
              </w:rPr>
              <w:t>5</w:t>
            </w:r>
          </w:p>
        </w:tc>
      </w:tr>
      <w:tr w:rsidR="001100F4" w:rsidRPr="000B0464" w14:paraId="7AE9FA02" w14:textId="77777777" w:rsidTr="00AA6CB0">
        <w:trPr>
          <w:trHeight w:val="283"/>
          <w:jc w:val="center"/>
        </w:trPr>
        <w:tc>
          <w:tcPr>
            <w:tcW w:w="1038" w:type="dxa"/>
            <w:vAlign w:val="center"/>
          </w:tcPr>
          <w:p w14:paraId="777C8BA0" w14:textId="77777777" w:rsidR="001100F4" w:rsidRPr="000B0464" w:rsidRDefault="001100F4" w:rsidP="00DA4159">
            <w:pPr>
              <w:jc w:val="center"/>
              <w:rPr>
                <w:rFonts w:ascii="Times New Roman" w:hAnsi="Times New Roman" w:cs="Times New Roman"/>
                <w:lang w:val="en-GB"/>
              </w:rPr>
            </w:pPr>
          </w:p>
        </w:tc>
        <w:tc>
          <w:tcPr>
            <w:tcW w:w="2145" w:type="dxa"/>
            <w:gridSpan w:val="2"/>
            <w:vAlign w:val="center"/>
          </w:tcPr>
          <w:p w14:paraId="6935497D" w14:textId="7D5C584B"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F = 1.</w:t>
            </w:r>
            <w:r w:rsidR="001100F4" w:rsidRPr="000B0464">
              <w:rPr>
                <w:rFonts w:ascii="Times New Roman" w:hAnsi="Times New Roman" w:cs="Times New Roman"/>
                <w:lang w:val="en-GB"/>
              </w:rPr>
              <w:t>6</w:t>
            </w:r>
            <w:r w:rsidR="009B2FB6" w:rsidRPr="000B0464">
              <w:rPr>
                <w:rFonts w:ascii="Times New Roman" w:hAnsi="Times New Roman" w:cs="Times New Roman"/>
                <w:lang w:val="en-GB"/>
              </w:rPr>
              <w:t>,</w:t>
            </w:r>
            <w:r w:rsidR="00A4589E" w:rsidRPr="000B0464">
              <w:rPr>
                <w:rFonts w:ascii="Times New Roman" w:hAnsi="Times New Roman" w:cs="Times New Roman"/>
                <w:lang w:val="en-GB"/>
              </w:rPr>
              <w:t xml:space="preserve"> </w:t>
            </w:r>
            <w:r w:rsidRPr="000B0464">
              <w:rPr>
                <w:rFonts w:ascii="Times New Roman" w:hAnsi="Times New Roman" w:cs="Times New Roman"/>
                <w:lang w:val="en-GB"/>
              </w:rPr>
              <w:t>p = 0.</w:t>
            </w:r>
            <w:r w:rsidR="001100F4" w:rsidRPr="000B0464">
              <w:rPr>
                <w:rFonts w:ascii="Times New Roman" w:hAnsi="Times New Roman" w:cs="Times New Roman"/>
                <w:lang w:val="en-GB"/>
              </w:rPr>
              <w:t>2</w:t>
            </w:r>
          </w:p>
        </w:tc>
        <w:tc>
          <w:tcPr>
            <w:tcW w:w="2076" w:type="dxa"/>
            <w:gridSpan w:val="2"/>
            <w:vAlign w:val="center"/>
          </w:tcPr>
          <w:p w14:paraId="13A18CA6" w14:textId="4B936FA2"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F = 13.</w:t>
            </w:r>
            <w:r w:rsidR="001100F4" w:rsidRPr="000B0464">
              <w:rPr>
                <w:rFonts w:ascii="Times New Roman" w:hAnsi="Times New Roman" w:cs="Times New Roman"/>
                <w:lang w:val="en-GB"/>
              </w:rPr>
              <w:t>5</w:t>
            </w:r>
            <w:r w:rsidR="009B2FB6" w:rsidRPr="000B0464">
              <w:rPr>
                <w:rFonts w:ascii="Times New Roman" w:hAnsi="Times New Roman" w:cs="Times New Roman"/>
                <w:lang w:val="en-GB"/>
              </w:rPr>
              <w:t>,</w:t>
            </w:r>
            <w:r w:rsidR="00A4589E" w:rsidRPr="000B0464">
              <w:rPr>
                <w:rFonts w:ascii="Times New Roman" w:hAnsi="Times New Roman" w:cs="Times New Roman"/>
                <w:lang w:val="en-GB"/>
              </w:rPr>
              <w:t xml:space="preserve"> </w:t>
            </w:r>
            <w:r w:rsidRPr="000B0464">
              <w:rPr>
                <w:rFonts w:ascii="Times New Roman" w:hAnsi="Times New Roman" w:cs="Times New Roman"/>
                <w:lang w:val="en-GB"/>
              </w:rPr>
              <w:t>p = 0.</w:t>
            </w:r>
            <w:r w:rsidR="001100F4" w:rsidRPr="000B0464">
              <w:rPr>
                <w:rFonts w:ascii="Times New Roman" w:hAnsi="Times New Roman" w:cs="Times New Roman"/>
                <w:lang w:val="en-GB"/>
              </w:rPr>
              <w:t>00</w:t>
            </w:r>
          </w:p>
        </w:tc>
        <w:tc>
          <w:tcPr>
            <w:tcW w:w="2077" w:type="dxa"/>
            <w:gridSpan w:val="2"/>
            <w:vAlign w:val="center"/>
          </w:tcPr>
          <w:p w14:paraId="3184F2E9" w14:textId="793354D3"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F = 9.</w:t>
            </w:r>
            <w:r w:rsidR="001100F4" w:rsidRPr="000B0464">
              <w:rPr>
                <w:rFonts w:ascii="Times New Roman" w:hAnsi="Times New Roman" w:cs="Times New Roman"/>
                <w:lang w:val="en-GB"/>
              </w:rPr>
              <w:t>9</w:t>
            </w:r>
            <w:r w:rsidR="009B2FB6" w:rsidRPr="000B0464">
              <w:rPr>
                <w:rFonts w:ascii="Times New Roman" w:hAnsi="Times New Roman" w:cs="Times New Roman"/>
                <w:lang w:val="en-GB"/>
              </w:rPr>
              <w:t>,</w:t>
            </w:r>
            <w:r w:rsidR="00A4589E" w:rsidRPr="000B0464">
              <w:rPr>
                <w:rFonts w:ascii="Times New Roman" w:hAnsi="Times New Roman" w:cs="Times New Roman"/>
                <w:lang w:val="en-GB"/>
              </w:rPr>
              <w:t xml:space="preserve"> </w:t>
            </w:r>
            <w:r w:rsidRPr="000B0464">
              <w:rPr>
                <w:rFonts w:ascii="Times New Roman" w:hAnsi="Times New Roman" w:cs="Times New Roman"/>
                <w:lang w:val="en-GB"/>
              </w:rPr>
              <w:t>p = 0.</w:t>
            </w:r>
            <w:r w:rsidR="001100F4" w:rsidRPr="000B0464">
              <w:rPr>
                <w:rFonts w:ascii="Times New Roman" w:hAnsi="Times New Roman" w:cs="Times New Roman"/>
                <w:lang w:val="en-GB"/>
              </w:rPr>
              <w:t>00</w:t>
            </w:r>
          </w:p>
        </w:tc>
        <w:tc>
          <w:tcPr>
            <w:tcW w:w="2290" w:type="dxa"/>
            <w:gridSpan w:val="2"/>
            <w:vAlign w:val="center"/>
          </w:tcPr>
          <w:p w14:paraId="27336D04" w14:textId="54FCB3BC"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F = 2.</w:t>
            </w:r>
            <w:r w:rsidR="001100F4" w:rsidRPr="000B0464">
              <w:rPr>
                <w:rFonts w:ascii="Times New Roman" w:hAnsi="Times New Roman" w:cs="Times New Roman"/>
                <w:lang w:val="en-GB"/>
              </w:rPr>
              <w:t>4</w:t>
            </w:r>
            <w:r w:rsidR="009B2FB6" w:rsidRPr="000B0464">
              <w:rPr>
                <w:rFonts w:ascii="Times New Roman" w:hAnsi="Times New Roman" w:cs="Times New Roman"/>
                <w:lang w:val="en-GB"/>
              </w:rPr>
              <w:t>,</w:t>
            </w:r>
            <w:r w:rsidR="00A4589E" w:rsidRPr="000B0464">
              <w:rPr>
                <w:rFonts w:ascii="Times New Roman" w:hAnsi="Times New Roman" w:cs="Times New Roman"/>
                <w:lang w:val="en-GB"/>
              </w:rPr>
              <w:t xml:space="preserve"> </w:t>
            </w:r>
            <w:r w:rsidRPr="000B0464">
              <w:rPr>
                <w:rFonts w:ascii="Times New Roman" w:hAnsi="Times New Roman" w:cs="Times New Roman"/>
                <w:lang w:val="en-GB"/>
              </w:rPr>
              <w:t>p = 1.</w:t>
            </w:r>
            <w:r w:rsidR="001100F4" w:rsidRPr="000B0464">
              <w:rPr>
                <w:rFonts w:ascii="Times New Roman" w:hAnsi="Times New Roman" w:cs="Times New Roman"/>
                <w:lang w:val="en-GB"/>
              </w:rPr>
              <w:t>3</w:t>
            </w:r>
          </w:p>
        </w:tc>
      </w:tr>
    </w:tbl>
    <w:p w14:paraId="7D290A78" w14:textId="6F6B854A" w:rsidR="001100F4" w:rsidRPr="000B0464" w:rsidRDefault="001100F4" w:rsidP="000B0464">
      <w:pPr>
        <w:pStyle w:val="Akapitzlist"/>
        <w:spacing w:before="60" w:after="0" w:line="240" w:lineRule="auto"/>
        <w:ind w:left="0"/>
        <w:jc w:val="both"/>
        <w:rPr>
          <w:rFonts w:ascii="Times New Roman" w:hAnsi="Times New Roman" w:cs="Times New Roman"/>
          <w:sz w:val="20"/>
          <w:szCs w:val="20"/>
          <w:lang w:val="en-GB"/>
        </w:rPr>
      </w:pPr>
      <w:r w:rsidRPr="000B0464">
        <w:rPr>
          <w:rFonts w:ascii="Times New Roman" w:hAnsi="Times New Roman" w:cs="Times New Roman"/>
          <w:sz w:val="20"/>
          <w:szCs w:val="20"/>
          <w:lang w:val="en-GB"/>
        </w:rPr>
        <w:t xml:space="preserve">*DMRT </w:t>
      </w:r>
      <w:r w:rsidR="000B0464" w:rsidRPr="000B0464">
        <w:rPr>
          <w:rFonts w:ascii="Times New Roman" w:hAnsi="Times New Roman" w:cs="Times New Roman"/>
          <w:sz w:val="20"/>
          <w:szCs w:val="20"/>
          <w:lang w:val="en-GB"/>
        </w:rPr>
        <w:t>–</w:t>
      </w:r>
      <w:r w:rsidRPr="000B0464">
        <w:rPr>
          <w:rFonts w:ascii="Times New Roman" w:hAnsi="Times New Roman" w:cs="Times New Roman"/>
          <w:sz w:val="20"/>
          <w:szCs w:val="20"/>
          <w:lang w:val="en-GB"/>
        </w:rPr>
        <w:t xml:space="preserve"> Duncan's Multiple Range Test</w:t>
      </w:r>
    </w:p>
    <w:p w14:paraId="2A83A571" w14:textId="77777777" w:rsidR="001100F4" w:rsidRPr="000B0464" w:rsidRDefault="001100F4" w:rsidP="000B3D0B">
      <w:pPr>
        <w:spacing w:after="0" w:line="240" w:lineRule="auto"/>
        <w:ind w:firstLine="708"/>
        <w:jc w:val="both"/>
        <w:rPr>
          <w:rFonts w:ascii="Times New Roman" w:hAnsi="Times New Roman" w:cs="Times New Roman"/>
          <w:lang w:val="en-GB"/>
        </w:rPr>
      </w:pPr>
    </w:p>
    <w:p w14:paraId="285E82E0" w14:textId="4C82EC4F" w:rsidR="00EB56DC" w:rsidRPr="000B0464" w:rsidRDefault="00EB56DC" w:rsidP="00EB56DC">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 xml:space="preserve">Statistically significant differences identified for all three key indicators – the number of grains per plant, grain mass per plant, and the weight of 1000 grains – clearly indicate that factors I and F, especially their combined application, </w:t>
      </w:r>
      <w:r w:rsidR="00B54735">
        <w:rPr>
          <w:rFonts w:ascii="Times New Roman" w:hAnsi="Times New Roman" w:cs="Times New Roman"/>
          <w:lang w:val="en-GB"/>
        </w:rPr>
        <w:t>positively impact</w:t>
      </w:r>
      <w:r w:rsidRPr="000B0464">
        <w:rPr>
          <w:rFonts w:ascii="Times New Roman" w:hAnsi="Times New Roman" w:cs="Times New Roman"/>
          <w:lang w:val="en-GB"/>
        </w:rPr>
        <w:t xml:space="preserve"> plant productivity.</w:t>
      </w:r>
    </w:p>
    <w:p w14:paraId="4CCF9A46" w14:textId="557644C1" w:rsidR="00EB56DC" w:rsidRPr="000B0464" w:rsidRDefault="00EB56DC" w:rsidP="00EB56DC">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The I</w:t>
      </w:r>
      <w:r w:rsidR="008C63DD">
        <w:rPr>
          <w:rFonts w:ascii="Times New Roman" w:hAnsi="Times New Roman" w:cs="Times New Roman"/>
          <w:lang w:val="en-GB"/>
        </w:rPr>
        <w:t xml:space="preserve"> </w:t>
      </w:r>
      <w:r w:rsidRPr="000B0464">
        <w:rPr>
          <w:rFonts w:ascii="Times New Roman" w:hAnsi="Times New Roman" w:cs="Times New Roman"/>
          <w:lang w:val="en-GB"/>
        </w:rPr>
        <w:t>+</w:t>
      </w:r>
      <w:r w:rsidR="008C63DD">
        <w:rPr>
          <w:rFonts w:ascii="Times New Roman" w:hAnsi="Times New Roman" w:cs="Times New Roman"/>
          <w:lang w:val="en-GB"/>
        </w:rPr>
        <w:t xml:space="preserve"> </w:t>
      </w:r>
      <w:r w:rsidRPr="000B0464">
        <w:rPr>
          <w:rFonts w:ascii="Times New Roman" w:hAnsi="Times New Roman" w:cs="Times New Roman"/>
          <w:lang w:val="en-GB"/>
        </w:rPr>
        <w:t>F variant is particularly noteworthy, as it demonstrated the highest average values for both the number of grains (58.1 pcs.) and grain mass (1.65 g) per plant, while also showing one of the highest values for 1000-grain weight (28.5 g). This performance was coupled with exceptionally low within-group variance, especially for grain mass (s² = 0.001), indicating consistency and stability of the treatment effect. These outcomes suggest a synergistic influence of the combined factors, providing strong justification for its potential agronomic application.</w:t>
      </w:r>
    </w:p>
    <w:p w14:paraId="535E5388" w14:textId="77777777" w:rsidR="00EB56DC" w:rsidRPr="000B0464" w:rsidRDefault="00EB56DC" w:rsidP="00EB56DC">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The I variant also showed consistently strong results, significantly increasing grain number and mass compared to the control, while maintaining a high 1000-grain weight. The high F-test values for all traits (F = 7.04 to 11.9, p &lt; 0.05) confirm the statistical robustness of these observations.</w:t>
      </w:r>
    </w:p>
    <w:p w14:paraId="64B77C05" w14:textId="54E75D93" w:rsidR="00EB56DC" w:rsidRPr="000B0464" w:rsidRDefault="00EB56DC" w:rsidP="00EB56DC">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In contrast, the F variant alone resulted in moderate gains, particularly in the number of grains (51.1 pcs.), yet showed the highest variability in results (s² = 42.7), suggesting less predictable outcomes. Interestingly, this variant contributed positively to the weight of individual grains, which increased to 26.9 g, though not as significantly as in the I and I</w:t>
      </w:r>
      <w:r w:rsidR="008C63DD">
        <w:rPr>
          <w:rFonts w:ascii="Times New Roman" w:hAnsi="Times New Roman" w:cs="Times New Roman"/>
          <w:lang w:val="en-GB"/>
        </w:rPr>
        <w:t xml:space="preserve"> </w:t>
      </w:r>
      <w:r w:rsidRPr="000B0464">
        <w:rPr>
          <w:rFonts w:ascii="Times New Roman" w:hAnsi="Times New Roman" w:cs="Times New Roman"/>
          <w:lang w:val="en-GB"/>
        </w:rPr>
        <w:t>+</w:t>
      </w:r>
      <w:r w:rsidR="008C63DD">
        <w:rPr>
          <w:rFonts w:ascii="Times New Roman" w:hAnsi="Times New Roman" w:cs="Times New Roman"/>
          <w:lang w:val="en-GB"/>
        </w:rPr>
        <w:t xml:space="preserve"> </w:t>
      </w:r>
      <w:r w:rsidRPr="000B0464">
        <w:rPr>
          <w:rFonts w:ascii="Times New Roman" w:hAnsi="Times New Roman" w:cs="Times New Roman"/>
          <w:lang w:val="en-GB"/>
        </w:rPr>
        <w:t>F variants.</w:t>
      </w:r>
    </w:p>
    <w:p w14:paraId="6E1DB011" w14:textId="03FC95B8" w:rsidR="00EB56DC" w:rsidRPr="000B0464" w:rsidRDefault="00EB56DC" w:rsidP="00EB56DC">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lastRenderedPageBreak/>
        <w:t>An analysis of the 1000-grain weight further confirms the beneficial effect of factor I, especially when used in combination, as the top values were achieved in the I and I</w:t>
      </w:r>
      <w:r w:rsidR="008C63DD">
        <w:rPr>
          <w:rFonts w:ascii="Times New Roman" w:hAnsi="Times New Roman" w:cs="Times New Roman"/>
          <w:lang w:val="en-GB"/>
        </w:rPr>
        <w:t xml:space="preserve"> </w:t>
      </w:r>
      <w:r w:rsidRPr="000B0464">
        <w:rPr>
          <w:rFonts w:ascii="Times New Roman" w:hAnsi="Times New Roman" w:cs="Times New Roman"/>
          <w:lang w:val="en-GB"/>
        </w:rPr>
        <w:t>+</w:t>
      </w:r>
      <w:r w:rsidR="008C63DD">
        <w:rPr>
          <w:rFonts w:ascii="Times New Roman" w:hAnsi="Times New Roman" w:cs="Times New Roman"/>
          <w:lang w:val="en-GB"/>
        </w:rPr>
        <w:t xml:space="preserve"> </w:t>
      </w:r>
      <w:r w:rsidRPr="000B0464">
        <w:rPr>
          <w:rFonts w:ascii="Times New Roman" w:hAnsi="Times New Roman" w:cs="Times New Roman"/>
          <w:lang w:val="en-GB"/>
        </w:rPr>
        <w:t>F treatments. Given the direct correlation between grain weight and total yield, these findings underscore the relevance of grain size as a critical target in buckwheat productivity strategies.</w:t>
      </w:r>
    </w:p>
    <w:p w14:paraId="03F87DBB" w14:textId="28E5D49D" w:rsidR="00EB56DC" w:rsidRPr="000B0464" w:rsidRDefault="00EB56DC" w:rsidP="00EB56DC">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The results of ANOVA and Duncan</w:t>
      </w:r>
      <w:r w:rsidR="00B54735">
        <w:rPr>
          <w:rFonts w:ascii="Times New Roman" w:hAnsi="Times New Roman" w:cs="Times New Roman"/>
          <w:lang w:val="en-GB"/>
        </w:rPr>
        <w:t>'</w:t>
      </w:r>
      <w:r w:rsidRPr="000B0464">
        <w:rPr>
          <w:rFonts w:ascii="Times New Roman" w:hAnsi="Times New Roman" w:cs="Times New Roman"/>
          <w:lang w:val="en-GB"/>
        </w:rPr>
        <w:t>s multiple range test validate the observed effects, confirming significant differences among the variants and highlighting the importance of treatment choice for optimizing yield components (Table 2).</w:t>
      </w:r>
    </w:p>
    <w:p w14:paraId="2443920C" w14:textId="77777777" w:rsidR="000B3D0B" w:rsidRPr="000B0464" w:rsidRDefault="000B3D0B" w:rsidP="000B3D0B">
      <w:pPr>
        <w:spacing w:after="0" w:line="240" w:lineRule="auto"/>
        <w:jc w:val="both"/>
        <w:rPr>
          <w:rFonts w:ascii="Times New Roman" w:hAnsi="Times New Roman" w:cs="Times New Roman"/>
          <w:b/>
          <w:bCs/>
          <w:lang w:val="en-GB"/>
        </w:rPr>
      </w:pPr>
    </w:p>
    <w:p w14:paraId="31275616" w14:textId="77777777" w:rsidR="001100F4" w:rsidRPr="000B0464" w:rsidRDefault="001100F4" w:rsidP="000B0464">
      <w:pPr>
        <w:pStyle w:val="Rtab"/>
        <w:rPr>
          <w:lang w:val="en-GB"/>
        </w:rPr>
      </w:pPr>
      <w:r w:rsidRPr="000B0464">
        <w:rPr>
          <w:b/>
          <w:bCs/>
          <w:lang w:val="en-GB"/>
        </w:rPr>
        <w:t xml:space="preserve">Table 2. </w:t>
      </w:r>
      <w:r w:rsidRPr="000B0464">
        <w:rPr>
          <w:lang w:val="en-GB"/>
        </w:rPr>
        <w:t>Yield structure indicators of Yaroslava buckwheat under different biofertilizer treatment methods</w:t>
      </w:r>
    </w:p>
    <w:tbl>
      <w:tblPr>
        <w:tblStyle w:val="Tabela-Siatka"/>
        <w:tblW w:w="0" w:type="auto"/>
        <w:jc w:val="center"/>
        <w:tblLook w:val="04A0" w:firstRow="1" w:lastRow="0" w:firstColumn="1" w:lastColumn="0" w:noHBand="0" w:noVBand="1"/>
      </w:tblPr>
      <w:tblGrid>
        <w:gridCol w:w="1241"/>
        <w:gridCol w:w="1429"/>
        <w:gridCol w:w="1335"/>
        <w:gridCol w:w="1335"/>
        <w:gridCol w:w="1335"/>
        <w:gridCol w:w="1335"/>
        <w:gridCol w:w="1335"/>
      </w:tblGrid>
      <w:tr w:rsidR="001100F4" w:rsidRPr="000B0464" w14:paraId="04C7DF94" w14:textId="77777777" w:rsidTr="00E0145A">
        <w:trPr>
          <w:jc w:val="center"/>
        </w:trPr>
        <w:tc>
          <w:tcPr>
            <w:tcW w:w="1241" w:type="dxa"/>
            <w:vMerge w:val="restart"/>
            <w:vAlign w:val="center"/>
          </w:tcPr>
          <w:p w14:paraId="4D1E5AB1" w14:textId="77777777"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Variant</w:t>
            </w:r>
          </w:p>
        </w:tc>
        <w:tc>
          <w:tcPr>
            <w:tcW w:w="2764" w:type="dxa"/>
            <w:gridSpan w:val="2"/>
            <w:vAlign w:val="center"/>
          </w:tcPr>
          <w:p w14:paraId="208A03D5" w14:textId="77777777"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Number of grains from 1 plant, pcs.</w:t>
            </w:r>
          </w:p>
        </w:tc>
        <w:tc>
          <w:tcPr>
            <w:tcW w:w="2670" w:type="dxa"/>
            <w:gridSpan w:val="2"/>
            <w:vAlign w:val="center"/>
          </w:tcPr>
          <w:p w14:paraId="69C1B973" w14:textId="77777777"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Mass of grain from plant, g</w:t>
            </w:r>
          </w:p>
        </w:tc>
        <w:tc>
          <w:tcPr>
            <w:tcW w:w="2670" w:type="dxa"/>
            <w:gridSpan w:val="2"/>
            <w:vAlign w:val="center"/>
          </w:tcPr>
          <w:p w14:paraId="47F45E06" w14:textId="77777777"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Mass of 1000 grains, g</w:t>
            </w:r>
          </w:p>
        </w:tc>
      </w:tr>
      <w:tr w:rsidR="001100F4" w:rsidRPr="000B0464" w14:paraId="5E872320" w14:textId="77777777" w:rsidTr="00B1165C">
        <w:trPr>
          <w:trHeight w:val="283"/>
          <w:jc w:val="center"/>
        </w:trPr>
        <w:tc>
          <w:tcPr>
            <w:tcW w:w="1241" w:type="dxa"/>
            <w:vMerge/>
            <w:vAlign w:val="center"/>
          </w:tcPr>
          <w:p w14:paraId="02D8EA9D" w14:textId="77777777" w:rsidR="001100F4" w:rsidRPr="000B0464" w:rsidRDefault="001100F4" w:rsidP="000B3D0B">
            <w:pPr>
              <w:jc w:val="center"/>
              <w:rPr>
                <w:rFonts w:ascii="Times New Roman" w:hAnsi="Times New Roman" w:cs="Times New Roman"/>
                <w:lang w:val="en-GB"/>
              </w:rPr>
            </w:pPr>
          </w:p>
        </w:tc>
        <w:tc>
          <w:tcPr>
            <w:tcW w:w="1429" w:type="dxa"/>
            <w:vAlign w:val="center"/>
          </w:tcPr>
          <w:p w14:paraId="56AD4534" w14:textId="77777777"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Mean ± SD</w:t>
            </w:r>
          </w:p>
        </w:tc>
        <w:tc>
          <w:tcPr>
            <w:tcW w:w="1335" w:type="dxa"/>
            <w:vAlign w:val="center"/>
          </w:tcPr>
          <w:p w14:paraId="5044B043" w14:textId="77777777" w:rsidR="001100F4" w:rsidRPr="000B0464" w:rsidRDefault="001100F4" w:rsidP="000B3D0B">
            <w:pPr>
              <w:jc w:val="center"/>
              <w:rPr>
                <w:rFonts w:ascii="Times New Roman" w:hAnsi="Times New Roman" w:cs="Times New Roman"/>
                <w:vertAlign w:val="superscript"/>
                <w:lang w:val="en-GB"/>
              </w:rPr>
            </w:pPr>
            <w:r w:rsidRPr="000B0464">
              <w:rPr>
                <w:rFonts w:ascii="Times New Roman" w:hAnsi="Times New Roman" w:cs="Times New Roman"/>
                <w:lang w:val="en-GB"/>
              </w:rPr>
              <w:t>s</w:t>
            </w:r>
            <w:r w:rsidRPr="000B0464">
              <w:rPr>
                <w:rFonts w:ascii="Times New Roman" w:hAnsi="Times New Roman" w:cs="Times New Roman"/>
                <w:vertAlign w:val="superscript"/>
                <w:lang w:val="en-GB"/>
              </w:rPr>
              <w:t>2</w:t>
            </w:r>
          </w:p>
        </w:tc>
        <w:tc>
          <w:tcPr>
            <w:tcW w:w="1335" w:type="dxa"/>
            <w:vAlign w:val="center"/>
          </w:tcPr>
          <w:p w14:paraId="762AD90C" w14:textId="77777777"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Mean ± SD</w:t>
            </w:r>
          </w:p>
        </w:tc>
        <w:tc>
          <w:tcPr>
            <w:tcW w:w="1335" w:type="dxa"/>
            <w:vAlign w:val="center"/>
          </w:tcPr>
          <w:p w14:paraId="64D591FA" w14:textId="77777777"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s</w:t>
            </w:r>
            <w:r w:rsidRPr="000B0464">
              <w:rPr>
                <w:rFonts w:ascii="Times New Roman" w:hAnsi="Times New Roman" w:cs="Times New Roman"/>
                <w:vertAlign w:val="superscript"/>
                <w:lang w:val="en-GB"/>
              </w:rPr>
              <w:t>2</w:t>
            </w:r>
          </w:p>
        </w:tc>
        <w:tc>
          <w:tcPr>
            <w:tcW w:w="1335" w:type="dxa"/>
            <w:vAlign w:val="center"/>
          </w:tcPr>
          <w:p w14:paraId="704DFDF5" w14:textId="77777777"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Mean ± SD</w:t>
            </w:r>
          </w:p>
        </w:tc>
        <w:tc>
          <w:tcPr>
            <w:tcW w:w="1335" w:type="dxa"/>
            <w:vAlign w:val="center"/>
          </w:tcPr>
          <w:p w14:paraId="7B148D8C" w14:textId="77777777"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s</w:t>
            </w:r>
            <w:r w:rsidRPr="000B0464">
              <w:rPr>
                <w:rFonts w:ascii="Times New Roman" w:hAnsi="Times New Roman" w:cs="Times New Roman"/>
                <w:vertAlign w:val="superscript"/>
                <w:lang w:val="en-GB"/>
              </w:rPr>
              <w:t>2</w:t>
            </w:r>
          </w:p>
        </w:tc>
      </w:tr>
      <w:tr w:rsidR="001100F4" w:rsidRPr="000B0464" w14:paraId="02B41C59" w14:textId="77777777" w:rsidTr="00B1165C">
        <w:trPr>
          <w:trHeight w:val="283"/>
          <w:jc w:val="center"/>
        </w:trPr>
        <w:tc>
          <w:tcPr>
            <w:tcW w:w="1241" w:type="dxa"/>
            <w:vAlign w:val="center"/>
          </w:tcPr>
          <w:p w14:paraId="015B78CB" w14:textId="77777777"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C</w:t>
            </w:r>
          </w:p>
        </w:tc>
        <w:tc>
          <w:tcPr>
            <w:tcW w:w="1429" w:type="dxa"/>
            <w:vAlign w:val="center"/>
          </w:tcPr>
          <w:p w14:paraId="2D35A205" w14:textId="03BC8589"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44.5 ± 3.</w:t>
            </w:r>
            <w:r w:rsidR="001100F4" w:rsidRPr="000B0464">
              <w:rPr>
                <w:rFonts w:ascii="Times New Roman" w:hAnsi="Times New Roman" w:cs="Times New Roman"/>
                <w:lang w:val="en-GB"/>
              </w:rPr>
              <w:t>7</w:t>
            </w:r>
          </w:p>
        </w:tc>
        <w:tc>
          <w:tcPr>
            <w:tcW w:w="1335" w:type="dxa"/>
            <w:vAlign w:val="center"/>
          </w:tcPr>
          <w:p w14:paraId="7D955BFA" w14:textId="5A797A7E"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13.</w:t>
            </w:r>
            <w:r w:rsidR="001100F4" w:rsidRPr="000B0464">
              <w:rPr>
                <w:rFonts w:ascii="Times New Roman" w:hAnsi="Times New Roman" w:cs="Times New Roman"/>
                <w:lang w:val="en-GB"/>
              </w:rPr>
              <w:t>7</w:t>
            </w:r>
          </w:p>
        </w:tc>
        <w:tc>
          <w:tcPr>
            <w:tcW w:w="1335" w:type="dxa"/>
            <w:vAlign w:val="center"/>
          </w:tcPr>
          <w:p w14:paraId="65F67A12" w14:textId="169C5D7A"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1.08 ± 0.</w:t>
            </w:r>
            <w:r w:rsidR="001100F4" w:rsidRPr="000B0464">
              <w:rPr>
                <w:rFonts w:ascii="Times New Roman" w:hAnsi="Times New Roman" w:cs="Times New Roman"/>
                <w:lang w:val="en-GB"/>
              </w:rPr>
              <w:t>12</w:t>
            </w:r>
          </w:p>
        </w:tc>
        <w:tc>
          <w:tcPr>
            <w:tcW w:w="1335" w:type="dxa"/>
            <w:vAlign w:val="center"/>
          </w:tcPr>
          <w:p w14:paraId="3BB5EA84" w14:textId="3232E5BE"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014</w:t>
            </w:r>
          </w:p>
        </w:tc>
        <w:tc>
          <w:tcPr>
            <w:tcW w:w="1335" w:type="dxa"/>
            <w:vAlign w:val="center"/>
          </w:tcPr>
          <w:p w14:paraId="4CF2ABF5" w14:textId="009409E3"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24.2 ± 1.</w:t>
            </w:r>
            <w:r w:rsidR="001100F4" w:rsidRPr="000B0464">
              <w:rPr>
                <w:rFonts w:ascii="Times New Roman" w:hAnsi="Times New Roman" w:cs="Times New Roman"/>
                <w:lang w:val="en-GB"/>
              </w:rPr>
              <w:t>23</w:t>
            </w:r>
          </w:p>
        </w:tc>
        <w:tc>
          <w:tcPr>
            <w:tcW w:w="1335" w:type="dxa"/>
            <w:vAlign w:val="center"/>
          </w:tcPr>
          <w:p w14:paraId="14BBC653" w14:textId="50EB600F"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1.</w:t>
            </w:r>
            <w:r w:rsidR="001100F4" w:rsidRPr="000B0464">
              <w:rPr>
                <w:rFonts w:ascii="Times New Roman" w:hAnsi="Times New Roman" w:cs="Times New Roman"/>
                <w:lang w:val="en-GB"/>
              </w:rPr>
              <w:t>5</w:t>
            </w:r>
          </w:p>
        </w:tc>
      </w:tr>
      <w:tr w:rsidR="001100F4" w:rsidRPr="000B0464" w14:paraId="21F59C40" w14:textId="77777777" w:rsidTr="00B1165C">
        <w:trPr>
          <w:trHeight w:val="283"/>
          <w:jc w:val="center"/>
        </w:trPr>
        <w:tc>
          <w:tcPr>
            <w:tcW w:w="1241" w:type="dxa"/>
            <w:vAlign w:val="center"/>
          </w:tcPr>
          <w:p w14:paraId="52B02CAA" w14:textId="77777777"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I</w:t>
            </w:r>
          </w:p>
        </w:tc>
        <w:tc>
          <w:tcPr>
            <w:tcW w:w="1429" w:type="dxa"/>
            <w:vAlign w:val="center"/>
          </w:tcPr>
          <w:p w14:paraId="4BAE67A7" w14:textId="23F4C247"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55.6 ± 1.</w:t>
            </w:r>
            <w:r w:rsidR="001100F4" w:rsidRPr="000B0464">
              <w:rPr>
                <w:rFonts w:ascii="Times New Roman" w:hAnsi="Times New Roman" w:cs="Times New Roman"/>
                <w:lang w:val="en-GB"/>
              </w:rPr>
              <w:t>8</w:t>
            </w:r>
          </w:p>
        </w:tc>
        <w:tc>
          <w:tcPr>
            <w:tcW w:w="1335" w:type="dxa"/>
            <w:vAlign w:val="center"/>
          </w:tcPr>
          <w:p w14:paraId="7CCB3FBD" w14:textId="4FAACC7B"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3.</w:t>
            </w:r>
            <w:r w:rsidR="001100F4" w:rsidRPr="000B0464">
              <w:rPr>
                <w:rFonts w:ascii="Times New Roman" w:hAnsi="Times New Roman" w:cs="Times New Roman"/>
                <w:lang w:val="en-GB"/>
              </w:rPr>
              <w:t>3</w:t>
            </w:r>
          </w:p>
        </w:tc>
        <w:tc>
          <w:tcPr>
            <w:tcW w:w="1335" w:type="dxa"/>
            <w:vAlign w:val="center"/>
          </w:tcPr>
          <w:p w14:paraId="1C594034" w14:textId="0B633538"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1.59 ± 0.</w:t>
            </w:r>
            <w:r w:rsidR="001100F4" w:rsidRPr="000B0464">
              <w:rPr>
                <w:rFonts w:ascii="Times New Roman" w:hAnsi="Times New Roman" w:cs="Times New Roman"/>
                <w:lang w:val="en-GB"/>
              </w:rPr>
              <w:t>12</w:t>
            </w:r>
          </w:p>
        </w:tc>
        <w:tc>
          <w:tcPr>
            <w:tcW w:w="1335" w:type="dxa"/>
            <w:vAlign w:val="center"/>
          </w:tcPr>
          <w:p w14:paraId="2700DF30" w14:textId="31205113"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014</w:t>
            </w:r>
          </w:p>
        </w:tc>
        <w:tc>
          <w:tcPr>
            <w:tcW w:w="1335" w:type="dxa"/>
            <w:vAlign w:val="center"/>
          </w:tcPr>
          <w:p w14:paraId="677EF52C" w14:textId="7EE45D66"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28</w:t>
            </w:r>
            <w:r w:rsidR="00626E53" w:rsidRPr="000B0464">
              <w:rPr>
                <w:rFonts w:ascii="Times New Roman" w:hAnsi="Times New Roman" w:cs="Times New Roman"/>
                <w:lang w:val="en-GB"/>
              </w:rPr>
              <w:t>.5 ± 1.</w:t>
            </w:r>
            <w:r w:rsidRPr="000B0464">
              <w:rPr>
                <w:rFonts w:ascii="Times New Roman" w:hAnsi="Times New Roman" w:cs="Times New Roman"/>
                <w:lang w:val="en-GB"/>
              </w:rPr>
              <w:t>3</w:t>
            </w:r>
          </w:p>
        </w:tc>
        <w:tc>
          <w:tcPr>
            <w:tcW w:w="1335" w:type="dxa"/>
            <w:vAlign w:val="center"/>
          </w:tcPr>
          <w:p w14:paraId="0C9096CB" w14:textId="70EA0CE1"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1.</w:t>
            </w:r>
            <w:r w:rsidR="001100F4" w:rsidRPr="000B0464">
              <w:rPr>
                <w:rFonts w:ascii="Times New Roman" w:hAnsi="Times New Roman" w:cs="Times New Roman"/>
                <w:lang w:val="en-GB"/>
              </w:rPr>
              <w:t>7</w:t>
            </w:r>
          </w:p>
        </w:tc>
      </w:tr>
      <w:tr w:rsidR="001100F4" w:rsidRPr="000B0464" w14:paraId="478A7BCA" w14:textId="77777777" w:rsidTr="00B1165C">
        <w:trPr>
          <w:trHeight w:val="283"/>
          <w:jc w:val="center"/>
        </w:trPr>
        <w:tc>
          <w:tcPr>
            <w:tcW w:w="1241" w:type="dxa"/>
            <w:vAlign w:val="center"/>
          </w:tcPr>
          <w:p w14:paraId="6678070F" w14:textId="77777777"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F</w:t>
            </w:r>
          </w:p>
        </w:tc>
        <w:tc>
          <w:tcPr>
            <w:tcW w:w="1429" w:type="dxa"/>
            <w:vAlign w:val="center"/>
          </w:tcPr>
          <w:p w14:paraId="25B3B30D" w14:textId="341C60C9"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51.1 ± 6.</w:t>
            </w:r>
            <w:r w:rsidR="001100F4" w:rsidRPr="000B0464">
              <w:rPr>
                <w:rFonts w:ascii="Times New Roman" w:hAnsi="Times New Roman" w:cs="Times New Roman"/>
                <w:lang w:val="en-GB"/>
              </w:rPr>
              <w:t>5</w:t>
            </w:r>
          </w:p>
        </w:tc>
        <w:tc>
          <w:tcPr>
            <w:tcW w:w="1335" w:type="dxa"/>
            <w:vAlign w:val="center"/>
          </w:tcPr>
          <w:p w14:paraId="79E8C313" w14:textId="0C229675"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42</w:t>
            </w:r>
            <w:r w:rsidR="00626E53" w:rsidRPr="000B0464">
              <w:rPr>
                <w:rFonts w:ascii="Times New Roman" w:hAnsi="Times New Roman" w:cs="Times New Roman"/>
                <w:lang w:val="en-GB"/>
              </w:rPr>
              <w:t>.</w:t>
            </w:r>
            <w:r w:rsidRPr="000B0464">
              <w:rPr>
                <w:rFonts w:ascii="Times New Roman" w:hAnsi="Times New Roman" w:cs="Times New Roman"/>
                <w:lang w:val="en-GB"/>
              </w:rPr>
              <w:t>7</w:t>
            </w:r>
          </w:p>
        </w:tc>
        <w:tc>
          <w:tcPr>
            <w:tcW w:w="1335" w:type="dxa"/>
            <w:vAlign w:val="center"/>
          </w:tcPr>
          <w:p w14:paraId="7190A96F" w14:textId="6F4BA790"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1.37 ± 0.</w:t>
            </w:r>
            <w:r w:rsidR="001100F4" w:rsidRPr="000B0464">
              <w:rPr>
                <w:rFonts w:ascii="Times New Roman" w:hAnsi="Times New Roman" w:cs="Times New Roman"/>
                <w:lang w:val="en-GB"/>
              </w:rPr>
              <w:t>19</w:t>
            </w:r>
          </w:p>
        </w:tc>
        <w:tc>
          <w:tcPr>
            <w:tcW w:w="1335" w:type="dxa"/>
            <w:vAlign w:val="center"/>
          </w:tcPr>
          <w:p w14:paraId="55C0F8FD" w14:textId="7184F952"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038</w:t>
            </w:r>
          </w:p>
        </w:tc>
        <w:tc>
          <w:tcPr>
            <w:tcW w:w="1335" w:type="dxa"/>
            <w:vAlign w:val="center"/>
          </w:tcPr>
          <w:p w14:paraId="671CF0E0" w14:textId="2E801F72"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26.9 ± 0.</w:t>
            </w:r>
            <w:r w:rsidR="001100F4" w:rsidRPr="000B0464">
              <w:rPr>
                <w:rFonts w:ascii="Times New Roman" w:hAnsi="Times New Roman" w:cs="Times New Roman"/>
                <w:lang w:val="en-GB"/>
              </w:rPr>
              <w:t>5</w:t>
            </w:r>
          </w:p>
        </w:tc>
        <w:tc>
          <w:tcPr>
            <w:tcW w:w="1335" w:type="dxa"/>
            <w:vAlign w:val="center"/>
          </w:tcPr>
          <w:p w14:paraId="5C51C1F3" w14:textId="542FB393"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2</w:t>
            </w:r>
          </w:p>
        </w:tc>
      </w:tr>
      <w:tr w:rsidR="001100F4" w:rsidRPr="000B0464" w14:paraId="74A0B851" w14:textId="77777777" w:rsidTr="00B1165C">
        <w:trPr>
          <w:trHeight w:val="283"/>
          <w:jc w:val="center"/>
        </w:trPr>
        <w:tc>
          <w:tcPr>
            <w:tcW w:w="1241" w:type="dxa"/>
            <w:vAlign w:val="center"/>
          </w:tcPr>
          <w:p w14:paraId="26BBDF88" w14:textId="77777777"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I + F</w:t>
            </w:r>
          </w:p>
        </w:tc>
        <w:tc>
          <w:tcPr>
            <w:tcW w:w="1429" w:type="dxa"/>
            <w:vAlign w:val="center"/>
          </w:tcPr>
          <w:p w14:paraId="107B3482" w14:textId="284F9297"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58.1 ± 1.</w:t>
            </w:r>
            <w:r w:rsidR="001100F4" w:rsidRPr="000B0464">
              <w:rPr>
                <w:rFonts w:ascii="Times New Roman" w:hAnsi="Times New Roman" w:cs="Times New Roman"/>
                <w:lang w:val="en-GB"/>
              </w:rPr>
              <w:t>2</w:t>
            </w:r>
          </w:p>
        </w:tc>
        <w:tc>
          <w:tcPr>
            <w:tcW w:w="1335" w:type="dxa"/>
            <w:vAlign w:val="center"/>
          </w:tcPr>
          <w:p w14:paraId="619A195F" w14:textId="52ED2579"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1.</w:t>
            </w:r>
            <w:r w:rsidR="001100F4" w:rsidRPr="000B0464">
              <w:rPr>
                <w:rFonts w:ascii="Times New Roman" w:hAnsi="Times New Roman" w:cs="Times New Roman"/>
                <w:lang w:val="en-GB"/>
              </w:rPr>
              <w:t>4</w:t>
            </w:r>
          </w:p>
        </w:tc>
        <w:tc>
          <w:tcPr>
            <w:tcW w:w="1335" w:type="dxa"/>
            <w:vAlign w:val="center"/>
          </w:tcPr>
          <w:p w14:paraId="6FCC298D" w14:textId="25B92D86"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1.65 ± 0.</w:t>
            </w:r>
            <w:r w:rsidR="001100F4" w:rsidRPr="000B0464">
              <w:rPr>
                <w:rFonts w:ascii="Times New Roman" w:hAnsi="Times New Roman" w:cs="Times New Roman"/>
                <w:lang w:val="en-GB"/>
              </w:rPr>
              <w:t>02</w:t>
            </w:r>
          </w:p>
        </w:tc>
        <w:tc>
          <w:tcPr>
            <w:tcW w:w="1335" w:type="dxa"/>
            <w:vAlign w:val="center"/>
          </w:tcPr>
          <w:p w14:paraId="0662F07A" w14:textId="547466A6"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001</w:t>
            </w:r>
          </w:p>
        </w:tc>
        <w:tc>
          <w:tcPr>
            <w:tcW w:w="1335" w:type="dxa"/>
            <w:vAlign w:val="center"/>
          </w:tcPr>
          <w:p w14:paraId="1CB01B2A" w14:textId="00A18841"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28.5 ± 0.</w:t>
            </w:r>
            <w:r w:rsidR="001100F4" w:rsidRPr="000B0464">
              <w:rPr>
                <w:rFonts w:ascii="Times New Roman" w:hAnsi="Times New Roman" w:cs="Times New Roman"/>
                <w:lang w:val="en-GB"/>
              </w:rPr>
              <w:t>8</w:t>
            </w:r>
          </w:p>
        </w:tc>
        <w:tc>
          <w:tcPr>
            <w:tcW w:w="1335" w:type="dxa"/>
            <w:vAlign w:val="center"/>
          </w:tcPr>
          <w:p w14:paraId="2B0EDF7E" w14:textId="4828F5F1"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5</w:t>
            </w:r>
          </w:p>
        </w:tc>
      </w:tr>
      <w:tr w:rsidR="001100F4" w:rsidRPr="000B0464" w14:paraId="0C4FC437" w14:textId="77777777" w:rsidTr="00B1165C">
        <w:trPr>
          <w:trHeight w:val="283"/>
          <w:jc w:val="center"/>
        </w:trPr>
        <w:tc>
          <w:tcPr>
            <w:tcW w:w="1241" w:type="dxa"/>
            <w:vAlign w:val="center"/>
          </w:tcPr>
          <w:p w14:paraId="54CBE992" w14:textId="77777777" w:rsidR="001100F4" w:rsidRPr="000B0464" w:rsidRDefault="001100F4" w:rsidP="000B3D0B">
            <w:pPr>
              <w:jc w:val="center"/>
              <w:rPr>
                <w:rFonts w:ascii="Times New Roman" w:hAnsi="Times New Roman" w:cs="Times New Roman"/>
                <w:lang w:val="en-GB"/>
              </w:rPr>
            </w:pPr>
            <w:r w:rsidRPr="000B0464">
              <w:rPr>
                <w:rFonts w:ascii="Times New Roman" w:hAnsi="Times New Roman" w:cs="Times New Roman"/>
                <w:lang w:val="en-GB"/>
              </w:rPr>
              <w:t>DMRT</w:t>
            </w:r>
          </w:p>
        </w:tc>
        <w:tc>
          <w:tcPr>
            <w:tcW w:w="2764" w:type="dxa"/>
            <w:gridSpan w:val="2"/>
            <w:vAlign w:val="center"/>
          </w:tcPr>
          <w:p w14:paraId="2DCC6054" w14:textId="3A8759BD"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7.</w:t>
            </w:r>
            <w:r w:rsidR="001100F4" w:rsidRPr="000B0464">
              <w:rPr>
                <w:rFonts w:ascii="Times New Roman" w:hAnsi="Times New Roman" w:cs="Times New Roman"/>
                <w:lang w:val="en-GB"/>
              </w:rPr>
              <w:t>36</w:t>
            </w:r>
          </w:p>
        </w:tc>
        <w:tc>
          <w:tcPr>
            <w:tcW w:w="2670" w:type="dxa"/>
            <w:gridSpan w:val="2"/>
            <w:vAlign w:val="center"/>
          </w:tcPr>
          <w:p w14:paraId="14984BA3" w14:textId="2F21DE55"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0.</w:t>
            </w:r>
            <w:r w:rsidR="001100F4" w:rsidRPr="000B0464">
              <w:rPr>
                <w:rFonts w:ascii="Times New Roman" w:hAnsi="Times New Roman" w:cs="Times New Roman"/>
                <w:lang w:val="en-GB"/>
              </w:rPr>
              <w:t>24</w:t>
            </w:r>
          </w:p>
        </w:tc>
        <w:tc>
          <w:tcPr>
            <w:tcW w:w="2670" w:type="dxa"/>
            <w:gridSpan w:val="2"/>
            <w:vAlign w:val="center"/>
          </w:tcPr>
          <w:p w14:paraId="319A6CE1" w14:textId="32B66638" w:rsidR="001100F4" w:rsidRPr="000B0464" w:rsidRDefault="00626E53" w:rsidP="000B3D0B">
            <w:pPr>
              <w:jc w:val="center"/>
              <w:rPr>
                <w:rFonts w:ascii="Times New Roman" w:hAnsi="Times New Roman" w:cs="Times New Roman"/>
                <w:lang w:val="en-GB"/>
              </w:rPr>
            </w:pPr>
            <w:r w:rsidRPr="000B0464">
              <w:rPr>
                <w:rFonts w:ascii="Times New Roman" w:hAnsi="Times New Roman" w:cs="Times New Roman"/>
                <w:lang w:val="en-GB"/>
              </w:rPr>
              <w:t>1.</w:t>
            </w:r>
            <w:r w:rsidR="001100F4" w:rsidRPr="000B0464">
              <w:rPr>
                <w:rFonts w:ascii="Times New Roman" w:hAnsi="Times New Roman" w:cs="Times New Roman"/>
                <w:lang w:val="en-GB"/>
              </w:rPr>
              <w:t>88</w:t>
            </w:r>
          </w:p>
        </w:tc>
      </w:tr>
      <w:tr w:rsidR="001100F4" w:rsidRPr="000B0464" w14:paraId="00C7B9C7" w14:textId="77777777" w:rsidTr="00B1165C">
        <w:trPr>
          <w:trHeight w:val="283"/>
          <w:jc w:val="center"/>
        </w:trPr>
        <w:tc>
          <w:tcPr>
            <w:tcW w:w="1241" w:type="dxa"/>
            <w:vAlign w:val="center"/>
          </w:tcPr>
          <w:p w14:paraId="6B27289A" w14:textId="77777777" w:rsidR="001100F4" w:rsidRPr="000B0464" w:rsidRDefault="001100F4" w:rsidP="000B3D0B">
            <w:pPr>
              <w:jc w:val="center"/>
              <w:rPr>
                <w:rFonts w:ascii="Times New Roman" w:hAnsi="Times New Roman" w:cs="Times New Roman"/>
                <w:lang w:val="en-GB"/>
              </w:rPr>
            </w:pPr>
          </w:p>
        </w:tc>
        <w:tc>
          <w:tcPr>
            <w:tcW w:w="2764" w:type="dxa"/>
            <w:gridSpan w:val="2"/>
            <w:vAlign w:val="center"/>
          </w:tcPr>
          <w:p w14:paraId="3110B625" w14:textId="68B19AC5"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F = 7.</w:t>
            </w:r>
            <w:r w:rsidR="001100F4" w:rsidRPr="000B0464">
              <w:rPr>
                <w:rFonts w:ascii="Times New Roman" w:hAnsi="Times New Roman" w:cs="Times New Roman"/>
                <w:lang w:val="en-GB"/>
              </w:rPr>
              <w:t>04</w:t>
            </w:r>
            <w:r w:rsidR="009B2FB6" w:rsidRPr="000B0464">
              <w:rPr>
                <w:rFonts w:ascii="Times New Roman" w:hAnsi="Times New Roman" w:cs="Times New Roman"/>
                <w:lang w:val="en-GB"/>
              </w:rPr>
              <w:t>,</w:t>
            </w:r>
            <w:r w:rsidR="00A4589E" w:rsidRPr="000B0464">
              <w:rPr>
                <w:rFonts w:ascii="Times New Roman" w:hAnsi="Times New Roman" w:cs="Times New Roman"/>
                <w:lang w:val="en-GB"/>
              </w:rPr>
              <w:t xml:space="preserve"> </w:t>
            </w:r>
            <w:r w:rsidRPr="000B0464">
              <w:rPr>
                <w:rFonts w:ascii="Times New Roman" w:hAnsi="Times New Roman" w:cs="Times New Roman"/>
                <w:lang w:val="en-GB"/>
              </w:rPr>
              <w:t>p = 0.</w:t>
            </w:r>
            <w:r w:rsidR="001100F4" w:rsidRPr="000B0464">
              <w:rPr>
                <w:rFonts w:ascii="Times New Roman" w:hAnsi="Times New Roman" w:cs="Times New Roman"/>
                <w:lang w:val="en-GB"/>
              </w:rPr>
              <w:t>012</w:t>
            </w:r>
          </w:p>
        </w:tc>
        <w:tc>
          <w:tcPr>
            <w:tcW w:w="2670" w:type="dxa"/>
            <w:gridSpan w:val="2"/>
            <w:vAlign w:val="center"/>
          </w:tcPr>
          <w:p w14:paraId="52DF4BB7" w14:textId="00A41C12"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F = 11.</w:t>
            </w:r>
            <w:r w:rsidR="001100F4" w:rsidRPr="000B0464">
              <w:rPr>
                <w:rFonts w:ascii="Times New Roman" w:hAnsi="Times New Roman" w:cs="Times New Roman"/>
                <w:lang w:val="en-GB"/>
              </w:rPr>
              <w:t>7</w:t>
            </w:r>
            <w:r w:rsidR="009B2FB6" w:rsidRPr="000B0464">
              <w:rPr>
                <w:rFonts w:ascii="Times New Roman" w:hAnsi="Times New Roman" w:cs="Times New Roman"/>
                <w:lang w:val="en-GB"/>
              </w:rPr>
              <w:t>,</w:t>
            </w:r>
            <w:r w:rsidR="00A4589E" w:rsidRPr="000B0464">
              <w:rPr>
                <w:rFonts w:ascii="Times New Roman" w:hAnsi="Times New Roman" w:cs="Times New Roman"/>
                <w:lang w:val="en-GB"/>
              </w:rPr>
              <w:t xml:space="preserve"> </w:t>
            </w:r>
            <w:r w:rsidRPr="000B0464">
              <w:rPr>
                <w:rFonts w:ascii="Times New Roman" w:hAnsi="Times New Roman" w:cs="Times New Roman"/>
                <w:lang w:val="en-GB"/>
              </w:rPr>
              <w:t>p = 0.</w:t>
            </w:r>
            <w:r w:rsidR="001100F4" w:rsidRPr="000B0464">
              <w:rPr>
                <w:rFonts w:ascii="Times New Roman" w:hAnsi="Times New Roman" w:cs="Times New Roman"/>
                <w:lang w:val="en-GB"/>
              </w:rPr>
              <w:t>002</w:t>
            </w:r>
          </w:p>
        </w:tc>
        <w:tc>
          <w:tcPr>
            <w:tcW w:w="2670" w:type="dxa"/>
            <w:gridSpan w:val="2"/>
            <w:vAlign w:val="center"/>
          </w:tcPr>
          <w:p w14:paraId="54454728" w14:textId="472FB689"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F = 11.</w:t>
            </w:r>
            <w:r w:rsidR="001100F4" w:rsidRPr="000B0464">
              <w:rPr>
                <w:rFonts w:ascii="Times New Roman" w:hAnsi="Times New Roman" w:cs="Times New Roman"/>
                <w:lang w:val="en-GB"/>
              </w:rPr>
              <w:t>9</w:t>
            </w:r>
            <w:r w:rsidR="009B2FB6" w:rsidRPr="000B0464">
              <w:rPr>
                <w:rFonts w:ascii="Times New Roman" w:hAnsi="Times New Roman" w:cs="Times New Roman"/>
                <w:lang w:val="en-GB"/>
              </w:rPr>
              <w:t>,</w:t>
            </w:r>
            <w:r w:rsidR="00A4589E" w:rsidRPr="000B0464">
              <w:rPr>
                <w:rFonts w:ascii="Times New Roman" w:hAnsi="Times New Roman" w:cs="Times New Roman"/>
                <w:lang w:val="en-GB"/>
              </w:rPr>
              <w:t xml:space="preserve"> </w:t>
            </w:r>
            <w:r w:rsidRPr="000B0464">
              <w:rPr>
                <w:rFonts w:ascii="Times New Roman" w:hAnsi="Times New Roman" w:cs="Times New Roman"/>
                <w:lang w:val="en-GB"/>
              </w:rPr>
              <w:t>p = 0.</w:t>
            </w:r>
            <w:r w:rsidR="001100F4" w:rsidRPr="000B0464">
              <w:rPr>
                <w:rFonts w:ascii="Times New Roman" w:hAnsi="Times New Roman" w:cs="Times New Roman"/>
                <w:lang w:val="en-GB"/>
              </w:rPr>
              <w:t>002</w:t>
            </w:r>
          </w:p>
        </w:tc>
      </w:tr>
    </w:tbl>
    <w:p w14:paraId="092EBE85" w14:textId="77777777" w:rsidR="001100F4" w:rsidRPr="000B0464" w:rsidRDefault="001100F4" w:rsidP="000B3D0B">
      <w:pPr>
        <w:pStyle w:val="Akapitzlist"/>
        <w:spacing w:after="0" w:line="240" w:lineRule="auto"/>
        <w:ind w:left="1068"/>
        <w:jc w:val="both"/>
        <w:rPr>
          <w:rFonts w:ascii="Times New Roman" w:hAnsi="Times New Roman" w:cs="Times New Roman"/>
          <w:sz w:val="24"/>
          <w:szCs w:val="24"/>
          <w:lang w:val="en-GB"/>
        </w:rPr>
      </w:pPr>
    </w:p>
    <w:p w14:paraId="614FA2C5" w14:textId="0C63E61F" w:rsidR="001100F4" w:rsidRPr="000B0464" w:rsidRDefault="001100F4" w:rsidP="000B3D0B">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At the same time, the impact of different biofertilizer treatment options on buckwheat yield is quite significant</w:t>
      </w:r>
      <w:r w:rsidR="00B20E43" w:rsidRPr="000B0464">
        <w:rPr>
          <w:rFonts w:ascii="Times New Roman" w:hAnsi="Times New Roman" w:cs="Times New Roman"/>
          <w:lang w:val="en-GB"/>
        </w:rPr>
        <w:t>. It has to be noted that in Figure 3, the lower and upper limits of crop yield are marked with whiskers.</w:t>
      </w:r>
      <w:r w:rsidRPr="000B0464">
        <w:rPr>
          <w:rFonts w:ascii="Times New Roman" w:hAnsi="Times New Roman" w:cs="Times New Roman"/>
          <w:lang w:val="en-GB"/>
        </w:rPr>
        <w:t xml:space="preserve"> In particular, the control variant has the lowest yield, whereas the application of inoculation significantly increases it. Fertilization also contributes to yield growth, but to a lesser extent than inoculation. The combined variant demonstrates the highest yield, indicating a synergistic effect of inoculation and fertilization. </w:t>
      </w:r>
      <w:r w:rsidR="008F54A6" w:rsidRPr="000B0464">
        <w:rPr>
          <w:rFonts w:ascii="Times New Roman" w:hAnsi="Times New Roman" w:cs="Times New Roman"/>
          <w:lang w:val="en-GB"/>
        </w:rPr>
        <w:t>However, the yield obtained in variant I was nearly equivalent to that of the combined treatment (I</w:t>
      </w:r>
      <w:r w:rsidR="008C63DD">
        <w:rPr>
          <w:rFonts w:ascii="Times New Roman" w:hAnsi="Times New Roman" w:cs="Times New Roman"/>
          <w:lang w:val="en-GB"/>
        </w:rPr>
        <w:t xml:space="preserve"> </w:t>
      </w:r>
      <w:r w:rsidR="008F54A6" w:rsidRPr="000B0464">
        <w:rPr>
          <w:rFonts w:ascii="Times New Roman" w:hAnsi="Times New Roman" w:cs="Times New Roman"/>
          <w:lang w:val="en-GB"/>
        </w:rPr>
        <w:t>+</w:t>
      </w:r>
      <w:r w:rsidR="008C63DD">
        <w:rPr>
          <w:rFonts w:ascii="Times New Roman" w:hAnsi="Times New Roman" w:cs="Times New Roman"/>
          <w:lang w:val="en-GB"/>
        </w:rPr>
        <w:t xml:space="preserve"> </w:t>
      </w:r>
      <w:r w:rsidR="008F54A6" w:rsidRPr="000B0464">
        <w:rPr>
          <w:rFonts w:ascii="Times New Roman" w:hAnsi="Times New Roman" w:cs="Times New Roman"/>
          <w:lang w:val="en-GB"/>
        </w:rPr>
        <w:t>F), indicating that seed inoculation is the primary contributing factor to yield enhancement in the I</w:t>
      </w:r>
      <w:r w:rsidR="008C63DD">
        <w:rPr>
          <w:rFonts w:ascii="Times New Roman" w:hAnsi="Times New Roman" w:cs="Times New Roman"/>
          <w:lang w:val="en-GB"/>
        </w:rPr>
        <w:t xml:space="preserve"> </w:t>
      </w:r>
      <w:r w:rsidR="008F54A6" w:rsidRPr="000B0464">
        <w:rPr>
          <w:rFonts w:ascii="Times New Roman" w:hAnsi="Times New Roman" w:cs="Times New Roman"/>
          <w:lang w:val="en-GB"/>
        </w:rPr>
        <w:t>+</w:t>
      </w:r>
      <w:r w:rsidR="008C63DD">
        <w:rPr>
          <w:rFonts w:ascii="Times New Roman" w:hAnsi="Times New Roman" w:cs="Times New Roman"/>
          <w:lang w:val="en-GB"/>
        </w:rPr>
        <w:t xml:space="preserve"> </w:t>
      </w:r>
      <w:r w:rsidR="008F54A6" w:rsidRPr="000B0464">
        <w:rPr>
          <w:rFonts w:ascii="Times New Roman" w:hAnsi="Times New Roman" w:cs="Times New Roman"/>
          <w:lang w:val="en-GB"/>
        </w:rPr>
        <w:t>F variant.</w:t>
      </w:r>
    </w:p>
    <w:p w14:paraId="4A317E8F" w14:textId="77777777" w:rsidR="000B0464" w:rsidRPr="000B0464" w:rsidRDefault="000B0464" w:rsidP="000B3D0B">
      <w:pPr>
        <w:spacing w:after="0" w:line="240" w:lineRule="auto"/>
        <w:ind w:firstLine="284"/>
        <w:jc w:val="both"/>
        <w:rPr>
          <w:rFonts w:ascii="Times New Roman" w:hAnsi="Times New Roman" w:cs="Times New Roman"/>
          <w:lang w:val="en-GB"/>
        </w:rPr>
      </w:pPr>
    </w:p>
    <w:p w14:paraId="47245C96" w14:textId="6FC514ED" w:rsidR="001100F4" w:rsidRPr="000B0464" w:rsidRDefault="00BC6039" w:rsidP="009B2FB6">
      <w:pPr>
        <w:spacing w:after="0" w:line="240" w:lineRule="auto"/>
        <w:jc w:val="center"/>
        <w:rPr>
          <w:rFonts w:ascii="Times New Roman" w:hAnsi="Times New Roman" w:cs="Times New Roman"/>
          <w:lang w:val="en-GB"/>
        </w:rPr>
      </w:pPr>
      <w:r w:rsidRPr="000B0464">
        <w:rPr>
          <w:rFonts w:ascii="Times New Roman" w:hAnsi="Times New Roman" w:cs="Times New Roman"/>
          <w:noProof/>
          <w:lang w:val="en-GB" w:eastAsia="ru-RU"/>
        </w:rPr>
        <w:drawing>
          <wp:inline distT="0" distB="0" distL="0" distR="0" wp14:anchorId="76C0B364" wp14:editId="160D3899">
            <wp:extent cx="3285275" cy="24079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90088" cy="2411447"/>
                    </a:xfrm>
                    <a:prstGeom prst="rect">
                      <a:avLst/>
                    </a:prstGeom>
                  </pic:spPr>
                </pic:pic>
              </a:graphicData>
            </a:graphic>
          </wp:inline>
        </w:drawing>
      </w:r>
    </w:p>
    <w:p w14:paraId="3B0BE6C7" w14:textId="55B06917" w:rsidR="001100F4" w:rsidRPr="000B0464" w:rsidRDefault="001100F4" w:rsidP="000B0464">
      <w:pPr>
        <w:pStyle w:val="Rrys"/>
        <w:rPr>
          <w:b/>
          <w:bCs/>
          <w:lang w:val="en-GB"/>
        </w:rPr>
      </w:pPr>
      <w:r w:rsidRPr="000B0464">
        <w:rPr>
          <w:b/>
          <w:bCs/>
          <w:lang w:val="en-GB"/>
        </w:rPr>
        <w:t>Fig</w:t>
      </w:r>
      <w:r w:rsidR="000B0464" w:rsidRPr="000B0464">
        <w:rPr>
          <w:b/>
          <w:bCs/>
          <w:lang w:val="en-GB"/>
        </w:rPr>
        <w:t>.</w:t>
      </w:r>
      <w:r w:rsidRPr="000B0464">
        <w:rPr>
          <w:b/>
          <w:bCs/>
          <w:lang w:val="en-GB"/>
        </w:rPr>
        <w:t xml:space="preserve"> 3. </w:t>
      </w:r>
      <w:r w:rsidRPr="000B0464">
        <w:rPr>
          <w:lang w:val="en-GB"/>
        </w:rPr>
        <w:t xml:space="preserve">Impact of biofertilizer treatment options on the yield of </w:t>
      </w:r>
      <w:r w:rsidR="00B54735">
        <w:rPr>
          <w:lang w:val="en-GB"/>
        </w:rPr>
        <w:t xml:space="preserve">the </w:t>
      </w:r>
      <w:r w:rsidRPr="000B0464">
        <w:rPr>
          <w:lang w:val="en-GB"/>
        </w:rPr>
        <w:t>Yaroslavna buckwheat variety</w:t>
      </w:r>
    </w:p>
    <w:p w14:paraId="52A12873" w14:textId="77777777" w:rsidR="001100F4" w:rsidRPr="000B0464" w:rsidRDefault="001100F4" w:rsidP="00A4589E">
      <w:pPr>
        <w:spacing w:after="0" w:line="240" w:lineRule="auto"/>
        <w:ind w:firstLine="708"/>
        <w:jc w:val="both"/>
        <w:rPr>
          <w:rFonts w:ascii="Times New Roman" w:hAnsi="Times New Roman" w:cs="Times New Roman"/>
          <w:bCs/>
          <w:lang w:val="en-GB"/>
        </w:rPr>
      </w:pPr>
    </w:p>
    <w:p w14:paraId="7CD380E9" w14:textId="23818AD2" w:rsidR="00A4589E" w:rsidRPr="000B0464" w:rsidRDefault="001100F4" w:rsidP="008F54A6">
      <w:pPr>
        <w:spacing w:after="0" w:line="240" w:lineRule="auto"/>
        <w:ind w:firstLine="284"/>
        <w:jc w:val="both"/>
        <w:rPr>
          <w:rFonts w:ascii="Times New Roman" w:hAnsi="Times New Roman" w:cs="Times New Roman"/>
          <w:lang w:val="en-GB"/>
        </w:rPr>
      </w:pPr>
      <w:r w:rsidRPr="000B0464">
        <w:rPr>
          <w:rFonts w:ascii="Times New Roman" w:hAnsi="Times New Roman" w:cs="Times New Roman"/>
          <w:lang w:val="en-GB"/>
        </w:rPr>
        <w:t xml:space="preserve">Table 3 </w:t>
      </w:r>
      <w:r w:rsidR="00B54735">
        <w:rPr>
          <w:rFonts w:ascii="Times New Roman" w:hAnsi="Times New Roman" w:cs="Times New Roman"/>
          <w:lang w:val="en-GB"/>
        </w:rPr>
        <w:t>confirms</w:t>
      </w:r>
      <w:r w:rsidRPr="000B0464">
        <w:rPr>
          <w:rFonts w:ascii="Times New Roman" w:hAnsi="Times New Roman" w:cs="Times New Roman"/>
          <w:lang w:val="en-GB"/>
        </w:rPr>
        <w:t xml:space="preserve"> the use of biofertilizers in the cultivation of the Yaroslavna buckwheat variety. The control variant (C) shows the lowest yield (1.29 t/ha) and, accordingly, the lowest revenue from sales (647.8 €/ha). However, due to low production costs (352.6 €/ha), its profit amounts to 295.2 €/ha, with a profitability level of 83.7%. The I variant has a significantly higher yield (1.97 t/ha), </w:t>
      </w:r>
      <w:r w:rsidR="00B54735">
        <w:rPr>
          <w:rFonts w:ascii="Times New Roman" w:hAnsi="Times New Roman" w:cs="Times New Roman"/>
          <w:lang w:val="en-GB"/>
        </w:rPr>
        <w:t>contributing</w:t>
      </w:r>
      <w:r w:rsidRPr="000B0464">
        <w:rPr>
          <w:rFonts w:ascii="Times New Roman" w:hAnsi="Times New Roman" w:cs="Times New Roman"/>
          <w:lang w:val="en-GB"/>
        </w:rPr>
        <w:t xml:space="preserve"> to an increase in gross revenue to 989.3 €/ha. The cultivation costs for this variant amount to 357.5 €/ha, allowing for a profit of 631.8 €/ha. The profitability reaches 176.7%, which is a significant improvement compared to the control variant. The F variant is characterized by a yield of 1.58 t/ha and a gross revenue of 793.4 €/ha. At the same time, cultivation costs remain at 357.5 €/ha, ensuring a profit of 435.9 €/ha. The profitability level for this variant is 121.9%, which is lower than that of variant I but higher than the control variant. The combination of methods in variant I + F ensures the highest yield (1.99 t/ha) and maximum revenue from sales (999.4 €/ha). Despite slightly higher production costs (362.5 €/ha), the profit reaches 636.9 €/ha. This results in a profitability of 175.7%, </w:t>
      </w:r>
      <w:r w:rsidRPr="000B0464">
        <w:rPr>
          <w:rFonts w:ascii="Times New Roman" w:hAnsi="Times New Roman" w:cs="Times New Roman"/>
          <w:lang w:val="en-GB"/>
        </w:rPr>
        <w:lastRenderedPageBreak/>
        <w:t xml:space="preserve">which is slightly lower than variant I but higher than the control and F variants. </w:t>
      </w:r>
      <w:r w:rsidR="008F54A6" w:rsidRPr="000B0464">
        <w:rPr>
          <w:rFonts w:ascii="Times New Roman" w:hAnsi="Times New Roman" w:cs="Times New Roman"/>
          <w:lang w:val="en-GB"/>
        </w:rPr>
        <w:t>Although the highest yield was recorded in the I</w:t>
      </w:r>
      <w:r w:rsidR="008C63DD">
        <w:rPr>
          <w:rFonts w:ascii="Times New Roman" w:hAnsi="Times New Roman" w:cs="Times New Roman"/>
          <w:lang w:val="en-GB"/>
        </w:rPr>
        <w:t xml:space="preserve"> </w:t>
      </w:r>
      <w:r w:rsidR="008F54A6" w:rsidRPr="000B0464">
        <w:rPr>
          <w:rFonts w:ascii="Times New Roman" w:hAnsi="Times New Roman" w:cs="Times New Roman"/>
          <w:lang w:val="en-GB"/>
        </w:rPr>
        <w:t>+</w:t>
      </w:r>
      <w:r w:rsidR="008C63DD">
        <w:rPr>
          <w:rFonts w:ascii="Times New Roman" w:hAnsi="Times New Roman" w:cs="Times New Roman"/>
          <w:lang w:val="en-GB"/>
        </w:rPr>
        <w:t xml:space="preserve"> </w:t>
      </w:r>
      <w:r w:rsidR="008F54A6" w:rsidRPr="000B0464">
        <w:rPr>
          <w:rFonts w:ascii="Times New Roman" w:hAnsi="Times New Roman" w:cs="Times New Roman"/>
          <w:lang w:val="en-GB"/>
        </w:rPr>
        <w:t xml:space="preserve">F variant, the greatest profitability was achieved with variant I, indicating it as the most cost-effective approach. Moreover, seed inoculation requires less </w:t>
      </w:r>
      <w:proofErr w:type="spellStart"/>
      <w:r w:rsidR="008F54A6" w:rsidRPr="000B0464">
        <w:rPr>
          <w:rFonts w:ascii="Times New Roman" w:hAnsi="Times New Roman" w:cs="Times New Roman"/>
          <w:lang w:val="en-GB"/>
        </w:rPr>
        <w:t>labor</w:t>
      </w:r>
      <w:proofErr w:type="spellEnd"/>
      <w:r w:rsidR="008F54A6" w:rsidRPr="000B0464">
        <w:rPr>
          <w:rFonts w:ascii="Times New Roman" w:hAnsi="Times New Roman" w:cs="Times New Roman"/>
          <w:lang w:val="en-GB"/>
        </w:rPr>
        <w:t xml:space="preserve"> input and is less energy-intensive </w:t>
      </w:r>
      <w:r w:rsidR="00B54735">
        <w:rPr>
          <w:rFonts w:ascii="Times New Roman" w:hAnsi="Times New Roman" w:cs="Times New Roman"/>
          <w:lang w:val="en-GB"/>
        </w:rPr>
        <w:t>than</w:t>
      </w:r>
      <w:r w:rsidR="008F54A6" w:rsidRPr="000B0464">
        <w:rPr>
          <w:rFonts w:ascii="Times New Roman" w:hAnsi="Times New Roman" w:cs="Times New Roman"/>
          <w:lang w:val="en-GB"/>
        </w:rPr>
        <w:t xml:space="preserve"> foliar treatments, further reinforcing its efficiency and practical value in agricultural production.</w:t>
      </w:r>
    </w:p>
    <w:p w14:paraId="3864746C" w14:textId="77777777" w:rsidR="008F54A6" w:rsidRPr="000B0464" w:rsidRDefault="008F54A6" w:rsidP="008F54A6">
      <w:pPr>
        <w:spacing w:after="0" w:line="240" w:lineRule="auto"/>
        <w:ind w:firstLine="284"/>
        <w:jc w:val="both"/>
        <w:rPr>
          <w:rFonts w:ascii="Times New Roman" w:hAnsi="Times New Roman" w:cs="Times New Roman"/>
          <w:bCs/>
          <w:lang w:val="en-GB"/>
        </w:rPr>
      </w:pPr>
    </w:p>
    <w:p w14:paraId="1ECAAD60" w14:textId="77777777" w:rsidR="001100F4" w:rsidRPr="000B0464" w:rsidRDefault="001100F4" w:rsidP="000B0464">
      <w:pPr>
        <w:pStyle w:val="Rtab"/>
        <w:rPr>
          <w:lang w:val="en-GB"/>
        </w:rPr>
      </w:pPr>
      <w:r w:rsidRPr="000B0464">
        <w:rPr>
          <w:b/>
          <w:bCs/>
          <w:lang w:val="en-GB"/>
        </w:rPr>
        <w:t>Table 3.</w:t>
      </w:r>
      <w:r w:rsidRPr="000B0464">
        <w:rPr>
          <w:lang w:val="en-GB"/>
        </w:rPr>
        <w:t xml:space="preserve"> Economic efficiency indicators of Yaroslavna buckwheat cultivation using biofertilizers</w:t>
      </w:r>
    </w:p>
    <w:tbl>
      <w:tblPr>
        <w:tblStyle w:val="Tabela-Siatka"/>
        <w:tblW w:w="0" w:type="auto"/>
        <w:jc w:val="center"/>
        <w:tblLook w:val="04A0" w:firstRow="1" w:lastRow="0" w:firstColumn="1" w:lastColumn="0" w:noHBand="0" w:noVBand="1"/>
      </w:tblPr>
      <w:tblGrid>
        <w:gridCol w:w="887"/>
        <w:gridCol w:w="1084"/>
        <w:gridCol w:w="1615"/>
        <w:gridCol w:w="1326"/>
        <w:gridCol w:w="1516"/>
        <w:gridCol w:w="1275"/>
        <w:gridCol w:w="1612"/>
      </w:tblGrid>
      <w:tr w:rsidR="001100F4" w:rsidRPr="000B0464" w14:paraId="79CC5B54" w14:textId="77777777" w:rsidTr="00B1165C">
        <w:trPr>
          <w:trHeight w:val="547"/>
          <w:jc w:val="center"/>
        </w:trPr>
        <w:tc>
          <w:tcPr>
            <w:tcW w:w="887" w:type="dxa"/>
            <w:vAlign w:val="center"/>
          </w:tcPr>
          <w:p w14:paraId="6069FE69" w14:textId="77777777" w:rsidR="001100F4" w:rsidRPr="000B0464" w:rsidRDefault="001100F4" w:rsidP="00A4589E">
            <w:pPr>
              <w:ind w:left="-72"/>
              <w:jc w:val="center"/>
              <w:rPr>
                <w:rFonts w:ascii="Times New Roman" w:hAnsi="Times New Roman" w:cs="Times New Roman"/>
                <w:lang w:val="en-GB"/>
              </w:rPr>
            </w:pPr>
            <w:r w:rsidRPr="000B0464">
              <w:rPr>
                <w:rFonts w:ascii="Times New Roman" w:hAnsi="Times New Roman" w:cs="Times New Roman"/>
                <w:lang w:val="en-GB"/>
              </w:rPr>
              <w:t>Variant</w:t>
            </w:r>
          </w:p>
        </w:tc>
        <w:tc>
          <w:tcPr>
            <w:tcW w:w="1084" w:type="dxa"/>
            <w:vAlign w:val="center"/>
          </w:tcPr>
          <w:p w14:paraId="5D51E75F" w14:textId="77777777" w:rsidR="001100F4" w:rsidRPr="000B0464" w:rsidRDefault="001100F4" w:rsidP="00A4589E">
            <w:pPr>
              <w:ind w:left="-72"/>
              <w:jc w:val="center"/>
              <w:rPr>
                <w:rFonts w:ascii="Times New Roman" w:hAnsi="Times New Roman" w:cs="Times New Roman"/>
                <w:lang w:val="en-GB"/>
              </w:rPr>
            </w:pPr>
            <w:r w:rsidRPr="000B0464">
              <w:rPr>
                <w:rFonts w:ascii="Times New Roman" w:hAnsi="Times New Roman" w:cs="Times New Roman"/>
                <w:lang w:val="en-GB"/>
              </w:rPr>
              <w:t>Yield, t/ha</w:t>
            </w:r>
          </w:p>
        </w:tc>
        <w:tc>
          <w:tcPr>
            <w:tcW w:w="1615" w:type="dxa"/>
            <w:vAlign w:val="center"/>
          </w:tcPr>
          <w:p w14:paraId="2A261090" w14:textId="77777777" w:rsidR="001100F4" w:rsidRPr="000B0464" w:rsidRDefault="001100F4" w:rsidP="00A4589E">
            <w:pPr>
              <w:ind w:left="-72"/>
              <w:jc w:val="center"/>
              <w:rPr>
                <w:rFonts w:ascii="Times New Roman" w:hAnsi="Times New Roman" w:cs="Times New Roman"/>
                <w:lang w:val="en-GB"/>
              </w:rPr>
            </w:pPr>
            <w:r w:rsidRPr="000B0464">
              <w:rPr>
                <w:rFonts w:ascii="Times New Roman" w:hAnsi="Times New Roman" w:cs="Times New Roman"/>
                <w:lang w:val="en-GB"/>
              </w:rPr>
              <w:t>Sales price €*/t</w:t>
            </w:r>
          </w:p>
        </w:tc>
        <w:tc>
          <w:tcPr>
            <w:tcW w:w="1326" w:type="dxa"/>
            <w:vAlign w:val="center"/>
          </w:tcPr>
          <w:p w14:paraId="1156311E" w14:textId="77777777" w:rsidR="001100F4" w:rsidRPr="000B0464" w:rsidRDefault="001100F4" w:rsidP="00A4589E">
            <w:pPr>
              <w:ind w:left="-72"/>
              <w:jc w:val="center"/>
              <w:rPr>
                <w:rFonts w:ascii="Times New Roman" w:hAnsi="Times New Roman" w:cs="Times New Roman"/>
                <w:lang w:val="en-GB"/>
              </w:rPr>
            </w:pPr>
            <w:r w:rsidRPr="000B0464">
              <w:rPr>
                <w:rFonts w:ascii="Times New Roman" w:hAnsi="Times New Roman" w:cs="Times New Roman"/>
                <w:lang w:val="en-GB"/>
              </w:rPr>
              <w:t>Growing costs, €/ha</w:t>
            </w:r>
          </w:p>
        </w:tc>
        <w:tc>
          <w:tcPr>
            <w:tcW w:w="1516" w:type="dxa"/>
            <w:vAlign w:val="center"/>
          </w:tcPr>
          <w:p w14:paraId="32A70658" w14:textId="77777777" w:rsidR="001100F4" w:rsidRPr="000B0464" w:rsidRDefault="001100F4" w:rsidP="00A4589E">
            <w:pPr>
              <w:ind w:left="-72"/>
              <w:jc w:val="center"/>
              <w:rPr>
                <w:rFonts w:ascii="Times New Roman" w:hAnsi="Times New Roman" w:cs="Times New Roman"/>
                <w:lang w:val="en-GB"/>
              </w:rPr>
            </w:pPr>
            <w:r w:rsidRPr="000B0464">
              <w:rPr>
                <w:rFonts w:ascii="Times New Roman" w:hAnsi="Times New Roman" w:cs="Times New Roman"/>
                <w:lang w:val="en-GB"/>
              </w:rPr>
              <w:t>Sales revenue, €/ha</w:t>
            </w:r>
          </w:p>
        </w:tc>
        <w:tc>
          <w:tcPr>
            <w:tcW w:w="1275" w:type="dxa"/>
            <w:vAlign w:val="center"/>
          </w:tcPr>
          <w:p w14:paraId="4CAB2B85" w14:textId="77777777" w:rsidR="001100F4" w:rsidRPr="000B0464" w:rsidRDefault="001100F4" w:rsidP="00A4589E">
            <w:pPr>
              <w:ind w:left="-72"/>
              <w:jc w:val="center"/>
              <w:rPr>
                <w:rFonts w:ascii="Times New Roman" w:hAnsi="Times New Roman" w:cs="Times New Roman"/>
                <w:lang w:val="en-GB"/>
              </w:rPr>
            </w:pPr>
            <w:r w:rsidRPr="000B0464">
              <w:rPr>
                <w:rFonts w:ascii="Times New Roman" w:hAnsi="Times New Roman" w:cs="Times New Roman"/>
                <w:lang w:val="en-GB"/>
              </w:rPr>
              <w:t>Profit, €//ha</w:t>
            </w:r>
          </w:p>
        </w:tc>
        <w:tc>
          <w:tcPr>
            <w:tcW w:w="1612" w:type="dxa"/>
            <w:vAlign w:val="center"/>
          </w:tcPr>
          <w:p w14:paraId="5DB16714" w14:textId="77777777" w:rsidR="001100F4" w:rsidRPr="000B0464" w:rsidRDefault="001100F4" w:rsidP="00A4589E">
            <w:pPr>
              <w:ind w:left="-72"/>
              <w:jc w:val="center"/>
              <w:rPr>
                <w:rFonts w:ascii="Times New Roman" w:hAnsi="Times New Roman" w:cs="Times New Roman"/>
                <w:lang w:val="en-GB"/>
              </w:rPr>
            </w:pPr>
            <w:r w:rsidRPr="000B0464">
              <w:rPr>
                <w:rFonts w:ascii="Times New Roman" w:hAnsi="Times New Roman" w:cs="Times New Roman"/>
                <w:lang w:val="en-GB"/>
              </w:rPr>
              <w:t>Profitability, %</w:t>
            </w:r>
          </w:p>
        </w:tc>
      </w:tr>
      <w:tr w:rsidR="001100F4" w:rsidRPr="000B0464" w14:paraId="53DC86AD" w14:textId="77777777" w:rsidTr="00B1165C">
        <w:trPr>
          <w:trHeight w:val="283"/>
          <w:jc w:val="center"/>
        </w:trPr>
        <w:tc>
          <w:tcPr>
            <w:tcW w:w="887" w:type="dxa"/>
            <w:vAlign w:val="center"/>
          </w:tcPr>
          <w:p w14:paraId="2FD8A964" w14:textId="77777777" w:rsidR="001100F4" w:rsidRPr="000B0464" w:rsidRDefault="001100F4" w:rsidP="00A4589E">
            <w:pPr>
              <w:jc w:val="center"/>
              <w:rPr>
                <w:rFonts w:ascii="Times New Roman" w:hAnsi="Times New Roman" w:cs="Times New Roman"/>
                <w:lang w:val="en-GB"/>
              </w:rPr>
            </w:pPr>
            <w:r w:rsidRPr="000B0464">
              <w:rPr>
                <w:rFonts w:ascii="Times New Roman" w:hAnsi="Times New Roman" w:cs="Times New Roman"/>
                <w:lang w:val="en-GB"/>
              </w:rPr>
              <w:t>C</w:t>
            </w:r>
          </w:p>
        </w:tc>
        <w:tc>
          <w:tcPr>
            <w:tcW w:w="1084" w:type="dxa"/>
            <w:shd w:val="clear" w:color="auto" w:fill="auto"/>
            <w:vAlign w:val="center"/>
          </w:tcPr>
          <w:p w14:paraId="25E72F2E" w14:textId="30345C02"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1.</w:t>
            </w:r>
            <w:r w:rsidR="001100F4" w:rsidRPr="000B0464">
              <w:rPr>
                <w:rFonts w:ascii="Times New Roman" w:hAnsi="Times New Roman" w:cs="Times New Roman"/>
                <w:lang w:val="en-GB"/>
              </w:rPr>
              <w:t>29</w:t>
            </w:r>
          </w:p>
        </w:tc>
        <w:tc>
          <w:tcPr>
            <w:tcW w:w="1615" w:type="dxa"/>
            <w:vMerge w:val="restart"/>
            <w:vAlign w:val="center"/>
          </w:tcPr>
          <w:p w14:paraId="3109C6FC" w14:textId="440458F0" w:rsidR="001100F4" w:rsidRPr="000B0464" w:rsidRDefault="009B2FB6" w:rsidP="00A4589E">
            <w:pPr>
              <w:jc w:val="center"/>
              <w:rPr>
                <w:rFonts w:ascii="Times New Roman" w:hAnsi="Times New Roman" w:cs="Times New Roman"/>
                <w:lang w:val="en-GB"/>
              </w:rPr>
            </w:pPr>
            <w:r w:rsidRPr="000B0464">
              <w:rPr>
                <w:rFonts w:ascii="Times New Roman" w:hAnsi="Times New Roman" w:cs="Times New Roman"/>
                <w:lang w:val="en-GB"/>
              </w:rPr>
              <w:t>502.</w:t>
            </w:r>
            <w:r w:rsidR="001100F4" w:rsidRPr="000B0464">
              <w:rPr>
                <w:rFonts w:ascii="Times New Roman" w:hAnsi="Times New Roman" w:cs="Times New Roman"/>
                <w:lang w:val="en-GB"/>
              </w:rPr>
              <w:t>2</w:t>
            </w:r>
          </w:p>
        </w:tc>
        <w:tc>
          <w:tcPr>
            <w:tcW w:w="1326" w:type="dxa"/>
            <w:vAlign w:val="center"/>
          </w:tcPr>
          <w:p w14:paraId="5F239221" w14:textId="59ACF77F"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352.</w:t>
            </w:r>
            <w:r w:rsidR="001100F4" w:rsidRPr="000B0464">
              <w:rPr>
                <w:rFonts w:ascii="Times New Roman" w:hAnsi="Times New Roman" w:cs="Times New Roman"/>
                <w:lang w:val="en-GB"/>
              </w:rPr>
              <w:t>6</w:t>
            </w:r>
          </w:p>
        </w:tc>
        <w:tc>
          <w:tcPr>
            <w:tcW w:w="1516" w:type="dxa"/>
            <w:vAlign w:val="center"/>
          </w:tcPr>
          <w:p w14:paraId="72A9DAFF" w14:textId="2971D1F2"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647.</w:t>
            </w:r>
            <w:r w:rsidR="001100F4" w:rsidRPr="000B0464">
              <w:rPr>
                <w:rFonts w:ascii="Times New Roman" w:hAnsi="Times New Roman" w:cs="Times New Roman"/>
                <w:lang w:val="en-GB"/>
              </w:rPr>
              <w:t>8</w:t>
            </w:r>
          </w:p>
        </w:tc>
        <w:tc>
          <w:tcPr>
            <w:tcW w:w="1275" w:type="dxa"/>
            <w:vAlign w:val="center"/>
          </w:tcPr>
          <w:p w14:paraId="79434EC3" w14:textId="2F284DB9"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295.</w:t>
            </w:r>
            <w:r w:rsidR="001100F4" w:rsidRPr="000B0464">
              <w:rPr>
                <w:rFonts w:ascii="Times New Roman" w:hAnsi="Times New Roman" w:cs="Times New Roman"/>
                <w:lang w:val="en-GB"/>
              </w:rPr>
              <w:t>2</w:t>
            </w:r>
          </w:p>
        </w:tc>
        <w:tc>
          <w:tcPr>
            <w:tcW w:w="1612" w:type="dxa"/>
            <w:shd w:val="clear" w:color="auto" w:fill="auto"/>
          </w:tcPr>
          <w:p w14:paraId="26317EDC" w14:textId="543E9AB9"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83.</w:t>
            </w:r>
            <w:r w:rsidR="001100F4" w:rsidRPr="000B0464">
              <w:rPr>
                <w:rFonts w:ascii="Times New Roman" w:hAnsi="Times New Roman" w:cs="Times New Roman"/>
                <w:lang w:val="en-GB"/>
              </w:rPr>
              <w:t>7</w:t>
            </w:r>
            <w:r w:rsidRPr="000B0464">
              <w:rPr>
                <w:rFonts w:ascii="Times New Roman" w:hAnsi="Times New Roman" w:cs="Times New Roman"/>
                <w:lang w:val="en-GB"/>
              </w:rPr>
              <w:t>0</w:t>
            </w:r>
          </w:p>
        </w:tc>
      </w:tr>
      <w:tr w:rsidR="001100F4" w:rsidRPr="000B0464" w14:paraId="78E11427" w14:textId="77777777" w:rsidTr="00B1165C">
        <w:trPr>
          <w:trHeight w:val="283"/>
          <w:jc w:val="center"/>
        </w:trPr>
        <w:tc>
          <w:tcPr>
            <w:tcW w:w="887" w:type="dxa"/>
            <w:vAlign w:val="center"/>
          </w:tcPr>
          <w:p w14:paraId="4E2782FF" w14:textId="77777777" w:rsidR="001100F4" w:rsidRPr="000B0464" w:rsidRDefault="001100F4" w:rsidP="00A4589E">
            <w:pPr>
              <w:jc w:val="center"/>
              <w:rPr>
                <w:rFonts w:ascii="Times New Roman" w:hAnsi="Times New Roman" w:cs="Times New Roman"/>
                <w:lang w:val="en-GB"/>
              </w:rPr>
            </w:pPr>
            <w:r w:rsidRPr="000B0464">
              <w:rPr>
                <w:rFonts w:ascii="Times New Roman" w:hAnsi="Times New Roman" w:cs="Times New Roman"/>
                <w:lang w:val="en-GB"/>
              </w:rPr>
              <w:t>I</w:t>
            </w:r>
          </w:p>
        </w:tc>
        <w:tc>
          <w:tcPr>
            <w:tcW w:w="1084" w:type="dxa"/>
            <w:shd w:val="clear" w:color="auto" w:fill="auto"/>
            <w:vAlign w:val="center"/>
          </w:tcPr>
          <w:p w14:paraId="5CD95CE8" w14:textId="5A5CB5F8"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1.</w:t>
            </w:r>
            <w:r w:rsidR="001100F4" w:rsidRPr="000B0464">
              <w:rPr>
                <w:rFonts w:ascii="Times New Roman" w:hAnsi="Times New Roman" w:cs="Times New Roman"/>
                <w:lang w:val="en-GB"/>
              </w:rPr>
              <w:t>97</w:t>
            </w:r>
          </w:p>
        </w:tc>
        <w:tc>
          <w:tcPr>
            <w:tcW w:w="1615" w:type="dxa"/>
            <w:vMerge/>
            <w:vAlign w:val="center"/>
          </w:tcPr>
          <w:p w14:paraId="19CE1C2E" w14:textId="77777777" w:rsidR="001100F4" w:rsidRPr="000B0464" w:rsidRDefault="001100F4" w:rsidP="00A4589E">
            <w:pPr>
              <w:jc w:val="center"/>
              <w:rPr>
                <w:rFonts w:ascii="Times New Roman" w:hAnsi="Times New Roman" w:cs="Times New Roman"/>
                <w:lang w:val="en-GB"/>
              </w:rPr>
            </w:pPr>
          </w:p>
        </w:tc>
        <w:tc>
          <w:tcPr>
            <w:tcW w:w="1326" w:type="dxa"/>
            <w:vAlign w:val="center"/>
          </w:tcPr>
          <w:p w14:paraId="131BD9C5" w14:textId="46F771C9"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357.</w:t>
            </w:r>
            <w:r w:rsidR="001100F4" w:rsidRPr="000B0464">
              <w:rPr>
                <w:rFonts w:ascii="Times New Roman" w:hAnsi="Times New Roman" w:cs="Times New Roman"/>
                <w:lang w:val="en-GB"/>
              </w:rPr>
              <w:t>5</w:t>
            </w:r>
          </w:p>
        </w:tc>
        <w:tc>
          <w:tcPr>
            <w:tcW w:w="1516" w:type="dxa"/>
            <w:vAlign w:val="center"/>
          </w:tcPr>
          <w:p w14:paraId="2E7E11DD" w14:textId="05BA188C"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989.</w:t>
            </w:r>
            <w:r w:rsidR="001100F4" w:rsidRPr="000B0464">
              <w:rPr>
                <w:rFonts w:ascii="Times New Roman" w:hAnsi="Times New Roman" w:cs="Times New Roman"/>
                <w:lang w:val="en-GB"/>
              </w:rPr>
              <w:t>3</w:t>
            </w:r>
          </w:p>
        </w:tc>
        <w:tc>
          <w:tcPr>
            <w:tcW w:w="1275" w:type="dxa"/>
            <w:vAlign w:val="center"/>
          </w:tcPr>
          <w:p w14:paraId="35802713" w14:textId="195337E1"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631.</w:t>
            </w:r>
            <w:r w:rsidR="001100F4" w:rsidRPr="000B0464">
              <w:rPr>
                <w:rFonts w:ascii="Times New Roman" w:hAnsi="Times New Roman" w:cs="Times New Roman"/>
                <w:lang w:val="en-GB"/>
              </w:rPr>
              <w:t>8</w:t>
            </w:r>
          </w:p>
        </w:tc>
        <w:tc>
          <w:tcPr>
            <w:tcW w:w="1612" w:type="dxa"/>
            <w:shd w:val="clear" w:color="auto" w:fill="auto"/>
          </w:tcPr>
          <w:p w14:paraId="1067CAF0" w14:textId="0249CD47"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176.</w:t>
            </w:r>
            <w:r w:rsidR="001100F4" w:rsidRPr="000B0464">
              <w:rPr>
                <w:rFonts w:ascii="Times New Roman" w:hAnsi="Times New Roman" w:cs="Times New Roman"/>
                <w:lang w:val="en-GB"/>
              </w:rPr>
              <w:t>7</w:t>
            </w:r>
          </w:p>
        </w:tc>
      </w:tr>
      <w:tr w:rsidR="001100F4" w:rsidRPr="000B0464" w14:paraId="200D321B" w14:textId="77777777" w:rsidTr="00B1165C">
        <w:trPr>
          <w:trHeight w:val="283"/>
          <w:jc w:val="center"/>
        </w:trPr>
        <w:tc>
          <w:tcPr>
            <w:tcW w:w="887" w:type="dxa"/>
            <w:vAlign w:val="center"/>
          </w:tcPr>
          <w:p w14:paraId="6DCF1A7F" w14:textId="77777777" w:rsidR="001100F4" w:rsidRPr="000B0464" w:rsidRDefault="001100F4" w:rsidP="00A4589E">
            <w:pPr>
              <w:jc w:val="center"/>
              <w:rPr>
                <w:rFonts w:ascii="Times New Roman" w:hAnsi="Times New Roman" w:cs="Times New Roman"/>
                <w:lang w:val="en-GB"/>
              </w:rPr>
            </w:pPr>
            <w:r w:rsidRPr="000B0464">
              <w:rPr>
                <w:rFonts w:ascii="Times New Roman" w:hAnsi="Times New Roman" w:cs="Times New Roman"/>
                <w:lang w:val="en-GB"/>
              </w:rPr>
              <w:t>F</w:t>
            </w:r>
          </w:p>
        </w:tc>
        <w:tc>
          <w:tcPr>
            <w:tcW w:w="1084" w:type="dxa"/>
            <w:shd w:val="clear" w:color="auto" w:fill="auto"/>
            <w:vAlign w:val="center"/>
          </w:tcPr>
          <w:p w14:paraId="3D385D6B" w14:textId="06C00C1F"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1.</w:t>
            </w:r>
            <w:r w:rsidR="001100F4" w:rsidRPr="000B0464">
              <w:rPr>
                <w:rFonts w:ascii="Times New Roman" w:hAnsi="Times New Roman" w:cs="Times New Roman"/>
                <w:lang w:val="en-GB"/>
              </w:rPr>
              <w:t>58</w:t>
            </w:r>
          </w:p>
        </w:tc>
        <w:tc>
          <w:tcPr>
            <w:tcW w:w="1615" w:type="dxa"/>
            <w:vMerge/>
            <w:vAlign w:val="center"/>
          </w:tcPr>
          <w:p w14:paraId="36649F46" w14:textId="77777777" w:rsidR="001100F4" w:rsidRPr="000B0464" w:rsidRDefault="001100F4" w:rsidP="00A4589E">
            <w:pPr>
              <w:jc w:val="center"/>
              <w:rPr>
                <w:rFonts w:ascii="Times New Roman" w:hAnsi="Times New Roman" w:cs="Times New Roman"/>
                <w:lang w:val="en-GB"/>
              </w:rPr>
            </w:pPr>
          </w:p>
        </w:tc>
        <w:tc>
          <w:tcPr>
            <w:tcW w:w="1326" w:type="dxa"/>
            <w:vAlign w:val="center"/>
          </w:tcPr>
          <w:p w14:paraId="4D3F0C42" w14:textId="49BD9AB2"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357.</w:t>
            </w:r>
            <w:r w:rsidR="001100F4" w:rsidRPr="000B0464">
              <w:rPr>
                <w:rFonts w:ascii="Times New Roman" w:hAnsi="Times New Roman" w:cs="Times New Roman"/>
                <w:lang w:val="en-GB"/>
              </w:rPr>
              <w:t>5</w:t>
            </w:r>
          </w:p>
        </w:tc>
        <w:tc>
          <w:tcPr>
            <w:tcW w:w="1516" w:type="dxa"/>
            <w:vAlign w:val="center"/>
          </w:tcPr>
          <w:p w14:paraId="06C612ED" w14:textId="72E1E90D"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793.</w:t>
            </w:r>
            <w:r w:rsidR="001100F4" w:rsidRPr="000B0464">
              <w:rPr>
                <w:rFonts w:ascii="Times New Roman" w:hAnsi="Times New Roman" w:cs="Times New Roman"/>
                <w:lang w:val="en-GB"/>
              </w:rPr>
              <w:t>4</w:t>
            </w:r>
          </w:p>
        </w:tc>
        <w:tc>
          <w:tcPr>
            <w:tcW w:w="1275" w:type="dxa"/>
            <w:vAlign w:val="center"/>
          </w:tcPr>
          <w:p w14:paraId="77D0C47E" w14:textId="6D528BE8"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435.</w:t>
            </w:r>
            <w:r w:rsidR="001100F4" w:rsidRPr="000B0464">
              <w:rPr>
                <w:rFonts w:ascii="Times New Roman" w:hAnsi="Times New Roman" w:cs="Times New Roman"/>
                <w:lang w:val="en-GB"/>
              </w:rPr>
              <w:t>9</w:t>
            </w:r>
          </w:p>
        </w:tc>
        <w:tc>
          <w:tcPr>
            <w:tcW w:w="1612" w:type="dxa"/>
            <w:shd w:val="clear" w:color="auto" w:fill="auto"/>
          </w:tcPr>
          <w:p w14:paraId="1F0F1108" w14:textId="6166DCB7"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121.</w:t>
            </w:r>
            <w:r w:rsidR="001100F4" w:rsidRPr="000B0464">
              <w:rPr>
                <w:rFonts w:ascii="Times New Roman" w:hAnsi="Times New Roman" w:cs="Times New Roman"/>
                <w:lang w:val="en-GB"/>
              </w:rPr>
              <w:t>9</w:t>
            </w:r>
          </w:p>
        </w:tc>
      </w:tr>
      <w:tr w:rsidR="001100F4" w:rsidRPr="000B0464" w14:paraId="3E78AE2B" w14:textId="77777777" w:rsidTr="00B1165C">
        <w:trPr>
          <w:trHeight w:val="283"/>
          <w:jc w:val="center"/>
        </w:trPr>
        <w:tc>
          <w:tcPr>
            <w:tcW w:w="887" w:type="dxa"/>
            <w:vAlign w:val="center"/>
          </w:tcPr>
          <w:p w14:paraId="3547F340" w14:textId="77777777" w:rsidR="001100F4" w:rsidRPr="000B0464" w:rsidRDefault="001100F4" w:rsidP="00A4589E">
            <w:pPr>
              <w:jc w:val="center"/>
              <w:rPr>
                <w:rFonts w:ascii="Times New Roman" w:hAnsi="Times New Roman" w:cs="Times New Roman"/>
                <w:lang w:val="en-GB"/>
              </w:rPr>
            </w:pPr>
            <w:r w:rsidRPr="000B0464">
              <w:rPr>
                <w:rFonts w:ascii="Times New Roman" w:hAnsi="Times New Roman" w:cs="Times New Roman"/>
                <w:lang w:val="en-GB"/>
              </w:rPr>
              <w:t>I + F</w:t>
            </w:r>
          </w:p>
        </w:tc>
        <w:tc>
          <w:tcPr>
            <w:tcW w:w="1084" w:type="dxa"/>
            <w:shd w:val="clear" w:color="auto" w:fill="auto"/>
            <w:vAlign w:val="center"/>
          </w:tcPr>
          <w:p w14:paraId="244BB5FE" w14:textId="46D6DB6A"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1.</w:t>
            </w:r>
            <w:r w:rsidR="001100F4" w:rsidRPr="000B0464">
              <w:rPr>
                <w:rFonts w:ascii="Times New Roman" w:hAnsi="Times New Roman" w:cs="Times New Roman"/>
                <w:lang w:val="en-GB"/>
              </w:rPr>
              <w:t>99</w:t>
            </w:r>
          </w:p>
        </w:tc>
        <w:tc>
          <w:tcPr>
            <w:tcW w:w="1615" w:type="dxa"/>
            <w:vMerge/>
            <w:vAlign w:val="center"/>
          </w:tcPr>
          <w:p w14:paraId="07919FA7" w14:textId="77777777" w:rsidR="001100F4" w:rsidRPr="000B0464" w:rsidRDefault="001100F4" w:rsidP="00A4589E">
            <w:pPr>
              <w:jc w:val="center"/>
              <w:rPr>
                <w:rFonts w:ascii="Times New Roman" w:hAnsi="Times New Roman" w:cs="Times New Roman"/>
                <w:lang w:val="en-GB"/>
              </w:rPr>
            </w:pPr>
          </w:p>
        </w:tc>
        <w:tc>
          <w:tcPr>
            <w:tcW w:w="1326" w:type="dxa"/>
            <w:vAlign w:val="center"/>
          </w:tcPr>
          <w:p w14:paraId="78A67CFE" w14:textId="4A13E281"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362.</w:t>
            </w:r>
            <w:r w:rsidR="001100F4" w:rsidRPr="000B0464">
              <w:rPr>
                <w:rFonts w:ascii="Times New Roman" w:hAnsi="Times New Roman" w:cs="Times New Roman"/>
                <w:lang w:val="en-GB"/>
              </w:rPr>
              <w:t>5</w:t>
            </w:r>
          </w:p>
        </w:tc>
        <w:tc>
          <w:tcPr>
            <w:tcW w:w="1516" w:type="dxa"/>
            <w:vAlign w:val="center"/>
          </w:tcPr>
          <w:p w14:paraId="26160660" w14:textId="144C4930"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999.</w:t>
            </w:r>
            <w:r w:rsidR="001100F4" w:rsidRPr="000B0464">
              <w:rPr>
                <w:rFonts w:ascii="Times New Roman" w:hAnsi="Times New Roman" w:cs="Times New Roman"/>
                <w:lang w:val="en-GB"/>
              </w:rPr>
              <w:t>4</w:t>
            </w:r>
          </w:p>
        </w:tc>
        <w:tc>
          <w:tcPr>
            <w:tcW w:w="1275" w:type="dxa"/>
            <w:vAlign w:val="center"/>
          </w:tcPr>
          <w:p w14:paraId="35FF4C25" w14:textId="29241668"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636.</w:t>
            </w:r>
            <w:r w:rsidR="001100F4" w:rsidRPr="000B0464">
              <w:rPr>
                <w:rFonts w:ascii="Times New Roman" w:hAnsi="Times New Roman" w:cs="Times New Roman"/>
                <w:lang w:val="en-GB"/>
              </w:rPr>
              <w:t>9</w:t>
            </w:r>
          </w:p>
        </w:tc>
        <w:tc>
          <w:tcPr>
            <w:tcW w:w="1612" w:type="dxa"/>
            <w:shd w:val="clear" w:color="auto" w:fill="auto"/>
          </w:tcPr>
          <w:p w14:paraId="1E18F4EB" w14:textId="7E0656D8" w:rsidR="001100F4" w:rsidRPr="000B0464" w:rsidRDefault="00626E53" w:rsidP="00A4589E">
            <w:pPr>
              <w:jc w:val="center"/>
              <w:rPr>
                <w:rFonts w:ascii="Times New Roman" w:hAnsi="Times New Roman" w:cs="Times New Roman"/>
                <w:lang w:val="en-GB"/>
              </w:rPr>
            </w:pPr>
            <w:r w:rsidRPr="000B0464">
              <w:rPr>
                <w:rFonts w:ascii="Times New Roman" w:hAnsi="Times New Roman" w:cs="Times New Roman"/>
                <w:lang w:val="en-GB"/>
              </w:rPr>
              <w:t>175.</w:t>
            </w:r>
            <w:r w:rsidR="001100F4" w:rsidRPr="000B0464">
              <w:rPr>
                <w:rFonts w:ascii="Times New Roman" w:hAnsi="Times New Roman" w:cs="Times New Roman"/>
                <w:lang w:val="en-GB"/>
              </w:rPr>
              <w:t>7</w:t>
            </w:r>
          </w:p>
        </w:tc>
      </w:tr>
    </w:tbl>
    <w:p w14:paraId="36BE7672" w14:textId="34B6D315" w:rsidR="001100F4" w:rsidRPr="000B0464" w:rsidRDefault="001100F4" w:rsidP="00E0145A">
      <w:pPr>
        <w:pStyle w:val="Akapitzlist"/>
        <w:spacing w:before="60" w:after="0" w:line="240" w:lineRule="auto"/>
        <w:ind w:left="0"/>
        <w:jc w:val="both"/>
        <w:rPr>
          <w:rFonts w:ascii="Times New Roman" w:hAnsi="Times New Roman" w:cs="Times New Roman"/>
          <w:sz w:val="20"/>
          <w:szCs w:val="20"/>
          <w:lang w:val="en-GB"/>
        </w:rPr>
      </w:pPr>
      <w:r w:rsidRPr="000B0464">
        <w:rPr>
          <w:rFonts w:ascii="Times New Roman" w:hAnsi="Times New Roman" w:cs="Times New Roman"/>
          <w:sz w:val="20"/>
          <w:szCs w:val="20"/>
          <w:lang w:val="en-GB"/>
        </w:rPr>
        <w:t xml:space="preserve">€* </w:t>
      </w:r>
      <w:r w:rsidR="00295731" w:rsidRPr="000B0464">
        <w:rPr>
          <w:rFonts w:ascii="Times New Roman" w:hAnsi="Times New Roman" w:cs="Times New Roman"/>
          <w:sz w:val="20"/>
          <w:szCs w:val="20"/>
          <w:lang w:val="en-GB"/>
        </w:rPr>
        <w:t>–</w:t>
      </w:r>
      <w:r w:rsidRPr="000B0464">
        <w:rPr>
          <w:rFonts w:ascii="Times New Roman" w:hAnsi="Times New Roman" w:cs="Times New Roman"/>
          <w:sz w:val="20"/>
          <w:szCs w:val="20"/>
          <w:lang w:val="en-GB"/>
        </w:rPr>
        <w:t xml:space="preserve"> euro exchange rate as of 01.04.2025 – 44.8 UAH per 1 euro</w:t>
      </w:r>
    </w:p>
    <w:p w14:paraId="43D2D08D" w14:textId="77777777" w:rsidR="001100F4" w:rsidRPr="000B0464" w:rsidRDefault="001100F4" w:rsidP="006C4F5E">
      <w:pPr>
        <w:pStyle w:val="Akapitzlist"/>
        <w:spacing w:after="0" w:line="240" w:lineRule="auto"/>
        <w:ind w:left="1068"/>
        <w:jc w:val="both"/>
        <w:rPr>
          <w:rFonts w:ascii="Times New Roman" w:hAnsi="Times New Roman" w:cs="Times New Roman"/>
          <w:lang w:val="en-GB"/>
        </w:rPr>
      </w:pPr>
    </w:p>
    <w:p w14:paraId="09978299" w14:textId="3BB76FA2" w:rsidR="001100F4" w:rsidRPr="000B0464" w:rsidRDefault="001100F4" w:rsidP="006C4F5E">
      <w:pPr>
        <w:pStyle w:val="Akapitzlist"/>
        <w:spacing w:after="0" w:line="240" w:lineRule="auto"/>
        <w:ind w:left="0" w:firstLine="284"/>
        <w:jc w:val="both"/>
        <w:rPr>
          <w:rFonts w:ascii="Times New Roman" w:hAnsi="Times New Roman" w:cs="Times New Roman"/>
          <w:lang w:val="en-GB"/>
        </w:rPr>
      </w:pPr>
      <w:r w:rsidRPr="000B0464">
        <w:rPr>
          <w:rFonts w:ascii="Times New Roman" w:hAnsi="Times New Roman" w:cs="Times New Roman"/>
          <w:lang w:val="en-GB"/>
        </w:rPr>
        <w:t>The obtained results allow for a deeper understanding of the impact of the studied factors on the productivity of the Yaroslavna buckwheat variety and open up prospects for their further practical application. Statistically significant differences between the variants indicate that both individual application</w:t>
      </w:r>
      <w:r w:rsidR="00B54735">
        <w:rPr>
          <w:rFonts w:ascii="Times New Roman" w:hAnsi="Times New Roman" w:cs="Times New Roman"/>
          <w:lang w:val="en-GB"/>
        </w:rPr>
        <w:t>s</w:t>
      </w:r>
      <w:r w:rsidRPr="000B0464">
        <w:rPr>
          <w:rFonts w:ascii="Times New Roman" w:hAnsi="Times New Roman" w:cs="Times New Roman"/>
          <w:lang w:val="en-GB"/>
        </w:rPr>
        <w:t xml:space="preserve"> of biofertilizers and their combination contribute to increased yields. The synergistic effect of variant I + F is particularly noticeable, as evidenced by the highest average values in terms of the number of grains per plant, grain mass per plant, and the weight of </w:t>
      </w:r>
      <w:r w:rsidR="00295731" w:rsidRPr="000B0464">
        <w:rPr>
          <w:rFonts w:ascii="Times New Roman" w:hAnsi="Times New Roman" w:cs="Times New Roman"/>
          <w:lang w:val="en-GB"/>
        </w:rPr>
        <w:t>1</w:t>
      </w:r>
      <w:r w:rsidRPr="000B0464">
        <w:rPr>
          <w:rFonts w:ascii="Times New Roman" w:hAnsi="Times New Roman" w:cs="Times New Roman"/>
          <w:lang w:val="en-GB"/>
        </w:rPr>
        <w:t>000 grains. At the same time, this variant demonstrates the lowest intra-group variability, indicating the stability of the obtained results.</w:t>
      </w:r>
    </w:p>
    <w:p w14:paraId="1479E51A" w14:textId="57602633" w:rsidR="001100F4" w:rsidRPr="000B0464" w:rsidRDefault="001100F4" w:rsidP="00BC6039">
      <w:pPr>
        <w:pStyle w:val="Akapitzlist"/>
        <w:spacing w:after="0" w:line="240" w:lineRule="auto"/>
        <w:ind w:left="0" w:firstLine="284"/>
        <w:jc w:val="both"/>
        <w:rPr>
          <w:rFonts w:ascii="Times New Roman" w:hAnsi="Times New Roman" w:cs="Times New Roman"/>
          <w:lang w:val="en-GB"/>
        </w:rPr>
      </w:pPr>
      <w:r w:rsidRPr="000B0464">
        <w:rPr>
          <w:rFonts w:ascii="Times New Roman" w:hAnsi="Times New Roman" w:cs="Times New Roman"/>
          <w:lang w:val="en-GB"/>
        </w:rPr>
        <w:t xml:space="preserve">Comparative analysis showed that inoculation (I) has a more pronounced positive impact on crop productivity than foliar biofertilizer application. </w:t>
      </w:r>
      <w:r w:rsidR="00B54735">
        <w:rPr>
          <w:rFonts w:ascii="Times New Roman" w:hAnsi="Times New Roman" w:cs="Times New Roman"/>
          <w:lang w:val="en-GB"/>
        </w:rPr>
        <w:t>Both yield structure indicators and economic efficiency confirm this</w:t>
      </w:r>
      <w:r w:rsidRPr="000B0464">
        <w:rPr>
          <w:rFonts w:ascii="Times New Roman" w:hAnsi="Times New Roman" w:cs="Times New Roman"/>
          <w:lang w:val="en-GB"/>
        </w:rPr>
        <w:t xml:space="preserve">. In particular, variant I ensures a significant increase in yield compared to the control, which is also reflected in economic indicators – the highest profitability level (176.7%). Meanwhile, </w:t>
      </w:r>
      <w:r w:rsidR="00B54735">
        <w:rPr>
          <w:rFonts w:ascii="Times New Roman" w:hAnsi="Times New Roman" w:cs="Times New Roman"/>
          <w:lang w:val="en-GB"/>
        </w:rPr>
        <w:t>although variant F has</w:t>
      </w:r>
      <w:r w:rsidRPr="000B0464">
        <w:rPr>
          <w:rFonts w:ascii="Times New Roman" w:hAnsi="Times New Roman" w:cs="Times New Roman"/>
          <w:lang w:val="en-GB"/>
        </w:rPr>
        <w:t xml:space="preserve"> a positive effect, </w:t>
      </w:r>
      <w:r w:rsidR="00B54735">
        <w:rPr>
          <w:rFonts w:ascii="Times New Roman" w:hAnsi="Times New Roman" w:cs="Times New Roman"/>
          <w:lang w:val="en-GB"/>
        </w:rPr>
        <w:t xml:space="preserve">it </w:t>
      </w:r>
      <w:r w:rsidRPr="000B0464">
        <w:rPr>
          <w:rFonts w:ascii="Times New Roman" w:hAnsi="Times New Roman" w:cs="Times New Roman"/>
          <w:lang w:val="en-GB"/>
        </w:rPr>
        <w:t>shows somewhat lower yield and economic benefits.</w:t>
      </w:r>
    </w:p>
    <w:p w14:paraId="2356CECB" w14:textId="6F19C94E" w:rsidR="001100F4" w:rsidRPr="000B0464" w:rsidRDefault="001100F4" w:rsidP="00BC6039">
      <w:pPr>
        <w:pStyle w:val="Akapitzlist"/>
        <w:spacing w:after="0" w:line="240" w:lineRule="auto"/>
        <w:ind w:left="0" w:firstLine="284"/>
        <w:jc w:val="both"/>
        <w:rPr>
          <w:rFonts w:ascii="Times New Roman" w:hAnsi="Times New Roman" w:cs="Times New Roman"/>
          <w:lang w:val="en-GB"/>
        </w:rPr>
      </w:pPr>
      <w:r w:rsidRPr="000B0464">
        <w:rPr>
          <w:rFonts w:ascii="Times New Roman" w:hAnsi="Times New Roman" w:cs="Times New Roman"/>
          <w:lang w:val="en-GB"/>
        </w:rPr>
        <w:t>The combination of methods (I</w:t>
      </w:r>
      <w:r w:rsidR="008C63DD">
        <w:rPr>
          <w:rFonts w:ascii="Times New Roman" w:hAnsi="Times New Roman" w:cs="Times New Roman"/>
          <w:lang w:val="en-GB"/>
        </w:rPr>
        <w:t xml:space="preserve"> </w:t>
      </w:r>
      <w:r w:rsidRPr="000B0464">
        <w:rPr>
          <w:rFonts w:ascii="Times New Roman" w:hAnsi="Times New Roman" w:cs="Times New Roman"/>
          <w:lang w:val="en-GB"/>
        </w:rPr>
        <w:t>+</w:t>
      </w:r>
      <w:r w:rsidR="008C63DD">
        <w:rPr>
          <w:rFonts w:ascii="Times New Roman" w:hAnsi="Times New Roman" w:cs="Times New Roman"/>
          <w:lang w:val="en-GB"/>
        </w:rPr>
        <w:t xml:space="preserve"> </w:t>
      </w:r>
      <w:r w:rsidRPr="000B0464">
        <w:rPr>
          <w:rFonts w:ascii="Times New Roman" w:hAnsi="Times New Roman" w:cs="Times New Roman"/>
          <w:lang w:val="en-GB"/>
        </w:rPr>
        <w:t xml:space="preserve">F) allows for the highest yield (1.99 t/ha), indicating a complementary effect of the factors. However, from an economic perspective, </w:t>
      </w:r>
      <w:r w:rsidR="00B54735">
        <w:rPr>
          <w:rFonts w:ascii="Times New Roman" w:hAnsi="Times New Roman" w:cs="Times New Roman"/>
          <w:lang w:val="en-GB"/>
        </w:rPr>
        <w:t xml:space="preserve">the </w:t>
      </w:r>
      <w:r w:rsidRPr="000B0464">
        <w:rPr>
          <w:rFonts w:ascii="Times New Roman" w:hAnsi="Times New Roman" w:cs="Times New Roman"/>
          <w:lang w:val="en-GB"/>
        </w:rPr>
        <w:t xml:space="preserve">variant I proved to be slightly more advantageous due to the cost-to-profit ratio. This leads to the conclusion that </w:t>
      </w:r>
      <w:r w:rsidR="00B54735">
        <w:rPr>
          <w:rFonts w:ascii="Times New Roman" w:hAnsi="Times New Roman" w:cs="Times New Roman"/>
          <w:lang w:val="en-GB"/>
        </w:rPr>
        <w:t>choosing</w:t>
      </w:r>
      <w:r w:rsidRPr="000B0464">
        <w:rPr>
          <w:rFonts w:ascii="Times New Roman" w:hAnsi="Times New Roman" w:cs="Times New Roman"/>
          <w:lang w:val="en-GB"/>
        </w:rPr>
        <w:t xml:space="preserve"> a specific biofertilizer treatment method depends on the producer's priorities – maximizing yield or achieving the highest profitability.</w:t>
      </w:r>
    </w:p>
    <w:p w14:paraId="54480C00" w14:textId="14F49B18" w:rsidR="001100F4" w:rsidRPr="000B0464" w:rsidRDefault="001100F4" w:rsidP="00BC6039">
      <w:pPr>
        <w:pStyle w:val="Akapitzlist"/>
        <w:spacing w:after="0" w:line="240" w:lineRule="auto"/>
        <w:ind w:left="0" w:firstLine="284"/>
        <w:jc w:val="both"/>
        <w:rPr>
          <w:rFonts w:ascii="Times New Roman" w:hAnsi="Times New Roman" w:cs="Times New Roman"/>
          <w:lang w:val="en-GB"/>
        </w:rPr>
      </w:pPr>
      <w:r w:rsidRPr="000B0464">
        <w:rPr>
          <w:rFonts w:ascii="Times New Roman" w:hAnsi="Times New Roman" w:cs="Times New Roman"/>
          <w:lang w:val="en-GB"/>
        </w:rPr>
        <w:t>Similar studies have been con</w:t>
      </w:r>
      <w:r w:rsidR="00877E1B" w:rsidRPr="000B0464">
        <w:rPr>
          <w:rFonts w:ascii="Times New Roman" w:hAnsi="Times New Roman" w:cs="Times New Roman"/>
          <w:lang w:val="en-GB"/>
        </w:rPr>
        <w:t>ducted (</w:t>
      </w:r>
      <w:proofErr w:type="spellStart"/>
      <w:r w:rsidR="00877E1B" w:rsidRPr="000B0464">
        <w:rPr>
          <w:rFonts w:ascii="Times New Roman" w:hAnsi="Times New Roman" w:cs="Times New Roman"/>
          <w:lang w:val="en-GB"/>
        </w:rPr>
        <w:t>Mashchenko</w:t>
      </w:r>
      <w:proofErr w:type="spellEnd"/>
      <w:r w:rsidR="00877E1B" w:rsidRPr="000B0464">
        <w:rPr>
          <w:rFonts w:ascii="Times New Roman" w:hAnsi="Times New Roman" w:cs="Times New Roman"/>
          <w:lang w:val="en-GB"/>
        </w:rPr>
        <w:t xml:space="preserve"> &amp; </w:t>
      </w:r>
      <w:proofErr w:type="spellStart"/>
      <w:r w:rsidR="00877E1B" w:rsidRPr="000B0464">
        <w:rPr>
          <w:rFonts w:ascii="Times New Roman" w:hAnsi="Times New Roman" w:cs="Times New Roman"/>
          <w:lang w:val="en-GB"/>
        </w:rPr>
        <w:t>Sokolovska</w:t>
      </w:r>
      <w:proofErr w:type="spellEnd"/>
      <w:r w:rsidRPr="000B0464">
        <w:rPr>
          <w:rFonts w:ascii="Times New Roman" w:hAnsi="Times New Roman" w:cs="Times New Roman"/>
          <w:lang w:val="en-GB"/>
        </w:rPr>
        <w:t xml:space="preserve"> 2023) but using mineral fertilizers. In particular, the highest yield was obtained under the organo-mineral system, whereas the use of a bio</w:t>
      </w:r>
      <w:r w:rsidR="00EB56DC" w:rsidRPr="000B0464">
        <w:rPr>
          <w:rFonts w:ascii="Times New Roman" w:hAnsi="Times New Roman" w:cs="Times New Roman"/>
          <w:lang w:val="en-GB"/>
        </w:rPr>
        <w:t>fertilizers</w:t>
      </w:r>
      <w:r w:rsidRPr="000B0464">
        <w:rPr>
          <w:rFonts w:ascii="Times New Roman" w:hAnsi="Times New Roman" w:cs="Times New Roman"/>
          <w:lang w:val="en-GB"/>
        </w:rPr>
        <w:t xml:space="preserve"> without fertilizers resulted in an increase of 0.19 t/ha (+17.7%). The study by Dutchak (2024) confirmed the feasibility of growing buckwheat in organic farming, which helps reduce anthropogenic pressure, preserve, and enhance soil fertility. </w:t>
      </w:r>
      <w:r w:rsidR="00B54735">
        <w:rPr>
          <w:rFonts w:ascii="Times New Roman" w:hAnsi="Times New Roman" w:cs="Times New Roman"/>
          <w:lang w:val="en-GB"/>
        </w:rPr>
        <w:t>Using</w:t>
      </w:r>
      <w:r w:rsidRPr="000B0464">
        <w:rPr>
          <w:rFonts w:ascii="Times New Roman" w:hAnsi="Times New Roman" w:cs="Times New Roman"/>
          <w:lang w:val="en-GB"/>
        </w:rPr>
        <w:t xml:space="preserve"> the organic fertilizer-</w:t>
      </w:r>
      <w:proofErr w:type="spellStart"/>
      <w:r w:rsidRPr="000B0464">
        <w:rPr>
          <w:rFonts w:ascii="Times New Roman" w:hAnsi="Times New Roman" w:cs="Times New Roman"/>
          <w:lang w:val="en-GB"/>
        </w:rPr>
        <w:t>biostimulant</w:t>
      </w:r>
      <w:proofErr w:type="spellEnd"/>
      <w:r w:rsidRPr="000B0464">
        <w:rPr>
          <w:rFonts w:ascii="Times New Roman" w:hAnsi="Times New Roman" w:cs="Times New Roman"/>
          <w:lang w:val="en-GB"/>
        </w:rPr>
        <w:t xml:space="preserve"> </w:t>
      </w:r>
      <w:proofErr w:type="spellStart"/>
      <w:r w:rsidRPr="000B0464">
        <w:rPr>
          <w:rFonts w:ascii="Times New Roman" w:hAnsi="Times New Roman" w:cs="Times New Roman"/>
          <w:lang w:val="en-GB"/>
        </w:rPr>
        <w:t>Vermimag</w:t>
      </w:r>
      <w:proofErr w:type="spellEnd"/>
      <w:r w:rsidRPr="000B0464">
        <w:rPr>
          <w:rFonts w:ascii="Times New Roman" w:hAnsi="Times New Roman" w:cs="Times New Roman"/>
          <w:lang w:val="en-GB"/>
        </w:rPr>
        <w:t xml:space="preserve"> for seed treatment and foliar feeding reduces weed infestation, increases yield, and improves the economic efficiency of organic buckwheat cultivation.</w:t>
      </w:r>
    </w:p>
    <w:p w14:paraId="6E37A9F4" w14:textId="5B8FA59F" w:rsidR="007D55C9" w:rsidRDefault="001100F4" w:rsidP="0072605E">
      <w:pPr>
        <w:shd w:val="clear" w:color="auto" w:fill="FFFFFF"/>
        <w:spacing w:after="0" w:line="240" w:lineRule="auto"/>
        <w:ind w:firstLine="284"/>
        <w:jc w:val="both"/>
        <w:rPr>
          <w:rFonts w:ascii="Times New Roman" w:eastAsia="Times New Roman" w:hAnsi="Times New Roman" w:cs="Times New Roman"/>
          <w:lang w:val="en-GB"/>
        </w:rPr>
      </w:pPr>
      <w:r w:rsidRPr="000B0464">
        <w:rPr>
          <w:rFonts w:ascii="Times New Roman" w:hAnsi="Times New Roman" w:cs="Times New Roman"/>
          <w:lang w:val="en-GB"/>
        </w:rPr>
        <w:t xml:space="preserve">Research by Raghavendra et al. (2015) showed that </w:t>
      </w:r>
      <w:r w:rsidR="00B54735">
        <w:rPr>
          <w:rFonts w:ascii="Times New Roman" w:hAnsi="Times New Roman" w:cs="Times New Roman"/>
          <w:lang w:val="en-GB"/>
        </w:rPr>
        <w:t>applying</w:t>
      </w:r>
      <w:r w:rsidRPr="000B0464">
        <w:rPr>
          <w:rFonts w:ascii="Times New Roman" w:hAnsi="Times New Roman" w:cs="Times New Roman"/>
          <w:lang w:val="en-GB"/>
        </w:rPr>
        <w:t xml:space="preserve"> microbial inoculants significantly improves buckwheat growth, yield, and quality, as well as the biological properties of the soil. </w:t>
      </w:r>
      <w:r w:rsidR="00B54735">
        <w:rPr>
          <w:rFonts w:ascii="Times New Roman" w:hAnsi="Times New Roman" w:cs="Times New Roman"/>
          <w:lang w:val="en-GB"/>
        </w:rPr>
        <w:t xml:space="preserve">Combining inoculation with Azotobacter spp. and </w:t>
      </w:r>
      <w:proofErr w:type="spellStart"/>
      <w:r w:rsidR="00B54735">
        <w:rPr>
          <w:rFonts w:ascii="Times New Roman" w:hAnsi="Times New Roman" w:cs="Times New Roman"/>
          <w:lang w:val="en-GB"/>
        </w:rPr>
        <w:t>Azospirillum</w:t>
      </w:r>
      <w:proofErr w:type="spellEnd"/>
      <w:r w:rsidR="00B54735">
        <w:rPr>
          <w:rFonts w:ascii="Times New Roman" w:hAnsi="Times New Roman" w:cs="Times New Roman"/>
          <w:lang w:val="en-GB"/>
        </w:rPr>
        <w:t xml:space="preserve"> spp. was the most effective, ensuring</w:t>
      </w:r>
      <w:r w:rsidRPr="000B0464">
        <w:rPr>
          <w:rFonts w:ascii="Times New Roman" w:hAnsi="Times New Roman" w:cs="Times New Roman"/>
          <w:lang w:val="en-GB"/>
        </w:rPr>
        <w:t xml:space="preserve"> maximum plant growth, yield, and microbial soil activity. Studies by But</w:t>
      </w:r>
      <w:r w:rsidR="00161466" w:rsidRPr="000B0464">
        <w:rPr>
          <w:rFonts w:ascii="Times New Roman" w:hAnsi="Times New Roman" w:cs="Times New Roman"/>
          <w:lang w:val="en-GB"/>
        </w:rPr>
        <w:t>enko et al. (2025) and</w:t>
      </w:r>
      <w:r w:rsidRPr="000B0464">
        <w:rPr>
          <w:rFonts w:ascii="Times New Roman" w:hAnsi="Times New Roman" w:cs="Times New Roman"/>
          <w:lang w:val="en-GB"/>
        </w:rPr>
        <w:t xml:space="preserve"> </w:t>
      </w:r>
      <w:proofErr w:type="spellStart"/>
      <w:r w:rsidRPr="000B0464">
        <w:rPr>
          <w:rFonts w:ascii="Times New Roman" w:hAnsi="Times New Roman" w:cs="Times New Roman"/>
          <w:lang w:val="en-GB"/>
        </w:rPr>
        <w:t>Mashchenko</w:t>
      </w:r>
      <w:proofErr w:type="spellEnd"/>
      <w:r w:rsidRPr="000B0464">
        <w:rPr>
          <w:rFonts w:ascii="Times New Roman" w:hAnsi="Times New Roman" w:cs="Times New Roman"/>
          <w:lang w:val="en-GB"/>
        </w:rPr>
        <w:t xml:space="preserve"> et al. (2024) confirmed that </w:t>
      </w:r>
      <w:r w:rsidR="00B54735">
        <w:rPr>
          <w:rFonts w:ascii="Times New Roman" w:hAnsi="Times New Roman" w:cs="Times New Roman"/>
          <w:lang w:val="en-GB"/>
        </w:rPr>
        <w:t>applying</w:t>
      </w:r>
      <w:r w:rsidRPr="000B0464">
        <w:rPr>
          <w:rFonts w:ascii="Times New Roman" w:hAnsi="Times New Roman" w:cs="Times New Roman"/>
          <w:lang w:val="en-GB"/>
        </w:rPr>
        <w:t xml:space="preserve"> mineral fertilizers significantly increases buckwheat yield, particularly for the </w:t>
      </w:r>
      <w:proofErr w:type="spellStart"/>
      <w:r w:rsidRPr="000B0464">
        <w:rPr>
          <w:rFonts w:ascii="Times New Roman" w:hAnsi="Times New Roman" w:cs="Times New Roman"/>
          <w:lang w:val="en-GB"/>
        </w:rPr>
        <w:t>Slobozhanka</w:t>
      </w:r>
      <w:proofErr w:type="spellEnd"/>
      <w:r w:rsidRPr="000B0464">
        <w:rPr>
          <w:rFonts w:ascii="Times New Roman" w:hAnsi="Times New Roman" w:cs="Times New Roman"/>
          <w:lang w:val="en-GB"/>
        </w:rPr>
        <w:t xml:space="preserve"> variety. However, excessive fertilizer application was not always economically viable due to increased costs. The best results were obtained with moderate fertilizer use, ensuring a balance between yield, profitability, and soil fertility conservation</w:t>
      </w:r>
      <w:r w:rsidR="0072605E" w:rsidRPr="000B0464">
        <w:rPr>
          <w:rFonts w:ascii="Times New Roman" w:eastAsia="Times New Roman" w:hAnsi="Times New Roman" w:cs="Times New Roman"/>
          <w:lang w:val="en-GB"/>
        </w:rPr>
        <w:t xml:space="preserve">. </w:t>
      </w:r>
      <w:r w:rsidR="007D55C9" w:rsidRPr="000B0464">
        <w:rPr>
          <w:rFonts w:ascii="Times New Roman" w:eastAsia="Times New Roman" w:hAnsi="Times New Roman" w:cs="Times New Roman"/>
          <w:lang w:val="en-GB"/>
        </w:rPr>
        <w:t>As could be concluded from the literatu</w:t>
      </w:r>
      <w:r w:rsidR="00B54735">
        <w:rPr>
          <w:rFonts w:ascii="Times New Roman" w:eastAsia="Times New Roman" w:hAnsi="Times New Roman" w:cs="Times New Roman"/>
          <w:lang w:val="en-GB"/>
        </w:rPr>
        <w:t>r</w:t>
      </w:r>
      <w:r w:rsidR="007D55C9" w:rsidRPr="000B0464">
        <w:rPr>
          <w:rFonts w:ascii="Times New Roman" w:eastAsia="Times New Roman" w:hAnsi="Times New Roman" w:cs="Times New Roman"/>
          <w:lang w:val="en-GB"/>
        </w:rPr>
        <w:t xml:space="preserve">e review, the exact mechanism of action of biofertilizers lies in their ability to enhance nutrient availability and stimulate plant physiological processes (Gulshan et al. 2022). These bioagents, often comprising nitrogen-fixing bacteria, phosphate-solubilizing microorganisms, and growth-promoting rhizobacteria, improve nutrient uptake by producing phytohormones (e.g., auxins, gibberellins), enhancing root development, and increasing enzymatic activity in the rhizosphere (Singh, et al. 2021). For </w:t>
      </w:r>
      <w:r w:rsidR="007D55C9" w:rsidRPr="000B0464">
        <w:rPr>
          <w:rFonts w:ascii="Times New Roman" w:eastAsia="Times New Roman" w:hAnsi="Times New Roman" w:cs="Times New Roman"/>
          <w:i/>
          <w:iCs/>
          <w:lang w:val="en-GB"/>
        </w:rPr>
        <w:t>Fagopyrum esculentum</w:t>
      </w:r>
      <w:r w:rsidR="00A43CD7" w:rsidRPr="000B0464">
        <w:rPr>
          <w:rFonts w:ascii="Times New Roman" w:eastAsia="Times New Roman" w:hAnsi="Times New Roman" w:cs="Times New Roman"/>
          <w:i/>
          <w:iCs/>
          <w:lang w:val="en-GB"/>
        </w:rPr>
        <w:t xml:space="preserve"> </w:t>
      </w:r>
      <w:r w:rsidR="00A43CD7" w:rsidRPr="000B0464">
        <w:rPr>
          <w:rFonts w:ascii="Times New Roman" w:eastAsia="Times New Roman" w:hAnsi="Times New Roman" w:cs="Times New Roman"/>
          <w:lang w:val="en-GB"/>
        </w:rPr>
        <w:t>in this research</w:t>
      </w:r>
      <w:r w:rsidR="00B54735">
        <w:rPr>
          <w:rFonts w:ascii="Times New Roman" w:eastAsia="Times New Roman" w:hAnsi="Times New Roman" w:cs="Times New Roman"/>
          <w:lang w:val="en-GB"/>
        </w:rPr>
        <w:t>, it</w:t>
      </w:r>
      <w:r w:rsidR="00A43CD7" w:rsidRPr="000B0464">
        <w:rPr>
          <w:rFonts w:ascii="Times New Roman" w:eastAsia="Times New Roman" w:hAnsi="Times New Roman" w:cs="Times New Roman"/>
          <w:lang w:val="en-GB"/>
        </w:rPr>
        <w:t xml:space="preserve"> could be concluded</w:t>
      </w:r>
      <w:r w:rsidR="007D55C9" w:rsidRPr="000B0464">
        <w:rPr>
          <w:rFonts w:ascii="Times New Roman" w:eastAsia="Times New Roman" w:hAnsi="Times New Roman" w:cs="Times New Roman"/>
          <w:lang w:val="en-GB"/>
        </w:rPr>
        <w:t xml:space="preserve"> the application of biofertilizers contributed to significant improvements in both vegeta</w:t>
      </w:r>
      <w:r w:rsidR="00BB5FE2" w:rsidRPr="000B0464">
        <w:rPr>
          <w:rFonts w:ascii="Times New Roman" w:eastAsia="Times New Roman" w:hAnsi="Times New Roman" w:cs="Times New Roman"/>
          <w:lang w:val="en-GB"/>
        </w:rPr>
        <w:t xml:space="preserve">tive and generative parameters </w:t>
      </w:r>
      <w:r w:rsidR="00BB5FE2" w:rsidRPr="000B0464">
        <w:rPr>
          <w:rFonts w:ascii="Times New Roman" w:hAnsi="Times New Roman" w:cs="Times New Roman"/>
          <w:lang w:val="en-GB"/>
        </w:rPr>
        <w:t>–</w:t>
      </w:r>
      <w:r w:rsidR="007D55C9" w:rsidRPr="000B0464">
        <w:rPr>
          <w:rFonts w:ascii="Times New Roman" w:eastAsia="Times New Roman" w:hAnsi="Times New Roman" w:cs="Times New Roman"/>
          <w:lang w:val="en-GB"/>
        </w:rPr>
        <w:t xml:space="preserve"> including increased plant height, number of nodes, grai</w:t>
      </w:r>
      <w:r w:rsidR="00BB5FE2" w:rsidRPr="000B0464">
        <w:rPr>
          <w:rFonts w:ascii="Times New Roman" w:eastAsia="Times New Roman" w:hAnsi="Times New Roman" w:cs="Times New Roman"/>
          <w:lang w:val="en-GB"/>
        </w:rPr>
        <w:t xml:space="preserve">n yield, and 1000-grain weight </w:t>
      </w:r>
      <w:r w:rsidR="00BB5FE2" w:rsidRPr="000B0464">
        <w:rPr>
          <w:rFonts w:ascii="Times New Roman" w:hAnsi="Times New Roman" w:cs="Times New Roman"/>
          <w:lang w:val="en-GB"/>
        </w:rPr>
        <w:t>–</w:t>
      </w:r>
      <w:r w:rsidR="007D55C9" w:rsidRPr="000B0464">
        <w:rPr>
          <w:rFonts w:ascii="Times New Roman" w:eastAsia="Times New Roman" w:hAnsi="Times New Roman" w:cs="Times New Roman"/>
          <w:lang w:val="en-GB"/>
        </w:rPr>
        <w:t xml:space="preserve"> suggesting that these bioformulations support overall plant </w:t>
      </w:r>
      <w:proofErr w:type="spellStart"/>
      <w:r w:rsidR="007D55C9" w:rsidRPr="000B0464">
        <w:rPr>
          <w:rFonts w:ascii="Times New Roman" w:eastAsia="Times New Roman" w:hAnsi="Times New Roman" w:cs="Times New Roman"/>
          <w:lang w:val="en-GB"/>
        </w:rPr>
        <w:t>vigor</w:t>
      </w:r>
      <w:proofErr w:type="spellEnd"/>
      <w:r w:rsidR="007D55C9" w:rsidRPr="000B0464">
        <w:rPr>
          <w:rFonts w:ascii="Times New Roman" w:eastAsia="Times New Roman" w:hAnsi="Times New Roman" w:cs="Times New Roman"/>
          <w:lang w:val="en-GB"/>
        </w:rPr>
        <w:t xml:space="preserve"> and yield potential by optimizing nutrient efficiency and stress resilience.</w:t>
      </w:r>
    </w:p>
    <w:p w14:paraId="30D19EC0" w14:textId="74C40B5B" w:rsidR="00B54735" w:rsidRDefault="00B54735" w:rsidP="0072605E">
      <w:pPr>
        <w:shd w:val="clear" w:color="auto" w:fill="FFFFFF"/>
        <w:spacing w:after="0" w:line="240" w:lineRule="auto"/>
        <w:ind w:firstLine="284"/>
        <w:jc w:val="both"/>
        <w:rPr>
          <w:rFonts w:ascii="Times New Roman" w:eastAsia="Times New Roman" w:hAnsi="Times New Roman" w:cs="Times New Roman"/>
          <w:lang w:val="en-GB"/>
        </w:rPr>
      </w:pPr>
    </w:p>
    <w:p w14:paraId="1FF49992" w14:textId="77777777" w:rsidR="00B54735" w:rsidRPr="000B0464" w:rsidRDefault="00B54735" w:rsidP="0072605E">
      <w:pPr>
        <w:shd w:val="clear" w:color="auto" w:fill="FFFFFF"/>
        <w:spacing w:after="0" w:line="240" w:lineRule="auto"/>
        <w:ind w:firstLine="284"/>
        <w:jc w:val="both"/>
        <w:rPr>
          <w:rFonts w:ascii="Times New Roman" w:eastAsia="Times New Roman" w:hAnsi="Times New Roman" w:cs="Times New Roman"/>
          <w:lang w:val="en-GB"/>
        </w:rPr>
      </w:pPr>
    </w:p>
    <w:p w14:paraId="77CA083C" w14:textId="4CB999E1" w:rsidR="00985669" w:rsidRPr="000B0464" w:rsidRDefault="0072605E" w:rsidP="002230D3">
      <w:pPr>
        <w:pStyle w:val="Rn1"/>
        <w:rPr>
          <w:lang w:val="en-GB"/>
        </w:rPr>
      </w:pPr>
      <w:r w:rsidRPr="000B0464">
        <w:rPr>
          <w:lang w:val="en-GB"/>
        </w:rPr>
        <w:lastRenderedPageBreak/>
        <w:t>4</w:t>
      </w:r>
      <w:r w:rsidR="00481481" w:rsidRPr="000B0464">
        <w:rPr>
          <w:lang w:val="en-GB"/>
        </w:rPr>
        <w:t xml:space="preserve">. </w:t>
      </w:r>
      <w:r w:rsidR="00985669" w:rsidRPr="000B0464">
        <w:rPr>
          <w:lang w:val="en-GB"/>
        </w:rPr>
        <w:t>Conclusions</w:t>
      </w:r>
    </w:p>
    <w:p w14:paraId="60C7DD38" w14:textId="2AF04FBF" w:rsidR="007F00C4" w:rsidRPr="000B0464" w:rsidRDefault="00A43CD7" w:rsidP="00A003C5">
      <w:pPr>
        <w:shd w:val="clear" w:color="auto" w:fill="FFFFFF"/>
        <w:spacing w:after="0" w:line="240" w:lineRule="auto"/>
        <w:ind w:firstLine="284"/>
        <w:jc w:val="both"/>
        <w:rPr>
          <w:rFonts w:ascii="Times New Roman" w:eastAsia="Times New Roman" w:hAnsi="Times New Roman" w:cs="Times New Roman"/>
          <w:lang w:val="en-GB"/>
        </w:rPr>
      </w:pPr>
      <w:r w:rsidRPr="000B0464">
        <w:rPr>
          <w:rFonts w:ascii="Times New Roman" w:hAnsi="Times New Roman" w:cs="Times New Roman"/>
          <w:lang w:val="en-GB"/>
        </w:rPr>
        <w:t xml:space="preserve">This study demonstrates that biofertilizers can play a pivotal role in enhancing </w:t>
      </w:r>
      <w:r w:rsidR="00B54735">
        <w:rPr>
          <w:rFonts w:ascii="Times New Roman" w:hAnsi="Times New Roman" w:cs="Times New Roman"/>
          <w:lang w:val="en-GB"/>
        </w:rPr>
        <w:t>buckwheat's productivity and economic viability</w:t>
      </w:r>
      <w:r w:rsidRPr="000B0464">
        <w:rPr>
          <w:rFonts w:ascii="Times New Roman" w:hAnsi="Times New Roman" w:cs="Times New Roman"/>
          <w:lang w:val="en-GB"/>
        </w:rPr>
        <w:t xml:space="preserve"> (</w:t>
      </w:r>
      <w:r w:rsidRPr="000B0464">
        <w:rPr>
          <w:rFonts w:ascii="Times New Roman" w:hAnsi="Times New Roman" w:cs="Times New Roman"/>
          <w:i/>
          <w:lang w:val="en-GB"/>
        </w:rPr>
        <w:t>Fagopyrum esculentum</w:t>
      </w:r>
      <w:r w:rsidRPr="000B0464">
        <w:rPr>
          <w:rFonts w:ascii="Times New Roman" w:hAnsi="Times New Roman" w:cs="Times New Roman"/>
          <w:lang w:val="en-GB"/>
        </w:rPr>
        <w:t xml:space="preserve">). </w:t>
      </w:r>
      <w:r w:rsidR="00B54735">
        <w:rPr>
          <w:rFonts w:ascii="Times New Roman" w:hAnsi="Times New Roman" w:cs="Times New Roman"/>
          <w:lang w:val="en-GB"/>
        </w:rPr>
        <w:t xml:space="preserve">Applying seed inoculation and foliar feeding, both individually and in combination, stimulated key growth parameters and </w:t>
      </w:r>
      <w:r w:rsidRPr="000B0464">
        <w:rPr>
          <w:rFonts w:ascii="Times New Roman" w:hAnsi="Times New Roman" w:cs="Times New Roman"/>
          <w:lang w:val="en-GB"/>
        </w:rPr>
        <w:t xml:space="preserve">improved yield outcomes. Most notably, the combined application revealed a synergistic effect, contributing </w:t>
      </w:r>
      <w:r w:rsidR="00B54735">
        <w:rPr>
          <w:rFonts w:ascii="Times New Roman" w:hAnsi="Times New Roman" w:cs="Times New Roman"/>
          <w:lang w:val="en-GB"/>
        </w:rPr>
        <w:t>to stable and high productivity and</w:t>
      </w:r>
      <w:r w:rsidRPr="000B0464">
        <w:rPr>
          <w:rFonts w:ascii="Times New Roman" w:hAnsi="Times New Roman" w:cs="Times New Roman"/>
          <w:lang w:val="en-GB"/>
        </w:rPr>
        <w:t xml:space="preserve"> substantial economic gains. These findings support the practical value of integrating biological treatments into buckwheat cultivation as a sustainable agricultural practice. </w:t>
      </w:r>
      <w:r w:rsidR="00B54735">
        <w:rPr>
          <w:rFonts w:ascii="Times New Roman" w:hAnsi="Times New Roman" w:cs="Times New Roman"/>
          <w:lang w:val="en-GB"/>
        </w:rPr>
        <w:t>F</w:t>
      </w:r>
      <w:r w:rsidRPr="000B0464">
        <w:rPr>
          <w:rFonts w:ascii="Times New Roman" w:hAnsi="Times New Roman" w:cs="Times New Roman"/>
          <w:lang w:val="en-GB"/>
        </w:rPr>
        <w:t>urther investigation into the long-term ecological effects and adaptability of biofertilizer use across various environmental conditions is warranted.</w:t>
      </w:r>
    </w:p>
    <w:p w14:paraId="2D2B0F34" w14:textId="3B54138E" w:rsidR="00BF33FE" w:rsidRPr="000B0464" w:rsidRDefault="0097205C" w:rsidP="000B0464">
      <w:pPr>
        <w:pStyle w:val="Rn2"/>
        <w:rPr>
          <w:lang w:val="en-GB"/>
        </w:rPr>
      </w:pPr>
      <w:r w:rsidRPr="000B0464">
        <w:rPr>
          <w:lang w:val="en-GB"/>
        </w:rPr>
        <w:t>References</w:t>
      </w:r>
    </w:p>
    <w:p w14:paraId="46DD74F3" w14:textId="4D5FAA57" w:rsidR="00E70B6A" w:rsidRPr="000B0464" w:rsidRDefault="00E70B6A" w:rsidP="000B0464">
      <w:pPr>
        <w:pStyle w:val="Rlit"/>
        <w:jc w:val="left"/>
        <w:rPr>
          <w:lang w:val="en-GB"/>
        </w:rPr>
      </w:pPr>
      <w:r w:rsidRPr="000B0464">
        <w:rPr>
          <w:iCs/>
          <w:lang w:val="en-GB"/>
        </w:rPr>
        <w:t>Agriculture of Ukraine</w:t>
      </w:r>
      <w:r w:rsidRPr="000B0464">
        <w:rPr>
          <w:lang w:val="en-GB"/>
        </w:rPr>
        <w:t xml:space="preserve"> (2023). </w:t>
      </w:r>
      <w:r w:rsidRPr="000B0464">
        <w:rPr>
          <w:i/>
          <w:lang w:val="en-GB"/>
        </w:rPr>
        <w:t>State Statistics Service of Ukraine</w:t>
      </w:r>
      <w:r w:rsidRPr="000B0464">
        <w:rPr>
          <w:lang w:val="en-GB"/>
        </w:rPr>
        <w:t xml:space="preserve">. </w:t>
      </w:r>
      <w:r w:rsidR="007F3E9D">
        <w:rPr>
          <w:lang w:val="en-GB"/>
        </w:rPr>
        <w:br/>
      </w:r>
      <w:r w:rsidRPr="000B0464">
        <w:rPr>
          <w:lang w:val="en-GB"/>
        </w:rPr>
        <w:t>https://ukrstat.gov.ua/druk/publicat/kat_u/2023/zb/09/S_gos_22.pdf</w:t>
      </w:r>
    </w:p>
    <w:p w14:paraId="493ED061" w14:textId="03D5823E" w:rsidR="00AB2575" w:rsidRPr="000B0464" w:rsidRDefault="00AB2575" w:rsidP="000B0464">
      <w:pPr>
        <w:pStyle w:val="Rlit"/>
        <w:jc w:val="left"/>
        <w:rPr>
          <w:lang w:val="en-GB"/>
        </w:rPr>
      </w:pPr>
      <w:proofErr w:type="spellStart"/>
      <w:r w:rsidRPr="000B0464">
        <w:rPr>
          <w:lang w:val="en-GB"/>
        </w:rPr>
        <w:t>Averchev</w:t>
      </w:r>
      <w:proofErr w:type="spellEnd"/>
      <w:r w:rsidRPr="000B0464">
        <w:rPr>
          <w:lang w:val="en-GB"/>
        </w:rPr>
        <w:t>, O.</w:t>
      </w:r>
      <w:r w:rsidR="005E4330">
        <w:rPr>
          <w:lang w:val="en-GB"/>
        </w:rPr>
        <w:t xml:space="preserve"> </w:t>
      </w:r>
      <w:r w:rsidRPr="000B0464">
        <w:rPr>
          <w:lang w:val="en-GB"/>
        </w:rPr>
        <w:t xml:space="preserve">V. (2021). The current state of buckwheat market in Ukraine. </w:t>
      </w:r>
      <w:r w:rsidRPr="000B0464">
        <w:rPr>
          <w:i/>
          <w:iCs/>
          <w:lang w:val="en-GB"/>
        </w:rPr>
        <w:t>The bulletin</w:t>
      </w:r>
      <w:r w:rsidRPr="000B0464">
        <w:rPr>
          <w:lang w:val="en-GB"/>
        </w:rPr>
        <w:t xml:space="preserve">, </w:t>
      </w:r>
      <w:r w:rsidRPr="000B0464">
        <w:rPr>
          <w:i/>
          <w:iCs/>
          <w:lang w:val="en-GB"/>
        </w:rPr>
        <w:t>2</w:t>
      </w:r>
      <w:r w:rsidRPr="000B0464">
        <w:rPr>
          <w:lang w:val="en-GB"/>
        </w:rPr>
        <w:t>(390), 113</w:t>
      </w:r>
      <w:r w:rsidR="000B0464">
        <w:rPr>
          <w:lang w:val="en-GB"/>
        </w:rPr>
        <w:t>-</w:t>
      </w:r>
      <w:r w:rsidRPr="000B0464">
        <w:rPr>
          <w:lang w:val="en-GB"/>
        </w:rPr>
        <w:t>119. https://doi.org/10.32014/2021.2518-1467.58</w:t>
      </w:r>
    </w:p>
    <w:p w14:paraId="09CCEE96" w14:textId="51411234" w:rsidR="00AB2575" w:rsidRPr="000B0464" w:rsidRDefault="00AB2575" w:rsidP="000B0464">
      <w:pPr>
        <w:pStyle w:val="Rlit"/>
        <w:rPr>
          <w:lang w:val="en-GB"/>
        </w:rPr>
      </w:pPr>
      <w:r w:rsidRPr="000B0464">
        <w:rPr>
          <w:lang w:val="en-GB"/>
        </w:rPr>
        <w:t xml:space="preserve">Butenko, A., Datsko, O., </w:t>
      </w:r>
      <w:proofErr w:type="spellStart"/>
      <w:r w:rsidRPr="000B0464">
        <w:rPr>
          <w:lang w:val="en-GB"/>
        </w:rPr>
        <w:t>Shumkova</w:t>
      </w:r>
      <w:proofErr w:type="spellEnd"/>
      <w:r w:rsidRPr="000B0464">
        <w:rPr>
          <w:lang w:val="en-GB"/>
        </w:rPr>
        <w:t xml:space="preserve">, O., </w:t>
      </w:r>
      <w:proofErr w:type="spellStart"/>
      <w:r w:rsidRPr="000B0464">
        <w:rPr>
          <w:lang w:val="en-GB"/>
        </w:rPr>
        <w:t>Bahorka</w:t>
      </w:r>
      <w:proofErr w:type="spellEnd"/>
      <w:r w:rsidRPr="000B0464">
        <w:rPr>
          <w:lang w:val="en-GB"/>
        </w:rPr>
        <w:t xml:space="preserve">, M., </w:t>
      </w:r>
      <w:proofErr w:type="spellStart"/>
      <w:r w:rsidRPr="000B0464">
        <w:rPr>
          <w:lang w:val="en-GB"/>
        </w:rPr>
        <w:t>Musiienko</w:t>
      </w:r>
      <w:proofErr w:type="spellEnd"/>
      <w:r w:rsidRPr="000B0464">
        <w:rPr>
          <w:lang w:val="en-GB"/>
        </w:rPr>
        <w:t xml:space="preserve">, V., Yurchenko, N., </w:t>
      </w:r>
      <w:proofErr w:type="spellStart"/>
      <w:r w:rsidRPr="000B0464">
        <w:rPr>
          <w:lang w:val="en-GB"/>
        </w:rPr>
        <w:t>Nechyporenko</w:t>
      </w:r>
      <w:proofErr w:type="spellEnd"/>
      <w:r w:rsidRPr="000B0464">
        <w:rPr>
          <w:lang w:val="en-GB"/>
        </w:rPr>
        <w:t xml:space="preserve">, V., </w:t>
      </w:r>
      <w:proofErr w:type="spellStart"/>
      <w:r w:rsidRPr="000B0464">
        <w:rPr>
          <w:lang w:val="en-GB"/>
        </w:rPr>
        <w:t>Zavhorodnia</w:t>
      </w:r>
      <w:proofErr w:type="spellEnd"/>
      <w:r w:rsidRPr="000B0464">
        <w:rPr>
          <w:lang w:val="en-GB"/>
        </w:rPr>
        <w:t xml:space="preserve">, S., </w:t>
      </w:r>
      <w:r w:rsidR="005E4330" w:rsidRPr="000B0464">
        <w:rPr>
          <w:shd w:val="clear" w:color="auto" w:fill="FFFFFF"/>
          <w:lang w:val="en-GB"/>
        </w:rPr>
        <w:t xml:space="preserve">&amp; </w:t>
      </w:r>
      <w:proofErr w:type="spellStart"/>
      <w:r w:rsidRPr="000B0464">
        <w:rPr>
          <w:lang w:val="en-GB"/>
        </w:rPr>
        <w:t>Mikulana</w:t>
      </w:r>
      <w:proofErr w:type="spellEnd"/>
      <w:r w:rsidRPr="000B0464">
        <w:rPr>
          <w:lang w:val="en-GB"/>
        </w:rPr>
        <w:t>, M. (2025). Sustainable buckwheat growing: Agrotechnical and economic assessment of the mineral fertilizers</w:t>
      </w:r>
      <w:r w:rsidR="00B54735">
        <w:rPr>
          <w:lang w:val="en-GB"/>
        </w:rPr>
        <w:t>'</w:t>
      </w:r>
      <w:r w:rsidRPr="000B0464">
        <w:rPr>
          <w:lang w:val="en-GB"/>
        </w:rPr>
        <w:t xml:space="preserve"> role. </w:t>
      </w:r>
      <w:r w:rsidRPr="000B0464">
        <w:rPr>
          <w:i/>
          <w:iCs/>
          <w:lang w:val="en-GB"/>
        </w:rPr>
        <w:t>Agriculture and Forestry</w:t>
      </w:r>
      <w:r w:rsidRPr="000B0464">
        <w:rPr>
          <w:lang w:val="en-GB"/>
        </w:rPr>
        <w:t xml:space="preserve">, </w:t>
      </w:r>
      <w:r w:rsidRPr="000B0464">
        <w:rPr>
          <w:i/>
          <w:iCs/>
          <w:lang w:val="en-GB"/>
        </w:rPr>
        <w:t>71</w:t>
      </w:r>
      <w:r w:rsidRPr="000B0464">
        <w:rPr>
          <w:lang w:val="en-GB"/>
        </w:rPr>
        <w:t>(1), 49</w:t>
      </w:r>
      <w:r w:rsidR="005E4330">
        <w:rPr>
          <w:lang w:val="en-GB"/>
        </w:rPr>
        <w:t>-</w:t>
      </w:r>
      <w:r w:rsidRPr="000B0464">
        <w:rPr>
          <w:lang w:val="en-GB"/>
        </w:rPr>
        <w:t>59. https://doi:10.17707/AgricultForest.71.1.04</w:t>
      </w:r>
    </w:p>
    <w:p w14:paraId="15E99FB3" w14:textId="6024D23B" w:rsidR="00AB2575" w:rsidRPr="000B0464" w:rsidRDefault="00AB2575" w:rsidP="000B0464">
      <w:pPr>
        <w:pStyle w:val="Rlit"/>
        <w:rPr>
          <w:lang w:val="en-GB"/>
        </w:rPr>
      </w:pPr>
      <w:r w:rsidRPr="000B0464">
        <w:rPr>
          <w:lang w:val="en-GB"/>
        </w:rPr>
        <w:t xml:space="preserve">Dasgupta, K., Sardar, S., Roy, A., </w:t>
      </w:r>
      <w:r w:rsidR="005E4330" w:rsidRPr="000B0464">
        <w:rPr>
          <w:shd w:val="clear" w:color="auto" w:fill="FFFFFF"/>
          <w:lang w:val="en-GB"/>
        </w:rPr>
        <w:t xml:space="preserve">&amp; </w:t>
      </w:r>
      <w:r w:rsidRPr="000B0464">
        <w:rPr>
          <w:lang w:val="en-GB"/>
        </w:rPr>
        <w:t>Mazumdar, D. (2024). The Effect of Different Doses of Nitrogen and Seed Treatment with Biofertilizers on Growth, Yield and Seed Quality of Sunflower (</w:t>
      </w:r>
      <w:r w:rsidRPr="000B0464">
        <w:rPr>
          <w:i/>
          <w:lang w:val="en-GB"/>
        </w:rPr>
        <w:t>Helianthus annus</w:t>
      </w:r>
      <w:r w:rsidRPr="000B0464">
        <w:rPr>
          <w:lang w:val="en-GB"/>
        </w:rPr>
        <w:t xml:space="preserve"> L.). </w:t>
      </w:r>
      <w:r w:rsidRPr="000B0464">
        <w:rPr>
          <w:i/>
          <w:iCs/>
          <w:lang w:val="en-GB"/>
        </w:rPr>
        <w:t>Journal of Advances in Biology &amp; Biotechnology</w:t>
      </w:r>
      <w:r w:rsidRPr="000B0464">
        <w:rPr>
          <w:lang w:val="en-GB"/>
        </w:rPr>
        <w:t xml:space="preserve">, </w:t>
      </w:r>
      <w:r w:rsidRPr="000B0464">
        <w:rPr>
          <w:i/>
          <w:iCs/>
          <w:lang w:val="en-GB"/>
        </w:rPr>
        <w:t>27</w:t>
      </w:r>
      <w:r w:rsidRPr="000B0464">
        <w:rPr>
          <w:lang w:val="en-GB"/>
        </w:rPr>
        <w:t>(10), 1447</w:t>
      </w:r>
      <w:r w:rsidR="005E4330">
        <w:rPr>
          <w:lang w:val="en-GB"/>
        </w:rPr>
        <w:t>-</w:t>
      </w:r>
      <w:r w:rsidRPr="000B0464">
        <w:rPr>
          <w:lang w:val="en-GB"/>
        </w:rPr>
        <w:t>1456. https://doi.org/10.9734/jabb/2024/v27i101565</w:t>
      </w:r>
    </w:p>
    <w:p w14:paraId="3EA05A23" w14:textId="20E08396" w:rsidR="00AB2575" w:rsidRPr="000B0464" w:rsidRDefault="00AB2575" w:rsidP="000B0464">
      <w:pPr>
        <w:pStyle w:val="Rlit"/>
        <w:rPr>
          <w:lang w:val="en-GB"/>
        </w:rPr>
      </w:pPr>
      <w:r w:rsidRPr="00F12905">
        <w:rPr>
          <w:spacing w:val="-4"/>
          <w:lang w:val="en-GB"/>
        </w:rPr>
        <w:t xml:space="preserve">Datsko, O., Butenko, A., </w:t>
      </w:r>
      <w:proofErr w:type="spellStart"/>
      <w:r w:rsidRPr="00F12905">
        <w:rPr>
          <w:spacing w:val="-4"/>
          <w:lang w:val="en-GB"/>
        </w:rPr>
        <w:t>Hotvianska</w:t>
      </w:r>
      <w:proofErr w:type="spellEnd"/>
      <w:r w:rsidRPr="00F12905">
        <w:rPr>
          <w:spacing w:val="-4"/>
          <w:lang w:val="en-GB"/>
        </w:rPr>
        <w:t xml:space="preserve">, A., </w:t>
      </w:r>
      <w:proofErr w:type="spellStart"/>
      <w:r w:rsidRPr="00F12905">
        <w:rPr>
          <w:spacing w:val="-4"/>
          <w:lang w:val="en-GB"/>
        </w:rPr>
        <w:t>Pylypenko</w:t>
      </w:r>
      <w:proofErr w:type="spellEnd"/>
      <w:r w:rsidRPr="00F12905">
        <w:rPr>
          <w:spacing w:val="-4"/>
          <w:lang w:val="en-GB"/>
        </w:rPr>
        <w:t xml:space="preserve">, V., </w:t>
      </w:r>
      <w:proofErr w:type="spellStart"/>
      <w:r w:rsidRPr="00F12905">
        <w:rPr>
          <w:spacing w:val="-4"/>
          <w:lang w:val="en-GB"/>
        </w:rPr>
        <w:t>Nozdrina</w:t>
      </w:r>
      <w:proofErr w:type="spellEnd"/>
      <w:r w:rsidRPr="00F12905">
        <w:rPr>
          <w:spacing w:val="-4"/>
          <w:lang w:val="en-GB"/>
        </w:rPr>
        <w:t xml:space="preserve">, N., </w:t>
      </w:r>
      <w:proofErr w:type="spellStart"/>
      <w:r w:rsidRPr="00F12905">
        <w:rPr>
          <w:spacing w:val="-4"/>
          <w:lang w:val="en-GB"/>
        </w:rPr>
        <w:t>Masyk</w:t>
      </w:r>
      <w:proofErr w:type="spellEnd"/>
      <w:r w:rsidRPr="00F12905">
        <w:rPr>
          <w:spacing w:val="-4"/>
          <w:lang w:val="en-GB"/>
        </w:rPr>
        <w:t xml:space="preserve">, I., Bondarenko, O., </w:t>
      </w:r>
      <w:proofErr w:type="spellStart"/>
      <w:r w:rsidRPr="00F12905">
        <w:rPr>
          <w:spacing w:val="-4"/>
          <w:lang w:val="en-GB"/>
        </w:rPr>
        <w:t>Lemishko</w:t>
      </w:r>
      <w:proofErr w:type="spellEnd"/>
      <w:r w:rsidRPr="00F12905">
        <w:rPr>
          <w:spacing w:val="-4"/>
          <w:lang w:val="en-GB"/>
        </w:rPr>
        <w:t xml:space="preserve">, S., </w:t>
      </w:r>
      <w:proofErr w:type="spellStart"/>
      <w:r w:rsidRPr="00F12905">
        <w:rPr>
          <w:spacing w:val="-4"/>
          <w:lang w:val="en-GB"/>
        </w:rPr>
        <w:t>Litvnov</w:t>
      </w:r>
      <w:proofErr w:type="spellEnd"/>
      <w:r w:rsidRPr="00F12905">
        <w:rPr>
          <w:spacing w:val="-4"/>
          <w:lang w:val="en-GB"/>
        </w:rPr>
        <w:t xml:space="preserve">, D., </w:t>
      </w:r>
      <w:r w:rsidR="005E4330" w:rsidRPr="00F12905">
        <w:rPr>
          <w:spacing w:val="-4"/>
          <w:shd w:val="clear" w:color="auto" w:fill="FFFFFF"/>
          <w:lang w:val="en-GB"/>
        </w:rPr>
        <w:t xml:space="preserve">&amp; </w:t>
      </w:r>
      <w:proofErr w:type="spellStart"/>
      <w:r w:rsidRPr="00F12905">
        <w:rPr>
          <w:spacing w:val="-4"/>
          <w:lang w:val="en-GB"/>
        </w:rPr>
        <w:t>Toryanik</w:t>
      </w:r>
      <w:proofErr w:type="spellEnd"/>
      <w:r w:rsidRPr="00F12905">
        <w:rPr>
          <w:spacing w:val="-4"/>
          <w:lang w:val="en-GB"/>
        </w:rPr>
        <w:t>, V.</w:t>
      </w:r>
      <w:r w:rsidRPr="000B0464">
        <w:rPr>
          <w:lang w:val="en-GB"/>
        </w:rPr>
        <w:t xml:space="preserve"> (2025). Influence of agroecological methods on biometric indicators of corn. </w:t>
      </w:r>
      <w:r w:rsidRPr="000B0464">
        <w:rPr>
          <w:i/>
          <w:iCs/>
          <w:lang w:val="en-GB"/>
        </w:rPr>
        <w:t>Ecological Engineering &amp; Environmental Technology</w:t>
      </w:r>
      <w:r w:rsidRPr="000B0464">
        <w:rPr>
          <w:lang w:val="en-GB"/>
        </w:rPr>
        <w:t xml:space="preserve">, </w:t>
      </w:r>
      <w:r w:rsidRPr="000B0464">
        <w:rPr>
          <w:i/>
          <w:iCs/>
          <w:lang w:val="en-GB"/>
        </w:rPr>
        <w:t>26</w:t>
      </w:r>
      <w:r w:rsidRPr="000B0464">
        <w:rPr>
          <w:lang w:val="en-GB"/>
        </w:rPr>
        <w:t>(2), 264</w:t>
      </w:r>
      <w:r w:rsidR="005E4330">
        <w:rPr>
          <w:lang w:val="en-GB"/>
        </w:rPr>
        <w:t>-</w:t>
      </w:r>
      <w:r w:rsidRPr="000B0464">
        <w:rPr>
          <w:lang w:val="en-GB"/>
        </w:rPr>
        <w:t>271. https://doi.org/10.12912/27197050/199324</w:t>
      </w:r>
    </w:p>
    <w:p w14:paraId="554153E3" w14:textId="5FF3A3D1" w:rsidR="00AB2575" w:rsidRPr="000B0464" w:rsidRDefault="00AB2575" w:rsidP="005E4330">
      <w:pPr>
        <w:pStyle w:val="Rlit"/>
        <w:jc w:val="left"/>
        <w:rPr>
          <w:lang w:val="en-GB"/>
        </w:rPr>
      </w:pPr>
      <w:r w:rsidRPr="000B0464">
        <w:rPr>
          <w:lang w:val="en-GB"/>
        </w:rPr>
        <w:t xml:space="preserve">Datsko, O., Zakharchenko, E., Butenko, Y., Rozhko, V., Karpenko, O., Kravchenko, N., </w:t>
      </w:r>
      <w:proofErr w:type="spellStart"/>
      <w:r w:rsidRPr="000B0464">
        <w:rPr>
          <w:lang w:val="en-GB"/>
        </w:rPr>
        <w:t>Sakhoshko</w:t>
      </w:r>
      <w:proofErr w:type="spellEnd"/>
      <w:r w:rsidRPr="000B0464">
        <w:rPr>
          <w:lang w:val="en-GB"/>
        </w:rPr>
        <w:t xml:space="preserve">, M., Davydenko, G., Hnitetskyi, M., </w:t>
      </w:r>
      <w:r w:rsidR="005E4330" w:rsidRPr="000B0464">
        <w:rPr>
          <w:shd w:val="clear" w:color="auto" w:fill="FFFFFF"/>
          <w:lang w:val="en-GB"/>
        </w:rPr>
        <w:t xml:space="preserve">&amp; </w:t>
      </w:r>
      <w:proofErr w:type="spellStart"/>
      <w:r w:rsidRPr="000B0464">
        <w:rPr>
          <w:lang w:val="en-GB"/>
        </w:rPr>
        <w:t>Khtystenko</w:t>
      </w:r>
      <w:proofErr w:type="spellEnd"/>
      <w:r w:rsidRPr="000B0464">
        <w:rPr>
          <w:lang w:val="en-GB"/>
        </w:rPr>
        <w:t xml:space="preserve">, A. (2024). Environmental Aspects of Sustainable Corn Production and its Impact on Grain Quality. </w:t>
      </w:r>
      <w:r w:rsidRPr="000B0464">
        <w:rPr>
          <w:i/>
          <w:iCs/>
          <w:lang w:val="en-GB"/>
        </w:rPr>
        <w:t>Ecological Engineering &amp; Environmental Technology</w:t>
      </w:r>
      <w:r w:rsidRPr="000B0464">
        <w:rPr>
          <w:lang w:val="en-GB"/>
        </w:rPr>
        <w:t xml:space="preserve">, </w:t>
      </w:r>
      <w:r w:rsidRPr="000B0464">
        <w:rPr>
          <w:i/>
          <w:iCs/>
          <w:lang w:val="en-GB"/>
        </w:rPr>
        <w:t>25</w:t>
      </w:r>
      <w:r w:rsidRPr="000B0464">
        <w:rPr>
          <w:lang w:val="en-GB"/>
        </w:rPr>
        <w:t>(11), 163</w:t>
      </w:r>
      <w:r w:rsidR="005E4330">
        <w:rPr>
          <w:lang w:val="en-GB"/>
        </w:rPr>
        <w:t>-</w:t>
      </w:r>
      <w:r w:rsidRPr="000B0464">
        <w:rPr>
          <w:lang w:val="en-GB"/>
        </w:rPr>
        <w:t>167. https://doi.org/10.12912/27197050/192537</w:t>
      </w:r>
    </w:p>
    <w:p w14:paraId="463C0022" w14:textId="2CB2F7F5" w:rsidR="00AB2575" w:rsidRPr="000B0464" w:rsidRDefault="00AB2575" w:rsidP="000B0464">
      <w:pPr>
        <w:pStyle w:val="Rlit"/>
        <w:rPr>
          <w:lang w:val="en-GB"/>
        </w:rPr>
      </w:pPr>
      <w:r w:rsidRPr="000B0464">
        <w:rPr>
          <w:lang w:val="en-GB"/>
        </w:rPr>
        <w:t xml:space="preserve">Dutchak, O. (2024). Efficiency of Biologized Fertilizer System in Organic Buckwheat Production. </w:t>
      </w:r>
      <w:r w:rsidRPr="000B0464">
        <w:rPr>
          <w:i/>
          <w:iCs/>
          <w:lang w:val="en-GB"/>
        </w:rPr>
        <w:t xml:space="preserve">Acta </w:t>
      </w:r>
      <w:proofErr w:type="spellStart"/>
      <w:r w:rsidRPr="000B0464">
        <w:rPr>
          <w:i/>
          <w:iCs/>
          <w:lang w:val="en-GB"/>
        </w:rPr>
        <w:t>Fytotechnica</w:t>
      </w:r>
      <w:proofErr w:type="spellEnd"/>
      <w:r w:rsidRPr="000B0464">
        <w:rPr>
          <w:i/>
          <w:iCs/>
          <w:lang w:val="en-GB"/>
        </w:rPr>
        <w:t xml:space="preserve"> et </w:t>
      </w:r>
      <w:proofErr w:type="spellStart"/>
      <w:r w:rsidRPr="000B0464">
        <w:rPr>
          <w:i/>
          <w:iCs/>
          <w:lang w:val="en-GB"/>
        </w:rPr>
        <w:t>Zootechnica</w:t>
      </w:r>
      <w:proofErr w:type="spellEnd"/>
      <w:r w:rsidRPr="000B0464">
        <w:rPr>
          <w:lang w:val="en-GB"/>
        </w:rPr>
        <w:t xml:space="preserve">, </w:t>
      </w:r>
      <w:r w:rsidRPr="000B0464">
        <w:rPr>
          <w:i/>
          <w:iCs/>
          <w:lang w:val="en-GB"/>
        </w:rPr>
        <w:t>27</w:t>
      </w:r>
      <w:r w:rsidRPr="000B0464">
        <w:rPr>
          <w:lang w:val="en-GB"/>
        </w:rPr>
        <w:t xml:space="preserve">(4). </w:t>
      </w:r>
      <w:r w:rsidR="007D55C9" w:rsidRPr="000B0464">
        <w:rPr>
          <w:lang w:val="en-GB"/>
        </w:rPr>
        <w:t>https://doi.org/10.15414/afz.2024.27.04.321-330</w:t>
      </w:r>
    </w:p>
    <w:p w14:paraId="5378B8DD" w14:textId="49DCC38A" w:rsidR="007D55C9" w:rsidRPr="000B0464" w:rsidRDefault="007D55C9" w:rsidP="000B0464">
      <w:pPr>
        <w:pStyle w:val="Rlit"/>
        <w:rPr>
          <w:lang w:val="en-GB"/>
        </w:rPr>
      </w:pPr>
      <w:r w:rsidRPr="000B0464">
        <w:rPr>
          <w:lang w:val="en-GB"/>
        </w:rPr>
        <w:t xml:space="preserve">Gulshan, T., Verma, A., Ayoub, L., Sharma, J., Sharma, T., </w:t>
      </w:r>
      <w:proofErr w:type="spellStart"/>
      <w:r w:rsidRPr="000B0464">
        <w:rPr>
          <w:lang w:val="en-GB"/>
        </w:rPr>
        <w:t>Bhadu</w:t>
      </w:r>
      <w:proofErr w:type="spellEnd"/>
      <w:r w:rsidRPr="000B0464">
        <w:rPr>
          <w:lang w:val="en-GB"/>
        </w:rPr>
        <w:t>, A., &amp; Singh, B. (2022). Increasing nutrient use efficiency in crops through biofertilizers.</w:t>
      </w:r>
      <w:r w:rsidR="005E4330">
        <w:rPr>
          <w:lang w:val="en-GB"/>
        </w:rPr>
        <w:t xml:space="preserve"> </w:t>
      </w:r>
      <w:r w:rsidRPr="000B0464">
        <w:rPr>
          <w:i/>
          <w:iCs/>
          <w:lang w:val="en-GB"/>
        </w:rPr>
        <w:t>The Pharma Innovation Journal</w:t>
      </w:r>
      <w:r w:rsidRPr="000B0464">
        <w:rPr>
          <w:lang w:val="en-GB"/>
        </w:rPr>
        <w:t>, 11(6), 2003-2010.</w:t>
      </w:r>
    </w:p>
    <w:p w14:paraId="06DDFBEF" w14:textId="6293ECE3" w:rsidR="00AB2575" w:rsidRPr="000B0464" w:rsidRDefault="00AB2575" w:rsidP="000B0464">
      <w:pPr>
        <w:pStyle w:val="Rlit"/>
        <w:rPr>
          <w:lang w:val="en-GB"/>
        </w:rPr>
      </w:pPr>
      <w:r w:rsidRPr="00B54735">
        <w:rPr>
          <w:lang w:val="pl-PL"/>
        </w:rPr>
        <w:t>Jastrzębska, M., Kostrzewska, M.</w:t>
      </w:r>
      <w:r w:rsidR="005E4330" w:rsidRPr="00B54735">
        <w:rPr>
          <w:lang w:val="pl-PL"/>
        </w:rPr>
        <w:t xml:space="preserve"> </w:t>
      </w:r>
      <w:r w:rsidRPr="00B54735">
        <w:rPr>
          <w:lang w:val="pl-PL"/>
        </w:rPr>
        <w:t xml:space="preserve">K., </w:t>
      </w:r>
      <w:r w:rsidR="005E4330" w:rsidRPr="00B54735">
        <w:rPr>
          <w:shd w:val="clear" w:color="auto" w:fill="FFFFFF"/>
          <w:lang w:val="pl-PL"/>
        </w:rPr>
        <w:t xml:space="preserve">&amp; </w:t>
      </w:r>
      <w:proofErr w:type="spellStart"/>
      <w:r w:rsidRPr="00B54735">
        <w:rPr>
          <w:lang w:val="pl-PL"/>
        </w:rPr>
        <w:t>Saeid</w:t>
      </w:r>
      <w:proofErr w:type="spellEnd"/>
      <w:r w:rsidRPr="00B54735">
        <w:rPr>
          <w:lang w:val="pl-PL"/>
        </w:rPr>
        <w:t xml:space="preserve">, A. (2024). </w:t>
      </w:r>
      <w:r w:rsidRPr="000B0464">
        <w:rPr>
          <w:lang w:val="en-GB"/>
        </w:rPr>
        <w:t xml:space="preserve">The Effect of Renewable Phosphorus Biofertilizers on Selected Wheat Grain Quality Parameters. </w:t>
      </w:r>
      <w:r w:rsidRPr="000B0464">
        <w:rPr>
          <w:i/>
          <w:iCs/>
          <w:lang w:val="en-GB"/>
        </w:rPr>
        <w:t>Agriculture</w:t>
      </w:r>
      <w:r w:rsidRPr="000B0464">
        <w:rPr>
          <w:lang w:val="en-GB"/>
        </w:rPr>
        <w:t xml:space="preserve">, </w:t>
      </w:r>
      <w:r w:rsidRPr="000B0464">
        <w:rPr>
          <w:i/>
          <w:iCs/>
          <w:lang w:val="en-GB"/>
        </w:rPr>
        <w:t>14</w:t>
      </w:r>
      <w:r w:rsidRPr="000B0464">
        <w:rPr>
          <w:lang w:val="en-GB"/>
        </w:rPr>
        <w:t>(5), 727. https://doi.org/10.3390/agriculture14050727</w:t>
      </w:r>
    </w:p>
    <w:p w14:paraId="0D16C2AA" w14:textId="65EEF9A9" w:rsidR="00AB2575" w:rsidRPr="000B0464" w:rsidRDefault="00AB2575" w:rsidP="000B0464">
      <w:pPr>
        <w:pStyle w:val="Rlit"/>
        <w:rPr>
          <w:color w:val="000000"/>
          <w:lang w:val="en-GB" w:eastAsia="ru-RU"/>
        </w:rPr>
      </w:pPr>
      <w:r w:rsidRPr="00E0655D">
        <w:rPr>
          <w:spacing w:val="-4"/>
          <w:lang w:val="en-GB"/>
        </w:rPr>
        <w:t xml:space="preserve">Litvinov, D., Litvinova, O., Borys, N., Butenko, A., </w:t>
      </w:r>
      <w:proofErr w:type="spellStart"/>
      <w:r w:rsidRPr="00E0655D">
        <w:rPr>
          <w:spacing w:val="-4"/>
          <w:lang w:val="en-GB"/>
        </w:rPr>
        <w:t>Masyk</w:t>
      </w:r>
      <w:proofErr w:type="spellEnd"/>
      <w:r w:rsidRPr="00E0655D">
        <w:rPr>
          <w:spacing w:val="-4"/>
          <w:lang w:val="en-GB"/>
        </w:rPr>
        <w:t xml:space="preserve">, I., </w:t>
      </w:r>
      <w:proofErr w:type="spellStart"/>
      <w:r w:rsidRPr="00E0655D">
        <w:rPr>
          <w:bCs/>
          <w:spacing w:val="-4"/>
          <w:lang w:val="en-GB"/>
        </w:rPr>
        <w:t>Onychko</w:t>
      </w:r>
      <w:proofErr w:type="spellEnd"/>
      <w:r w:rsidRPr="00E0655D">
        <w:rPr>
          <w:bCs/>
          <w:spacing w:val="-4"/>
          <w:lang w:val="en-GB"/>
        </w:rPr>
        <w:t>, V.,</w:t>
      </w:r>
      <w:r w:rsidRPr="00E0655D">
        <w:rPr>
          <w:spacing w:val="-4"/>
          <w:lang w:val="en-GB"/>
        </w:rPr>
        <w:t xml:space="preserve"> Khomenko, L., </w:t>
      </w:r>
      <w:proofErr w:type="spellStart"/>
      <w:r w:rsidRPr="00E0655D">
        <w:rPr>
          <w:spacing w:val="-4"/>
          <w:lang w:val="en-GB"/>
        </w:rPr>
        <w:t>Terokhina</w:t>
      </w:r>
      <w:proofErr w:type="spellEnd"/>
      <w:r w:rsidRPr="00E0655D">
        <w:rPr>
          <w:spacing w:val="-4"/>
          <w:lang w:val="en-GB"/>
        </w:rPr>
        <w:t xml:space="preserve">, N., </w:t>
      </w:r>
      <w:r w:rsidR="005E4330" w:rsidRPr="00E0655D">
        <w:rPr>
          <w:spacing w:val="-4"/>
          <w:shd w:val="clear" w:color="auto" w:fill="FFFFFF"/>
          <w:lang w:val="en-GB"/>
        </w:rPr>
        <w:t xml:space="preserve">&amp; </w:t>
      </w:r>
      <w:r w:rsidRPr="00E0655D">
        <w:rPr>
          <w:spacing w:val="-4"/>
          <w:lang w:val="en-GB"/>
        </w:rPr>
        <w:t>Kharchenko, S. (2020).</w:t>
      </w:r>
      <w:r w:rsidRPr="000B0464">
        <w:rPr>
          <w:lang w:val="en-GB"/>
        </w:rPr>
        <w:t xml:space="preserve"> The typicality of hydrothermal conditions of the forest steppe and their influence on the productivity of crops. </w:t>
      </w:r>
      <w:r w:rsidRPr="000B0464">
        <w:rPr>
          <w:i/>
          <w:iCs/>
          <w:lang w:val="en-GB"/>
        </w:rPr>
        <w:t>Environmental Research</w:t>
      </w:r>
      <w:r w:rsidRPr="000B0464">
        <w:rPr>
          <w:lang w:val="en-GB"/>
        </w:rPr>
        <w:t xml:space="preserve">, </w:t>
      </w:r>
      <w:r w:rsidRPr="000B0464">
        <w:rPr>
          <w:i/>
          <w:lang w:val="en-GB"/>
        </w:rPr>
        <w:t>76</w:t>
      </w:r>
      <w:r w:rsidRPr="000B0464">
        <w:rPr>
          <w:lang w:val="en-GB"/>
        </w:rPr>
        <w:t>(3), 84</w:t>
      </w:r>
      <w:r w:rsidR="005E4330">
        <w:rPr>
          <w:shd w:val="clear" w:color="auto" w:fill="FFFFFF"/>
          <w:lang w:val="en-GB"/>
        </w:rPr>
        <w:t>-</w:t>
      </w:r>
      <w:r w:rsidRPr="000B0464">
        <w:rPr>
          <w:lang w:val="en-GB"/>
        </w:rPr>
        <w:t>95. https://doi.org/10.5755/j01.erem.76.3.25365</w:t>
      </w:r>
    </w:p>
    <w:p w14:paraId="3D36A822" w14:textId="21986210" w:rsidR="00AB2575" w:rsidRPr="000B0464" w:rsidRDefault="00AB2575" w:rsidP="000B0464">
      <w:pPr>
        <w:pStyle w:val="Rlit"/>
        <w:rPr>
          <w:lang w:val="en-GB"/>
        </w:rPr>
      </w:pPr>
      <w:proofErr w:type="spellStart"/>
      <w:r w:rsidRPr="000B0464">
        <w:rPr>
          <w:lang w:val="en-GB"/>
        </w:rPr>
        <w:t>Mashchenko</w:t>
      </w:r>
      <w:proofErr w:type="spellEnd"/>
      <w:r w:rsidRPr="000B0464">
        <w:rPr>
          <w:lang w:val="en-GB"/>
        </w:rPr>
        <w:t xml:space="preserve">, O., </w:t>
      </w:r>
      <w:proofErr w:type="spellStart"/>
      <w:r w:rsidRPr="000B0464">
        <w:rPr>
          <w:lang w:val="en-GB"/>
        </w:rPr>
        <w:t>Kriuchko</w:t>
      </w:r>
      <w:proofErr w:type="spellEnd"/>
      <w:r w:rsidRPr="000B0464">
        <w:rPr>
          <w:lang w:val="en-GB"/>
        </w:rPr>
        <w:t xml:space="preserve">, L., Bordun, R., </w:t>
      </w:r>
      <w:proofErr w:type="spellStart"/>
      <w:r w:rsidRPr="000B0464">
        <w:rPr>
          <w:lang w:val="en-GB"/>
        </w:rPr>
        <w:t>Podhaietskyi</w:t>
      </w:r>
      <w:proofErr w:type="spellEnd"/>
      <w:r w:rsidRPr="000B0464">
        <w:rPr>
          <w:lang w:val="en-GB"/>
        </w:rPr>
        <w:t xml:space="preserve">, A., Sobran, I., Davydenko, G., </w:t>
      </w:r>
      <w:proofErr w:type="spellStart"/>
      <w:r w:rsidRPr="000B0464">
        <w:rPr>
          <w:lang w:val="en-GB"/>
        </w:rPr>
        <w:t>Toryanik</w:t>
      </w:r>
      <w:proofErr w:type="spellEnd"/>
      <w:r w:rsidRPr="000B0464">
        <w:rPr>
          <w:lang w:val="en-GB"/>
        </w:rPr>
        <w:t xml:space="preserve">, V., Hnitetskyi, M., </w:t>
      </w:r>
      <w:r w:rsidR="005E4330" w:rsidRPr="000B0464">
        <w:rPr>
          <w:shd w:val="clear" w:color="auto" w:fill="FFFFFF"/>
          <w:lang w:val="en-GB"/>
        </w:rPr>
        <w:t>&amp;</w:t>
      </w:r>
      <w:r w:rsidR="00E0655D">
        <w:rPr>
          <w:shd w:val="clear" w:color="auto" w:fill="FFFFFF"/>
          <w:lang w:val="en-GB"/>
        </w:rPr>
        <w:t> </w:t>
      </w:r>
      <w:proofErr w:type="spellStart"/>
      <w:r w:rsidRPr="000B0464">
        <w:rPr>
          <w:lang w:val="en-GB"/>
        </w:rPr>
        <w:t>Kuz’menko</w:t>
      </w:r>
      <w:proofErr w:type="spellEnd"/>
      <w:r w:rsidRPr="000B0464">
        <w:rPr>
          <w:lang w:val="en-GB"/>
        </w:rPr>
        <w:t xml:space="preserve">, R. (2024). </w:t>
      </w:r>
      <w:r w:rsidRPr="000B0464">
        <w:rPr>
          <w:iCs/>
          <w:lang w:val="en-GB"/>
        </w:rPr>
        <w:t>The formation of indicators of the quality of buckwheat grain depending on the elements of technology</w:t>
      </w:r>
      <w:r w:rsidRPr="000B0464">
        <w:rPr>
          <w:lang w:val="en-GB"/>
        </w:rPr>
        <w:t xml:space="preserve">. </w:t>
      </w:r>
      <w:r w:rsidRPr="000B0464">
        <w:rPr>
          <w:i/>
          <w:lang w:val="en-GB"/>
        </w:rPr>
        <w:t xml:space="preserve">Modern </w:t>
      </w:r>
      <w:proofErr w:type="spellStart"/>
      <w:r w:rsidRPr="000B0464">
        <w:rPr>
          <w:i/>
          <w:lang w:val="en-GB"/>
        </w:rPr>
        <w:t>Phytomorphology</w:t>
      </w:r>
      <w:proofErr w:type="spellEnd"/>
      <w:r w:rsidRPr="000B0464">
        <w:rPr>
          <w:i/>
          <w:lang w:val="en-GB"/>
        </w:rPr>
        <w:t>, 18</w:t>
      </w:r>
      <w:r w:rsidRPr="000B0464">
        <w:rPr>
          <w:lang w:val="en-GB"/>
        </w:rPr>
        <w:t>(1), 12</w:t>
      </w:r>
      <w:r w:rsidR="005E4330">
        <w:rPr>
          <w:lang w:val="en-GB"/>
        </w:rPr>
        <w:t>-</w:t>
      </w:r>
      <w:r w:rsidRPr="000B0464">
        <w:rPr>
          <w:lang w:val="en-GB"/>
        </w:rPr>
        <w:t>16.</w:t>
      </w:r>
      <w:r w:rsidRPr="000B0464">
        <w:rPr>
          <w:color w:val="000000"/>
          <w:sz w:val="21"/>
          <w:szCs w:val="21"/>
          <w:shd w:val="clear" w:color="auto" w:fill="F5F5F5"/>
          <w:lang w:val="en-GB"/>
        </w:rPr>
        <w:t xml:space="preserve"> </w:t>
      </w:r>
      <w:r w:rsidRPr="000B0464">
        <w:rPr>
          <w:lang w:val="en-GB"/>
        </w:rPr>
        <w:t>https://doi.org/10.5281/ZENODO.14598135</w:t>
      </w:r>
    </w:p>
    <w:p w14:paraId="74DCF8EA" w14:textId="733E8BBA" w:rsidR="00AB2575" w:rsidRPr="000B0464" w:rsidRDefault="00AB2575" w:rsidP="000B0464">
      <w:pPr>
        <w:pStyle w:val="Rlit"/>
        <w:rPr>
          <w:lang w:val="en-GB"/>
        </w:rPr>
      </w:pPr>
      <w:proofErr w:type="spellStart"/>
      <w:r w:rsidRPr="000B0464">
        <w:rPr>
          <w:lang w:val="en-GB"/>
        </w:rPr>
        <w:t>Mashchenko</w:t>
      </w:r>
      <w:proofErr w:type="spellEnd"/>
      <w:r w:rsidRPr="000B0464">
        <w:rPr>
          <w:lang w:val="en-GB"/>
        </w:rPr>
        <w:t>, Yu.</w:t>
      </w:r>
      <w:r w:rsidR="005E4330">
        <w:rPr>
          <w:lang w:val="en-GB"/>
        </w:rPr>
        <w:t xml:space="preserve"> </w:t>
      </w:r>
      <w:r w:rsidRPr="000B0464">
        <w:rPr>
          <w:lang w:val="en-GB"/>
        </w:rPr>
        <w:t xml:space="preserve">V., </w:t>
      </w:r>
      <w:r w:rsidR="005E4330" w:rsidRPr="000B0464">
        <w:rPr>
          <w:shd w:val="clear" w:color="auto" w:fill="FFFFFF"/>
          <w:lang w:val="en-GB"/>
        </w:rPr>
        <w:t xml:space="preserve">&amp; </w:t>
      </w:r>
      <w:proofErr w:type="spellStart"/>
      <w:r w:rsidRPr="000B0464">
        <w:rPr>
          <w:lang w:val="en-GB"/>
        </w:rPr>
        <w:t>Sokolovska</w:t>
      </w:r>
      <w:proofErr w:type="spellEnd"/>
      <w:r w:rsidRPr="000B0464">
        <w:rPr>
          <w:lang w:val="en-GB"/>
        </w:rPr>
        <w:t>, I.</w:t>
      </w:r>
      <w:r w:rsidR="005E4330">
        <w:rPr>
          <w:lang w:val="en-GB"/>
        </w:rPr>
        <w:t xml:space="preserve"> </w:t>
      </w:r>
      <w:r w:rsidRPr="000B0464">
        <w:rPr>
          <w:lang w:val="en-GB"/>
        </w:rPr>
        <w:t xml:space="preserve">M. (2023). Buckwheat productivity depends on fertilizer system and seed inoculation with biopreparation. </w:t>
      </w:r>
      <w:r w:rsidRPr="000B0464">
        <w:rPr>
          <w:i/>
          <w:iCs/>
          <w:lang w:val="en-GB"/>
        </w:rPr>
        <w:t>Taurian Scientific Herald</w:t>
      </w:r>
      <w:r w:rsidRPr="000B0464">
        <w:rPr>
          <w:lang w:val="en-GB"/>
        </w:rPr>
        <w:t xml:space="preserve">, </w:t>
      </w:r>
      <w:r w:rsidRPr="000B0464">
        <w:rPr>
          <w:i/>
          <w:iCs/>
          <w:lang w:val="en-GB"/>
        </w:rPr>
        <w:t>133</w:t>
      </w:r>
      <w:r w:rsidRPr="000B0464">
        <w:rPr>
          <w:lang w:val="en-GB"/>
        </w:rPr>
        <w:t>, 54</w:t>
      </w:r>
      <w:r w:rsidR="005E4330">
        <w:rPr>
          <w:lang w:val="en-GB"/>
        </w:rPr>
        <w:t>-</w:t>
      </w:r>
      <w:r w:rsidRPr="000B0464">
        <w:rPr>
          <w:lang w:val="en-GB"/>
        </w:rPr>
        <w:t>63. https://doi.org/10.32782/2226-0099.2023.133.8</w:t>
      </w:r>
    </w:p>
    <w:p w14:paraId="5C461DAB" w14:textId="1755BE59" w:rsidR="00AB2575" w:rsidRPr="00B1165C" w:rsidRDefault="00AB2575" w:rsidP="005E4330">
      <w:pPr>
        <w:pStyle w:val="Rlit"/>
        <w:jc w:val="left"/>
        <w:rPr>
          <w:spacing w:val="-4"/>
          <w:lang w:val="en-GB"/>
        </w:rPr>
      </w:pPr>
      <w:proofErr w:type="spellStart"/>
      <w:r w:rsidRPr="00B1165C">
        <w:rPr>
          <w:spacing w:val="-4"/>
          <w:lang w:val="en-GB"/>
        </w:rPr>
        <w:t>Moisiienko</w:t>
      </w:r>
      <w:proofErr w:type="spellEnd"/>
      <w:r w:rsidRPr="00B1165C">
        <w:rPr>
          <w:spacing w:val="-4"/>
          <w:lang w:val="en-GB"/>
        </w:rPr>
        <w:t>, V.</w:t>
      </w:r>
      <w:r w:rsidR="005E4330" w:rsidRPr="00B1165C">
        <w:rPr>
          <w:spacing w:val="-4"/>
          <w:lang w:val="en-GB"/>
        </w:rPr>
        <w:t xml:space="preserve"> </w:t>
      </w:r>
      <w:r w:rsidRPr="00B1165C">
        <w:rPr>
          <w:spacing w:val="-4"/>
          <w:lang w:val="en-GB"/>
        </w:rPr>
        <w:t>V., Tymoshchuk, T.</w:t>
      </w:r>
      <w:r w:rsidR="005E4330" w:rsidRPr="00B1165C">
        <w:rPr>
          <w:spacing w:val="-4"/>
          <w:lang w:val="en-GB"/>
        </w:rPr>
        <w:t xml:space="preserve"> </w:t>
      </w:r>
      <w:r w:rsidRPr="00B1165C">
        <w:rPr>
          <w:spacing w:val="-4"/>
          <w:lang w:val="en-GB"/>
        </w:rPr>
        <w:t xml:space="preserve">M., </w:t>
      </w:r>
      <w:r w:rsidR="005E4330" w:rsidRPr="00B1165C">
        <w:rPr>
          <w:spacing w:val="-4"/>
          <w:shd w:val="clear" w:color="auto" w:fill="FFFFFF"/>
          <w:lang w:val="en-GB"/>
        </w:rPr>
        <w:t xml:space="preserve">&amp; </w:t>
      </w:r>
      <w:r w:rsidRPr="00B1165C">
        <w:rPr>
          <w:spacing w:val="-4"/>
          <w:lang w:val="en-GB"/>
        </w:rPr>
        <w:t>Panchyshyn, V.</w:t>
      </w:r>
      <w:r w:rsidR="005E4330" w:rsidRPr="00B1165C">
        <w:rPr>
          <w:spacing w:val="-4"/>
          <w:lang w:val="en-GB"/>
        </w:rPr>
        <w:t xml:space="preserve"> </w:t>
      </w:r>
      <w:r w:rsidRPr="00B1165C">
        <w:rPr>
          <w:spacing w:val="-4"/>
          <w:lang w:val="en-GB"/>
        </w:rPr>
        <w:t xml:space="preserve">Z. (2023). Formation of buckwheat productivity depending on foliar feeding. </w:t>
      </w:r>
      <w:r w:rsidRPr="00B1165C">
        <w:rPr>
          <w:i/>
          <w:iCs/>
          <w:spacing w:val="-4"/>
          <w:lang w:val="en-GB"/>
        </w:rPr>
        <w:t>Agriculture and plant sciences: theory and practice</w:t>
      </w:r>
      <w:r w:rsidRPr="00B1165C">
        <w:rPr>
          <w:spacing w:val="-4"/>
          <w:lang w:val="en-GB"/>
        </w:rPr>
        <w:t xml:space="preserve">, </w:t>
      </w:r>
      <w:r w:rsidRPr="00B1165C">
        <w:rPr>
          <w:i/>
          <w:iCs/>
          <w:spacing w:val="-4"/>
          <w:lang w:val="en-GB"/>
        </w:rPr>
        <w:t>2</w:t>
      </w:r>
      <w:r w:rsidRPr="00B1165C">
        <w:rPr>
          <w:spacing w:val="-4"/>
          <w:lang w:val="en-GB"/>
        </w:rPr>
        <w:t>, 63</w:t>
      </w:r>
      <w:r w:rsidR="005E4330" w:rsidRPr="00B1165C">
        <w:rPr>
          <w:spacing w:val="-4"/>
          <w:lang w:val="en-GB"/>
        </w:rPr>
        <w:t>-</w:t>
      </w:r>
      <w:r w:rsidRPr="00B1165C">
        <w:rPr>
          <w:spacing w:val="-4"/>
          <w:lang w:val="en-GB"/>
        </w:rPr>
        <w:t>72. https://doi.org/10.54651/agri.2023.02.07</w:t>
      </w:r>
    </w:p>
    <w:p w14:paraId="08ED2249" w14:textId="34A84208" w:rsidR="00AB2575" w:rsidRPr="000B0464" w:rsidRDefault="00AB2575" w:rsidP="000B0464">
      <w:pPr>
        <w:pStyle w:val="Rlit"/>
        <w:rPr>
          <w:lang w:val="en-GB"/>
        </w:rPr>
      </w:pPr>
      <w:r w:rsidRPr="000B0464">
        <w:rPr>
          <w:lang w:val="en-GB"/>
        </w:rPr>
        <w:t xml:space="preserve">Nasiri, F., Diyanat, M., Rafee, M., </w:t>
      </w:r>
      <w:r w:rsidR="005E4330" w:rsidRPr="000B0464">
        <w:rPr>
          <w:shd w:val="clear" w:color="auto" w:fill="FFFFFF"/>
          <w:lang w:val="en-GB"/>
        </w:rPr>
        <w:t xml:space="preserve">&amp; </w:t>
      </w:r>
      <w:r w:rsidRPr="000B0464">
        <w:rPr>
          <w:lang w:val="en-GB"/>
        </w:rPr>
        <w:t xml:space="preserve">Azadi, A. (2025). Enhancing Growth and Nutrient Uptake of Wheat Through Atrazine and Biofertilizers Under Rainfed Conditions of Iran. </w:t>
      </w:r>
      <w:r w:rsidRPr="000B0464">
        <w:rPr>
          <w:i/>
          <w:iCs/>
          <w:lang w:val="en-GB"/>
        </w:rPr>
        <w:t>Communications in Soil Science and Plant Analysis</w:t>
      </w:r>
      <w:r w:rsidRPr="000B0464">
        <w:rPr>
          <w:lang w:val="en-GB"/>
        </w:rPr>
        <w:t>, 1</w:t>
      </w:r>
      <w:r w:rsidR="005E4330">
        <w:rPr>
          <w:lang w:val="en-GB"/>
        </w:rPr>
        <w:t>-</w:t>
      </w:r>
      <w:r w:rsidRPr="000B0464">
        <w:rPr>
          <w:lang w:val="en-GB"/>
        </w:rPr>
        <w:t>19. https://doi.org/10.1080/00103624.2025.2479198</w:t>
      </w:r>
    </w:p>
    <w:p w14:paraId="0C48F2FC" w14:textId="032EC781" w:rsidR="00AB2575" w:rsidRPr="000B0464" w:rsidRDefault="00AB2575" w:rsidP="000B0464">
      <w:pPr>
        <w:pStyle w:val="Rlit"/>
        <w:rPr>
          <w:lang w:val="en-GB"/>
        </w:rPr>
      </w:pPr>
      <w:proofErr w:type="spellStart"/>
      <w:r w:rsidRPr="000B0464">
        <w:rPr>
          <w:lang w:val="en-GB"/>
        </w:rPr>
        <w:t>Pocienė</w:t>
      </w:r>
      <w:proofErr w:type="spellEnd"/>
      <w:r w:rsidRPr="000B0464">
        <w:rPr>
          <w:lang w:val="en-GB"/>
        </w:rPr>
        <w:t xml:space="preserve">, O., </w:t>
      </w:r>
      <w:r w:rsidR="005E4330" w:rsidRPr="000B0464">
        <w:rPr>
          <w:shd w:val="clear" w:color="auto" w:fill="FFFFFF"/>
          <w:lang w:val="en-GB"/>
        </w:rPr>
        <w:t xml:space="preserve">&amp; </w:t>
      </w:r>
      <w:proofErr w:type="spellStart"/>
      <w:r w:rsidRPr="000B0464">
        <w:rPr>
          <w:lang w:val="en-GB"/>
        </w:rPr>
        <w:t>Šlinkšienė</w:t>
      </w:r>
      <w:proofErr w:type="spellEnd"/>
      <w:r w:rsidRPr="000B0464">
        <w:rPr>
          <w:lang w:val="en-GB"/>
        </w:rPr>
        <w:t xml:space="preserve">, R. (2024). Properties and Production Assumptions of Organic </w:t>
      </w:r>
      <w:proofErr w:type="spellStart"/>
      <w:r w:rsidRPr="000B0464">
        <w:rPr>
          <w:lang w:val="en-GB"/>
        </w:rPr>
        <w:t>Biofertilisers</w:t>
      </w:r>
      <w:proofErr w:type="spellEnd"/>
      <w:r w:rsidRPr="000B0464">
        <w:rPr>
          <w:lang w:val="en-GB"/>
        </w:rPr>
        <w:t xml:space="preserve"> Based on Solid and Liquid Waste from the Food Industry. </w:t>
      </w:r>
      <w:r w:rsidRPr="000B0464">
        <w:rPr>
          <w:i/>
          <w:iCs/>
          <w:lang w:val="en-GB"/>
        </w:rPr>
        <w:t>Applied Sciences</w:t>
      </w:r>
      <w:r w:rsidRPr="000B0464">
        <w:rPr>
          <w:lang w:val="en-GB"/>
        </w:rPr>
        <w:t xml:space="preserve">, </w:t>
      </w:r>
      <w:r w:rsidRPr="000B0464">
        <w:rPr>
          <w:i/>
          <w:iCs/>
          <w:lang w:val="en-GB"/>
        </w:rPr>
        <w:t>14</w:t>
      </w:r>
      <w:r w:rsidRPr="000B0464">
        <w:rPr>
          <w:lang w:val="en-GB"/>
        </w:rPr>
        <w:t>(21), 9784. https://doi.org/10.3390/app14219784</w:t>
      </w:r>
    </w:p>
    <w:p w14:paraId="02645BC7" w14:textId="77788D00" w:rsidR="00AB2575" w:rsidRPr="000B0464" w:rsidRDefault="00AB2575" w:rsidP="000B0464">
      <w:pPr>
        <w:pStyle w:val="Rlit"/>
        <w:rPr>
          <w:lang w:val="en-GB"/>
        </w:rPr>
      </w:pPr>
      <w:r w:rsidRPr="000B0464">
        <w:rPr>
          <w:lang w:val="en-GB"/>
        </w:rPr>
        <w:t>Raghavendra, S., Subhash, B., Tirtha, K.</w:t>
      </w:r>
      <w:r w:rsidR="00E0655D">
        <w:rPr>
          <w:lang w:val="en-GB"/>
        </w:rPr>
        <w:t xml:space="preserve"> </w:t>
      </w:r>
      <w:r w:rsidRPr="000B0464">
        <w:rPr>
          <w:lang w:val="en-GB"/>
        </w:rPr>
        <w:t xml:space="preserve">C., </w:t>
      </w:r>
      <w:r w:rsidR="005E4330" w:rsidRPr="000B0464">
        <w:rPr>
          <w:shd w:val="clear" w:color="auto" w:fill="FFFFFF"/>
          <w:lang w:val="en-GB"/>
        </w:rPr>
        <w:t xml:space="preserve">&amp; </w:t>
      </w:r>
      <w:r w:rsidRPr="000B0464">
        <w:rPr>
          <w:lang w:val="en-GB"/>
        </w:rPr>
        <w:t>Tarama, C. (2015). Bacterial inoculation effect on soil biological properties, growth, grain yield, total phenolic and flavonoids contents of common buckwheat (</w:t>
      </w:r>
      <w:r w:rsidRPr="000B0464">
        <w:rPr>
          <w:i/>
          <w:lang w:val="en-GB"/>
        </w:rPr>
        <w:t>Fagopyrum esculentum</w:t>
      </w:r>
      <w:r w:rsidRPr="000B0464">
        <w:rPr>
          <w:lang w:val="en-GB"/>
        </w:rPr>
        <w:t xml:space="preserve"> Moench) under hilly ecosystems of North-East India. </w:t>
      </w:r>
      <w:r w:rsidRPr="000B0464">
        <w:rPr>
          <w:i/>
          <w:iCs/>
          <w:lang w:val="en-GB"/>
        </w:rPr>
        <w:t>African Journal of Microbiology Research</w:t>
      </w:r>
      <w:r w:rsidRPr="000B0464">
        <w:rPr>
          <w:lang w:val="en-GB"/>
        </w:rPr>
        <w:t xml:space="preserve">, </w:t>
      </w:r>
      <w:r w:rsidRPr="000B0464">
        <w:rPr>
          <w:i/>
          <w:iCs/>
          <w:lang w:val="en-GB"/>
        </w:rPr>
        <w:t>9</w:t>
      </w:r>
      <w:r w:rsidRPr="000B0464">
        <w:rPr>
          <w:lang w:val="en-GB"/>
        </w:rPr>
        <w:t>(15), 1110</w:t>
      </w:r>
      <w:r w:rsidR="005E4330">
        <w:rPr>
          <w:lang w:val="en-GB"/>
        </w:rPr>
        <w:t>-</w:t>
      </w:r>
      <w:r w:rsidRPr="000B0464">
        <w:rPr>
          <w:lang w:val="en-GB"/>
        </w:rPr>
        <w:t xml:space="preserve">1117. </w:t>
      </w:r>
      <w:r w:rsidR="007D55C9" w:rsidRPr="000B0464">
        <w:rPr>
          <w:lang w:val="en-GB"/>
        </w:rPr>
        <w:t>https://doi.org/10.5897/AJMR2014.7357</w:t>
      </w:r>
    </w:p>
    <w:p w14:paraId="7948B464" w14:textId="1988AC71" w:rsidR="007D55C9" w:rsidRPr="000B0464" w:rsidRDefault="007D55C9" w:rsidP="000B0464">
      <w:pPr>
        <w:pStyle w:val="Rlit"/>
        <w:rPr>
          <w:shd w:val="clear" w:color="auto" w:fill="FFFFFF"/>
          <w:lang w:val="en-GB"/>
        </w:rPr>
      </w:pPr>
      <w:r w:rsidRPr="000B0464">
        <w:rPr>
          <w:shd w:val="clear" w:color="auto" w:fill="FFFFFF"/>
          <w:lang w:val="en-GB"/>
        </w:rPr>
        <w:t xml:space="preserve">Singh, D., Thapa, S., </w:t>
      </w:r>
      <w:proofErr w:type="spellStart"/>
      <w:r w:rsidRPr="000B0464">
        <w:rPr>
          <w:shd w:val="clear" w:color="auto" w:fill="FFFFFF"/>
          <w:lang w:val="en-GB"/>
        </w:rPr>
        <w:t>Geat</w:t>
      </w:r>
      <w:proofErr w:type="spellEnd"/>
      <w:r w:rsidRPr="000B0464">
        <w:rPr>
          <w:shd w:val="clear" w:color="auto" w:fill="FFFFFF"/>
          <w:lang w:val="en-GB"/>
        </w:rPr>
        <w:t xml:space="preserve">, N., </w:t>
      </w:r>
      <w:proofErr w:type="spellStart"/>
      <w:r w:rsidRPr="000B0464">
        <w:rPr>
          <w:shd w:val="clear" w:color="auto" w:fill="FFFFFF"/>
          <w:lang w:val="en-GB"/>
        </w:rPr>
        <w:t>Mehriya</w:t>
      </w:r>
      <w:proofErr w:type="spellEnd"/>
      <w:r w:rsidRPr="000B0464">
        <w:rPr>
          <w:shd w:val="clear" w:color="auto" w:fill="FFFFFF"/>
          <w:lang w:val="en-GB"/>
        </w:rPr>
        <w:t>, M. L., &amp; Rajawat, M. V. S. (2021). Biofertilizers: Mechanisms and application. In </w:t>
      </w:r>
      <w:r w:rsidRPr="000B0464">
        <w:rPr>
          <w:i/>
          <w:iCs/>
          <w:shd w:val="clear" w:color="auto" w:fill="FFFFFF"/>
          <w:lang w:val="en-GB"/>
        </w:rPr>
        <w:t>Biofertilizers</w:t>
      </w:r>
      <w:r w:rsidRPr="000B0464">
        <w:rPr>
          <w:shd w:val="clear" w:color="auto" w:fill="FFFFFF"/>
          <w:lang w:val="en-GB"/>
        </w:rPr>
        <w:t>, 151-166. Woodhead Publishing. https://doi.org/10.1016/B978-0-12-821667-5.00024-5</w:t>
      </w:r>
    </w:p>
    <w:p w14:paraId="5F2199A3" w14:textId="49866965" w:rsidR="00AB2575" w:rsidRPr="000B0464" w:rsidRDefault="00AB2575" w:rsidP="000B0464">
      <w:pPr>
        <w:pStyle w:val="Rlit"/>
        <w:rPr>
          <w:color w:val="000000"/>
          <w:lang w:val="en-GB" w:eastAsia="ru-RU"/>
        </w:rPr>
      </w:pPr>
      <w:proofErr w:type="spellStart"/>
      <w:r w:rsidRPr="000B0464">
        <w:rPr>
          <w:lang w:val="en-GB" w:eastAsia="ru-RU"/>
        </w:rPr>
        <w:t>Tykhonova</w:t>
      </w:r>
      <w:proofErr w:type="spellEnd"/>
      <w:r w:rsidRPr="000B0464">
        <w:rPr>
          <w:lang w:val="en-GB" w:eastAsia="ru-RU"/>
        </w:rPr>
        <w:t>, O</w:t>
      </w:r>
      <w:r w:rsidR="00E0655D">
        <w:rPr>
          <w:lang w:val="en-GB" w:eastAsia="ru-RU"/>
        </w:rPr>
        <w:t>.</w:t>
      </w:r>
      <w:r w:rsidRPr="000B0464">
        <w:rPr>
          <w:lang w:val="en-GB" w:eastAsia="ru-RU"/>
        </w:rPr>
        <w:t xml:space="preserve">, </w:t>
      </w:r>
      <w:proofErr w:type="spellStart"/>
      <w:r w:rsidRPr="000B0464">
        <w:rPr>
          <w:lang w:val="en-GB" w:eastAsia="ru-RU"/>
        </w:rPr>
        <w:t>Skliar</w:t>
      </w:r>
      <w:proofErr w:type="spellEnd"/>
      <w:r w:rsidRPr="000B0464">
        <w:rPr>
          <w:lang w:val="en-GB" w:eastAsia="ru-RU"/>
        </w:rPr>
        <w:t>, V</w:t>
      </w:r>
      <w:r w:rsidR="00E0655D">
        <w:rPr>
          <w:lang w:val="en-GB" w:eastAsia="ru-RU"/>
        </w:rPr>
        <w:t>.</w:t>
      </w:r>
      <w:r w:rsidRPr="000B0464">
        <w:rPr>
          <w:lang w:val="en-GB" w:eastAsia="ru-RU"/>
        </w:rPr>
        <w:t xml:space="preserve">, </w:t>
      </w:r>
      <w:proofErr w:type="spellStart"/>
      <w:r w:rsidRPr="000B0464">
        <w:rPr>
          <w:lang w:val="en-GB" w:eastAsia="ru-RU"/>
        </w:rPr>
        <w:t>Sherstiuk</w:t>
      </w:r>
      <w:proofErr w:type="spellEnd"/>
      <w:r w:rsidRPr="000B0464">
        <w:rPr>
          <w:lang w:val="en-GB" w:eastAsia="ru-RU"/>
        </w:rPr>
        <w:t>, M</w:t>
      </w:r>
      <w:r w:rsidR="00E0655D">
        <w:rPr>
          <w:lang w:val="en-GB" w:eastAsia="ru-RU"/>
        </w:rPr>
        <w:t>.</w:t>
      </w:r>
      <w:r w:rsidRPr="000B0464">
        <w:rPr>
          <w:lang w:val="en-GB" w:eastAsia="ru-RU"/>
        </w:rPr>
        <w:t>, Butenko, A</w:t>
      </w:r>
      <w:r w:rsidR="00E0655D">
        <w:rPr>
          <w:lang w:val="en-GB" w:eastAsia="ru-RU"/>
        </w:rPr>
        <w:t>.</w:t>
      </w:r>
      <w:r w:rsidRPr="000B0464">
        <w:rPr>
          <w:lang w:val="en-GB" w:eastAsia="ru-RU"/>
        </w:rPr>
        <w:t xml:space="preserve">, </w:t>
      </w:r>
      <w:proofErr w:type="spellStart"/>
      <w:r w:rsidRPr="000B0464">
        <w:rPr>
          <w:lang w:val="en-GB" w:eastAsia="ru-RU"/>
        </w:rPr>
        <w:t>Kyrylchuk</w:t>
      </w:r>
      <w:proofErr w:type="spellEnd"/>
      <w:r w:rsidRPr="000B0464">
        <w:rPr>
          <w:lang w:val="en-GB" w:eastAsia="ru-RU"/>
        </w:rPr>
        <w:t>, K</w:t>
      </w:r>
      <w:r w:rsidR="00E0655D">
        <w:rPr>
          <w:lang w:val="en-GB" w:eastAsia="ru-RU"/>
        </w:rPr>
        <w:t>.</w:t>
      </w:r>
      <w:r w:rsidRPr="000B0464">
        <w:rPr>
          <w:lang w:val="en-GB" w:eastAsia="ru-RU"/>
        </w:rPr>
        <w:t xml:space="preserve">, Bashtovyi, M. (2021). </w:t>
      </w:r>
      <w:r w:rsidRPr="000B0464">
        <w:rPr>
          <w:rStyle w:val="highlight-module1p2so"/>
          <w:lang w:val="en-GB"/>
        </w:rPr>
        <w:t xml:space="preserve">Analysis of </w:t>
      </w:r>
      <w:proofErr w:type="spellStart"/>
      <w:r w:rsidRPr="000B0464">
        <w:rPr>
          <w:rStyle w:val="highlight-module1p2so"/>
          <w:i/>
          <w:lang w:val="en-GB"/>
        </w:rPr>
        <w:t>Setaria</w:t>
      </w:r>
      <w:proofErr w:type="spellEnd"/>
      <w:r w:rsidRPr="000B0464">
        <w:rPr>
          <w:rStyle w:val="highlight-module1p2so"/>
          <w:i/>
          <w:lang w:val="en-GB"/>
        </w:rPr>
        <w:t xml:space="preserve"> glauca</w:t>
      </w:r>
      <w:r w:rsidRPr="000B0464">
        <w:rPr>
          <w:rStyle w:val="highlight-module1p2so"/>
          <w:lang w:val="en-GB"/>
        </w:rPr>
        <w:t xml:space="preserve"> (L.) p. </w:t>
      </w:r>
      <w:proofErr w:type="spellStart"/>
      <w:r w:rsidRPr="000B0464">
        <w:rPr>
          <w:rStyle w:val="highlight-module1p2so"/>
          <w:lang w:val="en-GB"/>
        </w:rPr>
        <w:t>beauv</w:t>
      </w:r>
      <w:proofErr w:type="spellEnd"/>
      <w:r w:rsidRPr="000B0464">
        <w:rPr>
          <w:rStyle w:val="highlight-module1p2so"/>
          <w:lang w:val="en-GB"/>
        </w:rPr>
        <w:t>. population</w:t>
      </w:r>
      <w:r w:rsidR="00B54735">
        <w:rPr>
          <w:rStyle w:val="highlight-module1p2so"/>
          <w:lang w:val="en-GB"/>
        </w:rPr>
        <w:t>'</w:t>
      </w:r>
      <w:r w:rsidRPr="000B0464">
        <w:rPr>
          <w:rStyle w:val="highlight-module1p2so"/>
          <w:lang w:val="en-GB"/>
        </w:rPr>
        <w:t xml:space="preserve">s vital parameters in grain </w:t>
      </w:r>
      <w:proofErr w:type="spellStart"/>
      <w:r w:rsidRPr="000B0464">
        <w:rPr>
          <w:rStyle w:val="highlight-module1p2so"/>
          <w:lang w:val="en-GB"/>
        </w:rPr>
        <w:t>agrophytocenoses</w:t>
      </w:r>
      <w:proofErr w:type="spellEnd"/>
      <w:r w:rsidRPr="000B0464">
        <w:rPr>
          <w:rStyle w:val="highlight-module1p2so"/>
          <w:lang w:val="en-GB"/>
        </w:rPr>
        <w:t xml:space="preserve">. </w:t>
      </w:r>
      <w:r w:rsidRPr="000B0464">
        <w:rPr>
          <w:rStyle w:val="Uwydatnienie"/>
          <w:bCs/>
          <w:bdr w:val="none" w:sz="0" w:space="0" w:color="auto" w:frame="1"/>
          <w:shd w:val="clear" w:color="auto" w:fill="FFFFFF"/>
          <w:lang w:val="en-GB"/>
        </w:rPr>
        <w:t>Environmental Research, Engineering and Management</w:t>
      </w:r>
      <w:r w:rsidRPr="000B0464">
        <w:rPr>
          <w:i/>
          <w:lang w:val="en-GB"/>
        </w:rPr>
        <w:t>, 77(</w:t>
      </w:r>
      <w:r w:rsidRPr="000B0464">
        <w:rPr>
          <w:lang w:val="en-GB"/>
        </w:rPr>
        <w:t>1), 36</w:t>
      </w:r>
      <w:r w:rsidR="005E4330">
        <w:rPr>
          <w:shd w:val="clear" w:color="auto" w:fill="FFFFFF"/>
          <w:lang w:val="en-GB"/>
        </w:rPr>
        <w:t>-</w:t>
      </w:r>
      <w:r w:rsidRPr="000B0464">
        <w:rPr>
          <w:lang w:val="en-GB"/>
        </w:rPr>
        <w:t xml:space="preserve">46. </w:t>
      </w:r>
      <w:r w:rsidRPr="000B0464">
        <w:rPr>
          <w:color w:val="000000"/>
          <w:lang w:val="en-GB"/>
        </w:rPr>
        <w:t>https://doi.org/</w:t>
      </w:r>
      <w:r w:rsidRPr="000B0464">
        <w:rPr>
          <w:color w:val="000000"/>
          <w:lang w:val="en-GB" w:eastAsia="ru-RU"/>
        </w:rPr>
        <w:t>10.5755/j01.erem.77.1.25489</w:t>
      </w:r>
    </w:p>
    <w:p w14:paraId="668D06A8" w14:textId="36B1FF59" w:rsidR="003526CE" w:rsidRPr="000B0464" w:rsidRDefault="00AB2575" w:rsidP="00B1165C">
      <w:pPr>
        <w:pStyle w:val="Rlit"/>
        <w:rPr>
          <w:lang w:val="en-GB"/>
        </w:rPr>
      </w:pPr>
      <w:proofErr w:type="spellStart"/>
      <w:r w:rsidRPr="000B0464">
        <w:rPr>
          <w:lang w:val="en-GB"/>
        </w:rPr>
        <w:t>Zinati</w:t>
      </w:r>
      <w:proofErr w:type="spellEnd"/>
      <w:r w:rsidRPr="000B0464">
        <w:rPr>
          <w:lang w:val="en-GB"/>
        </w:rPr>
        <w:t>, G., Carrara, J.</w:t>
      </w:r>
      <w:r w:rsidR="00E0655D">
        <w:rPr>
          <w:lang w:val="en-GB"/>
        </w:rPr>
        <w:t xml:space="preserve"> </w:t>
      </w:r>
      <w:r w:rsidRPr="000B0464">
        <w:rPr>
          <w:lang w:val="en-GB"/>
        </w:rPr>
        <w:t xml:space="preserve">E., Das, S., </w:t>
      </w:r>
      <w:proofErr w:type="spellStart"/>
      <w:r w:rsidRPr="000B0464">
        <w:rPr>
          <w:lang w:val="en-GB"/>
        </w:rPr>
        <w:t>Caetani</w:t>
      </w:r>
      <w:proofErr w:type="spellEnd"/>
      <w:r w:rsidRPr="000B0464">
        <w:rPr>
          <w:lang w:val="en-GB"/>
        </w:rPr>
        <w:t>, R., Kalra, A., Carr, E.</w:t>
      </w:r>
      <w:r w:rsidR="00E0655D">
        <w:rPr>
          <w:lang w:val="en-GB"/>
        </w:rPr>
        <w:t xml:space="preserve"> </w:t>
      </w:r>
      <w:r w:rsidRPr="000B0464">
        <w:rPr>
          <w:lang w:val="en-GB"/>
        </w:rPr>
        <w:t xml:space="preserve">A., </w:t>
      </w:r>
      <w:r w:rsidR="005E4330" w:rsidRPr="000B0464">
        <w:rPr>
          <w:shd w:val="clear" w:color="auto" w:fill="FFFFFF"/>
          <w:lang w:val="en-GB"/>
        </w:rPr>
        <w:t xml:space="preserve">&amp; </w:t>
      </w:r>
      <w:r w:rsidRPr="000B0464">
        <w:rPr>
          <w:lang w:val="en-GB"/>
        </w:rPr>
        <w:t>Heller, W.</w:t>
      </w:r>
      <w:r w:rsidR="00E0655D">
        <w:rPr>
          <w:lang w:val="en-GB"/>
        </w:rPr>
        <w:t xml:space="preserve"> </w:t>
      </w:r>
      <w:r w:rsidRPr="000B0464">
        <w:rPr>
          <w:lang w:val="en-GB"/>
        </w:rPr>
        <w:t xml:space="preserve">P. (2025). Impact of tillage practices and arbuscular mycorrhizal fungi inoculation on organic sweet corn yield and nutritional quality. </w:t>
      </w:r>
      <w:r w:rsidRPr="000B0464">
        <w:rPr>
          <w:i/>
          <w:iCs/>
          <w:lang w:val="en-GB"/>
        </w:rPr>
        <w:t>Soil and Tillage Research</w:t>
      </w:r>
      <w:r w:rsidRPr="000B0464">
        <w:rPr>
          <w:lang w:val="en-GB"/>
        </w:rPr>
        <w:t xml:space="preserve">, </w:t>
      </w:r>
      <w:r w:rsidRPr="000B0464">
        <w:rPr>
          <w:i/>
          <w:iCs/>
          <w:lang w:val="en-GB"/>
        </w:rPr>
        <w:t>251</w:t>
      </w:r>
      <w:r w:rsidRPr="000B0464">
        <w:rPr>
          <w:lang w:val="en-GB"/>
        </w:rPr>
        <w:t>, 106545. https://doi.org/10.1016/j.still.2025.106545</w:t>
      </w:r>
    </w:p>
    <w:sectPr w:rsidR="003526CE" w:rsidRPr="000B0464" w:rsidSect="00A04185">
      <w:headerReference w:type="even" r:id="rId13"/>
      <w:headerReference w:type="default" r:id="rId14"/>
      <w:footerReference w:type="first" r:id="rId15"/>
      <w:pgSz w:w="11906" w:h="16838" w:code="9"/>
      <w:pgMar w:top="1134" w:right="1134" w:bottom="1134" w:left="1134" w:header="567" w:footer="567" w:gutter="0"/>
      <w:pgNumType w:start="3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35457" w14:textId="77777777" w:rsidR="008E2D64" w:rsidRDefault="008E2D64" w:rsidP="00627B30">
      <w:pPr>
        <w:spacing w:after="0" w:line="240" w:lineRule="auto"/>
      </w:pPr>
      <w:r>
        <w:separator/>
      </w:r>
    </w:p>
  </w:endnote>
  <w:endnote w:type="continuationSeparator" w:id="0">
    <w:p w14:paraId="630A0F97" w14:textId="77777777" w:rsidR="008E2D64" w:rsidRDefault="008E2D64" w:rsidP="0062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0B7A5F" w:rsidRPr="001742EE" w14:paraId="6BF979F3" w14:textId="77777777" w:rsidTr="00F228A3">
      <w:trPr>
        <w:trHeight w:val="261"/>
      </w:trPr>
      <w:tc>
        <w:tcPr>
          <w:tcW w:w="1384" w:type="dxa"/>
          <w:vAlign w:val="center"/>
        </w:tcPr>
        <w:p w14:paraId="3F7CA869" w14:textId="77777777" w:rsidR="000B7A5F" w:rsidRPr="001742EE" w:rsidRDefault="000B7A5F" w:rsidP="000B7A5F">
          <w:pPr>
            <w:rPr>
              <w:rFonts w:ascii="Times New Roman" w:hAnsi="Times New Roman" w:cs="Times New Roman"/>
            </w:rPr>
          </w:pPr>
          <w:r w:rsidRPr="001742EE">
            <w:rPr>
              <w:rFonts w:ascii="Times New Roman" w:hAnsi="Times New Roman" w:cs="Times New Roman"/>
              <w:noProof/>
              <w:lang w:val="tr-TR" w:eastAsia="tr-TR"/>
            </w:rPr>
            <w:drawing>
              <wp:inline distT="0" distB="0" distL="0" distR="0" wp14:anchorId="0AD0885E" wp14:editId="7D0C3059">
                <wp:extent cx="682388" cy="239947"/>
                <wp:effectExtent l="0" t="0" r="0" b="0"/>
                <wp:docPr id="2"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2C55A075" w14:textId="77777777" w:rsidR="000B7A5F" w:rsidRPr="001742EE" w:rsidRDefault="000B7A5F" w:rsidP="000B7A5F">
          <w:pPr>
            <w:rPr>
              <w:rFonts w:ascii="Times New Roman" w:hAnsi="Times New Roman" w:cs="Times New Roman"/>
              <w:sz w:val="18"/>
              <w:szCs w:val="18"/>
            </w:rPr>
          </w:pPr>
          <w:r w:rsidRPr="001742EE">
            <w:rPr>
              <w:rFonts w:ascii="Times New Roman" w:hAnsi="Times New Roman" w:cs="Times New Roman"/>
              <w:sz w:val="18"/>
              <w:szCs w:val="18"/>
            </w:rPr>
            <w:t>© 2025. Author(s). This work is licensed under a Creative Commons Attribution 4.0 International License (CC BY-SA)</w:t>
          </w:r>
        </w:p>
      </w:tc>
    </w:tr>
  </w:tbl>
  <w:p w14:paraId="5CC84A20" w14:textId="77777777" w:rsidR="000B7A5F" w:rsidRPr="002F5F59" w:rsidRDefault="000B7A5F" w:rsidP="000B7A5F">
    <w:pPr>
      <w:pStyle w:val="Stopk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47C14" w14:textId="77777777" w:rsidR="008E2D64" w:rsidRDefault="008E2D64" w:rsidP="00627B30">
      <w:pPr>
        <w:spacing w:after="0" w:line="240" w:lineRule="auto"/>
      </w:pPr>
      <w:r>
        <w:separator/>
      </w:r>
    </w:p>
  </w:footnote>
  <w:footnote w:type="continuationSeparator" w:id="0">
    <w:p w14:paraId="51821CE8" w14:textId="77777777" w:rsidR="008E2D64" w:rsidRDefault="008E2D64" w:rsidP="00627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0B7A5F" w:rsidRPr="00007E12" w14:paraId="49B44E8D" w14:textId="77777777" w:rsidTr="00F228A3">
      <w:trPr>
        <w:trHeight w:hRule="exact" w:val="284"/>
      </w:trPr>
      <w:tc>
        <w:tcPr>
          <w:tcW w:w="397" w:type="dxa"/>
          <w:shd w:val="clear" w:color="auto" w:fill="auto"/>
          <w:vAlign w:val="center"/>
        </w:tcPr>
        <w:p w14:paraId="1F8AB600" w14:textId="77777777" w:rsidR="000B7A5F" w:rsidRPr="00007E12" w:rsidRDefault="000B7A5F" w:rsidP="000B7A5F">
          <w:pPr>
            <w:pStyle w:val="Nagwek"/>
            <w:rPr>
              <w:rFonts w:ascii="Arial" w:hAnsi="Arial" w:cs="Arial"/>
              <w:i/>
              <w:sz w:val="20"/>
              <w:lang w:val="en-GB"/>
            </w:rPr>
          </w:pPr>
          <w:r w:rsidRPr="00007E12">
            <w:rPr>
              <w:rFonts w:ascii="Arial" w:hAnsi="Arial" w:cs="Arial"/>
              <w:sz w:val="20"/>
              <w:lang w:val="en-GB"/>
            </w:rPr>
            <w:fldChar w:fldCharType="begin"/>
          </w:r>
          <w:r w:rsidRPr="00007E12">
            <w:rPr>
              <w:rFonts w:ascii="Arial" w:hAnsi="Arial" w:cs="Arial"/>
              <w:sz w:val="20"/>
              <w:lang w:val="en-GB"/>
            </w:rPr>
            <w:instrText xml:space="preserve"> PAGE   \* MERGEFORMAT </w:instrText>
          </w:r>
          <w:r w:rsidRPr="00007E12">
            <w:rPr>
              <w:rFonts w:ascii="Arial" w:hAnsi="Arial" w:cs="Arial"/>
              <w:sz w:val="20"/>
              <w:lang w:val="en-GB"/>
            </w:rPr>
            <w:fldChar w:fldCharType="separate"/>
          </w:r>
          <w:r>
            <w:rPr>
              <w:rFonts w:ascii="Arial" w:hAnsi="Arial" w:cs="Arial"/>
              <w:sz w:val="20"/>
            </w:rPr>
            <w:t>254</w:t>
          </w:r>
          <w:r w:rsidRPr="00007E12">
            <w:rPr>
              <w:rFonts w:ascii="Arial" w:hAnsi="Arial" w:cs="Arial"/>
              <w:sz w:val="20"/>
              <w:lang w:val="en-GB"/>
            </w:rPr>
            <w:fldChar w:fldCharType="end"/>
          </w:r>
        </w:p>
      </w:tc>
      <w:tc>
        <w:tcPr>
          <w:tcW w:w="9242" w:type="dxa"/>
          <w:shd w:val="clear" w:color="auto" w:fill="auto"/>
          <w:vAlign w:val="center"/>
        </w:tcPr>
        <w:p w14:paraId="2774DFA4" w14:textId="56357179" w:rsidR="000B7A5F" w:rsidRPr="00007E12" w:rsidRDefault="000B7A5F" w:rsidP="000B7A5F">
          <w:pPr>
            <w:pStyle w:val="Nagwek"/>
            <w:jc w:val="center"/>
            <w:rPr>
              <w:rFonts w:ascii="Arial" w:hAnsi="Arial" w:cs="Arial"/>
              <w:i/>
              <w:sz w:val="20"/>
              <w:lang w:val="en-GB"/>
            </w:rPr>
          </w:pPr>
          <w:r w:rsidRPr="000B7A5F">
            <w:rPr>
              <w:rFonts w:ascii="Arial" w:hAnsi="Arial" w:cs="Arial"/>
              <w:i/>
              <w:sz w:val="20"/>
              <w:lang w:val="en-GB"/>
            </w:rPr>
            <w:t>Andrii Butenko</w:t>
          </w:r>
          <w:r>
            <w:rPr>
              <w:rFonts w:ascii="Arial" w:hAnsi="Arial" w:cs="Arial"/>
              <w:i/>
              <w:sz w:val="20"/>
              <w:lang w:val="en-GB"/>
            </w:rPr>
            <w:t xml:space="preserve"> et al.</w:t>
          </w:r>
        </w:p>
      </w:tc>
    </w:tr>
  </w:tbl>
  <w:p w14:paraId="25364500" w14:textId="77777777" w:rsidR="000B7A5F" w:rsidRPr="00007E12" w:rsidRDefault="000B7A5F" w:rsidP="000B7A5F">
    <w:pPr>
      <w:pStyle w:val="Nagwek"/>
      <w:rPr>
        <w:sz w:val="6"/>
        <w:szCs w:val="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0B7A5F" w:rsidRPr="00007E12" w14:paraId="0FF393D7" w14:textId="77777777" w:rsidTr="00F228A3">
      <w:trPr>
        <w:trHeight w:hRule="exact" w:val="284"/>
        <w:jc w:val="right"/>
      </w:trPr>
      <w:tc>
        <w:tcPr>
          <w:tcW w:w="9243" w:type="dxa"/>
          <w:shd w:val="clear" w:color="auto" w:fill="auto"/>
          <w:vAlign w:val="center"/>
        </w:tcPr>
        <w:p w14:paraId="6E027B4D" w14:textId="5C35423A" w:rsidR="000B7A5F" w:rsidRPr="00007E12" w:rsidRDefault="008132E1" w:rsidP="000B7A5F">
          <w:pPr>
            <w:pStyle w:val="Nagwek"/>
            <w:jc w:val="center"/>
            <w:rPr>
              <w:rFonts w:ascii="Arial" w:hAnsi="Arial" w:cs="Arial"/>
              <w:i/>
              <w:sz w:val="20"/>
              <w:szCs w:val="16"/>
              <w:lang w:val="en-GB"/>
            </w:rPr>
          </w:pPr>
          <w:r w:rsidRPr="008132E1">
            <w:rPr>
              <w:rFonts w:ascii="Arial" w:hAnsi="Arial" w:cs="Arial"/>
              <w:i/>
              <w:sz w:val="20"/>
              <w:szCs w:val="16"/>
              <w:lang w:val="en-GB"/>
            </w:rPr>
            <w:t xml:space="preserve">Evaluation of the Effectiveness of </w:t>
          </w:r>
          <w:proofErr w:type="spellStart"/>
          <w:r w:rsidRPr="008132E1">
            <w:rPr>
              <w:rFonts w:ascii="Arial" w:hAnsi="Arial" w:cs="Arial"/>
              <w:i/>
              <w:sz w:val="20"/>
              <w:szCs w:val="16"/>
              <w:lang w:val="en-GB"/>
            </w:rPr>
            <w:t>Leanum</w:t>
          </w:r>
          <w:proofErr w:type="spellEnd"/>
          <w:r w:rsidRPr="008132E1">
            <w:rPr>
              <w:rFonts w:ascii="Arial" w:hAnsi="Arial" w:cs="Arial"/>
              <w:i/>
              <w:sz w:val="20"/>
              <w:szCs w:val="16"/>
              <w:lang w:val="en-GB"/>
            </w:rPr>
            <w:t xml:space="preserve"> Biofertilizer</w:t>
          </w:r>
          <w:r w:rsidR="000B7A5F">
            <w:rPr>
              <w:rFonts w:ascii="Arial" w:hAnsi="Arial" w:cs="Arial"/>
              <w:i/>
              <w:sz w:val="20"/>
              <w:szCs w:val="16"/>
              <w:lang w:val="en-GB"/>
            </w:rPr>
            <w:t>…</w:t>
          </w:r>
        </w:p>
      </w:tc>
      <w:tc>
        <w:tcPr>
          <w:tcW w:w="397" w:type="dxa"/>
          <w:shd w:val="clear" w:color="auto" w:fill="auto"/>
          <w:vAlign w:val="center"/>
        </w:tcPr>
        <w:p w14:paraId="704130A1" w14:textId="77777777" w:rsidR="000B7A5F" w:rsidRPr="00007E12" w:rsidRDefault="000B7A5F" w:rsidP="000B7A5F">
          <w:pPr>
            <w:pStyle w:val="Nagwek"/>
            <w:jc w:val="right"/>
            <w:rPr>
              <w:rFonts w:ascii="Arial" w:hAnsi="Arial" w:cs="Arial"/>
              <w:i/>
              <w:sz w:val="20"/>
              <w:szCs w:val="16"/>
              <w:lang w:val="en-GB"/>
            </w:rPr>
          </w:pPr>
          <w:r w:rsidRPr="00007E12">
            <w:rPr>
              <w:rFonts w:ascii="Arial" w:hAnsi="Arial" w:cs="Arial"/>
              <w:sz w:val="20"/>
              <w:szCs w:val="16"/>
              <w:lang w:val="en-GB"/>
            </w:rPr>
            <w:fldChar w:fldCharType="begin"/>
          </w:r>
          <w:r w:rsidRPr="00007E12">
            <w:rPr>
              <w:rFonts w:ascii="Arial" w:hAnsi="Arial" w:cs="Arial"/>
              <w:sz w:val="20"/>
              <w:szCs w:val="16"/>
              <w:lang w:val="en-GB"/>
            </w:rPr>
            <w:instrText xml:space="preserve"> PAGE   \* MERGEFORMAT </w:instrText>
          </w:r>
          <w:r w:rsidRPr="00007E12">
            <w:rPr>
              <w:rFonts w:ascii="Arial" w:hAnsi="Arial" w:cs="Arial"/>
              <w:sz w:val="20"/>
              <w:szCs w:val="16"/>
              <w:lang w:val="en-GB"/>
            </w:rPr>
            <w:fldChar w:fldCharType="separate"/>
          </w:r>
          <w:r>
            <w:rPr>
              <w:rFonts w:ascii="Arial" w:hAnsi="Arial" w:cs="Arial"/>
              <w:sz w:val="20"/>
              <w:szCs w:val="16"/>
              <w:lang w:val="en-GB"/>
            </w:rPr>
            <w:t>255</w:t>
          </w:r>
          <w:r w:rsidRPr="00007E12">
            <w:rPr>
              <w:rFonts w:ascii="Arial" w:hAnsi="Arial" w:cs="Arial"/>
              <w:sz w:val="20"/>
              <w:szCs w:val="16"/>
              <w:lang w:val="en-GB"/>
            </w:rPr>
            <w:fldChar w:fldCharType="end"/>
          </w:r>
        </w:p>
      </w:tc>
    </w:tr>
  </w:tbl>
  <w:p w14:paraId="0E7B629F" w14:textId="77777777" w:rsidR="000B7A5F" w:rsidRPr="00007E12" w:rsidRDefault="000B7A5F" w:rsidP="000B7A5F">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2CB0"/>
    <w:multiLevelType w:val="hybridMultilevel"/>
    <w:tmpl w:val="F2E49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EF6053"/>
    <w:multiLevelType w:val="hybridMultilevel"/>
    <w:tmpl w:val="46DCCB7E"/>
    <w:lvl w:ilvl="0" w:tplc="B10C9A64">
      <w:start w:val="1"/>
      <w:numFmt w:val="bullet"/>
      <w:lvlText w:val="-"/>
      <w:lvlJc w:val="left"/>
      <w:pPr>
        <w:tabs>
          <w:tab w:val="num" w:pos="1637"/>
        </w:tabs>
        <w:ind w:left="0" w:firstLine="45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1C1832"/>
    <w:multiLevelType w:val="hybridMultilevel"/>
    <w:tmpl w:val="2E7A614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C961E61"/>
    <w:multiLevelType w:val="hybridMultilevel"/>
    <w:tmpl w:val="77DE1EB8"/>
    <w:lvl w:ilvl="0" w:tplc="F5DCB8A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025714"/>
    <w:multiLevelType w:val="multilevel"/>
    <w:tmpl w:val="C3A6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6060AD"/>
    <w:multiLevelType w:val="multilevel"/>
    <w:tmpl w:val="438C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6A116F"/>
    <w:multiLevelType w:val="hybridMultilevel"/>
    <w:tmpl w:val="5C9AD700"/>
    <w:lvl w:ilvl="0" w:tplc="613CBC74">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6C315401"/>
    <w:multiLevelType w:val="hybridMultilevel"/>
    <w:tmpl w:val="FEB63A4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502202574">
    <w:abstractNumId w:val="5"/>
  </w:num>
  <w:num w:numId="2" w16cid:durableId="1458599007">
    <w:abstractNumId w:val="4"/>
  </w:num>
  <w:num w:numId="3" w16cid:durableId="1065880449">
    <w:abstractNumId w:val="0"/>
  </w:num>
  <w:num w:numId="4" w16cid:durableId="1029335540">
    <w:abstractNumId w:val="2"/>
  </w:num>
  <w:num w:numId="5" w16cid:durableId="1366249886">
    <w:abstractNumId w:val="6"/>
  </w:num>
  <w:num w:numId="6" w16cid:durableId="611086194">
    <w:abstractNumId w:val="1"/>
  </w:num>
  <w:num w:numId="7" w16cid:durableId="1188371528">
    <w:abstractNumId w:val="7"/>
  </w:num>
  <w:num w:numId="8" w16cid:durableId="1212037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tzS0MDezMDUwNTVX0lEKTi0uzszPAykwqgUAxleuQywAAAA="/>
  </w:docVars>
  <w:rsids>
    <w:rsidRoot w:val="00777AB1"/>
    <w:rsid w:val="00000AFF"/>
    <w:rsid w:val="00005FF8"/>
    <w:rsid w:val="0001095E"/>
    <w:rsid w:val="00017E78"/>
    <w:rsid w:val="000206C4"/>
    <w:rsid w:val="00022146"/>
    <w:rsid w:val="00030EB5"/>
    <w:rsid w:val="000352CE"/>
    <w:rsid w:val="000416A2"/>
    <w:rsid w:val="0005526D"/>
    <w:rsid w:val="000561E4"/>
    <w:rsid w:val="00056919"/>
    <w:rsid w:val="00060D9C"/>
    <w:rsid w:val="000619F4"/>
    <w:rsid w:val="00061BB5"/>
    <w:rsid w:val="00061F27"/>
    <w:rsid w:val="00065177"/>
    <w:rsid w:val="00070765"/>
    <w:rsid w:val="000725D1"/>
    <w:rsid w:val="00077A1A"/>
    <w:rsid w:val="000801A8"/>
    <w:rsid w:val="00095941"/>
    <w:rsid w:val="00096497"/>
    <w:rsid w:val="000A7CEF"/>
    <w:rsid w:val="000B0464"/>
    <w:rsid w:val="000B2B48"/>
    <w:rsid w:val="000B3D0B"/>
    <w:rsid w:val="000B7A5F"/>
    <w:rsid w:val="000C4326"/>
    <w:rsid w:val="000C51B1"/>
    <w:rsid w:val="000C7D75"/>
    <w:rsid w:val="000E70FC"/>
    <w:rsid w:val="000F3152"/>
    <w:rsid w:val="000F3FE0"/>
    <w:rsid w:val="000F7D79"/>
    <w:rsid w:val="001063D4"/>
    <w:rsid w:val="001100F4"/>
    <w:rsid w:val="00114409"/>
    <w:rsid w:val="00117667"/>
    <w:rsid w:val="00143028"/>
    <w:rsid w:val="00150B03"/>
    <w:rsid w:val="00150C6E"/>
    <w:rsid w:val="001572D3"/>
    <w:rsid w:val="00161466"/>
    <w:rsid w:val="00161DA2"/>
    <w:rsid w:val="00176854"/>
    <w:rsid w:val="001821F1"/>
    <w:rsid w:val="001A01F2"/>
    <w:rsid w:val="001B402A"/>
    <w:rsid w:val="001B4673"/>
    <w:rsid w:val="001C1208"/>
    <w:rsid w:val="001C1BCE"/>
    <w:rsid w:val="001C2A09"/>
    <w:rsid w:val="001D096A"/>
    <w:rsid w:val="001D31DD"/>
    <w:rsid w:val="001D4F9B"/>
    <w:rsid w:val="001E0409"/>
    <w:rsid w:val="001E0634"/>
    <w:rsid w:val="001E2CB6"/>
    <w:rsid w:val="001F1619"/>
    <w:rsid w:val="001F47F6"/>
    <w:rsid w:val="001F6723"/>
    <w:rsid w:val="00203F51"/>
    <w:rsid w:val="002056FA"/>
    <w:rsid w:val="00215542"/>
    <w:rsid w:val="0022037F"/>
    <w:rsid w:val="002230D3"/>
    <w:rsid w:val="00230D3C"/>
    <w:rsid w:val="00245908"/>
    <w:rsid w:val="00246A84"/>
    <w:rsid w:val="002577FD"/>
    <w:rsid w:val="00262633"/>
    <w:rsid w:val="0026465A"/>
    <w:rsid w:val="00265A0F"/>
    <w:rsid w:val="00265D7D"/>
    <w:rsid w:val="002705A5"/>
    <w:rsid w:val="00270650"/>
    <w:rsid w:val="00271ED8"/>
    <w:rsid w:val="00281A08"/>
    <w:rsid w:val="00285A8E"/>
    <w:rsid w:val="002915A8"/>
    <w:rsid w:val="00295731"/>
    <w:rsid w:val="002A04E2"/>
    <w:rsid w:val="002A1D71"/>
    <w:rsid w:val="002A38AB"/>
    <w:rsid w:val="002A4E49"/>
    <w:rsid w:val="002A758C"/>
    <w:rsid w:val="002B1F05"/>
    <w:rsid w:val="002B25D7"/>
    <w:rsid w:val="002B2C75"/>
    <w:rsid w:val="002C3923"/>
    <w:rsid w:val="002C47F7"/>
    <w:rsid w:val="002C57A9"/>
    <w:rsid w:val="002C5CED"/>
    <w:rsid w:val="002C757B"/>
    <w:rsid w:val="002D66CB"/>
    <w:rsid w:val="002D6B68"/>
    <w:rsid w:val="002D785B"/>
    <w:rsid w:val="002E2895"/>
    <w:rsid w:val="002E3688"/>
    <w:rsid w:val="002F1146"/>
    <w:rsid w:val="002F21BA"/>
    <w:rsid w:val="002F49A3"/>
    <w:rsid w:val="002F786D"/>
    <w:rsid w:val="00300BD2"/>
    <w:rsid w:val="00301459"/>
    <w:rsid w:val="003060FC"/>
    <w:rsid w:val="00306F0C"/>
    <w:rsid w:val="00307AF7"/>
    <w:rsid w:val="003226E4"/>
    <w:rsid w:val="00326002"/>
    <w:rsid w:val="00330F23"/>
    <w:rsid w:val="00335DEC"/>
    <w:rsid w:val="00344331"/>
    <w:rsid w:val="00344AAD"/>
    <w:rsid w:val="00345BD9"/>
    <w:rsid w:val="003526CE"/>
    <w:rsid w:val="00355B39"/>
    <w:rsid w:val="00361E0B"/>
    <w:rsid w:val="00362869"/>
    <w:rsid w:val="00363641"/>
    <w:rsid w:val="00364344"/>
    <w:rsid w:val="0037001E"/>
    <w:rsid w:val="00373DE2"/>
    <w:rsid w:val="00385A8E"/>
    <w:rsid w:val="00390A3A"/>
    <w:rsid w:val="00390B8B"/>
    <w:rsid w:val="003A0699"/>
    <w:rsid w:val="003A2514"/>
    <w:rsid w:val="003A3384"/>
    <w:rsid w:val="003A44B2"/>
    <w:rsid w:val="003A6498"/>
    <w:rsid w:val="003A6CE2"/>
    <w:rsid w:val="003A71C9"/>
    <w:rsid w:val="003B0952"/>
    <w:rsid w:val="003B1464"/>
    <w:rsid w:val="003B4BCE"/>
    <w:rsid w:val="003B7396"/>
    <w:rsid w:val="003D483D"/>
    <w:rsid w:val="003D758A"/>
    <w:rsid w:val="003E00B7"/>
    <w:rsid w:val="003E1A18"/>
    <w:rsid w:val="003E2AE4"/>
    <w:rsid w:val="003F13AB"/>
    <w:rsid w:val="003F229C"/>
    <w:rsid w:val="00402EA7"/>
    <w:rsid w:val="00405156"/>
    <w:rsid w:val="004075ED"/>
    <w:rsid w:val="00412C5E"/>
    <w:rsid w:val="004142E6"/>
    <w:rsid w:val="004168B0"/>
    <w:rsid w:val="00416C65"/>
    <w:rsid w:val="00422C35"/>
    <w:rsid w:val="00424A9E"/>
    <w:rsid w:val="00426F80"/>
    <w:rsid w:val="004332A4"/>
    <w:rsid w:val="00435735"/>
    <w:rsid w:val="00435850"/>
    <w:rsid w:val="00456843"/>
    <w:rsid w:val="00473EDE"/>
    <w:rsid w:val="00480CFC"/>
    <w:rsid w:val="00481481"/>
    <w:rsid w:val="00482359"/>
    <w:rsid w:val="004916B9"/>
    <w:rsid w:val="004B0B6F"/>
    <w:rsid w:val="004B2642"/>
    <w:rsid w:val="004B3066"/>
    <w:rsid w:val="004B68EB"/>
    <w:rsid w:val="004C361D"/>
    <w:rsid w:val="004C4285"/>
    <w:rsid w:val="004D13DC"/>
    <w:rsid w:val="004D29BD"/>
    <w:rsid w:val="004D5AD9"/>
    <w:rsid w:val="004D5CAA"/>
    <w:rsid w:val="004E260E"/>
    <w:rsid w:val="004F683A"/>
    <w:rsid w:val="00501339"/>
    <w:rsid w:val="00502265"/>
    <w:rsid w:val="00505738"/>
    <w:rsid w:val="00512332"/>
    <w:rsid w:val="00513073"/>
    <w:rsid w:val="00514B16"/>
    <w:rsid w:val="005153F1"/>
    <w:rsid w:val="005170D3"/>
    <w:rsid w:val="00532D5B"/>
    <w:rsid w:val="005348E1"/>
    <w:rsid w:val="0055207B"/>
    <w:rsid w:val="0055230E"/>
    <w:rsid w:val="0055744C"/>
    <w:rsid w:val="00557F90"/>
    <w:rsid w:val="005732BC"/>
    <w:rsid w:val="00574794"/>
    <w:rsid w:val="0057688F"/>
    <w:rsid w:val="00577B92"/>
    <w:rsid w:val="0058263D"/>
    <w:rsid w:val="00587B82"/>
    <w:rsid w:val="005909AE"/>
    <w:rsid w:val="00591333"/>
    <w:rsid w:val="00591831"/>
    <w:rsid w:val="005928BB"/>
    <w:rsid w:val="0059748F"/>
    <w:rsid w:val="0059793A"/>
    <w:rsid w:val="00597B42"/>
    <w:rsid w:val="005A213C"/>
    <w:rsid w:val="005A5ED7"/>
    <w:rsid w:val="005B651B"/>
    <w:rsid w:val="005C1F6B"/>
    <w:rsid w:val="005D041F"/>
    <w:rsid w:val="005D62FD"/>
    <w:rsid w:val="005E4330"/>
    <w:rsid w:val="005F6AAD"/>
    <w:rsid w:val="00602C2D"/>
    <w:rsid w:val="00603278"/>
    <w:rsid w:val="00611CAE"/>
    <w:rsid w:val="0061467C"/>
    <w:rsid w:val="006212DA"/>
    <w:rsid w:val="00623488"/>
    <w:rsid w:val="00626E53"/>
    <w:rsid w:val="00627B30"/>
    <w:rsid w:val="00627B4C"/>
    <w:rsid w:val="00637BEA"/>
    <w:rsid w:val="0064058E"/>
    <w:rsid w:val="0064702B"/>
    <w:rsid w:val="00654DD1"/>
    <w:rsid w:val="00655C23"/>
    <w:rsid w:val="00656426"/>
    <w:rsid w:val="00660497"/>
    <w:rsid w:val="00660FB6"/>
    <w:rsid w:val="00661D3F"/>
    <w:rsid w:val="0066238C"/>
    <w:rsid w:val="00662F74"/>
    <w:rsid w:val="006651CA"/>
    <w:rsid w:val="00671AC1"/>
    <w:rsid w:val="00672067"/>
    <w:rsid w:val="006A34A4"/>
    <w:rsid w:val="006A68A1"/>
    <w:rsid w:val="006A73EA"/>
    <w:rsid w:val="006B2679"/>
    <w:rsid w:val="006B612C"/>
    <w:rsid w:val="006C06B9"/>
    <w:rsid w:val="006C0888"/>
    <w:rsid w:val="006C12F4"/>
    <w:rsid w:val="006C20CE"/>
    <w:rsid w:val="006C4F5E"/>
    <w:rsid w:val="006D1CBC"/>
    <w:rsid w:val="006D7CED"/>
    <w:rsid w:val="006E2CA7"/>
    <w:rsid w:val="006F038E"/>
    <w:rsid w:val="006F1219"/>
    <w:rsid w:val="006F3642"/>
    <w:rsid w:val="006F75C7"/>
    <w:rsid w:val="00702565"/>
    <w:rsid w:val="00707528"/>
    <w:rsid w:val="00715222"/>
    <w:rsid w:val="00716FAB"/>
    <w:rsid w:val="007236F6"/>
    <w:rsid w:val="0072605E"/>
    <w:rsid w:val="007418AB"/>
    <w:rsid w:val="00741DC5"/>
    <w:rsid w:val="00745511"/>
    <w:rsid w:val="00745D82"/>
    <w:rsid w:val="00752D91"/>
    <w:rsid w:val="00753E46"/>
    <w:rsid w:val="00755A04"/>
    <w:rsid w:val="007613D6"/>
    <w:rsid w:val="00762891"/>
    <w:rsid w:val="00777AB1"/>
    <w:rsid w:val="007A0FB0"/>
    <w:rsid w:val="007C0C18"/>
    <w:rsid w:val="007C1260"/>
    <w:rsid w:val="007C2B46"/>
    <w:rsid w:val="007D55C9"/>
    <w:rsid w:val="007D5AB2"/>
    <w:rsid w:val="007E5F55"/>
    <w:rsid w:val="007F00C4"/>
    <w:rsid w:val="007F0677"/>
    <w:rsid w:val="007F139E"/>
    <w:rsid w:val="007F1A22"/>
    <w:rsid w:val="007F3E9D"/>
    <w:rsid w:val="007F5E4F"/>
    <w:rsid w:val="00804527"/>
    <w:rsid w:val="008132E1"/>
    <w:rsid w:val="00816FFF"/>
    <w:rsid w:val="00820CE0"/>
    <w:rsid w:val="0082393D"/>
    <w:rsid w:val="008251ED"/>
    <w:rsid w:val="008406F7"/>
    <w:rsid w:val="008429F6"/>
    <w:rsid w:val="00851EA9"/>
    <w:rsid w:val="00854A64"/>
    <w:rsid w:val="00857841"/>
    <w:rsid w:val="00860FDC"/>
    <w:rsid w:val="0086572B"/>
    <w:rsid w:val="00865C90"/>
    <w:rsid w:val="00876223"/>
    <w:rsid w:val="00877E1B"/>
    <w:rsid w:val="00886276"/>
    <w:rsid w:val="00893546"/>
    <w:rsid w:val="008936F9"/>
    <w:rsid w:val="008940BF"/>
    <w:rsid w:val="00894E98"/>
    <w:rsid w:val="00895FA6"/>
    <w:rsid w:val="0089630C"/>
    <w:rsid w:val="008B58D4"/>
    <w:rsid w:val="008B5DF9"/>
    <w:rsid w:val="008B7164"/>
    <w:rsid w:val="008C0BC9"/>
    <w:rsid w:val="008C63DD"/>
    <w:rsid w:val="008D1110"/>
    <w:rsid w:val="008D5278"/>
    <w:rsid w:val="008D58A0"/>
    <w:rsid w:val="008D6D2B"/>
    <w:rsid w:val="008E12DF"/>
    <w:rsid w:val="008E1DFF"/>
    <w:rsid w:val="008E2D64"/>
    <w:rsid w:val="008E3598"/>
    <w:rsid w:val="008F2A1C"/>
    <w:rsid w:val="008F47B1"/>
    <w:rsid w:val="008F54A6"/>
    <w:rsid w:val="00901CE7"/>
    <w:rsid w:val="00914842"/>
    <w:rsid w:val="00920CC0"/>
    <w:rsid w:val="00926935"/>
    <w:rsid w:val="00930017"/>
    <w:rsid w:val="00935528"/>
    <w:rsid w:val="00936529"/>
    <w:rsid w:val="00941D06"/>
    <w:rsid w:val="00954A31"/>
    <w:rsid w:val="00955391"/>
    <w:rsid w:val="009571DF"/>
    <w:rsid w:val="00961AE5"/>
    <w:rsid w:val="00962556"/>
    <w:rsid w:val="00967407"/>
    <w:rsid w:val="0097205C"/>
    <w:rsid w:val="00977F50"/>
    <w:rsid w:val="00982AD1"/>
    <w:rsid w:val="00985669"/>
    <w:rsid w:val="0098640C"/>
    <w:rsid w:val="009950EE"/>
    <w:rsid w:val="00996A32"/>
    <w:rsid w:val="009A0C90"/>
    <w:rsid w:val="009B29D5"/>
    <w:rsid w:val="009B2FB6"/>
    <w:rsid w:val="009C567B"/>
    <w:rsid w:val="009C5C12"/>
    <w:rsid w:val="009D033A"/>
    <w:rsid w:val="009D08B2"/>
    <w:rsid w:val="009D26BB"/>
    <w:rsid w:val="009D6462"/>
    <w:rsid w:val="009E505D"/>
    <w:rsid w:val="009E6994"/>
    <w:rsid w:val="009E7271"/>
    <w:rsid w:val="009F347F"/>
    <w:rsid w:val="009F71EA"/>
    <w:rsid w:val="00A003C5"/>
    <w:rsid w:val="00A00B18"/>
    <w:rsid w:val="00A04185"/>
    <w:rsid w:val="00A0423C"/>
    <w:rsid w:val="00A04878"/>
    <w:rsid w:val="00A1660F"/>
    <w:rsid w:val="00A32B65"/>
    <w:rsid w:val="00A36873"/>
    <w:rsid w:val="00A43437"/>
    <w:rsid w:val="00A43CD7"/>
    <w:rsid w:val="00A4589E"/>
    <w:rsid w:val="00A530A9"/>
    <w:rsid w:val="00A559FA"/>
    <w:rsid w:val="00A56892"/>
    <w:rsid w:val="00A57D8F"/>
    <w:rsid w:val="00A601C7"/>
    <w:rsid w:val="00A60663"/>
    <w:rsid w:val="00A626A4"/>
    <w:rsid w:val="00A62D8F"/>
    <w:rsid w:val="00A640F4"/>
    <w:rsid w:val="00A715CA"/>
    <w:rsid w:val="00A72194"/>
    <w:rsid w:val="00A74DD9"/>
    <w:rsid w:val="00A802CD"/>
    <w:rsid w:val="00A86DCF"/>
    <w:rsid w:val="00A87D56"/>
    <w:rsid w:val="00A93466"/>
    <w:rsid w:val="00A95E70"/>
    <w:rsid w:val="00AA6CB0"/>
    <w:rsid w:val="00AA7C61"/>
    <w:rsid w:val="00AB2575"/>
    <w:rsid w:val="00AC18C9"/>
    <w:rsid w:val="00AD174F"/>
    <w:rsid w:val="00AE0E86"/>
    <w:rsid w:val="00AE4C00"/>
    <w:rsid w:val="00AE6FD8"/>
    <w:rsid w:val="00AF102C"/>
    <w:rsid w:val="00AF62CB"/>
    <w:rsid w:val="00AF7710"/>
    <w:rsid w:val="00AF77CA"/>
    <w:rsid w:val="00B032A9"/>
    <w:rsid w:val="00B035BC"/>
    <w:rsid w:val="00B03BD9"/>
    <w:rsid w:val="00B0701E"/>
    <w:rsid w:val="00B07B03"/>
    <w:rsid w:val="00B1076E"/>
    <w:rsid w:val="00B1165C"/>
    <w:rsid w:val="00B12658"/>
    <w:rsid w:val="00B16DEC"/>
    <w:rsid w:val="00B20E43"/>
    <w:rsid w:val="00B21A32"/>
    <w:rsid w:val="00B2755D"/>
    <w:rsid w:val="00B309F8"/>
    <w:rsid w:val="00B33660"/>
    <w:rsid w:val="00B3492B"/>
    <w:rsid w:val="00B41C80"/>
    <w:rsid w:val="00B5269E"/>
    <w:rsid w:val="00B54735"/>
    <w:rsid w:val="00B633CD"/>
    <w:rsid w:val="00B64C39"/>
    <w:rsid w:val="00B66042"/>
    <w:rsid w:val="00B67BE9"/>
    <w:rsid w:val="00B738B9"/>
    <w:rsid w:val="00B73C2D"/>
    <w:rsid w:val="00B946E8"/>
    <w:rsid w:val="00B94B89"/>
    <w:rsid w:val="00BA2BAA"/>
    <w:rsid w:val="00BA3A6C"/>
    <w:rsid w:val="00BB14EB"/>
    <w:rsid w:val="00BB5FE2"/>
    <w:rsid w:val="00BB77F0"/>
    <w:rsid w:val="00BC6039"/>
    <w:rsid w:val="00BC65E2"/>
    <w:rsid w:val="00BC7BC0"/>
    <w:rsid w:val="00BD31CD"/>
    <w:rsid w:val="00BE0575"/>
    <w:rsid w:val="00BE700B"/>
    <w:rsid w:val="00BF33FE"/>
    <w:rsid w:val="00BF6764"/>
    <w:rsid w:val="00BF77B8"/>
    <w:rsid w:val="00C232D7"/>
    <w:rsid w:val="00C233D1"/>
    <w:rsid w:val="00C2387C"/>
    <w:rsid w:val="00C262AF"/>
    <w:rsid w:val="00C3216E"/>
    <w:rsid w:val="00C33FF3"/>
    <w:rsid w:val="00C401CC"/>
    <w:rsid w:val="00C41F88"/>
    <w:rsid w:val="00C52E30"/>
    <w:rsid w:val="00C56262"/>
    <w:rsid w:val="00C6661C"/>
    <w:rsid w:val="00C73D24"/>
    <w:rsid w:val="00C74DEC"/>
    <w:rsid w:val="00C76979"/>
    <w:rsid w:val="00C8062C"/>
    <w:rsid w:val="00C8437D"/>
    <w:rsid w:val="00C87A71"/>
    <w:rsid w:val="00C908CB"/>
    <w:rsid w:val="00C967A2"/>
    <w:rsid w:val="00CB5D95"/>
    <w:rsid w:val="00CC154E"/>
    <w:rsid w:val="00CC2D93"/>
    <w:rsid w:val="00CC43E5"/>
    <w:rsid w:val="00CD0C18"/>
    <w:rsid w:val="00CD2ABC"/>
    <w:rsid w:val="00CD542E"/>
    <w:rsid w:val="00CD77A5"/>
    <w:rsid w:val="00CD7E07"/>
    <w:rsid w:val="00CE7FE6"/>
    <w:rsid w:val="00CF2F90"/>
    <w:rsid w:val="00CF3DBB"/>
    <w:rsid w:val="00CF47F6"/>
    <w:rsid w:val="00D02E8B"/>
    <w:rsid w:val="00D0705B"/>
    <w:rsid w:val="00D116EA"/>
    <w:rsid w:val="00D11B53"/>
    <w:rsid w:val="00D23EE9"/>
    <w:rsid w:val="00D50496"/>
    <w:rsid w:val="00D5205B"/>
    <w:rsid w:val="00D521FC"/>
    <w:rsid w:val="00D5471D"/>
    <w:rsid w:val="00D54D1E"/>
    <w:rsid w:val="00D57FEF"/>
    <w:rsid w:val="00D603AB"/>
    <w:rsid w:val="00D634E5"/>
    <w:rsid w:val="00D709F8"/>
    <w:rsid w:val="00D718FC"/>
    <w:rsid w:val="00D75DBC"/>
    <w:rsid w:val="00D87459"/>
    <w:rsid w:val="00D92327"/>
    <w:rsid w:val="00D92369"/>
    <w:rsid w:val="00D960C5"/>
    <w:rsid w:val="00DA2385"/>
    <w:rsid w:val="00DA4159"/>
    <w:rsid w:val="00DA4FBD"/>
    <w:rsid w:val="00DB7EF7"/>
    <w:rsid w:val="00DC129B"/>
    <w:rsid w:val="00DC4BE1"/>
    <w:rsid w:val="00DC68B9"/>
    <w:rsid w:val="00DD24BD"/>
    <w:rsid w:val="00DD2BB1"/>
    <w:rsid w:val="00DD37E1"/>
    <w:rsid w:val="00DE6F2D"/>
    <w:rsid w:val="00DF6020"/>
    <w:rsid w:val="00E00BA0"/>
    <w:rsid w:val="00E0145A"/>
    <w:rsid w:val="00E025BE"/>
    <w:rsid w:val="00E0655D"/>
    <w:rsid w:val="00E16736"/>
    <w:rsid w:val="00E17FD5"/>
    <w:rsid w:val="00E35EF8"/>
    <w:rsid w:val="00E44617"/>
    <w:rsid w:val="00E46460"/>
    <w:rsid w:val="00E505F1"/>
    <w:rsid w:val="00E51A78"/>
    <w:rsid w:val="00E527DD"/>
    <w:rsid w:val="00E52EA1"/>
    <w:rsid w:val="00E560F8"/>
    <w:rsid w:val="00E56874"/>
    <w:rsid w:val="00E601E2"/>
    <w:rsid w:val="00E62B5F"/>
    <w:rsid w:val="00E677F2"/>
    <w:rsid w:val="00E70B6A"/>
    <w:rsid w:val="00E71D88"/>
    <w:rsid w:val="00E73051"/>
    <w:rsid w:val="00E7616B"/>
    <w:rsid w:val="00E942F3"/>
    <w:rsid w:val="00E96EF0"/>
    <w:rsid w:val="00E97FC5"/>
    <w:rsid w:val="00EA04E8"/>
    <w:rsid w:val="00EA14BA"/>
    <w:rsid w:val="00EA35A4"/>
    <w:rsid w:val="00EB12F7"/>
    <w:rsid w:val="00EB53B0"/>
    <w:rsid w:val="00EB56DC"/>
    <w:rsid w:val="00EB7057"/>
    <w:rsid w:val="00EC122D"/>
    <w:rsid w:val="00EC5212"/>
    <w:rsid w:val="00EC772A"/>
    <w:rsid w:val="00ED5B22"/>
    <w:rsid w:val="00ED5E15"/>
    <w:rsid w:val="00ED6B18"/>
    <w:rsid w:val="00EE38A3"/>
    <w:rsid w:val="00EE71C9"/>
    <w:rsid w:val="00EF0B8D"/>
    <w:rsid w:val="00EF2BD5"/>
    <w:rsid w:val="00EF5FA0"/>
    <w:rsid w:val="00F12905"/>
    <w:rsid w:val="00F13B04"/>
    <w:rsid w:val="00F14C43"/>
    <w:rsid w:val="00F2342D"/>
    <w:rsid w:val="00F30C84"/>
    <w:rsid w:val="00F3334F"/>
    <w:rsid w:val="00F417F7"/>
    <w:rsid w:val="00F436BA"/>
    <w:rsid w:val="00F4702C"/>
    <w:rsid w:val="00F549FE"/>
    <w:rsid w:val="00F64548"/>
    <w:rsid w:val="00F80498"/>
    <w:rsid w:val="00F8530D"/>
    <w:rsid w:val="00F9154C"/>
    <w:rsid w:val="00F96070"/>
    <w:rsid w:val="00F97433"/>
    <w:rsid w:val="00FA0F2C"/>
    <w:rsid w:val="00FA125F"/>
    <w:rsid w:val="00FA1E52"/>
    <w:rsid w:val="00FA6C67"/>
    <w:rsid w:val="00FB0410"/>
    <w:rsid w:val="00FB0E6E"/>
    <w:rsid w:val="00FC3629"/>
    <w:rsid w:val="00FC422E"/>
    <w:rsid w:val="00FC5DC1"/>
    <w:rsid w:val="00FC6910"/>
    <w:rsid w:val="00FC7166"/>
    <w:rsid w:val="00FD5F54"/>
    <w:rsid w:val="00FD63D9"/>
    <w:rsid w:val="00FD6F8E"/>
    <w:rsid w:val="00FE168C"/>
    <w:rsid w:val="00FE2D63"/>
    <w:rsid w:val="00FE5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1B18"/>
  <w15:docId w15:val="{EFC9B6A5-A01A-4434-936F-4F415B4B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629"/>
    <w:rPr>
      <w:rFonts w:asciiTheme="minorHAnsi" w:hAnsiTheme="minorHAnsi" w:cstheme="minorBidi"/>
      <w:color w:val="auto"/>
      <w:sz w:val="22"/>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27B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7B30"/>
    <w:rPr>
      <w:rFonts w:asciiTheme="minorHAnsi" w:hAnsiTheme="minorHAnsi" w:cstheme="minorBidi"/>
      <w:color w:val="auto"/>
      <w:sz w:val="20"/>
      <w:szCs w:val="20"/>
      <w:lang w:val="en-US"/>
    </w:rPr>
  </w:style>
  <w:style w:type="character" w:styleId="Odwoanieprzypisudolnego">
    <w:name w:val="footnote reference"/>
    <w:basedOn w:val="Domylnaczcionkaakapitu"/>
    <w:uiPriority w:val="99"/>
    <w:semiHidden/>
    <w:unhideWhenUsed/>
    <w:rsid w:val="00627B30"/>
    <w:rPr>
      <w:vertAlign w:val="superscript"/>
    </w:rPr>
  </w:style>
  <w:style w:type="paragraph" w:styleId="Akapitzlist">
    <w:name w:val="List Paragraph"/>
    <w:aliases w:val="Раздел,List Paragraph"/>
    <w:basedOn w:val="Normalny"/>
    <w:uiPriority w:val="99"/>
    <w:rsid w:val="00330F23"/>
    <w:pPr>
      <w:ind w:left="720"/>
      <w:contextualSpacing/>
    </w:pPr>
  </w:style>
  <w:style w:type="character" w:styleId="Hipercze">
    <w:name w:val="Hyperlink"/>
    <w:basedOn w:val="Domylnaczcionkaakapitu"/>
    <w:uiPriority w:val="99"/>
    <w:unhideWhenUsed/>
    <w:rsid w:val="00330F23"/>
    <w:rPr>
      <w:color w:val="0563C1" w:themeColor="hyperlink"/>
      <w:u w:val="single"/>
    </w:rPr>
  </w:style>
  <w:style w:type="character" w:styleId="Uwydatnienie">
    <w:name w:val="Emphasis"/>
    <w:basedOn w:val="Domylnaczcionkaakapitu"/>
    <w:uiPriority w:val="20"/>
    <w:qFormat/>
    <w:rsid w:val="00ED6B18"/>
    <w:rPr>
      <w:i/>
      <w:iCs/>
    </w:rPr>
  </w:style>
  <w:style w:type="character" w:customStyle="1" w:styleId="html-italic">
    <w:name w:val="html-italic"/>
    <w:basedOn w:val="Domylnaczcionkaakapitu"/>
    <w:rsid w:val="00ED6B18"/>
  </w:style>
  <w:style w:type="table" w:styleId="Tabela-Siatka">
    <w:name w:val="Table Grid"/>
    <w:basedOn w:val="Standardowy"/>
    <w:uiPriority w:val="59"/>
    <w:rsid w:val="0090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Normalny"/>
    <w:rsid w:val="0097205C"/>
    <w:pPr>
      <w:spacing w:before="100" w:beforeAutospacing="1" w:after="100" w:afterAutospacing="1"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CC2D93"/>
    <w:rPr>
      <w:sz w:val="16"/>
      <w:szCs w:val="16"/>
    </w:rPr>
  </w:style>
  <w:style w:type="paragraph" w:styleId="Tekstkomentarza">
    <w:name w:val="annotation text"/>
    <w:basedOn w:val="Normalny"/>
    <w:link w:val="TekstkomentarzaZnak"/>
    <w:uiPriority w:val="99"/>
    <w:semiHidden/>
    <w:unhideWhenUsed/>
    <w:rsid w:val="00CC2D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2D93"/>
    <w:rPr>
      <w:rFonts w:asciiTheme="minorHAnsi" w:hAnsiTheme="minorHAnsi" w:cstheme="minorBidi"/>
      <w:color w:val="auto"/>
      <w:sz w:val="20"/>
      <w:szCs w:val="20"/>
      <w:lang w:val="en-US"/>
    </w:rPr>
  </w:style>
  <w:style w:type="paragraph" w:styleId="Tematkomentarza">
    <w:name w:val="annotation subject"/>
    <w:basedOn w:val="Tekstkomentarza"/>
    <w:next w:val="Tekstkomentarza"/>
    <w:link w:val="TematkomentarzaZnak"/>
    <w:uiPriority w:val="99"/>
    <w:semiHidden/>
    <w:unhideWhenUsed/>
    <w:rsid w:val="00CC2D93"/>
    <w:rPr>
      <w:b/>
      <w:bCs/>
    </w:rPr>
  </w:style>
  <w:style w:type="character" w:customStyle="1" w:styleId="TematkomentarzaZnak">
    <w:name w:val="Temat komentarza Znak"/>
    <w:basedOn w:val="TekstkomentarzaZnak"/>
    <w:link w:val="Tematkomentarza"/>
    <w:uiPriority w:val="99"/>
    <w:semiHidden/>
    <w:rsid w:val="00CC2D93"/>
    <w:rPr>
      <w:rFonts w:asciiTheme="minorHAnsi" w:hAnsiTheme="minorHAnsi" w:cstheme="minorBidi"/>
      <w:b/>
      <w:bCs/>
      <w:color w:val="auto"/>
      <w:sz w:val="20"/>
      <w:szCs w:val="20"/>
      <w:lang w:val="en-US"/>
    </w:rPr>
  </w:style>
  <w:style w:type="character" w:customStyle="1" w:styleId="1">
    <w:name w:val="Незакрита згадка1"/>
    <w:rsid w:val="00CC2D93"/>
    <w:rPr>
      <w:color w:val="605E5C"/>
      <w:w w:val="100"/>
      <w:position w:val="-1"/>
      <w:effect w:val="none"/>
      <w:shd w:val="clear" w:color="auto" w:fill="E1DFDD"/>
      <w:vertAlign w:val="baseline"/>
      <w:cs w:val="0"/>
      <w:em w:val="none"/>
    </w:rPr>
  </w:style>
  <w:style w:type="paragraph" w:styleId="Tekstdymka">
    <w:name w:val="Balloon Text"/>
    <w:basedOn w:val="Normalny"/>
    <w:link w:val="TekstdymkaZnak"/>
    <w:uiPriority w:val="99"/>
    <w:semiHidden/>
    <w:unhideWhenUsed/>
    <w:rsid w:val="00D603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3AB"/>
    <w:rPr>
      <w:rFonts w:ascii="Segoe UI" w:hAnsi="Segoe UI" w:cs="Segoe UI"/>
      <w:color w:val="auto"/>
      <w:sz w:val="18"/>
      <w:szCs w:val="18"/>
      <w:lang w:val="en-US"/>
    </w:rPr>
  </w:style>
  <w:style w:type="character" w:customStyle="1" w:styleId="10">
    <w:name w:val="Неразрешенное упоминание1"/>
    <w:basedOn w:val="Domylnaczcionkaakapitu"/>
    <w:uiPriority w:val="99"/>
    <w:semiHidden/>
    <w:unhideWhenUsed/>
    <w:rsid w:val="00CD7E07"/>
    <w:rPr>
      <w:color w:val="605E5C"/>
      <w:shd w:val="clear" w:color="auto" w:fill="E1DFDD"/>
    </w:rPr>
  </w:style>
  <w:style w:type="character" w:styleId="UyteHipercze">
    <w:name w:val="FollowedHyperlink"/>
    <w:basedOn w:val="Domylnaczcionkaakapitu"/>
    <w:uiPriority w:val="99"/>
    <w:semiHidden/>
    <w:unhideWhenUsed/>
    <w:rsid w:val="0058263D"/>
    <w:rPr>
      <w:color w:val="954F72" w:themeColor="followedHyperlink"/>
      <w:u w:val="single"/>
    </w:rPr>
  </w:style>
  <w:style w:type="character" w:customStyle="1" w:styleId="2">
    <w:name w:val="Незакрита згадка2"/>
    <w:basedOn w:val="Domylnaczcionkaakapitu"/>
    <w:uiPriority w:val="99"/>
    <w:semiHidden/>
    <w:unhideWhenUsed/>
    <w:rsid w:val="005D62FD"/>
    <w:rPr>
      <w:color w:val="605E5C"/>
      <w:shd w:val="clear" w:color="auto" w:fill="E1DFDD"/>
    </w:rPr>
  </w:style>
  <w:style w:type="paragraph" w:customStyle="1" w:styleId="Rab1">
    <w:name w:val="R_ab1"/>
    <w:next w:val="Normalny"/>
    <w:autoRedefine/>
    <w:qFormat/>
    <w:rsid w:val="00CF47F6"/>
    <w:pPr>
      <w:suppressAutoHyphens/>
      <w:spacing w:before="120" w:after="0" w:line="240" w:lineRule="auto"/>
      <w:ind w:left="567" w:right="567"/>
      <w:jc w:val="both"/>
    </w:pPr>
    <w:rPr>
      <w:rFonts w:eastAsia="SimSun"/>
      <w:color w:val="auto"/>
      <w:kern w:val="2"/>
      <w:sz w:val="18"/>
      <w:szCs w:val="20"/>
      <w:lang w:val="en-GB" w:eastAsia="pl-PL"/>
      <w14:ligatures w14:val="standardContextual"/>
    </w:rPr>
  </w:style>
  <w:style w:type="paragraph" w:customStyle="1" w:styleId="Rab2">
    <w:name w:val="R_ab2"/>
    <w:basedOn w:val="Rab1"/>
    <w:next w:val="Normalny"/>
    <w:autoRedefine/>
    <w:qFormat/>
    <w:rsid w:val="00E0145A"/>
    <w:pPr>
      <w:spacing w:before="60"/>
      <w:jc w:val="left"/>
    </w:pPr>
  </w:style>
  <w:style w:type="paragraph" w:customStyle="1" w:styleId="Rafiliacja">
    <w:name w:val="R_afiliacja"/>
    <w:basedOn w:val="Normalny"/>
    <w:link w:val="RafiliacjaZnak"/>
    <w:qFormat/>
    <w:rsid w:val="00CF47F6"/>
    <w:pPr>
      <w:suppressAutoHyphens/>
      <w:spacing w:after="0" w:line="240" w:lineRule="auto"/>
      <w:jc w:val="center"/>
    </w:pPr>
    <w:rPr>
      <w:rFonts w:ascii="Times New Roman" w:hAnsi="Times New Roman" w:cs="Times New Roman"/>
      <w:i/>
      <w:kern w:val="2"/>
      <w:sz w:val="20"/>
      <w:szCs w:val="28"/>
      <w:lang w:val="pl-PL"/>
      <w14:ligatures w14:val="standardContextual"/>
    </w:rPr>
  </w:style>
  <w:style w:type="character" w:customStyle="1" w:styleId="RafiliacjaZnak">
    <w:name w:val="R_afiliacja Znak"/>
    <w:basedOn w:val="Domylnaczcionkaakapitu"/>
    <w:link w:val="Rafiliacja"/>
    <w:rsid w:val="00CF47F6"/>
    <w:rPr>
      <w:i/>
      <w:color w:val="auto"/>
      <w:kern w:val="2"/>
      <w:sz w:val="20"/>
      <w:lang w:val="pl-PL"/>
      <w14:ligatures w14:val="standardContextual"/>
    </w:rPr>
  </w:style>
  <w:style w:type="paragraph" w:customStyle="1" w:styleId="Rauco">
    <w:name w:val="R_au_co"/>
    <w:basedOn w:val="Rafiliacja"/>
    <w:autoRedefine/>
    <w:qFormat/>
    <w:rsid w:val="00CF47F6"/>
    <w:pPr>
      <w:spacing w:before="120"/>
    </w:pPr>
    <w:rPr>
      <w:lang w:val="en-GB"/>
    </w:rPr>
  </w:style>
  <w:style w:type="paragraph" w:customStyle="1" w:styleId="Rn1">
    <w:name w:val="R_n1"/>
    <w:basedOn w:val="Normalny"/>
    <w:link w:val="Rn1Znak"/>
    <w:qFormat/>
    <w:rsid w:val="00CF47F6"/>
    <w:pPr>
      <w:suppressAutoHyphens/>
      <w:spacing w:before="240" w:after="120" w:line="240" w:lineRule="auto"/>
      <w:jc w:val="both"/>
    </w:pPr>
    <w:rPr>
      <w:rFonts w:ascii="Times New Roman" w:hAnsi="Times New Roman"/>
      <w:b/>
      <w:kern w:val="2"/>
      <w:sz w:val="24"/>
      <w:lang w:val="pl-PL"/>
      <w14:ligatures w14:val="standardContextual"/>
    </w:rPr>
  </w:style>
  <w:style w:type="character" w:customStyle="1" w:styleId="Rn1Znak">
    <w:name w:val="R_n1 Znak"/>
    <w:basedOn w:val="Domylnaczcionkaakapitu"/>
    <w:link w:val="Rn1"/>
    <w:rsid w:val="00CF47F6"/>
    <w:rPr>
      <w:rFonts w:cstheme="minorBidi"/>
      <w:b/>
      <w:color w:val="auto"/>
      <w:kern w:val="2"/>
      <w:sz w:val="24"/>
      <w:szCs w:val="22"/>
      <w:lang w:val="pl-PL"/>
      <w14:ligatures w14:val="standardContextual"/>
    </w:rPr>
  </w:style>
  <w:style w:type="paragraph" w:customStyle="1" w:styleId="Rn2">
    <w:name w:val="R_n2"/>
    <w:basedOn w:val="Rn1"/>
    <w:link w:val="Rn2Znak"/>
    <w:qFormat/>
    <w:rsid w:val="00CF47F6"/>
    <w:pPr>
      <w:spacing w:before="120"/>
      <w:jc w:val="left"/>
    </w:pPr>
    <w:rPr>
      <w:sz w:val="22"/>
    </w:rPr>
  </w:style>
  <w:style w:type="character" w:customStyle="1" w:styleId="Rn2Znak">
    <w:name w:val="R_n2 Znak"/>
    <w:link w:val="Rn2"/>
    <w:rsid w:val="00CF47F6"/>
    <w:rPr>
      <w:rFonts w:cstheme="minorBidi"/>
      <w:b/>
      <w:color w:val="auto"/>
      <w:kern w:val="2"/>
      <w:sz w:val="22"/>
      <w:szCs w:val="22"/>
      <w:lang w:val="pl-PL"/>
      <w14:ligatures w14:val="standardContextual"/>
    </w:rPr>
  </w:style>
  <w:style w:type="paragraph" w:customStyle="1" w:styleId="Rtytu">
    <w:name w:val="R_tytuł"/>
    <w:basedOn w:val="Rn2"/>
    <w:link w:val="RtytuZnak"/>
    <w:autoRedefine/>
    <w:qFormat/>
    <w:rsid w:val="00CF47F6"/>
    <w:pPr>
      <w:spacing w:before="240" w:after="0"/>
      <w:jc w:val="center"/>
    </w:pPr>
    <w:rPr>
      <w:sz w:val="24"/>
    </w:rPr>
  </w:style>
  <w:style w:type="character" w:customStyle="1" w:styleId="RtytuZnak">
    <w:name w:val="R_tytuł Znak"/>
    <w:basedOn w:val="Rn2Znak"/>
    <w:link w:val="Rtytu"/>
    <w:rsid w:val="00CF47F6"/>
    <w:rPr>
      <w:rFonts w:cstheme="minorBidi"/>
      <w:b/>
      <w:color w:val="auto"/>
      <w:kern w:val="2"/>
      <w:sz w:val="24"/>
      <w:szCs w:val="22"/>
      <w:lang w:val="pl-PL"/>
      <w14:ligatures w14:val="standardContextual"/>
    </w:rPr>
  </w:style>
  <w:style w:type="paragraph" w:customStyle="1" w:styleId="Rautor">
    <w:name w:val="R_autor"/>
    <w:basedOn w:val="Rtytu"/>
    <w:link w:val="RautorZnak"/>
    <w:autoRedefine/>
    <w:qFormat/>
    <w:rsid w:val="00CF47F6"/>
    <w:pPr>
      <w:spacing w:before="120"/>
    </w:pPr>
    <w:rPr>
      <w:rFonts w:eastAsia="Calibri" w:cs="Times New Roman"/>
      <w:b w:val="0"/>
      <w:i/>
      <w:szCs w:val="28"/>
    </w:rPr>
  </w:style>
  <w:style w:type="character" w:customStyle="1" w:styleId="RautorZnak">
    <w:name w:val="R_autor Znak"/>
    <w:link w:val="Rautor"/>
    <w:rsid w:val="00CF47F6"/>
    <w:rPr>
      <w:rFonts w:eastAsia="Calibri"/>
      <w:i/>
      <w:color w:val="auto"/>
      <w:kern w:val="2"/>
      <w:sz w:val="24"/>
      <w:lang w:val="pl-PL"/>
      <w14:ligatures w14:val="standardContextual"/>
    </w:rPr>
  </w:style>
  <w:style w:type="paragraph" w:customStyle="1" w:styleId="Rlit">
    <w:name w:val="R_lit"/>
    <w:basedOn w:val="Normalny"/>
    <w:link w:val="RlitZnak"/>
    <w:qFormat/>
    <w:rsid w:val="00CF47F6"/>
    <w:pPr>
      <w:spacing w:after="0" w:line="240" w:lineRule="auto"/>
      <w:ind w:left="425" w:hanging="425"/>
      <w:jc w:val="both"/>
    </w:pPr>
    <w:rPr>
      <w:rFonts w:ascii="Times New Roman" w:eastAsia="Times New Roman" w:hAnsi="Times New Roman" w:cs="Times New Roman"/>
      <w:kern w:val="2"/>
      <w:sz w:val="20"/>
      <w:szCs w:val="20"/>
      <w:lang w:eastAsia="pl-PL"/>
      <w14:ligatures w14:val="standardContextual"/>
    </w:rPr>
  </w:style>
  <w:style w:type="character" w:customStyle="1" w:styleId="RlitZnak">
    <w:name w:val="R_lit Znak"/>
    <w:basedOn w:val="Domylnaczcionkaakapitu"/>
    <w:link w:val="Rlit"/>
    <w:rsid w:val="00CF47F6"/>
    <w:rPr>
      <w:rFonts w:eastAsia="Times New Roman"/>
      <w:color w:val="auto"/>
      <w:kern w:val="2"/>
      <w:sz w:val="20"/>
      <w:szCs w:val="20"/>
      <w:lang w:val="en-US" w:eastAsia="pl-PL"/>
      <w14:ligatures w14:val="standardContextual"/>
    </w:rPr>
  </w:style>
  <w:style w:type="paragraph" w:customStyle="1" w:styleId="Rtab">
    <w:name w:val="R_tab"/>
    <w:basedOn w:val="Normalny"/>
    <w:link w:val="RtabZnak"/>
    <w:qFormat/>
    <w:rsid w:val="00CF47F6"/>
    <w:pPr>
      <w:suppressAutoHyphens/>
      <w:spacing w:after="120" w:line="240" w:lineRule="auto"/>
    </w:pPr>
    <w:rPr>
      <w:rFonts w:ascii="Times New Roman" w:hAnsi="Times New Roman"/>
      <w:kern w:val="2"/>
      <w:sz w:val="20"/>
      <w:lang w:val="pl-PL"/>
      <w14:ligatures w14:val="standardContextual"/>
    </w:rPr>
  </w:style>
  <w:style w:type="character" w:customStyle="1" w:styleId="RtabZnak">
    <w:name w:val="R_tab Znak"/>
    <w:basedOn w:val="Domylnaczcionkaakapitu"/>
    <w:link w:val="Rtab"/>
    <w:rsid w:val="00CF47F6"/>
    <w:rPr>
      <w:rFonts w:cstheme="minorBidi"/>
      <w:color w:val="auto"/>
      <w:kern w:val="2"/>
      <w:sz w:val="20"/>
      <w:szCs w:val="22"/>
      <w:lang w:val="pl-PL"/>
      <w14:ligatures w14:val="standardContextual"/>
    </w:rPr>
  </w:style>
  <w:style w:type="paragraph" w:customStyle="1" w:styleId="Rn3">
    <w:name w:val="R_n3"/>
    <w:basedOn w:val="Rtab"/>
    <w:link w:val="Rn3Znak"/>
    <w:autoRedefine/>
    <w:qFormat/>
    <w:rsid w:val="00CF47F6"/>
    <w:pPr>
      <w:spacing w:before="120"/>
      <w:jc w:val="both"/>
    </w:pPr>
    <w:rPr>
      <w:i/>
    </w:rPr>
  </w:style>
  <w:style w:type="character" w:customStyle="1" w:styleId="Rn3Znak">
    <w:name w:val="R_n3 Znak"/>
    <w:basedOn w:val="RtabZnak"/>
    <w:link w:val="Rn3"/>
    <w:rsid w:val="00CF47F6"/>
    <w:rPr>
      <w:rFonts w:cstheme="minorBidi"/>
      <w:i/>
      <w:color w:val="auto"/>
      <w:kern w:val="2"/>
      <w:sz w:val="20"/>
      <w:szCs w:val="22"/>
      <w:lang w:val="pl-PL"/>
      <w14:ligatures w14:val="standardContextual"/>
    </w:rPr>
  </w:style>
  <w:style w:type="paragraph" w:customStyle="1" w:styleId="Rrys">
    <w:name w:val="R_rys"/>
    <w:basedOn w:val="Rafiliacja"/>
    <w:link w:val="RrysZnak"/>
    <w:qFormat/>
    <w:rsid w:val="00CF47F6"/>
    <w:pPr>
      <w:spacing w:before="120"/>
      <w:jc w:val="left"/>
    </w:pPr>
    <w:rPr>
      <w:i w:val="0"/>
    </w:rPr>
  </w:style>
  <w:style w:type="character" w:customStyle="1" w:styleId="RrysZnak">
    <w:name w:val="R_rys Znak"/>
    <w:basedOn w:val="RafiliacjaZnak"/>
    <w:link w:val="Rrys"/>
    <w:rsid w:val="00CF47F6"/>
    <w:rPr>
      <w:i w:val="0"/>
      <w:color w:val="auto"/>
      <w:kern w:val="2"/>
      <w:sz w:val="20"/>
      <w:lang w:val="pl-PL"/>
      <w14:ligatures w14:val="standardContextual"/>
    </w:rPr>
  </w:style>
  <w:style w:type="paragraph" w:styleId="Nagwek">
    <w:name w:val="header"/>
    <w:basedOn w:val="Normalny"/>
    <w:link w:val="NagwekZnak"/>
    <w:uiPriority w:val="99"/>
    <w:unhideWhenUsed/>
    <w:rsid w:val="004075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5ED"/>
    <w:rPr>
      <w:rFonts w:asciiTheme="minorHAnsi" w:hAnsiTheme="minorHAnsi" w:cstheme="minorBidi"/>
      <w:color w:val="auto"/>
      <w:sz w:val="22"/>
      <w:szCs w:val="22"/>
      <w:lang w:val="en-US"/>
    </w:rPr>
  </w:style>
  <w:style w:type="paragraph" w:styleId="Stopka">
    <w:name w:val="footer"/>
    <w:basedOn w:val="Normalny"/>
    <w:link w:val="StopkaZnak"/>
    <w:uiPriority w:val="99"/>
    <w:unhideWhenUsed/>
    <w:rsid w:val="004075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5ED"/>
    <w:rPr>
      <w:rFonts w:asciiTheme="minorHAnsi" w:hAnsiTheme="minorHAnsi" w:cstheme="minorBidi"/>
      <w:color w:val="auto"/>
      <w:sz w:val="22"/>
      <w:szCs w:val="22"/>
      <w:lang w:val="en-US"/>
    </w:rPr>
  </w:style>
  <w:style w:type="paragraph" w:styleId="Bibliografia">
    <w:name w:val="Bibliography"/>
    <w:basedOn w:val="Normalny"/>
    <w:next w:val="Normalny"/>
    <w:uiPriority w:val="37"/>
    <w:semiHidden/>
    <w:unhideWhenUsed/>
    <w:rsid w:val="00F30C84"/>
  </w:style>
  <w:style w:type="character" w:customStyle="1" w:styleId="highlight-module1p2so">
    <w:name w:val="highlight-module__1p2so"/>
    <w:rsid w:val="003526CE"/>
  </w:style>
  <w:style w:type="character" w:customStyle="1" w:styleId="Nierozpoznanawzmianka1">
    <w:name w:val="Nierozpoznana wzmianka1"/>
    <w:basedOn w:val="Domylnaczcionkaakapitu"/>
    <w:uiPriority w:val="99"/>
    <w:semiHidden/>
    <w:unhideWhenUsed/>
    <w:rsid w:val="007D55C9"/>
    <w:rPr>
      <w:color w:val="605E5C"/>
      <w:shd w:val="clear" w:color="auto" w:fill="E1DFDD"/>
    </w:rPr>
  </w:style>
  <w:style w:type="character" w:styleId="Nierozpoznanawzmianka">
    <w:name w:val="Unresolved Mention"/>
    <w:basedOn w:val="Domylnaczcionkaakapitu"/>
    <w:uiPriority w:val="99"/>
    <w:semiHidden/>
    <w:unhideWhenUsed/>
    <w:rsid w:val="00DB7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1635">
      <w:bodyDiv w:val="1"/>
      <w:marLeft w:val="0"/>
      <w:marRight w:val="0"/>
      <w:marTop w:val="0"/>
      <w:marBottom w:val="0"/>
      <w:divBdr>
        <w:top w:val="none" w:sz="0" w:space="0" w:color="auto"/>
        <w:left w:val="none" w:sz="0" w:space="0" w:color="auto"/>
        <w:bottom w:val="none" w:sz="0" w:space="0" w:color="auto"/>
        <w:right w:val="none" w:sz="0" w:space="0" w:color="auto"/>
      </w:divBdr>
    </w:div>
    <w:div w:id="169373868">
      <w:bodyDiv w:val="1"/>
      <w:marLeft w:val="0"/>
      <w:marRight w:val="0"/>
      <w:marTop w:val="0"/>
      <w:marBottom w:val="0"/>
      <w:divBdr>
        <w:top w:val="none" w:sz="0" w:space="0" w:color="auto"/>
        <w:left w:val="none" w:sz="0" w:space="0" w:color="auto"/>
        <w:bottom w:val="none" w:sz="0" w:space="0" w:color="auto"/>
        <w:right w:val="none" w:sz="0" w:space="0" w:color="auto"/>
      </w:divBdr>
    </w:div>
    <w:div w:id="174732210">
      <w:bodyDiv w:val="1"/>
      <w:marLeft w:val="0"/>
      <w:marRight w:val="0"/>
      <w:marTop w:val="0"/>
      <w:marBottom w:val="0"/>
      <w:divBdr>
        <w:top w:val="none" w:sz="0" w:space="0" w:color="auto"/>
        <w:left w:val="none" w:sz="0" w:space="0" w:color="auto"/>
        <w:bottom w:val="none" w:sz="0" w:space="0" w:color="auto"/>
        <w:right w:val="none" w:sz="0" w:space="0" w:color="auto"/>
      </w:divBdr>
    </w:div>
    <w:div w:id="231889422">
      <w:bodyDiv w:val="1"/>
      <w:marLeft w:val="0"/>
      <w:marRight w:val="0"/>
      <w:marTop w:val="0"/>
      <w:marBottom w:val="0"/>
      <w:divBdr>
        <w:top w:val="none" w:sz="0" w:space="0" w:color="auto"/>
        <w:left w:val="none" w:sz="0" w:space="0" w:color="auto"/>
        <w:bottom w:val="none" w:sz="0" w:space="0" w:color="auto"/>
        <w:right w:val="none" w:sz="0" w:space="0" w:color="auto"/>
      </w:divBdr>
    </w:div>
    <w:div w:id="396322112">
      <w:bodyDiv w:val="1"/>
      <w:marLeft w:val="0"/>
      <w:marRight w:val="0"/>
      <w:marTop w:val="0"/>
      <w:marBottom w:val="0"/>
      <w:divBdr>
        <w:top w:val="none" w:sz="0" w:space="0" w:color="auto"/>
        <w:left w:val="none" w:sz="0" w:space="0" w:color="auto"/>
        <w:bottom w:val="none" w:sz="0" w:space="0" w:color="auto"/>
        <w:right w:val="none" w:sz="0" w:space="0" w:color="auto"/>
      </w:divBdr>
    </w:div>
    <w:div w:id="634482519">
      <w:bodyDiv w:val="1"/>
      <w:marLeft w:val="0"/>
      <w:marRight w:val="0"/>
      <w:marTop w:val="0"/>
      <w:marBottom w:val="0"/>
      <w:divBdr>
        <w:top w:val="none" w:sz="0" w:space="0" w:color="auto"/>
        <w:left w:val="none" w:sz="0" w:space="0" w:color="auto"/>
        <w:bottom w:val="none" w:sz="0" w:space="0" w:color="auto"/>
        <w:right w:val="none" w:sz="0" w:space="0" w:color="auto"/>
      </w:divBdr>
      <w:divsChild>
        <w:div w:id="1605116993">
          <w:marLeft w:val="0"/>
          <w:marRight w:val="0"/>
          <w:marTop w:val="15"/>
          <w:marBottom w:val="0"/>
          <w:divBdr>
            <w:top w:val="single" w:sz="48" w:space="0" w:color="auto"/>
            <w:left w:val="single" w:sz="48" w:space="0" w:color="auto"/>
            <w:bottom w:val="single" w:sz="48" w:space="0" w:color="auto"/>
            <w:right w:val="single" w:sz="48" w:space="0" w:color="auto"/>
          </w:divBdr>
          <w:divsChild>
            <w:div w:id="1947929810">
              <w:marLeft w:val="0"/>
              <w:marRight w:val="0"/>
              <w:marTop w:val="0"/>
              <w:marBottom w:val="0"/>
              <w:divBdr>
                <w:top w:val="none" w:sz="0" w:space="0" w:color="auto"/>
                <w:left w:val="none" w:sz="0" w:space="0" w:color="auto"/>
                <w:bottom w:val="none" w:sz="0" w:space="0" w:color="auto"/>
                <w:right w:val="none" w:sz="0" w:space="0" w:color="auto"/>
              </w:divBdr>
              <w:divsChild>
                <w:div w:id="733237105">
                  <w:marLeft w:val="0"/>
                  <w:marRight w:val="0"/>
                  <w:marTop w:val="0"/>
                  <w:marBottom w:val="0"/>
                  <w:divBdr>
                    <w:top w:val="none" w:sz="0" w:space="0" w:color="auto"/>
                    <w:left w:val="none" w:sz="0" w:space="0" w:color="auto"/>
                    <w:bottom w:val="none" w:sz="0" w:space="0" w:color="auto"/>
                    <w:right w:val="none" w:sz="0" w:space="0" w:color="auto"/>
                  </w:divBdr>
                </w:div>
                <w:div w:id="1151556727">
                  <w:marLeft w:val="0"/>
                  <w:marRight w:val="0"/>
                  <w:marTop w:val="0"/>
                  <w:marBottom w:val="0"/>
                  <w:divBdr>
                    <w:top w:val="none" w:sz="0" w:space="0" w:color="auto"/>
                    <w:left w:val="none" w:sz="0" w:space="0" w:color="auto"/>
                    <w:bottom w:val="none" w:sz="0" w:space="0" w:color="auto"/>
                    <w:right w:val="none" w:sz="0" w:space="0" w:color="auto"/>
                  </w:divBdr>
                </w:div>
                <w:div w:id="1447962175">
                  <w:marLeft w:val="0"/>
                  <w:marRight w:val="0"/>
                  <w:marTop w:val="0"/>
                  <w:marBottom w:val="0"/>
                  <w:divBdr>
                    <w:top w:val="none" w:sz="0" w:space="0" w:color="auto"/>
                    <w:left w:val="none" w:sz="0" w:space="0" w:color="auto"/>
                    <w:bottom w:val="none" w:sz="0" w:space="0" w:color="auto"/>
                    <w:right w:val="none" w:sz="0" w:space="0" w:color="auto"/>
                  </w:divBdr>
                </w:div>
                <w:div w:id="14846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1919">
      <w:bodyDiv w:val="1"/>
      <w:marLeft w:val="0"/>
      <w:marRight w:val="0"/>
      <w:marTop w:val="0"/>
      <w:marBottom w:val="0"/>
      <w:divBdr>
        <w:top w:val="none" w:sz="0" w:space="0" w:color="auto"/>
        <w:left w:val="none" w:sz="0" w:space="0" w:color="auto"/>
        <w:bottom w:val="none" w:sz="0" w:space="0" w:color="auto"/>
        <w:right w:val="none" w:sz="0" w:space="0" w:color="auto"/>
      </w:divBdr>
      <w:divsChild>
        <w:div w:id="940146591">
          <w:marLeft w:val="0"/>
          <w:marRight w:val="0"/>
          <w:marTop w:val="0"/>
          <w:marBottom w:val="0"/>
          <w:divBdr>
            <w:top w:val="none" w:sz="0" w:space="0" w:color="auto"/>
            <w:left w:val="none" w:sz="0" w:space="0" w:color="auto"/>
            <w:bottom w:val="none" w:sz="0" w:space="0" w:color="auto"/>
            <w:right w:val="none" w:sz="0" w:space="0" w:color="auto"/>
          </w:divBdr>
        </w:div>
        <w:div w:id="1709187184">
          <w:marLeft w:val="0"/>
          <w:marRight w:val="0"/>
          <w:marTop w:val="0"/>
          <w:marBottom w:val="0"/>
          <w:divBdr>
            <w:top w:val="none" w:sz="0" w:space="0" w:color="auto"/>
            <w:left w:val="none" w:sz="0" w:space="0" w:color="auto"/>
            <w:bottom w:val="none" w:sz="0" w:space="0" w:color="auto"/>
            <w:right w:val="none" w:sz="0" w:space="0" w:color="auto"/>
          </w:divBdr>
        </w:div>
        <w:div w:id="2022272099">
          <w:marLeft w:val="0"/>
          <w:marRight w:val="0"/>
          <w:marTop w:val="0"/>
          <w:marBottom w:val="0"/>
          <w:divBdr>
            <w:top w:val="none" w:sz="0" w:space="0" w:color="auto"/>
            <w:left w:val="none" w:sz="0" w:space="0" w:color="auto"/>
            <w:bottom w:val="none" w:sz="0" w:space="0" w:color="auto"/>
            <w:right w:val="none" w:sz="0" w:space="0" w:color="auto"/>
          </w:divBdr>
        </w:div>
      </w:divsChild>
    </w:div>
    <w:div w:id="840586947">
      <w:bodyDiv w:val="1"/>
      <w:marLeft w:val="0"/>
      <w:marRight w:val="0"/>
      <w:marTop w:val="0"/>
      <w:marBottom w:val="0"/>
      <w:divBdr>
        <w:top w:val="none" w:sz="0" w:space="0" w:color="auto"/>
        <w:left w:val="none" w:sz="0" w:space="0" w:color="auto"/>
        <w:bottom w:val="none" w:sz="0" w:space="0" w:color="auto"/>
        <w:right w:val="none" w:sz="0" w:space="0" w:color="auto"/>
      </w:divBdr>
    </w:div>
    <w:div w:id="879243635">
      <w:bodyDiv w:val="1"/>
      <w:marLeft w:val="0"/>
      <w:marRight w:val="0"/>
      <w:marTop w:val="0"/>
      <w:marBottom w:val="0"/>
      <w:divBdr>
        <w:top w:val="none" w:sz="0" w:space="0" w:color="auto"/>
        <w:left w:val="none" w:sz="0" w:space="0" w:color="auto"/>
        <w:bottom w:val="none" w:sz="0" w:space="0" w:color="auto"/>
        <w:right w:val="none" w:sz="0" w:space="0" w:color="auto"/>
      </w:divBdr>
    </w:div>
    <w:div w:id="1115830140">
      <w:bodyDiv w:val="1"/>
      <w:marLeft w:val="0"/>
      <w:marRight w:val="0"/>
      <w:marTop w:val="0"/>
      <w:marBottom w:val="0"/>
      <w:divBdr>
        <w:top w:val="none" w:sz="0" w:space="0" w:color="auto"/>
        <w:left w:val="none" w:sz="0" w:space="0" w:color="auto"/>
        <w:bottom w:val="none" w:sz="0" w:space="0" w:color="auto"/>
        <w:right w:val="none" w:sz="0" w:space="0" w:color="auto"/>
      </w:divBdr>
    </w:div>
    <w:div w:id="1293904339">
      <w:bodyDiv w:val="1"/>
      <w:marLeft w:val="0"/>
      <w:marRight w:val="0"/>
      <w:marTop w:val="0"/>
      <w:marBottom w:val="0"/>
      <w:divBdr>
        <w:top w:val="none" w:sz="0" w:space="0" w:color="auto"/>
        <w:left w:val="none" w:sz="0" w:space="0" w:color="auto"/>
        <w:bottom w:val="none" w:sz="0" w:space="0" w:color="auto"/>
        <w:right w:val="none" w:sz="0" w:space="0" w:color="auto"/>
      </w:divBdr>
      <w:divsChild>
        <w:div w:id="863060693">
          <w:marLeft w:val="0"/>
          <w:marRight w:val="0"/>
          <w:marTop w:val="0"/>
          <w:marBottom w:val="0"/>
          <w:divBdr>
            <w:top w:val="none" w:sz="0" w:space="0" w:color="auto"/>
            <w:left w:val="none" w:sz="0" w:space="0" w:color="auto"/>
            <w:bottom w:val="none" w:sz="0" w:space="0" w:color="auto"/>
            <w:right w:val="none" w:sz="0" w:space="0" w:color="auto"/>
          </w:divBdr>
        </w:div>
        <w:div w:id="1144273092">
          <w:marLeft w:val="0"/>
          <w:marRight w:val="0"/>
          <w:marTop w:val="0"/>
          <w:marBottom w:val="0"/>
          <w:divBdr>
            <w:top w:val="none" w:sz="0" w:space="0" w:color="auto"/>
            <w:left w:val="none" w:sz="0" w:space="0" w:color="auto"/>
            <w:bottom w:val="none" w:sz="0" w:space="0" w:color="auto"/>
            <w:right w:val="none" w:sz="0" w:space="0" w:color="auto"/>
          </w:divBdr>
          <w:divsChild>
            <w:div w:id="534470237">
              <w:marLeft w:val="0"/>
              <w:marRight w:val="0"/>
              <w:marTop w:val="0"/>
              <w:marBottom w:val="0"/>
              <w:divBdr>
                <w:top w:val="none" w:sz="0" w:space="0" w:color="auto"/>
                <w:left w:val="none" w:sz="0" w:space="0" w:color="auto"/>
                <w:bottom w:val="none" w:sz="0" w:space="0" w:color="auto"/>
                <w:right w:val="none" w:sz="0" w:space="0" w:color="auto"/>
              </w:divBdr>
              <w:divsChild>
                <w:div w:id="287129165">
                  <w:marLeft w:val="0"/>
                  <w:marRight w:val="0"/>
                  <w:marTop w:val="0"/>
                  <w:marBottom w:val="0"/>
                  <w:divBdr>
                    <w:top w:val="none" w:sz="0" w:space="0" w:color="auto"/>
                    <w:left w:val="none" w:sz="0" w:space="0" w:color="auto"/>
                    <w:bottom w:val="none" w:sz="0" w:space="0" w:color="auto"/>
                    <w:right w:val="none" w:sz="0" w:space="0" w:color="auto"/>
                  </w:divBdr>
                  <w:divsChild>
                    <w:div w:id="1225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49696">
          <w:marLeft w:val="0"/>
          <w:marRight w:val="0"/>
          <w:marTop w:val="100"/>
          <w:marBottom w:val="0"/>
          <w:divBdr>
            <w:top w:val="none" w:sz="0" w:space="0" w:color="auto"/>
            <w:left w:val="none" w:sz="0" w:space="0" w:color="auto"/>
            <w:bottom w:val="none" w:sz="0" w:space="0" w:color="auto"/>
            <w:right w:val="none" w:sz="0" w:space="0" w:color="auto"/>
          </w:divBdr>
          <w:divsChild>
            <w:div w:id="982852486">
              <w:marLeft w:val="0"/>
              <w:marRight w:val="0"/>
              <w:marTop w:val="0"/>
              <w:marBottom w:val="0"/>
              <w:divBdr>
                <w:top w:val="none" w:sz="0" w:space="0" w:color="auto"/>
                <w:left w:val="none" w:sz="0" w:space="0" w:color="auto"/>
                <w:bottom w:val="none" w:sz="0" w:space="0" w:color="auto"/>
                <w:right w:val="none" w:sz="0" w:space="0" w:color="auto"/>
              </w:divBdr>
            </w:div>
            <w:div w:id="1800027963">
              <w:marLeft w:val="0"/>
              <w:marRight w:val="0"/>
              <w:marTop w:val="0"/>
              <w:marBottom w:val="0"/>
              <w:divBdr>
                <w:top w:val="none" w:sz="0" w:space="0" w:color="auto"/>
                <w:left w:val="none" w:sz="0" w:space="0" w:color="auto"/>
                <w:bottom w:val="none" w:sz="0" w:space="0" w:color="auto"/>
                <w:right w:val="none" w:sz="0" w:space="0" w:color="auto"/>
              </w:divBdr>
            </w:div>
          </w:divsChild>
        </w:div>
        <w:div w:id="1340232256">
          <w:marLeft w:val="0"/>
          <w:marRight w:val="0"/>
          <w:marTop w:val="0"/>
          <w:marBottom w:val="0"/>
          <w:divBdr>
            <w:top w:val="none" w:sz="0" w:space="0" w:color="auto"/>
            <w:left w:val="none" w:sz="0" w:space="0" w:color="auto"/>
            <w:bottom w:val="none" w:sz="0" w:space="0" w:color="auto"/>
            <w:right w:val="none" w:sz="0" w:space="0" w:color="auto"/>
          </w:divBdr>
        </w:div>
        <w:div w:id="1584144084">
          <w:marLeft w:val="0"/>
          <w:marRight w:val="0"/>
          <w:marTop w:val="0"/>
          <w:marBottom w:val="0"/>
          <w:divBdr>
            <w:top w:val="none" w:sz="0" w:space="0" w:color="auto"/>
            <w:left w:val="none" w:sz="0" w:space="0" w:color="auto"/>
            <w:bottom w:val="none" w:sz="0" w:space="0" w:color="auto"/>
            <w:right w:val="none" w:sz="0" w:space="0" w:color="auto"/>
          </w:divBdr>
          <w:divsChild>
            <w:div w:id="1085616998">
              <w:marLeft w:val="0"/>
              <w:marRight w:val="0"/>
              <w:marTop w:val="0"/>
              <w:marBottom w:val="0"/>
              <w:divBdr>
                <w:top w:val="none" w:sz="0" w:space="0" w:color="auto"/>
                <w:left w:val="none" w:sz="0" w:space="0" w:color="auto"/>
                <w:bottom w:val="none" w:sz="0" w:space="0" w:color="auto"/>
                <w:right w:val="none" w:sz="0" w:space="0" w:color="auto"/>
              </w:divBdr>
              <w:divsChild>
                <w:div w:id="438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7159">
      <w:bodyDiv w:val="1"/>
      <w:marLeft w:val="0"/>
      <w:marRight w:val="0"/>
      <w:marTop w:val="0"/>
      <w:marBottom w:val="0"/>
      <w:divBdr>
        <w:top w:val="none" w:sz="0" w:space="0" w:color="auto"/>
        <w:left w:val="none" w:sz="0" w:space="0" w:color="auto"/>
        <w:bottom w:val="none" w:sz="0" w:space="0" w:color="auto"/>
        <w:right w:val="none" w:sz="0" w:space="0" w:color="auto"/>
      </w:divBdr>
    </w:div>
    <w:div w:id="1460874872">
      <w:bodyDiv w:val="1"/>
      <w:marLeft w:val="0"/>
      <w:marRight w:val="0"/>
      <w:marTop w:val="0"/>
      <w:marBottom w:val="0"/>
      <w:divBdr>
        <w:top w:val="none" w:sz="0" w:space="0" w:color="auto"/>
        <w:left w:val="none" w:sz="0" w:space="0" w:color="auto"/>
        <w:bottom w:val="none" w:sz="0" w:space="0" w:color="auto"/>
        <w:right w:val="none" w:sz="0" w:space="0" w:color="auto"/>
      </w:divBdr>
    </w:div>
    <w:div w:id="1679383165">
      <w:bodyDiv w:val="1"/>
      <w:marLeft w:val="0"/>
      <w:marRight w:val="0"/>
      <w:marTop w:val="0"/>
      <w:marBottom w:val="0"/>
      <w:divBdr>
        <w:top w:val="none" w:sz="0" w:space="0" w:color="auto"/>
        <w:left w:val="none" w:sz="0" w:space="0" w:color="auto"/>
        <w:bottom w:val="none" w:sz="0" w:space="0" w:color="auto"/>
        <w:right w:val="none" w:sz="0" w:space="0" w:color="auto"/>
      </w:divBdr>
    </w:div>
    <w:div w:id="1687513663">
      <w:bodyDiv w:val="1"/>
      <w:marLeft w:val="0"/>
      <w:marRight w:val="0"/>
      <w:marTop w:val="0"/>
      <w:marBottom w:val="0"/>
      <w:divBdr>
        <w:top w:val="none" w:sz="0" w:space="0" w:color="auto"/>
        <w:left w:val="none" w:sz="0" w:space="0" w:color="auto"/>
        <w:bottom w:val="none" w:sz="0" w:space="0" w:color="auto"/>
        <w:right w:val="none" w:sz="0" w:space="0" w:color="auto"/>
      </w:divBdr>
    </w:div>
    <w:div w:id="18839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D:\&#1044;&#1054;&#1050;&#1059;&#1052;&#1045;&#1053;&#1058;&#1048;\2025\&#1057;&#1090;&#1072;&#1090;&#1090;&#1110;\&#1057;&#1090;&#1072;&#1090;&#1090;&#1103;%20&#1057;&#1082;&#1086;&#1087;&#1091;&#1089;%20&#1057;&#1086;&#1088;&#1090;&#1080;%20&#1090;&#1074;&#1077;&#1088;&#1076;&#1072;%20&#1087;&#1096;&#1077;&#1085;&#1080;&#1094;&#1103;\&#1043;&#1088;&#1072;&#1092;&#1110;&#1082;&#1080;%20&#1055;&#1096;&#1077;&#1085;&#1080;&#1094;&#11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4;&#1054;&#1050;&#1059;&#1052;&#1045;&#1053;&#1058;&#1048;\2025\&#1057;&#1090;&#1072;&#1090;&#1090;&#1110;\&#1057;&#1090;&#1072;&#1090;&#1090;&#1103;%20&#1057;&#1082;&#1086;&#1087;&#1091;&#1089;%20&#1057;&#1086;&#1088;&#1090;&#1080;%20&#1090;&#1074;&#1077;&#1088;&#1076;&#1072;%20&#1087;&#1096;&#1077;&#1085;&#1080;&#1094;&#1103;\&#1043;&#1088;&#1072;&#1092;&#1110;&#1082;&#1080;%20&#1055;&#1096;&#1077;&#1085;&#1080;&#1094;&#11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Лист4!$C$5</c:f>
              <c:strCache>
                <c:ptCount val="1"/>
                <c:pt idx="0">
                  <c:v>2022</c:v>
                </c:pt>
              </c:strCache>
            </c:strRef>
          </c:tx>
          <c:spPr>
            <a:solidFill>
              <a:srgbClr val="0070C0"/>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Pt>
            <c:idx val="1"/>
            <c:invertIfNegative val="0"/>
            <c:bubble3D val="0"/>
            <c:spPr>
              <a:solidFill>
                <a:srgbClr val="0070C0"/>
              </a:solidFill>
              <a:ln>
                <a:solidFill>
                  <a:srgbClr val="0070C0"/>
                </a:solidFill>
              </a:ln>
            </c:spPr>
            <c:extLst>
              <c:ext xmlns:c16="http://schemas.microsoft.com/office/drawing/2014/chart" uri="{C3380CC4-5D6E-409C-BE32-E72D297353CC}">
                <c16:uniqueId val="{00000001-61A8-4CBB-91D2-1660224FC0C0}"/>
              </c:ext>
            </c:extLst>
          </c:dPt>
          <c:cat>
            <c:strRef>
              <c:f>Лист4!$D$4:$G$4</c:f>
              <c:strCache>
                <c:ptCount val="4"/>
                <c:pt idx="0">
                  <c:v>April</c:v>
                </c:pt>
                <c:pt idx="1">
                  <c:v>May</c:v>
                </c:pt>
                <c:pt idx="2">
                  <c:v>June</c:v>
                </c:pt>
                <c:pt idx="3">
                  <c:v>July</c:v>
                </c:pt>
              </c:strCache>
            </c:strRef>
          </c:cat>
          <c:val>
            <c:numRef>
              <c:f>Лист4!$D$5:$G$5</c:f>
              <c:numCache>
                <c:formatCode>General</c:formatCode>
                <c:ptCount val="4"/>
                <c:pt idx="0">
                  <c:v>107</c:v>
                </c:pt>
                <c:pt idx="1">
                  <c:v>26</c:v>
                </c:pt>
                <c:pt idx="2">
                  <c:v>155</c:v>
                </c:pt>
                <c:pt idx="3">
                  <c:v>82</c:v>
                </c:pt>
              </c:numCache>
            </c:numRef>
          </c:val>
          <c:extLst>
            <c:ext xmlns:c16="http://schemas.microsoft.com/office/drawing/2014/chart" uri="{C3380CC4-5D6E-409C-BE32-E72D297353CC}">
              <c16:uniqueId val="{00000002-61A8-4CBB-91D2-1660224FC0C0}"/>
            </c:ext>
          </c:extLst>
        </c:ser>
        <c:ser>
          <c:idx val="1"/>
          <c:order val="1"/>
          <c:tx>
            <c:strRef>
              <c:f>Лист4!$C$6</c:f>
              <c:strCache>
                <c:ptCount val="1"/>
                <c:pt idx="0">
                  <c:v>2023</c:v>
                </c:pt>
              </c:strCache>
            </c:strRef>
          </c:tx>
          <c:spPr>
            <a:solidFill>
              <a:srgbClr val="C0504D"/>
            </a:solidFill>
            <a:ln w="25400">
              <a:noFill/>
            </a:ln>
          </c:spPr>
          <c:invertIfNegative val="0"/>
          <c:cat>
            <c:strRef>
              <c:f>Лист4!$D$4:$G$4</c:f>
              <c:strCache>
                <c:ptCount val="4"/>
                <c:pt idx="0">
                  <c:v>April</c:v>
                </c:pt>
                <c:pt idx="1">
                  <c:v>May</c:v>
                </c:pt>
                <c:pt idx="2">
                  <c:v>June</c:v>
                </c:pt>
                <c:pt idx="3">
                  <c:v>July</c:v>
                </c:pt>
              </c:strCache>
            </c:strRef>
          </c:cat>
          <c:val>
            <c:numRef>
              <c:f>Лист4!$D$6:$G$6</c:f>
              <c:numCache>
                <c:formatCode>General</c:formatCode>
                <c:ptCount val="4"/>
                <c:pt idx="0">
                  <c:v>54</c:v>
                </c:pt>
                <c:pt idx="1">
                  <c:v>17</c:v>
                </c:pt>
                <c:pt idx="2">
                  <c:v>71</c:v>
                </c:pt>
                <c:pt idx="3">
                  <c:v>80</c:v>
                </c:pt>
              </c:numCache>
            </c:numRef>
          </c:val>
          <c:extLst>
            <c:ext xmlns:c16="http://schemas.microsoft.com/office/drawing/2014/chart" uri="{C3380CC4-5D6E-409C-BE32-E72D297353CC}">
              <c16:uniqueId val="{00000003-61A8-4CBB-91D2-1660224FC0C0}"/>
            </c:ext>
          </c:extLst>
        </c:ser>
        <c:ser>
          <c:idx val="2"/>
          <c:order val="2"/>
          <c:tx>
            <c:strRef>
              <c:f>Лист4!$C$7</c:f>
              <c:strCache>
                <c:ptCount val="1"/>
                <c:pt idx="0">
                  <c:v>2024</c:v>
                </c:pt>
              </c:strCache>
            </c:strRef>
          </c:tx>
          <c:spPr>
            <a:solidFill>
              <a:srgbClr val="9BBB59"/>
            </a:solidFill>
            <a:ln w="25400">
              <a:noFill/>
            </a:ln>
          </c:spPr>
          <c:invertIfNegative val="0"/>
          <c:cat>
            <c:strRef>
              <c:f>Лист4!$D$4:$G$4</c:f>
              <c:strCache>
                <c:ptCount val="4"/>
                <c:pt idx="0">
                  <c:v>April</c:v>
                </c:pt>
                <c:pt idx="1">
                  <c:v>May</c:v>
                </c:pt>
                <c:pt idx="2">
                  <c:v>June</c:v>
                </c:pt>
                <c:pt idx="3">
                  <c:v>July</c:v>
                </c:pt>
              </c:strCache>
            </c:strRef>
          </c:cat>
          <c:val>
            <c:numRef>
              <c:f>Лист4!$D$7:$G$7</c:f>
              <c:numCache>
                <c:formatCode>General</c:formatCode>
                <c:ptCount val="4"/>
                <c:pt idx="0">
                  <c:v>48</c:v>
                </c:pt>
                <c:pt idx="1">
                  <c:v>34</c:v>
                </c:pt>
                <c:pt idx="2">
                  <c:v>51</c:v>
                </c:pt>
                <c:pt idx="3">
                  <c:v>17</c:v>
                </c:pt>
              </c:numCache>
            </c:numRef>
          </c:val>
          <c:extLst>
            <c:ext xmlns:c16="http://schemas.microsoft.com/office/drawing/2014/chart" uri="{C3380CC4-5D6E-409C-BE32-E72D297353CC}">
              <c16:uniqueId val="{00000004-61A8-4CBB-91D2-1660224FC0C0}"/>
            </c:ext>
          </c:extLst>
        </c:ser>
        <c:ser>
          <c:idx val="3"/>
          <c:order val="3"/>
          <c:tx>
            <c:strRef>
              <c:f>Лист4!$C$8</c:f>
              <c:strCache>
                <c:ptCount val="1"/>
                <c:pt idx="0">
                  <c:v>Long-tear average</c:v>
                </c:pt>
              </c:strCache>
            </c:strRef>
          </c:tx>
          <c:spPr>
            <a:solidFill>
              <a:srgbClr val="8064A2"/>
            </a:solidFill>
            <a:ln w="25400">
              <a:noFill/>
            </a:ln>
          </c:spPr>
          <c:invertIfNegative val="0"/>
          <c:cat>
            <c:strRef>
              <c:f>Лист4!$D$4:$G$4</c:f>
              <c:strCache>
                <c:ptCount val="4"/>
                <c:pt idx="0">
                  <c:v>April</c:v>
                </c:pt>
                <c:pt idx="1">
                  <c:v>May</c:v>
                </c:pt>
                <c:pt idx="2">
                  <c:v>June</c:v>
                </c:pt>
                <c:pt idx="3">
                  <c:v>July</c:v>
                </c:pt>
              </c:strCache>
            </c:strRef>
          </c:cat>
          <c:val>
            <c:numRef>
              <c:f>Лист4!$D$8:$G$8</c:f>
              <c:numCache>
                <c:formatCode>General</c:formatCode>
                <c:ptCount val="4"/>
                <c:pt idx="0">
                  <c:v>40</c:v>
                </c:pt>
                <c:pt idx="1">
                  <c:v>54</c:v>
                </c:pt>
                <c:pt idx="2">
                  <c:v>67</c:v>
                </c:pt>
                <c:pt idx="3">
                  <c:v>76</c:v>
                </c:pt>
              </c:numCache>
            </c:numRef>
          </c:val>
          <c:extLst>
            <c:ext xmlns:c16="http://schemas.microsoft.com/office/drawing/2014/chart" uri="{C3380CC4-5D6E-409C-BE32-E72D297353CC}">
              <c16:uniqueId val="{00000005-61A8-4CBB-91D2-1660224FC0C0}"/>
            </c:ext>
          </c:extLst>
        </c:ser>
        <c:dLbls>
          <c:showLegendKey val="0"/>
          <c:showVal val="0"/>
          <c:showCatName val="0"/>
          <c:showSerName val="0"/>
          <c:showPercent val="0"/>
          <c:showBubbleSize val="0"/>
        </c:dLbls>
        <c:gapWidth val="219"/>
        <c:axId val="225986432"/>
        <c:axId val="225987968"/>
      </c:barChart>
      <c:catAx>
        <c:axId val="22598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latin typeface="Times New Roman" pitchFamily="18" charset="0"/>
                <a:cs typeface="Times New Roman" pitchFamily="18" charset="0"/>
              </a:defRPr>
            </a:pPr>
            <a:endParaRPr lang="pl-PL"/>
          </a:p>
        </c:txPr>
        <c:crossAx val="225987968"/>
        <c:crosses val="autoZero"/>
        <c:auto val="1"/>
        <c:lblAlgn val="ctr"/>
        <c:lblOffset val="100"/>
        <c:noMultiLvlLbl val="0"/>
      </c:catAx>
      <c:valAx>
        <c:axId val="225987968"/>
        <c:scaling>
          <c:orientation val="minMax"/>
          <c:max val="160"/>
        </c:scaling>
        <c:delete val="0"/>
        <c:axPos val="l"/>
        <c:majorGridlines>
          <c:spPr>
            <a:ln w="9525" cap="flat" cmpd="sng" algn="ctr">
              <a:solidFill>
                <a:schemeClr val="tx1">
                  <a:lumMod val="15000"/>
                  <a:lumOff val="85000"/>
                </a:schemeClr>
              </a:solidFill>
              <a:round/>
            </a:ln>
            <a:effectLst/>
          </c:spPr>
        </c:majorGridlines>
        <c:title>
          <c:tx>
            <c:rich>
              <a:bodyPr/>
              <a:lstStyle/>
              <a:p>
                <a:pPr>
                  <a:defRPr>
                    <a:latin typeface="Times New Roman" pitchFamily="18" charset="0"/>
                    <a:cs typeface="Times New Roman" pitchFamily="18" charset="0"/>
                  </a:defRPr>
                </a:pPr>
                <a:r>
                  <a:rPr lang="en-US" b="0">
                    <a:latin typeface="Times New Roman" pitchFamily="18" charset="0"/>
                    <a:cs typeface="Times New Roman" pitchFamily="18" charset="0"/>
                  </a:rPr>
                  <a:t>mm</a:t>
                </a:r>
                <a:endParaRPr lang="ru-RU" b="0">
                  <a:latin typeface="Times New Roman" pitchFamily="18" charset="0"/>
                  <a:cs typeface="Times New Roman" pitchFamily="18" charset="0"/>
                </a:endParaRPr>
              </a:p>
            </c:rich>
          </c:tx>
          <c:overlay val="0"/>
        </c:title>
        <c:numFmt formatCode="General" sourceLinked="1"/>
        <c:majorTickMark val="none"/>
        <c:minorTickMark val="none"/>
        <c:tickLblPos val="nextTo"/>
        <c:spPr>
          <a:ln w="9525">
            <a:noFill/>
          </a:ln>
        </c:spPr>
        <c:txPr>
          <a:bodyPr rot="-60000000" vert="horz"/>
          <a:lstStyle/>
          <a:p>
            <a:pPr>
              <a:defRPr>
                <a:latin typeface="Times New Roman" pitchFamily="18" charset="0"/>
                <a:cs typeface="Times New Roman" pitchFamily="18" charset="0"/>
              </a:defRPr>
            </a:pPr>
            <a:endParaRPr lang="pl-PL"/>
          </a:p>
        </c:txPr>
        <c:crossAx val="225986432"/>
        <c:crosses val="autoZero"/>
        <c:crossBetween val="between"/>
      </c:valAx>
      <c:spPr>
        <a:noFill/>
        <a:ln w="25400">
          <a:noFill/>
        </a:ln>
      </c:spPr>
    </c:plotArea>
    <c:legend>
      <c:legendPos val="b"/>
      <c:layout>
        <c:manualLayout>
          <c:xMode val="edge"/>
          <c:yMode val="edge"/>
          <c:x val="0.21608762309174659"/>
          <c:y val="0.87060210757237433"/>
          <c:w val="0.57325636019635473"/>
          <c:h val="0.10927449367336546"/>
        </c:manualLayout>
      </c:layout>
      <c:overlay val="0"/>
      <c:spPr>
        <a:noFill/>
        <a:ln w="25400">
          <a:noFill/>
        </a:ln>
      </c:spPr>
      <c:txPr>
        <a:bodyPr/>
        <a:lstStyle/>
        <a:p>
          <a:pPr>
            <a:defRPr>
              <a:latin typeface="Times New Roman" pitchFamily="18" charset="0"/>
              <a:cs typeface="Times New Roman"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089444964203543E-2"/>
          <c:y val="4.6111926220918045E-2"/>
          <c:w val="0.86966476207302235"/>
          <c:h val="0.71907340444318302"/>
        </c:manualLayout>
      </c:layout>
      <c:barChart>
        <c:barDir val="bar"/>
        <c:grouping val="clustered"/>
        <c:varyColors val="0"/>
        <c:ser>
          <c:idx val="0"/>
          <c:order val="0"/>
          <c:tx>
            <c:strRef>
              <c:f>Лист3!$B$5:$C$5</c:f>
              <c:strCache>
                <c:ptCount val="2"/>
                <c:pt idx="1">
                  <c:v>2022</c:v>
                </c:pt>
              </c:strCache>
            </c:strRef>
          </c:tx>
          <c:spPr>
            <a:solidFill>
              <a:srgbClr val="4F81BD"/>
            </a:solidFill>
            <a:ln w="25400">
              <a:noFill/>
            </a:ln>
          </c:spPr>
          <c:invertIfNegative val="0"/>
          <c:cat>
            <c:strRef>
              <c:f>Лист3!$D$4:$G$4</c:f>
              <c:strCache>
                <c:ptCount val="4"/>
                <c:pt idx="0">
                  <c:v>April</c:v>
                </c:pt>
                <c:pt idx="1">
                  <c:v>May</c:v>
                </c:pt>
                <c:pt idx="2">
                  <c:v>June</c:v>
                </c:pt>
                <c:pt idx="3">
                  <c:v>July</c:v>
                </c:pt>
              </c:strCache>
            </c:strRef>
          </c:cat>
          <c:val>
            <c:numRef>
              <c:f>Лист3!$D$5:$G$5</c:f>
              <c:numCache>
                <c:formatCode>General</c:formatCode>
                <c:ptCount val="4"/>
                <c:pt idx="0">
                  <c:v>8.3000000000000007</c:v>
                </c:pt>
                <c:pt idx="1">
                  <c:v>13.3</c:v>
                </c:pt>
                <c:pt idx="2">
                  <c:v>21</c:v>
                </c:pt>
                <c:pt idx="3">
                  <c:v>21.3</c:v>
                </c:pt>
              </c:numCache>
            </c:numRef>
          </c:val>
          <c:extLst>
            <c:ext xmlns:c16="http://schemas.microsoft.com/office/drawing/2014/chart" uri="{C3380CC4-5D6E-409C-BE32-E72D297353CC}">
              <c16:uniqueId val="{00000003-ACAF-432B-8F94-8A1CD8D48562}"/>
            </c:ext>
          </c:extLst>
        </c:ser>
        <c:ser>
          <c:idx val="1"/>
          <c:order val="1"/>
          <c:tx>
            <c:strRef>
              <c:f>Лист3!$B$6:$C$6</c:f>
              <c:strCache>
                <c:ptCount val="2"/>
                <c:pt idx="1">
                  <c:v>2023</c:v>
                </c:pt>
              </c:strCache>
            </c:strRef>
          </c:tx>
          <c:spPr>
            <a:solidFill>
              <a:srgbClr val="C0504D"/>
            </a:solidFill>
            <a:ln w="25400">
              <a:noFill/>
            </a:ln>
          </c:spPr>
          <c:invertIfNegative val="0"/>
          <c:cat>
            <c:strRef>
              <c:f>Лист3!$D$4:$G$4</c:f>
              <c:strCache>
                <c:ptCount val="4"/>
                <c:pt idx="0">
                  <c:v>April</c:v>
                </c:pt>
                <c:pt idx="1">
                  <c:v>May</c:v>
                </c:pt>
                <c:pt idx="2">
                  <c:v>June</c:v>
                </c:pt>
                <c:pt idx="3">
                  <c:v>July</c:v>
                </c:pt>
              </c:strCache>
            </c:strRef>
          </c:cat>
          <c:val>
            <c:numRef>
              <c:f>Лист3!$D$6:$G$6</c:f>
              <c:numCache>
                <c:formatCode>General</c:formatCode>
                <c:ptCount val="4"/>
                <c:pt idx="0">
                  <c:v>9.8000000000000007</c:v>
                </c:pt>
                <c:pt idx="1">
                  <c:v>15.5</c:v>
                </c:pt>
                <c:pt idx="2">
                  <c:v>19.3</c:v>
                </c:pt>
                <c:pt idx="3">
                  <c:v>21.6</c:v>
                </c:pt>
              </c:numCache>
            </c:numRef>
          </c:val>
          <c:extLst>
            <c:ext xmlns:c16="http://schemas.microsoft.com/office/drawing/2014/chart" uri="{C3380CC4-5D6E-409C-BE32-E72D297353CC}">
              <c16:uniqueId val="{00000008-ACAF-432B-8F94-8A1CD8D48562}"/>
            </c:ext>
          </c:extLst>
        </c:ser>
        <c:ser>
          <c:idx val="2"/>
          <c:order val="2"/>
          <c:tx>
            <c:strRef>
              <c:f>Лист3!$B$7:$C$7</c:f>
              <c:strCache>
                <c:ptCount val="2"/>
                <c:pt idx="1">
                  <c:v>2024</c:v>
                </c:pt>
              </c:strCache>
            </c:strRef>
          </c:tx>
          <c:spPr>
            <a:solidFill>
              <a:srgbClr val="9BBB59"/>
            </a:solidFill>
            <a:ln w="25400">
              <a:noFill/>
            </a:ln>
          </c:spPr>
          <c:invertIfNegative val="0"/>
          <c:cat>
            <c:strRef>
              <c:f>Лист3!$D$4:$G$4</c:f>
              <c:strCache>
                <c:ptCount val="4"/>
                <c:pt idx="0">
                  <c:v>April</c:v>
                </c:pt>
                <c:pt idx="1">
                  <c:v>May</c:v>
                </c:pt>
                <c:pt idx="2">
                  <c:v>June</c:v>
                </c:pt>
                <c:pt idx="3">
                  <c:v>July</c:v>
                </c:pt>
              </c:strCache>
            </c:strRef>
          </c:cat>
          <c:val>
            <c:numRef>
              <c:f>Лист3!$D$7:$G$7</c:f>
              <c:numCache>
                <c:formatCode>General</c:formatCode>
                <c:ptCount val="4"/>
                <c:pt idx="0">
                  <c:v>12.9</c:v>
                </c:pt>
                <c:pt idx="1">
                  <c:v>16</c:v>
                </c:pt>
                <c:pt idx="2">
                  <c:v>22.4</c:v>
                </c:pt>
                <c:pt idx="3">
                  <c:v>25.4</c:v>
                </c:pt>
              </c:numCache>
            </c:numRef>
          </c:val>
          <c:extLst>
            <c:ext xmlns:c16="http://schemas.microsoft.com/office/drawing/2014/chart" uri="{C3380CC4-5D6E-409C-BE32-E72D297353CC}">
              <c16:uniqueId val="{0000000C-ACAF-432B-8F94-8A1CD8D48562}"/>
            </c:ext>
          </c:extLst>
        </c:ser>
        <c:ser>
          <c:idx val="3"/>
          <c:order val="3"/>
          <c:tx>
            <c:strRef>
              <c:f>Лист3!$B$8:$C$8</c:f>
              <c:strCache>
                <c:ptCount val="2"/>
                <c:pt idx="1">
                  <c:v>Long-tear average</c:v>
                </c:pt>
              </c:strCache>
            </c:strRef>
          </c:tx>
          <c:spPr>
            <a:solidFill>
              <a:srgbClr val="8064A2"/>
            </a:solidFill>
            <a:ln w="25400">
              <a:noFill/>
            </a:ln>
          </c:spPr>
          <c:invertIfNegative val="0"/>
          <c:cat>
            <c:strRef>
              <c:f>Лист3!$D$4:$G$4</c:f>
              <c:strCache>
                <c:ptCount val="4"/>
                <c:pt idx="0">
                  <c:v>April</c:v>
                </c:pt>
                <c:pt idx="1">
                  <c:v>May</c:v>
                </c:pt>
                <c:pt idx="2">
                  <c:v>June</c:v>
                </c:pt>
                <c:pt idx="3">
                  <c:v>July</c:v>
                </c:pt>
              </c:strCache>
            </c:strRef>
          </c:cat>
          <c:val>
            <c:numRef>
              <c:f>Лист3!$D$8:$G$8</c:f>
              <c:numCache>
                <c:formatCode>General</c:formatCode>
                <c:ptCount val="4"/>
                <c:pt idx="0">
                  <c:v>8.6999999999999993</c:v>
                </c:pt>
                <c:pt idx="1">
                  <c:v>15.6</c:v>
                </c:pt>
                <c:pt idx="2">
                  <c:v>18.8</c:v>
                </c:pt>
                <c:pt idx="3">
                  <c:v>20.2</c:v>
                </c:pt>
              </c:numCache>
            </c:numRef>
          </c:val>
          <c:extLst>
            <c:ext xmlns:c16="http://schemas.microsoft.com/office/drawing/2014/chart" uri="{C3380CC4-5D6E-409C-BE32-E72D297353CC}">
              <c16:uniqueId val="{00000011-ACAF-432B-8F94-8A1CD8D48562}"/>
            </c:ext>
          </c:extLst>
        </c:ser>
        <c:dLbls>
          <c:showLegendKey val="0"/>
          <c:showVal val="0"/>
          <c:showCatName val="0"/>
          <c:showSerName val="0"/>
          <c:showPercent val="0"/>
          <c:showBubbleSize val="0"/>
        </c:dLbls>
        <c:gapWidth val="182"/>
        <c:axId val="229005568"/>
        <c:axId val="226004992"/>
      </c:barChart>
      <c:catAx>
        <c:axId val="229005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l-PL"/>
          </a:p>
        </c:txPr>
        <c:crossAx val="226004992"/>
        <c:crosses val="autoZero"/>
        <c:auto val="1"/>
        <c:lblAlgn val="ctr"/>
        <c:lblOffset val="100"/>
        <c:noMultiLvlLbl val="0"/>
      </c:catAx>
      <c:valAx>
        <c:axId val="226004992"/>
        <c:scaling>
          <c:orientation val="minMax"/>
          <c:max val="26"/>
          <c:min val="5"/>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US"/>
                  <a:t>Temperature</a:t>
                </a:r>
                <a:r>
                  <a:rPr lang="ru-RU"/>
                  <a:t>, °С</a:t>
                </a:r>
              </a:p>
            </c:rich>
          </c:tx>
          <c:overlay val="0"/>
          <c:spPr>
            <a:noFill/>
            <a:ln w="25400">
              <a:noFill/>
            </a:ln>
          </c:spPr>
        </c:title>
        <c:numFmt formatCode="General" sourceLinked="1"/>
        <c:majorTickMark val="none"/>
        <c:minorTickMark val="none"/>
        <c:tickLblPos val="nextTo"/>
        <c:spPr>
          <a:ln w="9525">
            <a:noFill/>
          </a:ln>
        </c:spPr>
        <c:txPr>
          <a:bodyPr rot="-60000000" vert="horz"/>
          <a:lstStyle/>
          <a:p>
            <a:pPr>
              <a:defRPr/>
            </a:pPr>
            <a:endParaRPr lang="pl-PL"/>
          </a:p>
        </c:txPr>
        <c:crossAx val="229005568"/>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31EB9-3848-484F-A069-14E1691B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4231</Words>
  <Characters>25392</Characters>
  <Application>Microsoft Office Word</Application>
  <DocSecurity>0</DocSecurity>
  <Lines>211</Lines>
  <Paragraphs>59</Paragraphs>
  <ScaleCrop>false</ScaleCrop>
  <HeadingPairs>
    <vt:vector size="6" baseType="variant">
      <vt:variant>
        <vt:lpstr>Tytuł</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Janusz Dabrowski NA</cp:lastModifiedBy>
  <cp:revision>21</cp:revision>
  <cp:lastPrinted>2025-05-16T09:49:00Z</cp:lastPrinted>
  <dcterms:created xsi:type="dcterms:W3CDTF">2025-05-12T08:22:00Z</dcterms:created>
  <dcterms:modified xsi:type="dcterms:W3CDTF">2025-05-19T07:32:00Z</dcterms:modified>
</cp:coreProperties>
</file>