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9326DD" w:rsidRPr="005849F2" w14:paraId="10A86CE1" w14:textId="77777777" w:rsidTr="007D3B40">
        <w:trPr>
          <w:trHeight w:hRule="exact" w:val="142"/>
        </w:trPr>
        <w:tc>
          <w:tcPr>
            <w:tcW w:w="709" w:type="dxa"/>
            <w:vMerge w:val="restart"/>
            <w:shd w:val="clear" w:color="auto" w:fill="auto"/>
            <w:vAlign w:val="center"/>
          </w:tcPr>
          <w:p w14:paraId="3DCEE426" w14:textId="77777777" w:rsidR="009326DD" w:rsidRPr="005849F2" w:rsidRDefault="009326DD" w:rsidP="007D3B40">
            <w:pPr>
              <w:rPr>
                <w:lang w:val="en-GB"/>
              </w:rPr>
            </w:pPr>
            <w:bookmarkStart w:id="0" w:name="_Hlk191369917"/>
            <w:bookmarkStart w:id="1" w:name="_Hlk145412337"/>
            <w:bookmarkStart w:id="2" w:name="_Hlk103340665"/>
            <w:bookmarkStart w:id="3" w:name="_Hlk24804592"/>
            <w:bookmarkEnd w:id="0"/>
            <w:bookmarkEnd w:id="1"/>
            <w:bookmarkEnd w:id="2"/>
            <w:r w:rsidRPr="005849F2">
              <w:rPr>
                <w:noProof/>
                <w:lang w:val="en-GB"/>
              </w:rPr>
              <w:drawing>
                <wp:anchor distT="0" distB="0" distL="114300" distR="114300" simplePos="0" relativeHeight="251666432" behindDoc="0" locked="0" layoutInCell="1" allowOverlap="1" wp14:anchorId="6AE1A972" wp14:editId="6E2E6B67">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5134E1C" w14:textId="77777777" w:rsidR="009326DD" w:rsidRPr="005849F2" w:rsidRDefault="009326DD" w:rsidP="007D3B40">
            <w:pPr>
              <w:jc w:val="center"/>
              <w:rPr>
                <w:lang w:val="en-GB"/>
              </w:rPr>
            </w:pPr>
          </w:p>
        </w:tc>
      </w:tr>
      <w:tr w:rsidR="009326DD" w:rsidRPr="005849F2" w14:paraId="00BBEB10" w14:textId="77777777" w:rsidTr="007D3B40">
        <w:trPr>
          <w:trHeight w:hRule="exact" w:val="283"/>
        </w:trPr>
        <w:tc>
          <w:tcPr>
            <w:tcW w:w="709" w:type="dxa"/>
            <w:vMerge/>
            <w:shd w:val="clear" w:color="auto" w:fill="auto"/>
          </w:tcPr>
          <w:p w14:paraId="2865AC03" w14:textId="77777777" w:rsidR="009326DD" w:rsidRPr="005849F2" w:rsidRDefault="009326DD" w:rsidP="007D3B40">
            <w:pPr>
              <w:jc w:val="center"/>
              <w:rPr>
                <w:lang w:val="en-GB"/>
              </w:rPr>
            </w:pPr>
          </w:p>
        </w:tc>
        <w:tc>
          <w:tcPr>
            <w:tcW w:w="8930" w:type="dxa"/>
            <w:gridSpan w:val="3"/>
            <w:tcBorders>
              <w:bottom w:val="single" w:sz="2" w:space="0" w:color="auto"/>
            </w:tcBorders>
            <w:shd w:val="clear" w:color="auto" w:fill="auto"/>
            <w:vAlign w:val="center"/>
          </w:tcPr>
          <w:p w14:paraId="5F84B260" w14:textId="77777777" w:rsidR="009326DD" w:rsidRPr="005849F2" w:rsidRDefault="009326DD" w:rsidP="007D3B40">
            <w:pPr>
              <w:jc w:val="center"/>
              <w:rPr>
                <w:lang w:val="en-GB"/>
              </w:rPr>
            </w:pPr>
            <w:proofErr w:type="spellStart"/>
            <w:r w:rsidRPr="005849F2">
              <w:rPr>
                <w:b/>
                <w:sz w:val="20"/>
                <w:lang w:val="en-GB"/>
              </w:rPr>
              <w:t>Rocznik</w:t>
            </w:r>
            <w:proofErr w:type="spellEnd"/>
            <w:r w:rsidRPr="005849F2">
              <w:rPr>
                <w:b/>
                <w:sz w:val="20"/>
                <w:lang w:val="en-GB"/>
              </w:rPr>
              <w:t xml:space="preserve"> </w:t>
            </w:r>
            <w:proofErr w:type="spellStart"/>
            <w:r w:rsidRPr="005849F2">
              <w:rPr>
                <w:b/>
                <w:sz w:val="20"/>
                <w:lang w:val="en-GB"/>
              </w:rPr>
              <w:t>Ochrona</w:t>
            </w:r>
            <w:proofErr w:type="spellEnd"/>
            <w:r w:rsidRPr="005849F2">
              <w:rPr>
                <w:b/>
                <w:sz w:val="20"/>
                <w:lang w:val="en-GB"/>
              </w:rPr>
              <w:t xml:space="preserve"> </w:t>
            </w:r>
            <w:proofErr w:type="spellStart"/>
            <w:r w:rsidRPr="005849F2">
              <w:rPr>
                <w:b/>
                <w:sz w:val="20"/>
                <w:lang w:val="en-GB"/>
              </w:rPr>
              <w:t>Środowiska</w:t>
            </w:r>
            <w:proofErr w:type="spellEnd"/>
          </w:p>
        </w:tc>
      </w:tr>
      <w:tr w:rsidR="009326DD" w:rsidRPr="005849F2" w14:paraId="1F616245" w14:textId="77777777" w:rsidTr="007D3B40">
        <w:trPr>
          <w:trHeight w:hRule="exact" w:val="283"/>
        </w:trPr>
        <w:tc>
          <w:tcPr>
            <w:tcW w:w="709" w:type="dxa"/>
            <w:vMerge/>
            <w:shd w:val="clear" w:color="auto" w:fill="auto"/>
          </w:tcPr>
          <w:p w14:paraId="443584A7" w14:textId="77777777" w:rsidR="009326DD" w:rsidRPr="005849F2" w:rsidRDefault="009326DD" w:rsidP="007D3B40">
            <w:pPr>
              <w:jc w:val="center"/>
              <w:rPr>
                <w:lang w:val="en-GB"/>
              </w:rPr>
            </w:pPr>
          </w:p>
        </w:tc>
        <w:tc>
          <w:tcPr>
            <w:tcW w:w="992" w:type="dxa"/>
            <w:tcBorders>
              <w:top w:val="single" w:sz="2" w:space="0" w:color="auto"/>
              <w:bottom w:val="single" w:sz="2" w:space="0" w:color="auto"/>
            </w:tcBorders>
            <w:shd w:val="clear" w:color="auto" w:fill="auto"/>
            <w:vAlign w:val="center"/>
          </w:tcPr>
          <w:p w14:paraId="542ECB37" w14:textId="77777777" w:rsidR="009326DD" w:rsidRPr="005849F2" w:rsidRDefault="009326DD" w:rsidP="007D3B40">
            <w:pPr>
              <w:rPr>
                <w:sz w:val="18"/>
                <w:szCs w:val="18"/>
                <w:lang w:val="en-GB"/>
              </w:rPr>
            </w:pPr>
            <w:r w:rsidRPr="005849F2">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2236EC67" w14:textId="77777777" w:rsidR="009326DD" w:rsidRPr="005849F2" w:rsidRDefault="009326DD" w:rsidP="007D3B40">
            <w:pPr>
              <w:tabs>
                <w:tab w:val="left" w:pos="3057"/>
              </w:tabs>
              <w:ind w:left="142"/>
              <w:rPr>
                <w:sz w:val="18"/>
                <w:szCs w:val="18"/>
                <w:lang w:val="en-GB"/>
              </w:rPr>
            </w:pPr>
            <w:r w:rsidRPr="005849F2">
              <w:rPr>
                <w:sz w:val="18"/>
                <w:szCs w:val="18"/>
                <w:lang w:val="en-GB"/>
              </w:rPr>
              <w:t>Year 2025</w:t>
            </w:r>
            <w:r w:rsidRPr="005849F2">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017E2B7" w14:textId="27CF0E9B" w:rsidR="009326DD" w:rsidRPr="005849F2" w:rsidRDefault="009326DD" w:rsidP="007D3B40">
            <w:pPr>
              <w:jc w:val="right"/>
              <w:rPr>
                <w:sz w:val="18"/>
                <w:szCs w:val="18"/>
                <w:lang w:val="en-GB"/>
              </w:rPr>
            </w:pPr>
            <w:r w:rsidRPr="005849F2">
              <w:rPr>
                <w:sz w:val="18"/>
                <w:szCs w:val="18"/>
                <w:lang w:val="en-GB"/>
              </w:rPr>
              <w:t xml:space="preserve">pp. </w:t>
            </w:r>
            <w:r w:rsidR="00326C28">
              <w:rPr>
                <w:sz w:val="18"/>
                <w:szCs w:val="18"/>
                <w:lang w:val="en-GB"/>
              </w:rPr>
              <w:t>229</w:t>
            </w:r>
            <w:r w:rsidRPr="005849F2">
              <w:rPr>
                <w:sz w:val="18"/>
                <w:szCs w:val="18"/>
                <w:lang w:val="en-GB"/>
              </w:rPr>
              <w:t>-</w:t>
            </w:r>
            <w:r w:rsidR="00326C28">
              <w:rPr>
                <w:sz w:val="18"/>
                <w:szCs w:val="18"/>
                <w:lang w:val="en-GB"/>
              </w:rPr>
              <w:t>239</w:t>
            </w:r>
          </w:p>
        </w:tc>
      </w:tr>
      <w:tr w:rsidR="009326DD" w:rsidRPr="005849F2" w14:paraId="17AA528D" w14:textId="77777777" w:rsidTr="007D3B40">
        <w:trPr>
          <w:trHeight w:hRule="exact" w:val="283"/>
        </w:trPr>
        <w:tc>
          <w:tcPr>
            <w:tcW w:w="709" w:type="dxa"/>
            <w:shd w:val="clear" w:color="auto" w:fill="auto"/>
          </w:tcPr>
          <w:p w14:paraId="7603B818" w14:textId="77777777" w:rsidR="009326DD" w:rsidRPr="005849F2" w:rsidRDefault="009326DD" w:rsidP="007D3B40">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07BA786B" w14:textId="13E24565" w:rsidR="009326DD" w:rsidRPr="005849F2" w:rsidRDefault="009326DD" w:rsidP="007D3B40">
            <w:pPr>
              <w:tabs>
                <w:tab w:val="right" w:pos="8928"/>
              </w:tabs>
              <w:rPr>
                <w:sz w:val="18"/>
                <w:szCs w:val="18"/>
                <w:lang w:val="en-GB"/>
              </w:rPr>
            </w:pPr>
            <w:r w:rsidRPr="005849F2">
              <w:rPr>
                <w:sz w:val="18"/>
                <w:szCs w:val="18"/>
                <w:lang w:val="en-GB"/>
              </w:rPr>
              <w:t>https://doi.org/10.54740/ros.2025.0</w:t>
            </w:r>
            <w:r w:rsidR="00326C28">
              <w:rPr>
                <w:sz w:val="18"/>
                <w:szCs w:val="18"/>
                <w:lang w:val="en-GB"/>
              </w:rPr>
              <w:t>19</w:t>
            </w:r>
            <w:r w:rsidRPr="005849F2">
              <w:rPr>
                <w:sz w:val="18"/>
                <w:szCs w:val="18"/>
                <w:lang w:val="en-GB"/>
              </w:rPr>
              <w:tab/>
              <w:t>open access</w:t>
            </w:r>
          </w:p>
        </w:tc>
      </w:tr>
      <w:tr w:rsidR="009326DD" w:rsidRPr="005849F2" w14:paraId="4099E48C" w14:textId="77777777" w:rsidTr="007D3B40">
        <w:trPr>
          <w:trHeight w:hRule="exact" w:val="283"/>
        </w:trPr>
        <w:tc>
          <w:tcPr>
            <w:tcW w:w="709" w:type="dxa"/>
            <w:shd w:val="clear" w:color="auto" w:fill="auto"/>
          </w:tcPr>
          <w:p w14:paraId="7C2DAF1B" w14:textId="77777777" w:rsidR="009326DD" w:rsidRPr="005849F2" w:rsidRDefault="009326DD" w:rsidP="007D3B40">
            <w:pPr>
              <w:jc w:val="center"/>
              <w:rPr>
                <w:lang w:val="en-GB"/>
              </w:rPr>
            </w:pPr>
          </w:p>
        </w:tc>
        <w:tc>
          <w:tcPr>
            <w:tcW w:w="8930" w:type="dxa"/>
            <w:gridSpan w:val="3"/>
            <w:tcBorders>
              <w:top w:val="single" w:sz="2" w:space="0" w:color="auto"/>
            </w:tcBorders>
            <w:shd w:val="clear" w:color="auto" w:fill="auto"/>
            <w:vAlign w:val="center"/>
          </w:tcPr>
          <w:p w14:paraId="7FA38E60" w14:textId="1D02C997" w:rsidR="009326DD" w:rsidRPr="005849F2" w:rsidRDefault="009326DD" w:rsidP="007D3B40">
            <w:pPr>
              <w:tabs>
                <w:tab w:val="left" w:pos="3811"/>
                <w:tab w:val="right" w:pos="8928"/>
              </w:tabs>
              <w:rPr>
                <w:sz w:val="18"/>
                <w:szCs w:val="18"/>
                <w:lang w:val="en-GB"/>
              </w:rPr>
            </w:pPr>
            <w:r w:rsidRPr="005849F2">
              <w:rPr>
                <w:sz w:val="18"/>
                <w:szCs w:val="18"/>
                <w:lang w:val="en-GB"/>
              </w:rPr>
              <w:t xml:space="preserve">Received: </w:t>
            </w:r>
            <w:r>
              <w:rPr>
                <w:sz w:val="18"/>
                <w:szCs w:val="18"/>
                <w:lang w:val="en-GB"/>
              </w:rPr>
              <w:t>March</w:t>
            </w:r>
            <w:r w:rsidRPr="005849F2">
              <w:rPr>
                <w:sz w:val="18"/>
                <w:szCs w:val="18"/>
                <w:lang w:val="en-GB"/>
              </w:rPr>
              <w:t xml:space="preserve"> 2025</w:t>
            </w:r>
            <w:r w:rsidRPr="005849F2">
              <w:rPr>
                <w:sz w:val="18"/>
                <w:szCs w:val="18"/>
                <w:lang w:val="en-GB"/>
              </w:rPr>
              <w:tab/>
              <w:t xml:space="preserve">Accepted: </w:t>
            </w:r>
            <w:r>
              <w:rPr>
                <w:sz w:val="18"/>
                <w:szCs w:val="18"/>
                <w:lang w:val="en-GB"/>
              </w:rPr>
              <w:t>April</w:t>
            </w:r>
            <w:r w:rsidRPr="005849F2">
              <w:rPr>
                <w:sz w:val="18"/>
                <w:szCs w:val="18"/>
                <w:lang w:val="en-GB"/>
              </w:rPr>
              <w:t xml:space="preserve"> 2025</w:t>
            </w:r>
            <w:r w:rsidRPr="005849F2">
              <w:rPr>
                <w:sz w:val="18"/>
                <w:szCs w:val="18"/>
                <w:lang w:val="en-GB"/>
              </w:rPr>
              <w:tab/>
              <w:t xml:space="preserve">Published: </w:t>
            </w:r>
            <w:r w:rsidR="00326C28">
              <w:rPr>
                <w:sz w:val="18"/>
                <w:szCs w:val="18"/>
                <w:lang w:val="en-GB"/>
              </w:rPr>
              <w:t>April</w:t>
            </w:r>
            <w:r w:rsidRPr="005849F2">
              <w:rPr>
                <w:sz w:val="18"/>
                <w:szCs w:val="18"/>
                <w:lang w:val="en-GB"/>
              </w:rPr>
              <w:t xml:space="preserve"> 2025</w:t>
            </w:r>
          </w:p>
        </w:tc>
      </w:tr>
    </w:tbl>
    <w:bookmarkEnd w:id="3"/>
    <w:p w14:paraId="1B716F30" w14:textId="5EB1F165" w:rsidR="006A27DC" w:rsidRPr="00B8605D" w:rsidRDefault="006A27DC" w:rsidP="003851DF">
      <w:pPr>
        <w:pStyle w:val="Rtytu"/>
        <w:rPr>
          <w:noProof/>
          <w:lang w:val="en-GB"/>
        </w:rPr>
      </w:pPr>
      <w:r w:rsidRPr="00B8605D">
        <w:rPr>
          <w:noProof/>
          <w:lang w:val="en-GB"/>
        </w:rPr>
        <w:t>GIS-Based Mapping and Spatial Modeling of Drinking Water Quality</w:t>
      </w:r>
      <w:r w:rsidR="003851DF" w:rsidRPr="00B8605D">
        <w:rPr>
          <w:noProof/>
          <w:lang w:val="en-GB"/>
        </w:rPr>
        <w:t xml:space="preserve"> </w:t>
      </w:r>
      <w:r w:rsidR="0095280A">
        <w:rPr>
          <w:noProof/>
          <w:lang w:val="en-GB"/>
        </w:rPr>
        <w:br/>
      </w:r>
      <w:r w:rsidRPr="00B8605D">
        <w:rPr>
          <w:noProof/>
          <w:lang w:val="en-GB"/>
        </w:rPr>
        <w:t>in The Capital City of Turkiye</w:t>
      </w:r>
    </w:p>
    <w:p w14:paraId="2D24B481" w14:textId="5E050ECA" w:rsidR="00415F7D" w:rsidRPr="00A1626F" w:rsidRDefault="006A27DC" w:rsidP="00A1626F">
      <w:pPr>
        <w:pStyle w:val="Rautor"/>
        <w:rPr>
          <w:vertAlign w:val="superscript"/>
        </w:rPr>
      </w:pPr>
      <w:r w:rsidRPr="00A1626F">
        <w:t>Oguzhan Arslan</w:t>
      </w:r>
      <w:r w:rsidR="00415F7D" w:rsidRPr="00A1626F">
        <w:rPr>
          <w:vertAlign w:val="superscript"/>
        </w:rPr>
        <w:t>1</w:t>
      </w:r>
      <w:r w:rsidR="00415F7D" w:rsidRPr="00A1626F">
        <w:t xml:space="preserve">, </w:t>
      </w:r>
      <w:r w:rsidR="00126BDD" w:rsidRPr="00A1626F">
        <w:t>M.</w:t>
      </w:r>
      <w:r w:rsidR="00267D26">
        <w:t xml:space="preserve"> </w:t>
      </w:r>
      <w:r w:rsidR="00126BDD" w:rsidRPr="00A1626F">
        <w:t>Cuneyt Bagdatlı</w:t>
      </w:r>
      <w:r w:rsidR="00415F7D" w:rsidRPr="00A1626F">
        <w:rPr>
          <w:vertAlign w:val="superscript"/>
        </w:rPr>
        <w:t>2*</w:t>
      </w:r>
    </w:p>
    <w:p w14:paraId="45552460" w14:textId="023101B2" w:rsidR="006D5863" w:rsidRPr="00B8605D" w:rsidRDefault="006D5863" w:rsidP="003851DF">
      <w:pPr>
        <w:pStyle w:val="Rafiliacja"/>
        <w:rPr>
          <w:noProof/>
          <w:lang w:val="en-GB"/>
        </w:rPr>
      </w:pPr>
      <w:r w:rsidRPr="00B8605D">
        <w:rPr>
          <w:noProof/>
          <w:vertAlign w:val="superscript"/>
          <w:lang w:val="en-GB"/>
        </w:rPr>
        <w:t>1</w:t>
      </w:r>
      <w:r w:rsidRPr="00B8605D">
        <w:rPr>
          <w:noProof/>
          <w:lang w:val="en-GB"/>
        </w:rPr>
        <w:t>Graduated from MSc Programme of Nevsehir Hacı Bektas Veli University,</w:t>
      </w:r>
      <w:r w:rsidR="003851DF" w:rsidRPr="00B8605D">
        <w:rPr>
          <w:noProof/>
          <w:lang w:val="en-GB"/>
        </w:rPr>
        <w:t xml:space="preserve"> </w:t>
      </w:r>
      <w:r w:rsidR="003851DF" w:rsidRPr="00B8605D">
        <w:rPr>
          <w:noProof/>
          <w:lang w:val="en-GB"/>
        </w:rPr>
        <w:br/>
      </w:r>
      <w:r w:rsidRPr="00B8605D">
        <w:rPr>
          <w:noProof/>
          <w:lang w:val="en-GB"/>
        </w:rPr>
        <w:t>Graduate School of Natural and Applied Sciences, Nevsehir, Turkiye</w:t>
      </w:r>
    </w:p>
    <w:p w14:paraId="26B5AA67" w14:textId="77777777" w:rsidR="006D5863" w:rsidRPr="00B8605D" w:rsidRDefault="006D5863" w:rsidP="003851DF">
      <w:pPr>
        <w:pStyle w:val="Rafiliacja"/>
        <w:rPr>
          <w:lang w:val="en-GB"/>
        </w:rPr>
      </w:pPr>
      <w:r w:rsidRPr="00B8605D">
        <w:rPr>
          <w:vertAlign w:val="superscript"/>
          <w:lang w:val="en-GB"/>
        </w:rPr>
        <w:t>2</w:t>
      </w:r>
      <w:r w:rsidRPr="00B8605D">
        <w:rPr>
          <w:lang w:val="en-GB"/>
        </w:rPr>
        <w:t xml:space="preserve">Department of City and Regional Planning, Faculty of Architecture, </w:t>
      </w:r>
      <w:r w:rsidRPr="00B8605D">
        <w:rPr>
          <w:lang w:val="en-GB"/>
        </w:rPr>
        <w:br/>
      </w:r>
      <w:proofErr w:type="spellStart"/>
      <w:r w:rsidRPr="00B8605D">
        <w:rPr>
          <w:lang w:val="en-GB"/>
        </w:rPr>
        <w:t>Nigde</w:t>
      </w:r>
      <w:proofErr w:type="spellEnd"/>
      <w:r w:rsidRPr="00B8605D">
        <w:rPr>
          <w:lang w:val="en-GB"/>
        </w:rPr>
        <w:t xml:space="preserve"> Omer </w:t>
      </w:r>
      <w:proofErr w:type="spellStart"/>
      <w:r w:rsidRPr="00B8605D">
        <w:rPr>
          <w:lang w:val="en-GB"/>
        </w:rPr>
        <w:t>Halisdemir</w:t>
      </w:r>
      <w:proofErr w:type="spellEnd"/>
      <w:r w:rsidRPr="00B8605D">
        <w:rPr>
          <w:lang w:val="en-GB"/>
        </w:rPr>
        <w:t xml:space="preserve"> University, </w:t>
      </w:r>
      <w:proofErr w:type="spellStart"/>
      <w:r w:rsidRPr="00B8605D">
        <w:rPr>
          <w:lang w:val="en-GB"/>
        </w:rPr>
        <w:t>Nigde</w:t>
      </w:r>
      <w:proofErr w:type="spellEnd"/>
      <w:r w:rsidRPr="00B8605D">
        <w:rPr>
          <w:lang w:val="en-GB"/>
        </w:rPr>
        <w:t xml:space="preserve">, </w:t>
      </w:r>
      <w:proofErr w:type="spellStart"/>
      <w:r w:rsidRPr="00B8605D">
        <w:rPr>
          <w:lang w:val="en-GB"/>
        </w:rPr>
        <w:t>Turkiye</w:t>
      </w:r>
      <w:proofErr w:type="spellEnd"/>
      <w:r w:rsidRPr="00B8605D">
        <w:rPr>
          <w:lang w:val="en-GB"/>
        </w:rPr>
        <w:br/>
        <w:t>https://orcid.org/0000-0003-0276-4437</w:t>
      </w:r>
    </w:p>
    <w:p w14:paraId="22570677" w14:textId="2873E6CA" w:rsidR="006D5863" w:rsidRPr="00A1626F" w:rsidRDefault="006D5863" w:rsidP="00A1626F">
      <w:pPr>
        <w:pStyle w:val="Rauco"/>
      </w:pPr>
      <w:r w:rsidRPr="00A1626F">
        <w:t>corresponding author</w:t>
      </w:r>
      <w:r w:rsidR="002004F2">
        <w:t>'</w:t>
      </w:r>
      <w:r w:rsidRPr="00A1626F">
        <w:t xml:space="preserve">s e-mail: </w:t>
      </w:r>
      <w:hyperlink r:id="rId9" w:history="1">
        <w:r w:rsidRPr="00A1626F">
          <w:rPr>
            <w:rStyle w:val="Hipercze"/>
            <w:u w:val="none"/>
          </w:rPr>
          <w:t>cuneytbagdatli@gmail.com</w:t>
        </w:r>
      </w:hyperlink>
    </w:p>
    <w:p w14:paraId="049A6805" w14:textId="7A32E85B" w:rsidR="006A27DC" w:rsidRPr="00B8605D" w:rsidRDefault="00AC5CFF" w:rsidP="003851DF">
      <w:pPr>
        <w:pStyle w:val="Rab1"/>
        <w:rPr>
          <w:b/>
          <w:noProof/>
        </w:rPr>
      </w:pPr>
      <w:r w:rsidRPr="00B8605D">
        <w:rPr>
          <w:b/>
          <w:bCs/>
        </w:rPr>
        <w:t>Abstract</w:t>
      </w:r>
      <w:r w:rsidR="001E0524" w:rsidRPr="00B8605D">
        <w:rPr>
          <w:b/>
          <w:bCs/>
        </w:rPr>
        <w:t>:</w:t>
      </w:r>
      <w:r w:rsidR="001E0524" w:rsidRPr="00B8605D">
        <w:t xml:space="preserve"> </w:t>
      </w:r>
      <w:r w:rsidR="002004F2">
        <w:rPr>
          <w:noProof/>
        </w:rPr>
        <w:t>This study spatially evaluated certain drinking water quality parameters concerning the 2018-2020 period in</w:t>
      </w:r>
      <w:r w:rsidR="0095280A">
        <w:rPr>
          <w:noProof/>
        </w:rPr>
        <w:t> </w:t>
      </w:r>
      <w:r w:rsidR="002004F2">
        <w:rPr>
          <w:noProof/>
        </w:rPr>
        <w:t>Ankara, the capital of Turkiye,</w:t>
      </w:r>
      <w:r w:rsidR="006A27DC" w:rsidRPr="00B8605D">
        <w:rPr>
          <w:noProof/>
        </w:rPr>
        <w:t xml:space="preserve"> using Geography Information Systems (GIS) and the IDW (Inverse Distance Weighted)</w:t>
      </w:r>
      <w:r w:rsidR="00B8605D" w:rsidRPr="00B8605D">
        <w:rPr>
          <w:noProof/>
        </w:rPr>
        <w:t xml:space="preserve"> </w:t>
      </w:r>
      <w:r w:rsidR="006A27DC" w:rsidRPr="00B8605D">
        <w:rPr>
          <w:noProof/>
        </w:rPr>
        <w:t xml:space="preserve">interpolation method. </w:t>
      </w:r>
      <w:r w:rsidR="002004F2">
        <w:rPr>
          <w:noProof/>
        </w:rPr>
        <w:t>The study examined drinking water samples taken weekly by Ankara Water and Sewerage Administration (ASKİ)</w:t>
      </w:r>
      <w:r w:rsidR="006A27DC" w:rsidRPr="00B8605D">
        <w:rPr>
          <w:noProof/>
        </w:rPr>
        <w:t>. Electrical conductivity (EC), turbidity, residual chlorine (Cl), sul</w:t>
      </w:r>
      <w:r w:rsidR="002004F2">
        <w:rPr>
          <w:noProof/>
        </w:rPr>
        <w:t>f</w:t>
      </w:r>
      <w:r w:rsidR="006A27DC" w:rsidRPr="00B8605D">
        <w:rPr>
          <w:noProof/>
        </w:rPr>
        <w:t>ate (SO</w:t>
      </w:r>
      <w:r w:rsidR="006A27DC" w:rsidRPr="00B8605D">
        <w:rPr>
          <w:noProof/>
          <w:vertAlign w:val="subscript"/>
        </w:rPr>
        <w:t>4</w:t>
      </w:r>
      <w:r w:rsidR="006A27DC" w:rsidRPr="00B8605D">
        <w:rPr>
          <w:noProof/>
          <w:vertAlign w:val="superscript"/>
        </w:rPr>
        <w:t>-2</w:t>
      </w:r>
      <w:r w:rsidR="006A27DC" w:rsidRPr="00B8605D">
        <w:rPr>
          <w:noProof/>
        </w:rPr>
        <w:t>), iron (Fe)</w:t>
      </w:r>
      <w:r w:rsidR="002004F2">
        <w:rPr>
          <w:noProof/>
        </w:rPr>
        <w:t>,</w:t>
      </w:r>
      <w:r w:rsidR="006A27DC" w:rsidRPr="00B8605D">
        <w:rPr>
          <w:noProof/>
        </w:rPr>
        <w:t xml:space="preserve"> and aluminum (Al) values were analy</w:t>
      </w:r>
      <w:r w:rsidR="002004F2">
        <w:rPr>
          <w:noProof/>
        </w:rPr>
        <w:t>z</w:t>
      </w:r>
      <w:r w:rsidR="006A27DC" w:rsidRPr="00B8605D">
        <w:rPr>
          <w:noProof/>
        </w:rPr>
        <w:t>ed in drinking water samples. In addition, changes in drinking water quality parameters were evaluated over the years using Mann-Kendall and Sperman's Rho tests. The study indicated the</w:t>
      </w:r>
      <w:r w:rsidR="0095280A">
        <w:rPr>
          <w:noProof/>
        </w:rPr>
        <w:t> </w:t>
      </w:r>
      <w:r w:rsidR="006A27DC" w:rsidRPr="00B8605D">
        <w:rPr>
          <w:noProof/>
        </w:rPr>
        <w:t>following general average value ranges for Ankara province EC:</w:t>
      </w:r>
      <w:r w:rsidR="00A1626F">
        <w:rPr>
          <w:noProof/>
        </w:rPr>
        <w:t xml:space="preserve"> </w:t>
      </w:r>
      <w:r w:rsidR="006A27DC" w:rsidRPr="00B8605D">
        <w:rPr>
          <w:noProof/>
        </w:rPr>
        <w:t>28.3-134.9 mS/m, turbidity: 0.23-0.71 NTU, residual Cl: 0.38-0.74 mg/l, SO</w:t>
      </w:r>
      <w:r w:rsidR="006A27DC" w:rsidRPr="00B8605D">
        <w:rPr>
          <w:noProof/>
          <w:vertAlign w:val="subscript"/>
        </w:rPr>
        <w:t>4</w:t>
      </w:r>
      <w:r w:rsidR="006A27DC" w:rsidRPr="00B8605D">
        <w:rPr>
          <w:noProof/>
          <w:vertAlign w:val="superscript"/>
        </w:rPr>
        <w:t>-2</w:t>
      </w:r>
      <w:r w:rsidR="006A27DC" w:rsidRPr="00B8605D">
        <w:rPr>
          <w:noProof/>
        </w:rPr>
        <w:t>: 12.33-178.10 mg/l, Fe:</w:t>
      </w:r>
      <w:r w:rsidR="00A1626F">
        <w:rPr>
          <w:noProof/>
        </w:rPr>
        <w:t xml:space="preserve"> </w:t>
      </w:r>
      <w:r w:rsidR="006A27DC" w:rsidRPr="00B8605D">
        <w:rPr>
          <w:noProof/>
        </w:rPr>
        <w:t xml:space="preserve">4.4-45.4 </w:t>
      </w:r>
      <w:r w:rsidR="006A27DC" w:rsidRPr="00B8605D">
        <w:rPr>
          <w:rFonts w:eastAsiaTheme="minorEastAsia"/>
          <w:noProof/>
          <w:lang w:eastAsia="tr-TR"/>
        </w:rPr>
        <w:t>µg</w:t>
      </w:r>
      <w:r w:rsidR="006A27DC" w:rsidRPr="00B8605D">
        <w:rPr>
          <w:noProof/>
        </w:rPr>
        <w:t xml:space="preserve">/l and Al: 9.2-85.6 </w:t>
      </w:r>
      <w:r w:rsidR="006A27DC" w:rsidRPr="00B8605D">
        <w:rPr>
          <w:rFonts w:eastAsiaTheme="minorEastAsia"/>
          <w:noProof/>
          <w:lang w:eastAsia="tr-TR"/>
        </w:rPr>
        <w:t>µg</w:t>
      </w:r>
      <w:r w:rsidR="006A27DC" w:rsidRPr="00B8605D">
        <w:rPr>
          <w:noProof/>
        </w:rPr>
        <w:t xml:space="preserve"> /l. In the trend analysis results, it</w:t>
      </w:r>
      <w:r w:rsidR="0095280A">
        <w:rPr>
          <w:noProof/>
        </w:rPr>
        <w:t> </w:t>
      </w:r>
      <w:r w:rsidR="006A27DC" w:rsidRPr="00B8605D">
        <w:rPr>
          <w:noProof/>
        </w:rPr>
        <w:t>was seen that there was an increasing change in the examined parameters. As a result of the research, it was seen that the water quality of Ankara province was close to the allowed values.</w:t>
      </w:r>
    </w:p>
    <w:p w14:paraId="33B38CC4" w14:textId="76C062BC" w:rsidR="009C63EF" w:rsidRPr="00B8605D" w:rsidRDefault="00AC5CFF" w:rsidP="003851DF">
      <w:pPr>
        <w:pStyle w:val="Rab2"/>
      </w:pPr>
      <w:r w:rsidRPr="00B8605D">
        <w:rPr>
          <w:b/>
          <w:bCs/>
        </w:rPr>
        <w:t>Keywords:</w:t>
      </w:r>
      <w:r w:rsidRPr="00B8605D">
        <w:t xml:space="preserve"> </w:t>
      </w:r>
      <w:r w:rsidR="002C4D06">
        <w:t>d</w:t>
      </w:r>
      <w:r w:rsidR="006A27DC" w:rsidRPr="00B8605D">
        <w:rPr>
          <w:noProof/>
        </w:rPr>
        <w:t xml:space="preserve">rinking </w:t>
      </w:r>
      <w:r w:rsidR="002C4D06">
        <w:rPr>
          <w:noProof/>
        </w:rPr>
        <w:t>w</w:t>
      </w:r>
      <w:r w:rsidR="006A27DC" w:rsidRPr="00B8605D">
        <w:rPr>
          <w:noProof/>
        </w:rPr>
        <w:t xml:space="preserve">ater </w:t>
      </w:r>
      <w:r w:rsidR="002C4D06">
        <w:rPr>
          <w:noProof/>
        </w:rPr>
        <w:t>q</w:t>
      </w:r>
      <w:r w:rsidR="006A27DC" w:rsidRPr="00B8605D">
        <w:rPr>
          <w:noProof/>
        </w:rPr>
        <w:t xml:space="preserve">uality, </w:t>
      </w:r>
      <w:r w:rsidR="002C4D06">
        <w:rPr>
          <w:noProof/>
        </w:rPr>
        <w:t>s</w:t>
      </w:r>
      <w:r w:rsidR="006A27DC" w:rsidRPr="00B8605D">
        <w:rPr>
          <w:noProof/>
        </w:rPr>
        <w:t xml:space="preserve">patial </w:t>
      </w:r>
      <w:r w:rsidR="002C4D06">
        <w:rPr>
          <w:noProof/>
        </w:rPr>
        <w:t>m</w:t>
      </w:r>
      <w:r w:rsidR="006A27DC" w:rsidRPr="00B8605D">
        <w:rPr>
          <w:noProof/>
        </w:rPr>
        <w:t xml:space="preserve">odeling, GIS Mapping, </w:t>
      </w:r>
      <w:r w:rsidR="002C4D06">
        <w:rPr>
          <w:noProof/>
        </w:rPr>
        <w:t>c</w:t>
      </w:r>
      <w:r w:rsidR="006A27DC" w:rsidRPr="00B8605D">
        <w:rPr>
          <w:noProof/>
        </w:rPr>
        <w:t xml:space="preserve">apital </w:t>
      </w:r>
      <w:r w:rsidR="002C4D06">
        <w:rPr>
          <w:noProof/>
        </w:rPr>
        <w:t>c</w:t>
      </w:r>
      <w:r w:rsidR="006A27DC" w:rsidRPr="00B8605D">
        <w:rPr>
          <w:noProof/>
        </w:rPr>
        <w:t>ity, Turkiye</w:t>
      </w:r>
    </w:p>
    <w:p w14:paraId="4789009B" w14:textId="77777777" w:rsidR="006D5863" w:rsidRPr="00B8605D" w:rsidRDefault="006D5863" w:rsidP="003851DF">
      <w:pPr>
        <w:pStyle w:val="Rn1"/>
        <w:rPr>
          <w:noProof/>
          <w:lang w:val="en-GB"/>
        </w:rPr>
      </w:pPr>
      <w:r w:rsidRPr="00B8605D">
        <w:rPr>
          <w:noProof/>
          <w:lang w:val="en-GB"/>
        </w:rPr>
        <w:t>1. Introduction</w:t>
      </w:r>
    </w:p>
    <w:p w14:paraId="4F6F10AC" w14:textId="03CC7955" w:rsidR="006A27DC" w:rsidRPr="00B8605D" w:rsidRDefault="006A27DC" w:rsidP="003851DF">
      <w:pPr>
        <w:ind w:firstLine="284"/>
        <w:jc w:val="both"/>
        <w:rPr>
          <w:bCs/>
          <w:noProof/>
          <w:sz w:val="22"/>
          <w:szCs w:val="22"/>
          <w:lang w:val="en-GB"/>
        </w:rPr>
      </w:pPr>
      <w:r w:rsidRPr="00B8605D">
        <w:rPr>
          <w:bCs/>
          <w:noProof/>
          <w:sz w:val="22"/>
          <w:szCs w:val="22"/>
          <w:lang w:val="en-GB"/>
        </w:rPr>
        <w:t>Water is indispensable for all living things to survive. Water has a significant impact on the ecosystem. It</w:t>
      </w:r>
      <w:r w:rsidR="0095280A">
        <w:rPr>
          <w:bCs/>
          <w:noProof/>
          <w:sz w:val="22"/>
          <w:szCs w:val="22"/>
          <w:lang w:val="en-GB"/>
        </w:rPr>
        <w:t> </w:t>
      </w:r>
      <w:r w:rsidRPr="00B8605D">
        <w:rPr>
          <w:bCs/>
          <w:noProof/>
          <w:sz w:val="22"/>
          <w:szCs w:val="22"/>
          <w:lang w:val="en-GB"/>
        </w:rPr>
        <w:t xml:space="preserve">is important to use water resources consciously and correctly. Water is necessary for every being. </w:t>
      </w:r>
      <w:r w:rsidR="002004F2">
        <w:rPr>
          <w:bCs/>
          <w:noProof/>
          <w:sz w:val="22"/>
          <w:szCs w:val="22"/>
          <w:lang w:val="en-GB"/>
        </w:rPr>
        <w:t>Without</w:t>
      </w:r>
      <w:r w:rsidRPr="00B8605D">
        <w:rPr>
          <w:bCs/>
          <w:noProof/>
          <w:sz w:val="22"/>
          <w:szCs w:val="22"/>
          <w:lang w:val="en-GB"/>
        </w:rPr>
        <w:t xml:space="preserve"> water, it will be impossible for all living things on Earth to escape the negative effects. Today, this problem is already being experienced in some continents. This is especially evident in Africa. The quality characteristics of the resources people find as drinking and utility water on this continent are not fully known.</w:t>
      </w:r>
    </w:p>
    <w:p w14:paraId="72DF8740" w14:textId="03154C87" w:rsidR="006A27DC" w:rsidRPr="00B8605D" w:rsidRDefault="006A27DC" w:rsidP="003851DF">
      <w:pPr>
        <w:ind w:firstLine="284"/>
        <w:jc w:val="both"/>
        <w:rPr>
          <w:bCs/>
          <w:noProof/>
          <w:sz w:val="22"/>
          <w:szCs w:val="22"/>
          <w:lang w:val="en-GB"/>
        </w:rPr>
      </w:pPr>
      <w:r w:rsidRPr="00B8605D">
        <w:rPr>
          <w:bCs/>
          <w:noProof/>
          <w:sz w:val="22"/>
          <w:szCs w:val="22"/>
          <w:lang w:val="en-GB"/>
        </w:rPr>
        <w:t xml:space="preserve">The earth is largely covered with a layer of water. However, it cannot be said that the earth has a rich water resource. Because the amount of water on Earth that is of drinkable quality, especially for human life, corresponds to only 0.74% of the </w:t>
      </w:r>
      <w:r w:rsidR="002004F2">
        <w:rPr>
          <w:bCs/>
          <w:noProof/>
          <w:sz w:val="22"/>
          <w:szCs w:val="22"/>
          <w:lang w:val="en-GB"/>
        </w:rPr>
        <w:t>E</w:t>
      </w:r>
      <w:r w:rsidRPr="00B8605D">
        <w:rPr>
          <w:bCs/>
          <w:noProof/>
          <w:sz w:val="22"/>
          <w:szCs w:val="22"/>
          <w:lang w:val="en-GB"/>
        </w:rPr>
        <w:t>arth's surface (Akın &amp; Akın 2007).</w:t>
      </w:r>
    </w:p>
    <w:p w14:paraId="669C683F" w14:textId="15B8496C" w:rsidR="006A27DC" w:rsidRPr="00B8605D" w:rsidRDefault="006A27DC" w:rsidP="003851DF">
      <w:pPr>
        <w:ind w:firstLine="284"/>
        <w:jc w:val="both"/>
        <w:rPr>
          <w:bCs/>
          <w:noProof/>
          <w:sz w:val="22"/>
          <w:szCs w:val="22"/>
          <w:lang w:val="en-GB"/>
        </w:rPr>
      </w:pPr>
      <w:r w:rsidRPr="00B8605D">
        <w:rPr>
          <w:bCs/>
          <w:noProof/>
          <w:sz w:val="22"/>
          <w:szCs w:val="22"/>
          <w:lang w:val="en-GB"/>
        </w:rPr>
        <w:t>One of the most important vital substances on Earth is water. If there w</w:t>
      </w:r>
      <w:r w:rsidR="002004F2">
        <w:rPr>
          <w:bCs/>
          <w:noProof/>
          <w:sz w:val="22"/>
          <w:szCs w:val="22"/>
          <w:lang w:val="en-GB"/>
        </w:rPr>
        <w:t>ere</w:t>
      </w:r>
      <w:r w:rsidRPr="00B8605D">
        <w:rPr>
          <w:bCs/>
          <w:noProof/>
          <w:sz w:val="22"/>
          <w:szCs w:val="22"/>
          <w:lang w:val="en-GB"/>
        </w:rPr>
        <w:t xml:space="preserve"> no water, there would be no life on Earth. Approximately 20% of people living in the world have access to quality, drinkable and clean water. Clean water resources are becoming increasingly polluted due to environmental pollution problems that occur with increasing population density and industrialization (Ali et al. 2022)</w:t>
      </w:r>
      <w:r w:rsidR="00A1626F">
        <w:rPr>
          <w:bCs/>
          <w:noProof/>
          <w:sz w:val="22"/>
          <w:szCs w:val="22"/>
          <w:lang w:val="en-GB"/>
        </w:rPr>
        <w:t>.</w:t>
      </w:r>
    </w:p>
    <w:p w14:paraId="0CD51F9E" w14:textId="1FD21C3F" w:rsidR="006A27DC" w:rsidRPr="00B8605D" w:rsidRDefault="006A27DC" w:rsidP="003851DF">
      <w:pPr>
        <w:ind w:firstLine="284"/>
        <w:jc w:val="both"/>
        <w:rPr>
          <w:bCs/>
          <w:noProof/>
          <w:sz w:val="22"/>
          <w:szCs w:val="22"/>
          <w:lang w:val="en-GB"/>
        </w:rPr>
      </w:pPr>
      <w:r w:rsidRPr="00B8605D">
        <w:rPr>
          <w:bCs/>
          <w:noProof/>
          <w:sz w:val="22"/>
          <w:szCs w:val="22"/>
          <w:lang w:val="en-GB"/>
        </w:rPr>
        <w:t>The same is true for Turkiye. Agriculture constitutes a large part of Turkiye's economy. Water is of great importance in agricultural activities. Therefore, Turkiye's water potential is of great importance. Turkiye's total rainfall amount is 450 billion m</w:t>
      </w:r>
      <w:r w:rsidRPr="00B8605D">
        <w:rPr>
          <w:bCs/>
          <w:noProof/>
          <w:sz w:val="22"/>
          <w:szCs w:val="22"/>
          <w:vertAlign w:val="superscript"/>
          <w:lang w:val="en-GB"/>
        </w:rPr>
        <w:t>3</w:t>
      </w:r>
      <w:r w:rsidRPr="00B8605D">
        <w:rPr>
          <w:bCs/>
          <w:noProof/>
          <w:sz w:val="22"/>
          <w:szCs w:val="22"/>
          <w:lang w:val="en-GB"/>
        </w:rPr>
        <w:t>. Annual surface potential water flow is 186 billion m</w:t>
      </w:r>
      <w:r w:rsidRPr="00B8605D">
        <w:rPr>
          <w:bCs/>
          <w:noProof/>
          <w:sz w:val="22"/>
          <w:szCs w:val="22"/>
          <w:vertAlign w:val="superscript"/>
          <w:lang w:val="en-GB"/>
        </w:rPr>
        <w:t>3</w:t>
      </w:r>
      <w:r w:rsidRPr="00B8605D">
        <w:rPr>
          <w:bCs/>
          <w:noProof/>
          <w:sz w:val="22"/>
          <w:szCs w:val="22"/>
          <w:lang w:val="en-GB"/>
        </w:rPr>
        <w:t>. The amount of usable surface water is 94 billion m</w:t>
      </w:r>
      <w:r w:rsidRPr="00B8605D">
        <w:rPr>
          <w:bCs/>
          <w:noProof/>
          <w:sz w:val="22"/>
          <w:szCs w:val="22"/>
          <w:vertAlign w:val="superscript"/>
          <w:lang w:val="en-GB"/>
        </w:rPr>
        <w:t>3</w:t>
      </w:r>
      <w:r w:rsidRPr="00B8605D">
        <w:rPr>
          <w:bCs/>
          <w:noProof/>
          <w:sz w:val="22"/>
          <w:szCs w:val="22"/>
          <w:lang w:val="en-GB"/>
        </w:rPr>
        <w:t>. Turkiye's total usable water amount is 112 billion m</w:t>
      </w:r>
      <w:r w:rsidRPr="00B8605D">
        <w:rPr>
          <w:bCs/>
          <w:noProof/>
          <w:sz w:val="22"/>
          <w:szCs w:val="22"/>
          <w:vertAlign w:val="superscript"/>
          <w:lang w:val="en-GB"/>
        </w:rPr>
        <w:t>3</w:t>
      </w:r>
      <w:r w:rsidRPr="00B8605D">
        <w:rPr>
          <w:bCs/>
          <w:noProof/>
          <w:sz w:val="22"/>
          <w:szCs w:val="22"/>
          <w:lang w:val="en-GB"/>
        </w:rPr>
        <w:t>. According to 2020 data, the annual amount of water per person in Turkiye is 1346 m</w:t>
      </w:r>
      <w:r w:rsidRPr="00B8605D">
        <w:rPr>
          <w:bCs/>
          <w:noProof/>
          <w:sz w:val="22"/>
          <w:szCs w:val="22"/>
          <w:vertAlign w:val="superscript"/>
          <w:lang w:val="en-GB"/>
        </w:rPr>
        <w:t>3</w:t>
      </w:r>
      <w:r w:rsidRPr="00B8605D">
        <w:rPr>
          <w:bCs/>
          <w:noProof/>
          <w:sz w:val="22"/>
          <w:szCs w:val="22"/>
          <w:lang w:val="en-GB"/>
        </w:rPr>
        <w:t>. Therefore, Turkiye is among the countries experiencing water stress. The average annual rainfall in Turkiye is below the world average. The average annual rainfall is 574 mm/year. In Turkiye, 44 billion m</w:t>
      </w:r>
      <w:r w:rsidRPr="00B8605D">
        <w:rPr>
          <w:bCs/>
          <w:noProof/>
          <w:sz w:val="22"/>
          <w:szCs w:val="22"/>
          <w:vertAlign w:val="superscript"/>
          <w:lang w:val="en-GB"/>
        </w:rPr>
        <w:t>3</w:t>
      </w:r>
      <w:r w:rsidRPr="00B8605D">
        <w:rPr>
          <w:bCs/>
          <w:noProof/>
          <w:sz w:val="22"/>
          <w:szCs w:val="22"/>
          <w:lang w:val="en-GB"/>
        </w:rPr>
        <w:t xml:space="preserve"> of water is used annually as irrigation water and 13 billion m</w:t>
      </w:r>
      <w:r w:rsidRPr="00B8605D">
        <w:rPr>
          <w:bCs/>
          <w:noProof/>
          <w:sz w:val="22"/>
          <w:szCs w:val="22"/>
          <w:vertAlign w:val="superscript"/>
          <w:lang w:val="en-GB"/>
        </w:rPr>
        <w:t>3</w:t>
      </w:r>
      <w:r w:rsidRPr="00B8605D">
        <w:rPr>
          <w:bCs/>
          <w:noProof/>
          <w:sz w:val="22"/>
          <w:szCs w:val="22"/>
          <w:lang w:val="en-GB"/>
        </w:rPr>
        <w:t xml:space="preserve"> of water is used as drinking, domestic and industrial water (Anonymous 2021).</w:t>
      </w:r>
    </w:p>
    <w:p w14:paraId="672AB3AF" w14:textId="0B51A220" w:rsidR="006A27DC" w:rsidRPr="0095280A" w:rsidRDefault="006A27DC" w:rsidP="003851DF">
      <w:pPr>
        <w:ind w:firstLine="284"/>
        <w:jc w:val="both"/>
        <w:rPr>
          <w:bCs/>
          <w:noProof/>
          <w:spacing w:val="-2"/>
          <w:sz w:val="22"/>
          <w:szCs w:val="22"/>
          <w:lang w:val="en-GB"/>
        </w:rPr>
      </w:pPr>
      <w:r w:rsidRPr="0095280A">
        <w:rPr>
          <w:bCs/>
          <w:noProof/>
          <w:spacing w:val="-2"/>
          <w:sz w:val="22"/>
          <w:szCs w:val="22"/>
          <w:lang w:val="en-GB"/>
        </w:rPr>
        <w:t xml:space="preserve">The population is increasing rapidly both </w:t>
      </w:r>
      <w:r w:rsidR="002004F2" w:rsidRPr="0095280A">
        <w:rPr>
          <w:bCs/>
          <w:noProof/>
          <w:spacing w:val="-2"/>
          <w:sz w:val="22"/>
          <w:szCs w:val="22"/>
          <w:lang w:val="en-GB"/>
        </w:rPr>
        <w:t>around</w:t>
      </w:r>
      <w:r w:rsidRPr="0095280A">
        <w:rPr>
          <w:bCs/>
          <w:noProof/>
          <w:spacing w:val="-2"/>
          <w:sz w:val="22"/>
          <w:szCs w:val="22"/>
          <w:lang w:val="en-GB"/>
        </w:rPr>
        <w:t xml:space="preserve"> the world and in Turkiye. Various problems also arise due to this rapid increase. In particular, the increase in consumption need</w:t>
      </w:r>
      <w:r w:rsidR="002004F2" w:rsidRPr="0095280A">
        <w:rPr>
          <w:bCs/>
          <w:noProof/>
          <w:spacing w:val="-2"/>
          <w:sz w:val="22"/>
          <w:szCs w:val="22"/>
          <w:lang w:val="en-GB"/>
        </w:rPr>
        <w:t>s</w:t>
      </w:r>
      <w:r w:rsidRPr="0095280A">
        <w:rPr>
          <w:bCs/>
          <w:noProof/>
          <w:spacing w:val="-2"/>
          <w:sz w:val="22"/>
          <w:szCs w:val="22"/>
          <w:lang w:val="en-GB"/>
        </w:rPr>
        <w:t xml:space="preserve"> causes an increase in production. All sectors will be negatively affected by the scarcity and absence of water. As a result, global water crises will arise. Water resources need to be protected to prevent global water crises. It is important </w:t>
      </w:r>
      <w:r w:rsidR="002004F2" w:rsidRPr="0095280A">
        <w:rPr>
          <w:bCs/>
          <w:noProof/>
          <w:spacing w:val="-2"/>
          <w:sz w:val="22"/>
          <w:szCs w:val="22"/>
          <w:lang w:val="en-GB"/>
        </w:rPr>
        <w:t>for local governments to create water crisis action plan</w:t>
      </w:r>
      <w:r w:rsidRPr="0095280A">
        <w:rPr>
          <w:bCs/>
          <w:noProof/>
          <w:spacing w:val="-2"/>
          <w:sz w:val="22"/>
          <w:szCs w:val="22"/>
          <w:lang w:val="en-GB"/>
        </w:rPr>
        <w:t xml:space="preserve">s </w:t>
      </w:r>
      <w:r w:rsidR="002004F2" w:rsidRPr="0095280A">
        <w:rPr>
          <w:bCs/>
          <w:noProof/>
          <w:spacing w:val="-2"/>
          <w:sz w:val="22"/>
          <w:szCs w:val="22"/>
          <w:lang w:val="en-GB"/>
        </w:rPr>
        <w:t>to protect water resources and correctly manage existing water resources</w:t>
      </w:r>
      <w:r w:rsidRPr="0095280A">
        <w:rPr>
          <w:bCs/>
          <w:noProof/>
          <w:spacing w:val="-2"/>
          <w:sz w:val="22"/>
          <w:szCs w:val="22"/>
          <w:lang w:val="en-GB"/>
        </w:rPr>
        <w:t xml:space="preserve">. In particular, taking advantage of the opportunities of developing technology will </w:t>
      </w:r>
      <w:r w:rsidR="002004F2" w:rsidRPr="0095280A">
        <w:rPr>
          <w:bCs/>
          <w:noProof/>
          <w:spacing w:val="-2"/>
          <w:sz w:val="22"/>
          <w:szCs w:val="22"/>
          <w:lang w:val="en-GB"/>
        </w:rPr>
        <w:t>effectively create and monitor</w:t>
      </w:r>
      <w:r w:rsidRPr="0095280A">
        <w:rPr>
          <w:bCs/>
          <w:noProof/>
          <w:spacing w:val="-2"/>
          <w:sz w:val="22"/>
          <w:szCs w:val="22"/>
          <w:lang w:val="en-GB"/>
        </w:rPr>
        <w:t xml:space="preserve"> plans.</w:t>
      </w:r>
    </w:p>
    <w:p w14:paraId="6C3C1EC2" w14:textId="7430EAB3" w:rsidR="006A27DC" w:rsidRPr="00B8605D" w:rsidRDefault="006A27DC" w:rsidP="003851DF">
      <w:pPr>
        <w:ind w:firstLine="284"/>
        <w:jc w:val="both"/>
        <w:rPr>
          <w:bCs/>
          <w:noProof/>
          <w:sz w:val="22"/>
          <w:szCs w:val="22"/>
          <w:lang w:val="en-GB"/>
        </w:rPr>
      </w:pPr>
      <w:r w:rsidRPr="00B8605D">
        <w:rPr>
          <w:bCs/>
          <w:noProof/>
          <w:sz w:val="22"/>
          <w:szCs w:val="22"/>
          <w:lang w:val="en-GB"/>
        </w:rPr>
        <w:t>Geography Information Systems (GIS) plays an active role in monitoring water crises and the status of existing water resources. GIS enables various analyses by collecting location and space-related data into a</w:t>
      </w:r>
      <w:r w:rsidR="0095280A">
        <w:rPr>
          <w:bCs/>
          <w:noProof/>
          <w:sz w:val="22"/>
          <w:szCs w:val="22"/>
          <w:lang w:val="en-GB"/>
        </w:rPr>
        <w:t> </w:t>
      </w:r>
      <w:r w:rsidRPr="00B8605D">
        <w:rPr>
          <w:bCs/>
          <w:noProof/>
          <w:sz w:val="22"/>
          <w:szCs w:val="22"/>
          <w:lang w:val="en-GB"/>
        </w:rPr>
        <w:t xml:space="preserve">database (Fitzpatrick &amp; Maguire 2001). GIS integrates data from different information sources, where </w:t>
      </w:r>
      <w:r w:rsidRPr="00B8605D">
        <w:rPr>
          <w:bCs/>
          <w:noProof/>
          <w:sz w:val="22"/>
          <w:szCs w:val="22"/>
          <w:lang w:val="en-GB"/>
        </w:rPr>
        <w:lastRenderedPageBreak/>
        <w:t>collected data, graphics</w:t>
      </w:r>
      <w:r w:rsidR="002004F2">
        <w:rPr>
          <w:bCs/>
          <w:noProof/>
          <w:sz w:val="22"/>
          <w:szCs w:val="22"/>
          <w:lang w:val="en-GB"/>
        </w:rPr>
        <w:t>,</w:t>
      </w:r>
      <w:r w:rsidRPr="00B8605D">
        <w:rPr>
          <w:bCs/>
          <w:noProof/>
          <w:sz w:val="22"/>
          <w:szCs w:val="22"/>
          <w:lang w:val="en-GB"/>
        </w:rPr>
        <w:t xml:space="preserve"> and quality information are used simultaneously, and the results can be displayed with a map (Başayigit et al. 2008).</w:t>
      </w:r>
      <w:r w:rsidR="00B8605D" w:rsidRPr="00B8605D">
        <w:rPr>
          <w:bCs/>
          <w:noProof/>
          <w:sz w:val="22"/>
          <w:szCs w:val="22"/>
          <w:lang w:val="en-GB"/>
        </w:rPr>
        <w:t xml:space="preserve"> </w:t>
      </w:r>
      <w:r w:rsidRPr="00B8605D">
        <w:rPr>
          <w:bCs/>
          <w:noProof/>
          <w:sz w:val="22"/>
          <w:szCs w:val="22"/>
          <w:lang w:val="en-GB"/>
        </w:rPr>
        <w:t>With the topographic maps used as a base in GIS, current and future predictions of water resources can be made</w:t>
      </w:r>
      <w:r w:rsidR="002004F2">
        <w:rPr>
          <w:bCs/>
          <w:noProof/>
          <w:sz w:val="22"/>
          <w:szCs w:val="22"/>
          <w:lang w:val="en-GB"/>
        </w:rPr>
        <w:t>,</w:t>
      </w:r>
      <w:r w:rsidRPr="00B8605D">
        <w:rPr>
          <w:bCs/>
          <w:noProof/>
          <w:sz w:val="22"/>
          <w:szCs w:val="22"/>
          <w:lang w:val="en-GB"/>
        </w:rPr>
        <w:t xml:space="preserve"> and protection or necessary precautions can be taken (Bağdatlı et al. 2014). </w:t>
      </w:r>
    </w:p>
    <w:p w14:paraId="5974DEAD" w14:textId="3FBA1015" w:rsidR="006A27DC" w:rsidRPr="00B8605D" w:rsidRDefault="006A27DC" w:rsidP="003851DF">
      <w:pPr>
        <w:ind w:firstLine="284"/>
        <w:jc w:val="both"/>
        <w:rPr>
          <w:bCs/>
          <w:noProof/>
          <w:sz w:val="22"/>
          <w:szCs w:val="22"/>
          <w:lang w:val="en-GB"/>
        </w:rPr>
      </w:pPr>
      <w:r w:rsidRPr="00B8605D">
        <w:rPr>
          <w:noProof/>
          <w:sz w:val="22"/>
          <w:szCs w:val="22"/>
          <w:lang w:val="en-GB"/>
        </w:rPr>
        <w:t xml:space="preserve">In this current study, certain water quality parameters in drinking water were spatially evaluated and modeled in Ankara, the capital of Turkiye, during the 2018-2020 period. Water quality data was obtained from </w:t>
      </w:r>
      <w:r w:rsidR="002004F2">
        <w:rPr>
          <w:noProof/>
          <w:sz w:val="22"/>
          <w:szCs w:val="22"/>
          <w:lang w:val="en-GB"/>
        </w:rPr>
        <w:t xml:space="preserve">the </w:t>
      </w:r>
      <w:r w:rsidRPr="00B8605D">
        <w:rPr>
          <w:noProof/>
          <w:sz w:val="22"/>
          <w:szCs w:val="22"/>
          <w:lang w:val="en-GB"/>
        </w:rPr>
        <w:t>Ankara Water and Sewerage Administration. The data were spatially modeled using IDW (Inverse Distance Weighted) interpolation methods in the Arc GIS 10.3.1 software environment, which is a Geography Information systems program. In addition, trend analyses were performed on 120 water samples collected weekly between 2018</w:t>
      </w:r>
      <w:r w:rsidR="002004F2">
        <w:rPr>
          <w:noProof/>
          <w:sz w:val="22"/>
          <w:szCs w:val="22"/>
          <w:lang w:val="en-GB"/>
        </w:rPr>
        <w:t xml:space="preserve"> and </w:t>
      </w:r>
      <w:r w:rsidRPr="00B8605D">
        <w:rPr>
          <w:noProof/>
          <w:sz w:val="22"/>
          <w:szCs w:val="22"/>
          <w:lang w:val="en-GB"/>
        </w:rPr>
        <w:t>2020. Changes in some drinking water quality parameters over the years have been revealed through trend analysis.</w:t>
      </w:r>
    </w:p>
    <w:p w14:paraId="64A4BB6E" w14:textId="77777777" w:rsidR="006A27DC" w:rsidRPr="00B8605D" w:rsidRDefault="006A27DC" w:rsidP="003851DF">
      <w:pPr>
        <w:pStyle w:val="Rn1"/>
        <w:rPr>
          <w:noProof/>
          <w:lang w:val="en-GB"/>
        </w:rPr>
      </w:pPr>
      <w:r w:rsidRPr="00B8605D">
        <w:rPr>
          <w:noProof/>
          <w:lang w:val="en-GB"/>
        </w:rPr>
        <w:t>2. Materials and Methods</w:t>
      </w:r>
    </w:p>
    <w:p w14:paraId="1EB750CA" w14:textId="77777777" w:rsidR="006A27DC" w:rsidRPr="00B8605D" w:rsidRDefault="006A27DC" w:rsidP="003851DF">
      <w:pPr>
        <w:pStyle w:val="Rn2"/>
        <w:rPr>
          <w:noProof/>
          <w:lang w:val="en-GB"/>
        </w:rPr>
      </w:pPr>
      <w:r w:rsidRPr="00B8605D">
        <w:rPr>
          <w:noProof/>
          <w:lang w:val="en-GB"/>
        </w:rPr>
        <w:t>2.1. Study area</w:t>
      </w:r>
    </w:p>
    <w:p w14:paraId="037A1957" w14:textId="4C5FC8E8"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This research was conducted in Ankara, the capital of Turkiye, located in the Central Anatolia Region. The</w:t>
      </w:r>
      <w:r w:rsidR="0095280A">
        <w:rPr>
          <w:rFonts w:eastAsiaTheme="minorEastAsia"/>
          <w:noProof/>
          <w:sz w:val="22"/>
          <w:szCs w:val="22"/>
          <w:lang w:val="en-GB" w:eastAsia="tr-TR"/>
        </w:rPr>
        <w:t> </w:t>
      </w:r>
      <w:r w:rsidRPr="00B8605D">
        <w:rPr>
          <w:rFonts w:eastAsiaTheme="minorEastAsia"/>
          <w:noProof/>
          <w:sz w:val="22"/>
          <w:szCs w:val="22"/>
          <w:lang w:val="en-GB" w:eastAsia="tr-TR"/>
        </w:rPr>
        <w:t>location and water sampling locations of Ankara province, which is the subject of the research, are shown in Figure 1.</w:t>
      </w:r>
    </w:p>
    <w:p w14:paraId="1A5D2CB4" w14:textId="77777777" w:rsidR="000D6514" w:rsidRPr="00B8605D" w:rsidRDefault="000D6514" w:rsidP="006A27DC">
      <w:pPr>
        <w:jc w:val="both"/>
        <w:rPr>
          <w:rFonts w:eastAsiaTheme="minorEastAsia"/>
          <w:noProof/>
          <w:sz w:val="22"/>
          <w:szCs w:val="22"/>
          <w:lang w:val="en-GB" w:eastAsia="tr-TR"/>
        </w:rPr>
      </w:pPr>
    </w:p>
    <w:p w14:paraId="7E2ADC1E" w14:textId="77777777" w:rsidR="006A27DC" w:rsidRPr="00B8605D" w:rsidRDefault="006A27DC" w:rsidP="003851DF">
      <w:pPr>
        <w:jc w:val="center"/>
        <w:rPr>
          <w:rFonts w:eastAsiaTheme="minorEastAsia"/>
          <w:noProof/>
          <w:sz w:val="22"/>
          <w:szCs w:val="22"/>
          <w:lang w:val="en-GB" w:eastAsia="tr-TR"/>
        </w:rPr>
      </w:pPr>
      <w:r w:rsidRPr="00B8605D">
        <w:rPr>
          <w:rFonts w:eastAsiaTheme="minorEastAsia"/>
          <w:noProof/>
          <w:sz w:val="22"/>
          <w:szCs w:val="22"/>
          <w:lang w:val="en-GB" w:eastAsia="tr-TR"/>
        </w:rPr>
        <w:drawing>
          <wp:inline distT="0" distB="0" distL="0" distR="0" wp14:anchorId="49BBBCB6" wp14:editId="52749776">
            <wp:extent cx="3438906" cy="32644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8194" cy="3273251"/>
                    </a:xfrm>
                    <a:prstGeom prst="rect">
                      <a:avLst/>
                    </a:prstGeom>
                    <a:noFill/>
                    <a:ln>
                      <a:noFill/>
                    </a:ln>
                  </pic:spPr>
                </pic:pic>
              </a:graphicData>
            </a:graphic>
          </wp:inline>
        </w:drawing>
      </w:r>
    </w:p>
    <w:p w14:paraId="229A67DB" w14:textId="77777777" w:rsidR="006A27DC" w:rsidRPr="00B8605D" w:rsidRDefault="006A27DC" w:rsidP="003851DF">
      <w:pPr>
        <w:pStyle w:val="Rrys"/>
        <w:rPr>
          <w:noProof/>
          <w:lang w:val="en-GB" w:eastAsia="tr-TR"/>
        </w:rPr>
      </w:pPr>
      <w:r w:rsidRPr="00B8605D">
        <w:rPr>
          <w:b/>
          <w:noProof/>
          <w:lang w:val="en-GB" w:eastAsia="tr-TR"/>
        </w:rPr>
        <w:t>Fig. 1.</w:t>
      </w:r>
      <w:r w:rsidRPr="00B8605D">
        <w:rPr>
          <w:noProof/>
          <w:lang w:val="en-GB" w:eastAsia="tr-TR"/>
        </w:rPr>
        <w:t xml:space="preserve"> Study area</w:t>
      </w:r>
    </w:p>
    <w:p w14:paraId="1C81970A" w14:textId="77777777" w:rsidR="000D6514" w:rsidRPr="00B8605D" w:rsidRDefault="000D6514" w:rsidP="006A27DC">
      <w:pPr>
        <w:jc w:val="both"/>
        <w:rPr>
          <w:rFonts w:eastAsiaTheme="minorEastAsia"/>
          <w:noProof/>
          <w:sz w:val="22"/>
          <w:szCs w:val="22"/>
          <w:lang w:val="en-GB" w:eastAsia="tr-TR"/>
        </w:rPr>
      </w:pPr>
    </w:p>
    <w:p w14:paraId="188F119B" w14:textId="7B3B8836"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Ankara province is located in the Central Anatolia Region of Turkiye. Ankara has an area of 26,897 km². Ankara province is between latitude 39.57 N and longitude 32.53 E (Anonymous 2023a).</w:t>
      </w:r>
      <w:r w:rsidR="00B8605D" w:rsidRPr="00B8605D">
        <w:rPr>
          <w:rFonts w:eastAsiaTheme="minorEastAsia"/>
          <w:noProof/>
          <w:sz w:val="22"/>
          <w:szCs w:val="22"/>
          <w:lang w:val="en-GB" w:eastAsia="tr-TR"/>
        </w:rPr>
        <w:t xml:space="preserve"> </w:t>
      </w:r>
      <w:r w:rsidRPr="00B8605D">
        <w:rPr>
          <w:rFonts w:eastAsiaTheme="minorEastAsia"/>
          <w:noProof/>
          <w:sz w:val="22"/>
          <w:szCs w:val="22"/>
          <w:lang w:val="en-GB" w:eastAsia="tr-TR"/>
        </w:rPr>
        <w:t>There are 25 districts, 1 metropolitan municipality, 25 district municipalities</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1432 neighborhoods in Ankara (Anonymous 2023b).</w:t>
      </w:r>
      <w:r w:rsidR="00B8605D" w:rsidRPr="00B8605D">
        <w:rPr>
          <w:rFonts w:eastAsiaTheme="minorEastAsia"/>
          <w:noProof/>
          <w:sz w:val="22"/>
          <w:szCs w:val="22"/>
          <w:lang w:val="en-GB" w:eastAsia="tr-TR"/>
        </w:rPr>
        <w:t xml:space="preserve"> </w:t>
      </w:r>
      <w:r w:rsidRPr="00B8605D">
        <w:rPr>
          <w:rFonts w:eastAsiaTheme="minorEastAsia"/>
          <w:noProof/>
          <w:sz w:val="22"/>
          <w:szCs w:val="22"/>
          <w:lang w:val="en-GB" w:eastAsia="tr-TR"/>
        </w:rPr>
        <w:t>Population distribution affects life in every sense and to a significant extent. Consumption and other needs increase with population growth. Nowadays, the need for water is increasing da</w:t>
      </w:r>
      <w:r w:rsidR="002004F2">
        <w:rPr>
          <w:rFonts w:eastAsiaTheme="minorEastAsia"/>
          <w:noProof/>
          <w:sz w:val="22"/>
          <w:szCs w:val="22"/>
          <w:lang w:val="en-GB" w:eastAsia="tr-TR"/>
        </w:rPr>
        <w:t>il</w:t>
      </w:r>
      <w:r w:rsidRPr="00B8605D">
        <w:rPr>
          <w:rFonts w:eastAsiaTheme="minorEastAsia"/>
          <w:noProof/>
          <w:sz w:val="22"/>
          <w:szCs w:val="22"/>
          <w:lang w:val="en-GB" w:eastAsia="tr-TR"/>
        </w:rPr>
        <w:t xml:space="preserve">y in many countries. In addition, population is an important parameter in determining the capacity and need </w:t>
      </w:r>
      <w:r w:rsidR="002004F2">
        <w:rPr>
          <w:rFonts w:eastAsiaTheme="minorEastAsia"/>
          <w:noProof/>
          <w:sz w:val="22"/>
          <w:szCs w:val="22"/>
          <w:lang w:val="en-GB" w:eastAsia="tr-TR"/>
        </w:rPr>
        <w:t>to create</w:t>
      </w:r>
      <w:r w:rsidRPr="00B8605D">
        <w:rPr>
          <w:rFonts w:eastAsiaTheme="minorEastAsia"/>
          <w:noProof/>
          <w:sz w:val="22"/>
          <w:szCs w:val="22"/>
          <w:lang w:val="en-GB" w:eastAsia="tr-TR"/>
        </w:rPr>
        <w:t xml:space="preserve"> a drinking water treatment and distribution network. According to 2020 data </w:t>
      </w:r>
      <w:r w:rsidR="002004F2">
        <w:rPr>
          <w:rFonts w:eastAsiaTheme="minorEastAsia"/>
          <w:noProof/>
          <w:sz w:val="22"/>
          <w:szCs w:val="22"/>
          <w:lang w:val="en-GB" w:eastAsia="tr-TR"/>
        </w:rPr>
        <w:t>from</w:t>
      </w:r>
      <w:r w:rsidRPr="00B8605D">
        <w:rPr>
          <w:rFonts w:eastAsiaTheme="minorEastAsia"/>
          <w:noProof/>
          <w:sz w:val="22"/>
          <w:szCs w:val="22"/>
          <w:lang w:val="en-GB" w:eastAsia="tr-TR"/>
        </w:rPr>
        <w:t xml:space="preserve"> Ankara province, its population is 5,782,285 people (TÜİK 2022). Kızılırmak and Sakarya rivers, two of the largest rivers in Turkiye, pass through Ankara province. Kızılırmak River passes through the east of Ankara province</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Sakarya River passes through the west and is used as irrigation water. In the south of Ankara province, there is Salt Lake, the second</w:t>
      </w:r>
      <w:r w:rsidR="002004F2">
        <w:rPr>
          <w:rFonts w:eastAsiaTheme="minorEastAsia"/>
          <w:noProof/>
          <w:sz w:val="22"/>
          <w:szCs w:val="22"/>
          <w:lang w:val="en-GB" w:eastAsia="tr-TR"/>
        </w:rPr>
        <w:t>-</w:t>
      </w:r>
      <w:r w:rsidRPr="00B8605D">
        <w:rPr>
          <w:rFonts w:eastAsiaTheme="minorEastAsia"/>
          <w:noProof/>
          <w:sz w:val="22"/>
          <w:szCs w:val="22"/>
          <w:lang w:val="en-GB" w:eastAsia="tr-TR"/>
        </w:rPr>
        <w:t>largest lake in Turkiye.</w:t>
      </w:r>
      <w:r w:rsidR="002004F2">
        <w:rPr>
          <w:rFonts w:eastAsiaTheme="minorEastAsia"/>
          <w:noProof/>
          <w:sz w:val="22"/>
          <w:szCs w:val="22"/>
          <w:lang w:val="en-GB" w:eastAsia="tr-TR"/>
        </w:rPr>
        <w:t xml:space="preserve"> 9 drinking water treatment plants</w:t>
      </w:r>
      <w:r w:rsidRPr="00B8605D">
        <w:rPr>
          <w:rFonts w:eastAsiaTheme="minorEastAsia"/>
          <w:noProof/>
          <w:sz w:val="22"/>
          <w:szCs w:val="22"/>
          <w:lang w:val="en-GB" w:eastAsia="tr-TR"/>
        </w:rPr>
        <w:t xml:space="preserve"> supply water to Ankara. </w:t>
      </w:r>
    </w:p>
    <w:p w14:paraId="6435F7F5" w14:textId="77777777" w:rsidR="006A27DC" w:rsidRPr="00B8605D" w:rsidRDefault="006A27DC" w:rsidP="003851DF">
      <w:pPr>
        <w:pStyle w:val="Rn2"/>
        <w:rPr>
          <w:noProof/>
          <w:lang w:val="en-GB" w:eastAsia="tr-TR"/>
        </w:rPr>
      </w:pPr>
      <w:r w:rsidRPr="00B8605D">
        <w:rPr>
          <w:noProof/>
          <w:lang w:val="en-GB" w:eastAsia="tr-TR"/>
        </w:rPr>
        <w:t>2.2. Water Samples</w:t>
      </w:r>
    </w:p>
    <w:p w14:paraId="26B2CA5B" w14:textId="02F27182" w:rsidR="006A27DC" w:rsidRPr="00B8605D" w:rsidRDefault="002004F2" w:rsidP="003851DF">
      <w:pPr>
        <w:ind w:firstLine="284"/>
        <w:jc w:val="both"/>
        <w:rPr>
          <w:bCs/>
          <w:noProof/>
          <w:sz w:val="22"/>
          <w:szCs w:val="22"/>
          <w:lang w:val="en-GB"/>
        </w:rPr>
      </w:pPr>
      <w:r>
        <w:rPr>
          <w:rFonts w:eastAsiaTheme="minorEastAsia"/>
          <w:noProof/>
          <w:sz w:val="22"/>
          <w:szCs w:val="22"/>
          <w:lang w:val="en-GB" w:eastAsia="tr-TR"/>
        </w:rPr>
        <w:t>Water samples collected weekly by Ankara Water and Sewerage Administration (ASKİ) and covering 2018, 2019, and 2020 were used as research material</w:t>
      </w:r>
      <w:r w:rsidR="006A27DC" w:rsidRPr="00B8605D">
        <w:rPr>
          <w:rFonts w:eastAsiaTheme="minorEastAsia"/>
          <w:noProof/>
          <w:sz w:val="22"/>
          <w:szCs w:val="22"/>
          <w:lang w:val="en-GB" w:eastAsia="tr-TR"/>
        </w:rPr>
        <w:t xml:space="preserve">. In laboratories, analyses were carried out </w:t>
      </w:r>
      <w:r>
        <w:rPr>
          <w:rFonts w:eastAsiaTheme="minorEastAsia"/>
          <w:noProof/>
          <w:sz w:val="22"/>
          <w:szCs w:val="22"/>
          <w:lang w:val="en-GB" w:eastAsia="tr-TR"/>
        </w:rPr>
        <w:t>following</w:t>
      </w:r>
      <w:r w:rsidR="006A27DC" w:rsidRPr="00B8605D">
        <w:rPr>
          <w:rFonts w:eastAsiaTheme="minorEastAsia"/>
          <w:noProof/>
          <w:sz w:val="22"/>
          <w:szCs w:val="22"/>
          <w:lang w:val="en-GB" w:eastAsia="tr-TR"/>
        </w:rPr>
        <w:t xml:space="preserve"> drinking water criteria for water samples collected from 25 different districts of Ankara province (ASKİ 2021).</w:t>
      </w:r>
    </w:p>
    <w:p w14:paraId="3409DF6C" w14:textId="155B7BDE" w:rsidR="006A27DC" w:rsidRPr="00B8605D" w:rsidRDefault="006A27DC" w:rsidP="003851DF">
      <w:pPr>
        <w:ind w:firstLine="284"/>
        <w:jc w:val="both"/>
        <w:rPr>
          <w:bCs/>
          <w:noProof/>
          <w:sz w:val="22"/>
          <w:szCs w:val="22"/>
          <w:lang w:val="en-GB"/>
        </w:rPr>
      </w:pPr>
      <w:r w:rsidRPr="00B8605D">
        <w:rPr>
          <w:rFonts w:eastAsiaTheme="minorEastAsia"/>
          <w:noProof/>
          <w:sz w:val="22"/>
          <w:szCs w:val="22"/>
          <w:lang w:val="en-GB" w:eastAsia="tr-TR"/>
        </w:rPr>
        <w:lastRenderedPageBreak/>
        <w:t>Conductivity (EC), turbidity, residual chlorine, aluminum, iron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sul</w:t>
      </w:r>
      <w:r w:rsidR="002004F2">
        <w:rPr>
          <w:rFonts w:eastAsiaTheme="minorEastAsia"/>
          <w:noProof/>
          <w:sz w:val="22"/>
          <w:szCs w:val="22"/>
          <w:lang w:val="en-GB" w:eastAsia="tr-TR"/>
        </w:rPr>
        <w:t>f</w:t>
      </w:r>
      <w:r w:rsidRPr="00B8605D">
        <w:rPr>
          <w:rFonts w:eastAsiaTheme="minorEastAsia"/>
          <w:noProof/>
          <w:sz w:val="22"/>
          <w:szCs w:val="22"/>
          <w:lang w:val="en-GB" w:eastAsia="tr-TR"/>
        </w:rPr>
        <w:t>ate in drinking water samples collected weekly by ASKİ are determined by classical and general instrumentation analyses. Turbidity was measured by using</w:t>
      </w:r>
      <w:r w:rsidR="00B8605D" w:rsidRPr="00B8605D">
        <w:rPr>
          <w:rFonts w:eastAsiaTheme="minorEastAsia"/>
          <w:noProof/>
          <w:sz w:val="22"/>
          <w:szCs w:val="22"/>
          <w:lang w:val="en-GB" w:eastAsia="tr-TR"/>
        </w:rPr>
        <w:t xml:space="preserve"> </w:t>
      </w:r>
      <w:r w:rsidR="002004F2">
        <w:rPr>
          <w:rFonts w:eastAsiaTheme="minorEastAsia"/>
          <w:noProof/>
          <w:sz w:val="22"/>
          <w:szCs w:val="22"/>
          <w:lang w:val="en-GB" w:eastAsia="tr-TR"/>
        </w:rPr>
        <w:t xml:space="preserve">a </w:t>
      </w:r>
      <w:r w:rsidRPr="00B8605D">
        <w:rPr>
          <w:rFonts w:eastAsiaTheme="minorEastAsia"/>
          <w:noProof/>
          <w:sz w:val="22"/>
          <w:szCs w:val="22"/>
          <w:lang w:val="en-GB" w:eastAsia="tr-TR"/>
        </w:rPr>
        <w:t xml:space="preserve">turbidimeter device (Hach </w:t>
      </w:r>
      <w:r w:rsidR="002004F2">
        <w:rPr>
          <w:rFonts w:eastAsiaTheme="minorEastAsia"/>
          <w:noProof/>
          <w:sz w:val="22"/>
          <w:szCs w:val="22"/>
          <w:lang w:val="en-GB" w:eastAsia="tr-TR"/>
        </w:rPr>
        <w:t>L</w:t>
      </w:r>
      <w:r w:rsidRPr="00B8605D">
        <w:rPr>
          <w:rFonts w:eastAsiaTheme="minorEastAsia"/>
          <w:noProof/>
          <w:sz w:val="22"/>
          <w:szCs w:val="22"/>
          <w:lang w:val="en-GB" w:eastAsia="tr-TR"/>
        </w:rPr>
        <w:t>ange 2100AN). Conductivity measurement was made with an EC meter (Hach Large brand HQ40D model)</w:t>
      </w:r>
      <w:r w:rsidRPr="00B8605D">
        <w:rPr>
          <w:rFonts w:eastAsiaTheme="minorEastAsia"/>
          <w:noProof/>
          <w:sz w:val="22"/>
          <w:szCs w:val="22"/>
          <w:shd w:val="clear" w:color="auto" w:fill="FFFFFF" w:themeFill="background1"/>
          <w:lang w:val="en-GB" w:eastAsia="tr-TR"/>
        </w:rPr>
        <w:t>.</w:t>
      </w:r>
      <w:r w:rsidRPr="00B8605D">
        <w:rPr>
          <w:rFonts w:eastAsiaTheme="minorEastAsia"/>
          <w:noProof/>
          <w:sz w:val="22"/>
          <w:szCs w:val="22"/>
          <w:lang w:val="en-GB" w:eastAsia="tr-TR"/>
        </w:rPr>
        <w:t xml:space="preserve"> Residual chlorine was measured with ready-made test kits to measure free chlorine in water (DRXD-002 device) </w:t>
      </w:r>
      <w:r w:rsidRPr="00B8605D">
        <w:rPr>
          <w:bCs/>
          <w:noProof/>
          <w:sz w:val="22"/>
          <w:szCs w:val="22"/>
          <w:lang w:val="en-GB"/>
        </w:rPr>
        <w:t>(Tanas 2016).</w:t>
      </w:r>
    </w:p>
    <w:p w14:paraId="79CD0E51" w14:textId="525CBEE8" w:rsidR="006A27DC" w:rsidRPr="00B8605D" w:rsidRDefault="006A27DC" w:rsidP="003851DF">
      <w:pPr>
        <w:ind w:firstLine="284"/>
        <w:jc w:val="both"/>
        <w:rPr>
          <w:bCs/>
          <w:noProof/>
          <w:sz w:val="22"/>
          <w:szCs w:val="22"/>
          <w:lang w:val="en-GB"/>
        </w:rPr>
      </w:pPr>
      <w:r w:rsidRPr="00B8605D">
        <w:rPr>
          <w:rFonts w:eastAsiaTheme="minorEastAsia"/>
          <w:noProof/>
          <w:sz w:val="22"/>
          <w:szCs w:val="22"/>
          <w:lang w:val="en-GB" w:eastAsia="tr-TR"/>
        </w:rPr>
        <w:t>Aluminum and iron were analy</w:t>
      </w:r>
      <w:r w:rsidR="002004F2">
        <w:rPr>
          <w:rFonts w:eastAsiaTheme="minorEastAsia"/>
          <w:noProof/>
          <w:sz w:val="22"/>
          <w:szCs w:val="22"/>
          <w:lang w:val="en-GB" w:eastAsia="tr-TR"/>
        </w:rPr>
        <w:t>z</w:t>
      </w:r>
      <w:r w:rsidRPr="00B8605D">
        <w:rPr>
          <w:rFonts w:eastAsiaTheme="minorEastAsia"/>
          <w:noProof/>
          <w:sz w:val="22"/>
          <w:szCs w:val="22"/>
          <w:lang w:val="en-GB" w:eastAsia="tr-TR"/>
        </w:rPr>
        <w:t>ed using the ICP-MS device (</w:t>
      </w:r>
      <w:r w:rsidR="002004F2">
        <w:rPr>
          <w:rFonts w:eastAsiaTheme="minorEastAsia"/>
          <w:noProof/>
          <w:sz w:val="22"/>
          <w:szCs w:val="22"/>
          <w:lang w:val="en-GB" w:eastAsia="tr-TR"/>
        </w:rPr>
        <w:t>S</w:t>
      </w:r>
      <w:r w:rsidRPr="00B8605D">
        <w:rPr>
          <w:rFonts w:eastAsiaTheme="minorEastAsia"/>
          <w:noProof/>
          <w:sz w:val="22"/>
          <w:szCs w:val="22"/>
          <w:lang w:val="en-GB" w:eastAsia="tr-TR"/>
        </w:rPr>
        <w:t>himadzu 2030 series). The sul</w:t>
      </w:r>
      <w:r w:rsidR="002004F2">
        <w:rPr>
          <w:rFonts w:eastAsiaTheme="minorEastAsia"/>
          <w:noProof/>
          <w:sz w:val="22"/>
          <w:szCs w:val="22"/>
          <w:lang w:val="en-GB" w:eastAsia="tr-TR"/>
        </w:rPr>
        <w:t>f</w:t>
      </w:r>
      <w:r w:rsidRPr="00B8605D">
        <w:rPr>
          <w:rFonts w:eastAsiaTheme="minorEastAsia"/>
          <w:noProof/>
          <w:sz w:val="22"/>
          <w:szCs w:val="22"/>
          <w:lang w:val="en-GB" w:eastAsia="tr-TR"/>
        </w:rPr>
        <w:t>ate parameter was determined using ion chromatography (</w:t>
      </w:r>
      <w:r w:rsidRPr="00B8605D">
        <w:rPr>
          <w:color w:val="000000"/>
          <w:sz w:val="22"/>
          <w:szCs w:val="22"/>
          <w:shd w:val="clear" w:color="auto" w:fill="FFFFFF"/>
          <w:lang w:val="en-GB"/>
        </w:rPr>
        <w:t>940 Professional IC Vario)</w:t>
      </w:r>
      <w:r w:rsidRPr="00B8605D">
        <w:rPr>
          <w:rFonts w:eastAsiaTheme="minorEastAsia"/>
          <w:noProof/>
          <w:sz w:val="22"/>
          <w:szCs w:val="22"/>
          <w:lang w:val="en-GB" w:eastAsia="tr-TR"/>
        </w:rPr>
        <w:t xml:space="preserve"> </w:t>
      </w:r>
      <w:r w:rsidRPr="00B8605D">
        <w:rPr>
          <w:bCs/>
          <w:noProof/>
          <w:sz w:val="22"/>
          <w:szCs w:val="22"/>
          <w:lang w:val="en-GB"/>
        </w:rPr>
        <w:t>(Zeydanlı 2013).</w:t>
      </w:r>
      <w:r w:rsidRPr="00B8605D">
        <w:rPr>
          <w:rFonts w:eastAsiaTheme="minorEastAsia"/>
          <w:noProof/>
          <w:sz w:val="22"/>
          <w:szCs w:val="22"/>
          <w:lang w:val="en-GB" w:eastAsia="tr-TR"/>
        </w:rPr>
        <w:t xml:space="preserve"> </w:t>
      </w:r>
    </w:p>
    <w:p w14:paraId="2337B60E" w14:textId="77777777" w:rsidR="006A27DC" w:rsidRPr="00B8605D" w:rsidRDefault="006A27DC" w:rsidP="003851DF">
      <w:pPr>
        <w:pStyle w:val="Rn2"/>
        <w:rPr>
          <w:noProof/>
          <w:lang w:val="en-GB" w:eastAsia="tr-TR"/>
        </w:rPr>
      </w:pPr>
      <w:r w:rsidRPr="00B8605D">
        <w:rPr>
          <w:noProof/>
          <w:lang w:val="en-GB" w:eastAsia="tr-TR"/>
        </w:rPr>
        <w:t>2.3. Permissible Limit Values of Some Quality Parameters in Drinking Water</w:t>
      </w:r>
    </w:p>
    <w:p w14:paraId="38F3EDCA" w14:textId="7098BA10" w:rsidR="006A27DC" w:rsidRPr="00B8605D" w:rsidRDefault="006A27DC" w:rsidP="003851DF">
      <w:pPr>
        <w:tabs>
          <w:tab w:val="left" w:pos="4111"/>
        </w:tabs>
        <w:ind w:firstLine="284"/>
        <w:jc w:val="both"/>
        <w:rPr>
          <w:noProof/>
          <w:sz w:val="22"/>
          <w:szCs w:val="22"/>
          <w:lang w:val="en-GB" w:eastAsia="tr-TR"/>
        </w:rPr>
      </w:pPr>
      <w:r w:rsidRPr="00B8605D">
        <w:rPr>
          <w:noProof/>
          <w:sz w:val="22"/>
          <w:szCs w:val="22"/>
          <w:lang w:val="en-GB" w:eastAsia="tr-TR"/>
        </w:rPr>
        <w:t xml:space="preserve">Water resources on earth have different characteristics. While some waters are described as fresh, some are salty. Since water has different properties, </w:t>
      </w:r>
      <w:r w:rsidR="002004F2">
        <w:rPr>
          <w:noProof/>
          <w:sz w:val="22"/>
          <w:szCs w:val="22"/>
          <w:lang w:val="en-GB" w:eastAsia="tr-TR"/>
        </w:rPr>
        <w:t>choosing water with the appropriate properties for its intended use is necessary</w:t>
      </w:r>
      <w:r w:rsidRPr="00B8605D">
        <w:rPr>
          <w:noProof/>
          <w:sz w:val="22"/>
          <w:szCs w:val="22"/>
          <w:lang w:val="en-GB" w:eastAsia="tr-TR"/>
        </w:rPr>
        <w:t>. Physical, chemical</w:t>
      </w:r>
      <w:r w:rsidR="002004F2">
        <w:rPr>
          <w:noProof/>
          <w:sz w:val="22"/>
          <w:szCs w:val="22"/>
          <w:lang w:val="en-GB" w:eastAsia="tr-TR"/>
        </w:rPr>
        <w:t>, and biological parameters are valid for determining</w:t>
      </w:r>
      <w:r w:rsidRPr="00B8605D">
        <w:rPr>
          <w:noProof/>
          <w:sz w:val="22"/>
          <w:szCs w:val="22"/>
          <w:lang w:val="en-GB" w:eastAsia="tr-TR"/>
        </w:rPr>
        <w:t xml:space="preserve"> these properties. Parameters have limit values for the intended use of water. </w:t>
      </w:r>
    </w:p>
    <w:p w14:paraId="00F62ABD" w14:textId="7DCF6D33" w:rsidR="006A27DC" w:rsidRPr="00B8605D" w:rsidRDefault="002004F2" w:rsidP="003851DF">
      <w:pPr>
        <w:tabs>
          <w:tab w:val="left" w:pos="4111"/>
        </w:tabs>
        <w:ind w:firstLine="284"/>
        <w:jc w:val="both"/>
        <w:rPr>
          <w:bCs/>
          <w:noProof/>
          <w:sz w:val="22"/>
          <w:szCs w:val="22"/>
          <w:lang w:val="en-GB"/>
        </w:rPr>
      </w:pPr>
      <w:r>
        <w:rPr>
          <w:noProof/>
          <w:sz w:val="22"/>
          <w:szCs w:val="22"/>
          <w:lang w:val="en-GB" w:eastAsia="tr-TR"/>
        </w:rPr>
        <w:t>Some scientific organizations determine these limit value</w:t>
      </w:r>
      <w:r w:rsidR="006A27DC" w:rsidRPr="00B8605D">
        <w:rPr>
          <w:noProof/>
          <w:sz w:val="22"/>
          <w:szCs w:val="22"/>
          <w:lang w:val="en-GB" w:eastAsia="tr-TR"/>
        </w:rPr>
        <w:t>s. In Turkiye, permissible limit values for water to be used for human consumption are evaluated within the scope of TS 266 standards (TS 2005).</w:t>
      </w:r>
      <w:r w:rsidR="00B8605D" w:rsidRPr="00B8605D">
        <w:rPr>
          <w:noProof/>
          <w:sz w:val="22"/>
          <w:szCs w:val="22"/>
          <w:lang w:val="en-GB" w:eastAsia="tr-TR"/>
        </w:rPr>
        <w:t xml:space="preserve"> </w:t>
      </w:r>
      <w:r w:rsidR="006A27DC" w:rsidRPr="00B8605D">
        <w:rPr>
          <w:noProof/>
          <w:sz w:val="22"/>
          <w:szCs w:val="22"/>
          <w:lang w:val="en-GB" w:eastAsia="tr-TR"/>
        </w:rPr>
        <w:t>In the world, there are limit values determined by the World Health Organization (WHO 2017), the US Environmental Protection Agency (EPA 2016)</w:t>
      </w:r>
      <w:r>
        <w:rPr>
          <w:noProof/>
          <w:sz w:val="22"/>
          <w:szCs w:val="22"/>
          <w:lang w:val="en-GB" w:eastAsia="tr-TR"/>
        </w:rPr>
        <w:t>,</w:t>
      </w:r>
      <w:r w:rsidR="006A27DC" w:rsidRPr="00B8605D">
        <w:rPr>
          <w:noProof/>
          <w:sz w:val="22"/>
          <w:szCs w:val="22"/>
          <w:lang w:val="en-GB" w:eastAsia="tr-TR"/>
        </w:rPr>
        <w:t xml:space="preserve"> and the European Union (EU 2020). As a result of this study, the values obtained from water samples were interpreted by </w:t>
      </w:r>
      <w:r>
        <w:rPr>
          <w:noProof/>
          <w:sz w:val="22"/>
          <w:szCs w:val="22"/>
          <w:lang w:val="en-GB" w:eastAsia="tr-TR"/>
        </w:rPr>
        <w:t>considering these limit values</w:t>
      </w:r>
      <w:r w:rsidR="006A27DC" w:rsidRPr="00B8605D">
        <w:rPr>
          <w:noProof/>
          <w:sz w:val="22"/>
          <w:szCs w:val="22"/>
          <w:lang w:val="en-GB" w:eastAsia="tr-TR"/>
        </w:rPr>
        <w:t>. The limit values allowed for drinking water in Turkey and the world are summarized in Table 1</w:t>
      </w:r>
      <w:r w:rsidR="006A27DC" w:rsidRPr="00B8605D">
        <w:rPr>
          <w:bCs/>
          <w:noProof/>
          <w:sz w:val="22"/>
          <w:szCs w:val="22"/>
          <w:lang w:val="en-GB"/>
        </w:rPr>
        <w:t>.</w:t>
      </w:r>
    </w:p>
    <w:p w14:paraId="7ED24BA7" w14:textId="77777777" w:rsidR="006A27DC" w:rsidRPr="00B8605D" w:rsidRDefault="006A27DC" w:rsidP="006A27DC">
      <w:pPr>
        <w:tabs>
          <w:tab w:val="left" w:pos="4111"/>
        </w:tabs>
        <w:jc w:val="both"/>
        <w:rPr>
          <w:bCs/>
          <w:noProof/>
          <w:sz w:val="22"/>
          <w:szCs w:val="22"/>
          <w:lang w:val="en-GB"/>
        </w:rPr>
      </w:pPr>
    </w:p>
    <w:p w14:paraId="64AD524F" w14:textId="77777777" w:rsidR="006A27DC" w:rsidRPr="00B8605D" w:rsidRDefault="006A27DC" w:rsidP="003851DF">
      <w:pPr>
        <w:pStyle w:val="Rtab"/>
        <w:rPr>
          <w:bCs/>
          <w:noProof/>
          <w:lang w:val="en-GB"/>
        </w:rPr>
      </w:pPr>
      <w:r w:rsidRPr="00B8605D">
        <w:rPr>
          <w:b/>
          <w:noProof/>
          <w:lang w:val="en-GB"/>
        </w:rPr>
        <w:t>Table 1.</w:t>
      </w:r>
      <w:r w:rsidRPr="00B8605D">
        <w:rPr>
          <w:noProof/>
          <w:lang w:val="en-GB"/>
        </w:rPr>
        <w:t xml:space="preserve"> Some permissible limit values in drinking water </w:t>
      </w:r>
      <w:r w:rsidRPr="00B8605D">
        <w:rPr>
          <w:bCs/>
          <w:noProof/>
          <w:lang w:val="en-GB"/>
        </w:rPr>
        <w:t>(TS 2005, WHO 2017, EPA 2016, EU 2020).</w:t>
      </w:r>
    </w:p>
    <w:tbl>
      <w:tblPr>
        <w:tblStyle w:val="ListTable6Colorful-Accent3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1577"/>
        <w:gridCol w:w="1577"/>
        <w:gridCol w:w="1577"/>
        <w:gridCol w:w="1577"/>
      </w:tblGrid>
      <w:tr w:rsidR="000D6514" w:rsidRPr="00B8605D" w14:paraId="6FBE2729" w14:textId="77777777" w:rsidTr="0095280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1" w:type="dxa"/>
            <w:shd w:val="clear" w:color="auto" w:fill="auto"/>
            <w:vAlign w:val="center"/>
          </w:tcPr>
          <w:p w14:paraId="683B83D4" w14:textId="77777777" w:rsidR="006A27DC" w:rsidRPr="009326DD" w:rsidRDefault="006A27DC" w:rsidP="009326DD">
            <w:pPr>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Parameters</w:t>
            </w:r>
          </w:p>
        </w:tc>
        <w:tc>
          <w:tcPr>
            <w:tcW w:w="1577" w:type="dxa"/>
            <w:shd w:val="clear" w:color="auto" w:fill="auto"/>
            <w:vAlign w:val="center"/>
          </w:tcPr>
          <w:p w14:paraId="4E3D41C5" w14:textId="77777777" w:rsidR="006A27DC" w:rsidRPr="009326DD" w:rsidRDefault="006A27DC" w:rsidP="0093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TS 266</w:t>
            </w:r>
          </w:p>
        </w:tc>
        <w:tc>
          <w:tcPr>
            <w:tcW w:w="1577" w:type="dxa"/>
            <w:shd w:val="clear" w:color="auto" w:fill="auto"/>
            <w:vAlign w:val="center"/>
          </w:tcPr>
          <w:p w14:paraId="1F10EFAC" w14:textId="77777777" w:rsidR="006A27DC" w:rsidRPr="009326DD" w:rsidRDefault="006A27DC" w:rsidP="0093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WHO</w:t>
            </w:r>
          </w:p>
        </w:tc>
        <w:tc>
          <w:tcPr>
            <w:tcW w:w="1577" w:type="dxa"/>
            <w:shd w:val="clear" w:color="auto" w:fill="auto"/>
            <w:vAlign w:val="center"/>
          </w:tcPr>
          <w:p w14:paraId="67C74970" w14:textId="77777777" w:rsidR="006A27DC" w:rsidRPr="009326DD" w:rsidRDefault="006A27DC" w:rsidP="0093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EPA</w:t>
            </w:r>
          </w:p>
        </w:tc>
        <w:tc>
          <w:tcPr>
            <w:tcW w:w="1577" w:type="dxa"/>
            <w:shd w:val="clear" w:color="auto" w:fill="auto"/>
            <w:vAlign w:val="center"/>
          </w:tcPr>
          <w:p w14:paraId="6359311E" w14:textId="77777777" w:rsidR="006A27DC" w:rsidRPr="009326DD" w:rsidRDefault="006A27DC" w:rsidP="0093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EU</w:t>
            </w:r>
          </w:p>
        </w:tc>
      </w:tr>
      <w:tr w:rsidR="000D6514" w:rsidRPr="00B8605D" w14:paraId="65FD1C19" w14:textId="77777777" w:rsidTr="009528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1" w:type="dxa"/>
            <w:shd w:val="clear" w:color="auto" w:fill="auto"/>
          </w:tcPr>
          <w:p w14:paraId="6CF132DF" w14:textId="77777777" w:rsidR="006A27DC" w:rsidRPr="009326DD" w:rsidRDefault="006A27DC" w:rsidP="0021592D">
            <w:pPr>
              <w:jc w:val="both"/>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Turbidity (NTU)</w:t>
            </w:r>
          </w:p>
        </w:tc>
        <w:tc>
          <w:tcPr>
            <w:tcW w:w="1577" w:type="dxa"/>
            <w:shd w:val="clear" w:color="auto" w:fill="auto"/>
          </w:tcPr>
          <w:p w14:paraId="7C399343"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1</w:t>
            </w:r>
          </w:p>
        </w:tc>
        <w:tc>
          <w:tcPr>
            <w:tcW w:w="1577" w:type="dxa"/>
            <w:shd w:val="clear" w:color="auto" w:fill="auto"/>
          </w:tcPr>
          <w:p w14:paraId="47D37417"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5</w:t>
            </w:r>
          </w:p>
        </w:tc>
        <w:tc>
          <w:tcPr>
            <w:tcW w:w="1577" w:type="dxa"/>
            <w:shd w:val="clear" w:color="auto" w:fill="auto"/>
          </w:tcPr>
          <w:p w14:paraId="16196ED9"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1</w:t>
            </w:r>
          </w:p>
        </w:tc>
        <w:tc>
          <w:tcPr>
            <w:tcW w:w="1577" w:type="dxa"/>
            <w:shd w:val="clear" w:color="auto" w:fill="auto"/>
          </w:tcPr>
          <w:p w14:paraId="68BE4229"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1</w:t>
            </w:r>
          </w:p>
        </w:tc>
      </w:tr>
      <w:tr w:rsidR="000D6514" w:rsidRPr="00B8605D" w14:paraId="238E5BA9" w14:textId="77777777" w:rsidTr="0095280A">
        <w:trPr>
          <w:trHeight w:val="283"/>
        </w:trPr>
        <w:tc>
          <w:tcPr>
            <w:cnfStyle w:val="001000000000" w:firstRow="0" w:lastRow="0" w:firstColumn="1" w:lastColumn="0" w:oddVBand="0" w:evenVBand="0" w:oddHBand="0" w:evenHBand="0" w:firstRowFirstColumn="0" w:firstRowLastColumn="0" w:lastRowFirstColumn="0" w:lastRowLastColumn="0"/>
            <w:tcW w:w="3331" w:type="dxa"/>
            <w:shd w:val="clear" w:color="auto" w:fill="auto"/>
          </w:tcPr>
          <w:p w14:paraId="3A2BD8ED" w14:textId="77777777" w:rsidR="006A27DC" w:rsidRPr="009326DD" w:rsidRDefault="006A27DC" w:rsidP="0021592D">
            <w:pPr>
              <w:jc w:val="both"/>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Chloride (mg/l)</w:t>
            </w:r>
          </w:p>
        </w:tc>
        <w:tc>
          <w:tcPr>
            <w:tcW w:w="1577" w:type="dxa"/>
            <w:shd w:val="clear" w:color="auto" w:fill="auto"/>
          </w:tcPr>
          <w:p w14:paraId="3F2DE0E0"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c>
          <w:tcPr>
            <w:tcW w:w="1577" w:type="dxa"/>
            <w:shd w:val="clear" w:color="auto" w:fill="auto"/>
          </w:tcPr>
          <w:p w14:paraId="5E18D6FA"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c>
          <w:tcPr>
            <w:tcW w:w="1577" w:type="dxa"/>
            <w:shd w:val="clear" w:color="auto" w:fill="auto"/>
          </w:tcPr>
          <w:p w14:paraId="79FC1A58"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c>
          <w:tcPr>
            <w:tcW w:w="1577" w:type="dxa"/>
            <w:shd w:val="clear" w:color="auto" w:fill="auto"/>
          </w:tcPr>
          <w:p w14:paraId="578BA6E4"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r>
      <w:tr w:rsidR="000D6514" w:rsidRPr="00B8605D" w14:paraId="3077FD5A" w14:textId="77777777" w:rsidTr="009528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1" w:type="dxa"/>
            <w:shd w:val="clear" w:color="auto" w:fill="auto"/>
          </w:tcPr>
          <w:p w14:paraId="275F2C47" w14:textId="77777777" w:rsidR="006A27DC" w:rsidRPr="009326DD" w:rsidRDefault="006A27DC" w:rsidP="0021592D">
            <w:pPr>
              <w:jc w:val="both"/>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Fe (µg/l)</w:t>
            </w:r>
          </w:p>
        </w:tc>
        <w:tc>
          <w:tcPr>
            <w:tcW w:w="1577" w:type="dxa"/>
            <w:shd w:val="clear" w:color="auto" w:fill="auto"/>
          </w:tcPr>
          <w:p w14:paraId="09325705"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200</w:t>
            </w:r>
          </w:p>
        </w:tc>
        <w:tc>
          <w:tcPr>
            <w:tcW w:w="1577" w:type="dxa"/>
            <w:shd w:val="clear" w:color="auto" w:fill="auto"/>
          </w:tcPr>
          <w:p w14:paraId="6B410945"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300</w:t>
            </w:r>
          </w:p>
        </w:tc>
        <w:tc>
          <w:tcPr>
            <w:tcW w:w="1577" w:type="dxa"/>
            <w:shd w:val="clear" w:color="auto" w:fill="auto"/>
          </w:tcPr>
          <w:p w14:paraId="390D8D95"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300</w:t>
            </w:r>
          </w:p>
        </w:tc>
        <w:tc>
          <w:tcPr>
            <w:tcW w:w="1577" w:type="dxa"/>
            <w:shd w:val="clear" w:color="auto" w:fill="auto"/>
          </w:tcPr>
          <w:p w14:paraId="57FD6E29"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200</w:t>
            </w:r>
          </w:p>
        </w:tc>
      </w:tr>
      <w:tr w:rsidR="000D6514" w:rsidRPr="00B8605D" w14:paraId="1E61175D" w14:textId="77777777" w:rsidTr="0095280A">
        <w:trPr>
          <w:trHeight w:val="283"/>
        </w:trPr>
        <w:tc>
          <w:tcPr>
            <w:cnfStyle w:val="001000000000" w:firstRow="0" w:lastRow="0" w:firstColumn="1" w:lastColumn="0" w:oddVBand="0" w:evenVBand="0" w:oddHBand="0" w:evenHBand="0" w:firstRowFirstColumn="0" w:firstRowLastColumn="0" w:lastRowFirstColumn="0" w:lastRowLastColumn="0"/>
            <w:tcW w:w="3331" w:type="dxa"/>
            <w:tcBorders>
              <w:bottom w:val="single" w:sz="4" w:space="0" w:color="auto"/>
            </w:tcBorders>
            <w:shd w:val="clear" w:color="auto" w:fill="auto"/>
          </w:tcPr>
          <w:p w14:paraId="063F331A" w14:textId="77777777" w:rsidR="006A27DC" w:rsidRPr="009326DD" w:rsidRDefault="006A27DC" w:rsidP="0021592D">
            <w:pPr>
              <w:jc w:val="both"/>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Al (µg/l)</w:t>
            </w:r>
          </w:p>
        </w:tc>
        <w:tc>
          <w:tcPr>
            <w:tcW w:w="1577" w:type="dxa"/>
            <w:tcBorders>
              <w:bottom w:val="single" w:sz="4" w:space="0" w:color="auto"/>
            </w:tcBorders>
            <w:shd w:val="clear" w:color="auto" w:fill="auto"/>
          </w:tcPr>
          <w:p w14:paraId="419811E9"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200</w:t>
            </w:r>
          </w:p>
        </w:tc>
        <w:tc>
          <w:tcPr>
            <w:tcW w:w="1577" w:type="dxa"/>
            <w:tcBorders>
              <w:bottom w:val="single" w:sz="4" w:space="0" w:color="auto"/>
            </w:tcBorders>
            <w:shd w:val="clear" w:color="auto" w:fill="auto"/>
          </w:tcPr>
          <w:p w14:paraId="01F3EA98"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100</w:t>
            </w:r>
          </w:p>
        </w:tc>
        <w:tc>
          <w:tcPr>
            <w:tcW w:w="1577" w:type="dxa"/>
            <w:tcBorders>
              <w:bottom w:val="single" w:sz="4" w:space="0" w:color="auto"/>
            </w:tcBorders>
            <w:shd w:val="clear" w:color="auto" w:fill="auto"/>
          </w:tcPr>
          <w:p w14:paraId="057B7F9F"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200</w:t>
            </w:r>
          </w:p>
        </w:tc>
        <w:tc>
          <w:tcPr>
            <w:tcW w:w="1577" w:type="dxa"/>
            <w:tcBorders>
              <w:bottom w:val="single" w:sz="4" w:space="0" w:color="auto"/>
            </w:tcBorders>
            <w:shd w:val="clear" w:color="auto" w:fill="auto"/>
          </w:tcPr>
          <w:p w14:paraId="6DDBA54B" w14:textId="77777777" w:rsidR="006A27DC" w:rsidRPr="009326DD" w:rsidRDefault="006A27DC" w:rsidP="00215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200</w:t>
            </w:r>
          </w:p>
        </w:tc>
      </w:tr>
      <w:tr w:rsidR="000D6514" w:rsidRPr="00B8605D" w14:paraId="47B323B3" w14:textId="77777777" w:rsidTr="009528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1" w:type="dxa"/>
            <w:tcBorders>
              <w:bottom w:val="single" w:sz="4" w:space="0" w:color="auto"/>
            </w:tcBorders>
            <w:shd w:val="clear" w:color="auto" w:fill="auto"/>
          </w:tcPr>
          <w:p w14:paraId="0DCA0F59" w14:textId="7CFF37B1" w:rsidR="006A27DC" w:rsidRPr="009326DD" w:rsidRDefault="006A27DC" w:rsidP="0021592D">
            <w:pPr>
              <w:jc w:val="both"/>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SO</w:t>
            </w:r>
            <w:r w:rsidRPr="009326DD">
              <w:rPr>
                <w:rFonts w:ascii="Times New Roman" w:hAnsi="Times New Roman" w:cs="Times New Roman"/>
                <w:b w:val="0"/>
                <w:bCs w:val="0"/>
                <w:noProof/>
                <w:color w:val="auto"/>
                <w:sz w:val="22"/>
                <w:szCs w:val="22"/>
                <w:vertAlign w:val="subscript"/>
                <w:lang w:val="en-GB" w:eastAsia="tr-TR"/>
              </w:rPr>
              <w:t>4</w:t>
            </w:r>
            <w:r w:rsidR="009326DD" w:rsidRPr="009326DD">
              <w:rPr>
                <w:rFonts w:ascii="Times New Roman" w:hAnsi="Times New Roman" w:cs="Times New Roman"/>
                <w:b w:val="0"/>
                <w:bCs w:val="0"/>
                <w:noProof/>
                <w:color w:val="auto"/>
                <w:sz w:val="22"/>
                <w:szCs w:val="22"/>
                <w:lang w:val="en-GB" w:eastAsia="tr-TR"/>
              </w:rPr>
              <w:t xml:space="preserve"> </w:t>
            </w:r>
            <w:r w:rsidRPr="009326DD">
              <w:rPr>
                <w:rFonts w:ascii="Times New Roman" w:hAnsi="Times New Roman" w:cs="Times New Roman"/>
                <w:b w:val="0"/>
                <w:bCs w:val="0"/>
                <w:noProof/>
                <w:color w:val="auto"/>
                <w:sz w:val="22"/>
                <w:szCs w:val="22"/>
                <w:lang w:val="en-GB" w:eastAsia="tr-TR"/>
              </w:rPr>
              <w:t>(mg/l)</w:t>
            </w:r>
          </w:p>
        </w:tc>
        <w:tc>
          <w:tcPr>
            <w:tcW w:w="1577" w:type="dxa"/>
            <w:tcBorders>
              <w:bottom w:val="single" w:sz="4" w:space="0" w:color="auto"/>
            </w:tcBorders>
            <w:shd w:val="clear" w:color="auto" w:fill="auto"/>
          </w:tcPr>
          <w:p w14:paraId="1BBB8487"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c>
          <w:tcPr>
            <w:tcW w:w="1577" w:type="dxa"/>
            <w:tcBorders>
              <w:bottom w:val="single" w:sz="4" w:space="0" w:color="auto"/>
            </w:tcBorders>
            <w:shd w:val="clear" w:color="auto" w:fill="auto"/>
          </w:tcPr>
          <w:p w14:paraId="03D7F58E"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500</w:t>
            </w:r>
          </w:p>
        </w:tc>
        <w:tc>
          <w:tcPr>
            <w:tcW w:w="1577" w:type="dxa"/>
            <w:tcBorders>
              <w:bottom w:val="single" w:sz="4" w:space="0" w:color="auto"/>
            </w:tcBorders>
            <w:shd w:val="clear" w:color="auto" w:fill="auto"/>
          </w:tcPr>
          <w:p w14:paraId="0EF3F925"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c>
          <w:tcPr>
            <w:tcW w:w="1577" w:type="dxa"/>
            <w:tcBorders>
              <w:bottom w:val="single" w:sz="4" w:space="0" w:color="auto"/>
            </w:tcBorders>
            <w:shd w:val="clear" w:color="auto" w:fill="auto"/>
          </w:tcPr>
          <w:p w14:paraId="40A9A887" w14:textId="77777777" w:rsidR="006A27DC" w:rsidRPr="009326DD" w:rsidRDefault="006A27DC" w:rsidP="00215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eastAsia="tr-TR"/>
              </w:rPr>
            </w:pPr>
            <w:r w:rsidRPr="009326DD">
              <w:rPr>
                <w:rFonts w:ascii="Times New Roman" w:hAnsi="Times New Roman" w:cs="Times New Roman"/>
                <w:noProof/>
                <w:color w:val="auto"/>
                <w:sz w:val="22"/>
                <w:szCs w:val="22"/>
                <w:lang w:val="en-GB" w:eastAsia="tr-TR"/>
              </w:rPr>
              <w:t>250</w:t>
            </w:r>
          </w:p>
        </w:tc>
      </w:tr>
      <w:tr w:rsidR="000D6514" w:rsidRPr="00B8605D" w14:paraId="076EB860" w14:textId="77777777" w:rsidTr="002C4D06">
        <w:trPr>
          <w:trHeight w:val="510"/>
        </w:trPr>
        <w:tc>
          <w:tcPr>
            <w:cnfStyle w:val="001000000000" w:firstRow="0" w:lastRow="0" w:firstColumn="1" w:lastColumn="0" w:oddVBand="0" w:evenVBand="0" w:oddHBand="0" w:evenHBand="0" w:firstRowFirstColumn="0" w:firstRowLastColumn="0" w:lastRowFirstColumn="0" w:lastRowLastColumn="0"/>
            <w:tcW w:w="9639" w:type="dxa"/>
            <w:gridSpan w:val="5"/>
            <w:tcBorders>
              <w:top w:val="single" w:sz="4" w:space="0" w:color="auto"/>
              <w:left w:val="nil"/>
              <w:bottom w:val="nil"/>
              <w:right w:val="nil"/>
            </w:tcBorders>
            <w:shd w:val="clear" w:color="auto" w:fill="auto"/>
            <w:vAlign w:val="center"/>
          </w:tcPr>
          <w:p w14:paraId="3E6D7001" w14:textId="5B5B5AD2" w:rsidR="006A27DC" w:rsidRPr="009326DD" w:rsidRDefault="006A27DC" w:rsidP="002C4D06">
            <w:pPr>
              <w:spacing w:before="60"/>
              <w:ind w:left="-107"/>
              <w:rPr>
                <w:rFonts w:ascii="Times New Roman" w:hAnsi="Times New Roman" w:cs="Times New Roman"/>
                <w:b w:val="0"/>
                <w:bCs w:val="0"/>
                <w:noProof/>
                <w:color w:val="auto"/>
                <w:sz w:val="22"/>
                <w:szCs w:val="22"/>
                <w:lang w:val="en-GB" w:eastAsia="tr-TR"/>
              </w:rPr>
            </w:pPr>
            <w:r w:rsidRPr="009326DD">
              <w:rPr>
                <w:rFonts w:ascii="Times New Roman" w:hAnsi="Times New Roman" w:cs="Times New Roman"/>
                <w:b w:val="0"/>
                <w:bCs w:val="0"/>
                <w:noProof/>
                <w:color w:val="auto"/>
                <w:sz w:val="22"/>
                <w:szCs w:val="22"/>
                <w:lang w:val="en-GB" w:eastAsia="tr-TR"/>
              </w:rPr>
              <w:t>TS 266: Turkish Drinking Water Quality Standard</w:t>
            </w:r>
            <w:r w:rsidR="002C4D06">
              <w:rPr>
                <w:rFonts w:ascii="Times New Roman" w:hAnsi="Times New Roman" w:cs="Times New Roman"/>
                <w:b w:val="0"/>
                <w:bCs w:val="0"/>
                <w:noProof/>
                <w:color w:val="auto"/>
                <w:sz w:val="22"/>
                <w:szCs w:val="22"/>
                <w:lang w:val="en-GB" w:eastAsia="tr-TR"/>
              </w:rPr>
              <w:t>,</w:t>
            </w:r>
            <w:r w:rsidR="002C4D06">
              <w:rPr>
                <w:rFonts w:ascii="Times New Roman" w:hAnsi="Times New Roman" w:cs="Times New Roman"/>
                <w:b w:val="0"/>
                <w:bCs w:val="0"/>
                <w:noProof/>
                <w:color w:val="auto"/>
                <w:sz w:val="22"/>
                <w:szCs w:val="22"/>
                <w:lang w:val="en-GB" w:eastAsia="tr-TR"/>
              </w:rPr>
              <w:br/>
            </w:r>
            <w:r w:rsidRPr="009326DD">
              <w:rPr>
                <w:rFonts w:ascii="Times New Roman" w:hAnsi="Times New Roman" w:cs="Times New Roman"/>
                <w:b w:val="0"/>
                <w:bCs w:val="0"/>
                <w:noProof/>
                <w:color w:val="auto"/>
                <w:sz w:val="22"/>
                <w:szCs w:val="22"/>
                <w:lang w:val="en-GB" w:eastAsia="tr-TR"/>
              </w:rPr>
              <w:t>WHO: World Health Organization</w:t>
            </w:r>
            <w:r w:rsidR="002C4D06">
              <w:rPr>
                <w:rFonts w:ascii="Times New Roman" w:hAnsi="Times New Roman" w:cs="Times New Roman"/>
                <w:b w:val="0"/>
                <w:bCs w:val="0"/>
                <w:noProof/>
                <w:color w:val="auto"/>
                <w:sz w:val="22"/>
                <w:szCs w:val="22"/>
                <w:lang w:val="en-GB" w:eastAsia="tr-TR"/>
              </w:rPr>
              <w:t>,</w:t>
            </w:r>
            <w:r w:rsidR="002C4D06">
              <w:rPr>
                <w:rFonts w:ascii="Times New Roman" w:hAnsi="Times New Roman" w:cs="Times New Roman"/>
                <w:b w:val="0"/>
                <w:bCs w:val="0"/>
                <w:noProof/>
                <w:color w:val="auto"/>
                <w:sz w:val="22"/>
                <w:szCs w:val="22"/>
                <w:lang w:val="en-GB" w:eastAsia="tr-TR"/>
              </w:rPr>
              <w:br/>
            </w:r>
            <w:r w:rsidRPr="009326DD">
              <w:rPr>
                <w:rFonts w:ascii="Times New Roman" w:hAnsi="Times New Roman" w:cs="Times New Roman"/>
                <w:b w:val="0"/>
                <w:bCs w:val="0"/>
                <w:noProof/>
                <w:color w:val="auto"/>
                <w:sz w:val="22"/>
                <w:szCs w:val="22"/>
                <w:lang w:val="en-GB" w:eastAsia="tr-TR"/>
              </w:rPr>
              <w:t>EPA: US Environmental Protection Agency</w:t>
            </w:r>
            <w:r w:rsidR="002C4D06">
              <w:rPr>
                <w:rFonts w:ascii="Times New Roman" w:hAnsi="Times New Roman" w:cs="Times New Roman"/>
                <w:b w:val="0"/>
                <w:bCs w:val="0"/>
                <w:noProof/>
                <w:color w:val="auto"/>
                <w:sz w:val="22"/>
                <w:szCs w:val="22"/>
                <w:lang w:val="en-GB" w:eastAsia="tr-TR"/>
              </w:rPr>
              <w:t>,</w:t>
            </w:r>
            <w:r w:rsidR="002C4D06">
              <w:rPr>
                <w:rFonts w:ascii="Times New Roman" w:hAnsi="Times New Roman" w:cs="Times New Roman"/>
                <w:b w:val="0"/>
                <w:bCs w:val="0"/>
                <w:noProof/>
                <w:color w:val="auto"/>
                <w:sz w:val="22"/>
                <w:szCs w:val="22"/>
                <w:lang w:val="en-GB" w:eastAsia="tr-TR"/>
              </w:rPr>
              <w:br/>
            </w:r>
            <w:r w:rsidRPr="009326DD">
              <w:rPr>
                <w:rFonts w:ascii="Times New Roman" w:hAnsi="Times New Roman" w:cs="Times New Roman"/>
                <w:b w:val="0"/>
                <w:bCs w:val="0"/>
                <w:noProof/>
                <w:color w:val="auto"/>
                <w:sz w:val="22"/>
                <w:szCs w:val="22"/>
                <w:lang w:val="en-GB" w:eastAsia="tr-TR"/>
              </w:rPr>
              <w:t>EU: European</w:t>
            </w:r>
            <w:r w:rsidR="002C4D06">
              <w:rPr>
                <w:rFonts w:ascii="Times New Roman" w:hAnsi="Times New Roman" w:cs="Times New Roman"/>
                <w:b w:val="0"/>
                <w:bCs w:val="0"/>
                <w:noProof/>
                <w:color w:val="auto"/>
                <w:sz w:val="22"/>
                <w:szCs w:val="22"/>
                <w:lang w:val="en-GB" w:eastAsia="tr-TR"/>
              </w:rPr>
              <w:t xml:space="preserve"> </w:t>
            </w:r>
            <w:r w:rsidRPr="009326DD">
              <w:rPr>
                <w:rFonts w:ascii="Times New Roman" w:hAnsi="Times New Roman" w:cs="Times New Roman"/>
                <w:b w:val="0"/>
                <w:bCs w:val="0"/>
                <w:noProof/>
                <w:color w:val="auto"/>
                <w:sz w:val="22"/>
                <w:szCs w:val="22"/>
                <w:lang w:val="en-GB" w:eastAsia="tr-TR"/>
              </w:rPr>
              <w:t>Union</w:t>
            </w:r>
            <w:r w:rsidR="002C4D06">
              <w:rPr>
                <w:rFonts w:ascii="Times New Roman" w:hAnsi="Times New Roman" w:cs="Times New Roman"/>
                <w:b w:val="0"/>
                <w:bCs w:val="0"/>
                <w:noProof/>
                <w:color w:val="auto"/>
                <w:sz w:val="22"/>
                <w:szCs w:val="22"/>
                <w:lang w:val="en-GB" w:eastAsia="tr-TR"/>
              </w:rPr>
              <w:t>.</w:t>
            </w:r>
          </w:p>
        </w:tc>
      </w:tr>
    </w:tbl>
    <w:p w14:paraId="3DA3DE77" w14:textId="77777777" w:rsidR="006A27DC" w:rsidRPr="00B8605D" w:rsidRDefault="006A27DC" w:rsidP="006A27DC">
      <w:pPr>
        <w:rPr>
          <w:noProof/>
          <w:sz w:val="22"/>
          <w:szCs w:val="22"/>
          <w:lang w:val="en-GB" w:eastAsia="tr-TR"/>
        </w:rPr>
      </w:pPr>
    </w:p>
    <w:p w14:paraId="37A64E29" w14:textId="77777777" w:rsidR="006A27DC" w:rsidRPr="00B8605D" w:rsidRDefault="006A27DC" w:rsidP="003851DF">
      <w:pPr>
        <w:pStyle w:val="Rn2"/>
        <w:rPr>
          <w:noProof/>
          <w:lang w:val="en-GB" w:eastAsia="tr-TR"/>
        </w:rPr>
      </w:pPr>
      <w:r w:rsidRPr="00B8605D">
        <w:rPr>
          <w:noProof/>
          <w:lang w:val="en-GB" w:eastAsia="tr-TR"/>
        </w:rPr>
        <w:t>2.4. Spatial Modeling by GIS-based Mapping</w:t>
      </w:r>
    </w:p>
    <w:p w14:paraId="6CF54D17" w14:textId="40C84C0F" w:rsidR="006A27DC" w:rsidRPr="00B8605D" w:rsidRDefault="006A27DC" w:rsidP="003851DF">
      <w:pPr>
        <w:ind w:firstLine="284"/>
        <w:contextualSpacing/>
        <w:jc w:val="both"/>
        <w:rPr>
          <w:rFonts w:eastAsiaTheme="minorEastAsia"/>
          <w:noProof/>
          <w:sz w:val="22"/>
          <w:szCs w:val="22"/>
          <w:lang w:val="en-GB" w:eastAsia="tr-TR"/>
        </w:rPr>
      </w:pPr>
      <w:r w:rsidRPr="00B8605D">
        <w:rPr>
          <w:rFonts w:eastAsiaTheme="minorEastAsia"/>
          <w:noProof/>
          <w:sz w:val="22"/>
          <w:szCs w:val="22"/>
          <w:lang w:val="en-GB" w:eastAsia="tr-TR"/>
        </w:rPr>
        <w:t xml:space="preserve">Various drinking water quality parameters of Ankara province were evaluated spatially in a GIS environment using Arc GIS 10.3.1 software (ESRI 2010). IDW interpolation method was used to evaluate spatial analysis. The IDW </w:t>
      </w:r>
      <w:r w:rsidRPr="00B8605D">
        <w:rPr>
          <w:bCs/>
          <w:noProof/>
          <w:sz w:val="22"/>
          <w:szCs w:val="22"/>
          <w:lang w:val="en-GB"/>
        </w:rPr>
        <w:t>(Inverse Distance Weighted)</w:t>
      </w:r>
      <w:r w:rsidRPr="00B8605D">
        <w:rPr>
          <w:rFonts w:eastAsiaTheme="minorEastAsia"/>
          <w:noProof/>
          <w:sz w:val="22"/>
          <w:szCs w:val="22"/>
          <w:lang w:val="en-GB" w:eastAsia="tr-TR"/>
        </w:rPr>
        <w:t xml:space="preserve"> method performs analysis on the basis that the nearby points have more weight than the distant points on the surface to be analy</w:t>
      </w:r>
      <w:r w:rsidR="002004F2">
        <w:rPr>
          <w:rFonts w:eastAsiaTheme="minorEastAsia"/>
          <w:noProof/>
          <w:sz w:val="22"/>
          <w:szCs w:val="22"/>
          <w:lang w:val="en-GB" w:eastAsia="tr-TR"/>
        </w:rPr>
        <w:t>z</w:t>
      </w:r>
      <w:r w:rsidRPr="00B8605D">
        <w:rPr>
          <w:rFonts w:eastAsiaTheme="minorEastAsia"/>
          <w:noProof/>
          <w:sz w:val="22"/>
          <w:szCs w:val="22"/>
          <w:lang w:val="en-GB" w:eastAsia="tr-TR"/>
        </w:rPr>
        <w:t>ed (Şen 2007).</w:t>
      </w:r>
      <w:r w:rsidR="009326DD">
        <w:rPr>
          <w:rFonts w:eastAsiaTheme="minorEastAsia"/>
          <w:noProof/>
          <w:sz w:val="22"/>
          <w:szCs w:val="22"/>
          <w:lang w:val="en-GB" w:eastAsia="tr-TR"/>
        </w:rPr>
        <w:t xml:space="preserve"> </w:t>
      </w:r>
      <w:r w:rsidRPr="00B8605D">
        <w:rPr>
          <w:rFonts w:eastAsiaTheme="minorEastAsia"/>
          <w:noProof/>
          <w:sz w:val="22"/>
          <w:szCs w:val="22"/>
          <w:lang w:val="en-GB" w:eastAsia="tr-TR"/>
        </w:rPr>
        <w:t>The estimated values are a function of the near and far points, and as the distance increases, the importance and impact on the cell to be estimated decreases. Water quality parameters were modeled using the IDW interpolation method with the help of Arc GIS software using the following equation (Burrough &amp; Mcdonnell 1998).</w:t>
      </w:r>
    </w:p>
    <w:p w14:paraId="7607E8D6" w14:textId="20F0BB5A" w:rsidR="006A27DC" w:rsidRPr="00B8605D" w:rsidRDefault="00000000" w:rsidP="00B8605D">
      <w:pPr>
        <w:tabs>
          <w:tab w:val="right" w:pos="9632"/>
        </w:tabs>
        <w:autoSpaceDE w:val="0"/>
        <w:autoSpaceDN w:val="0"/>
        <w:adjustRightInd w:val="0"/>
        <w:spacing w:before="120" w:after="120"/>
        <w:ind w:left="4111"/>
        <w:jc w:val="both"/>
        <w:rPr>
          <w:noProof/>
          <w:sz w:val="22"/>
          <w:szCs w:val="22"/>
          <w:lang w:val="en-GB"/>
        </w:rPr>
      </w:pPr>
      <m:oMath>
        <m:sSub>
          <m:sSubPr>
            <m:ctrlPr>
              <w:rPr>
                <w:rFonts w:ascii="Cambria Math" w:hAnsi="Cambria Math"/>
                <w:i/>
                <w:noProof/>
                <w:sz w:val="22"/>
                <w:szCs w:val="22"/>
                <w:lang w:val="en-GB"/>
              </w:rPr>
            </m:ctrlPr>
          </m:sSubPr>
          <m:e>
            <m:r>
              <w:rPr>
                <w:rFonts w:ascii="Cambria Math" w:hAnsi="Cambria Math"/>
                <w:noProof/>
                <w:sz w:val="22"/>
                <w:szCs w:val="22"/>
                <w:lang w:val="en-GB"/>
              </w:rPr>
              <m:t>Z</m:t>
            </m:r>
          </m:e>
          <m:sub>
            <m:r>
              <w:rPr>
                <w:rFonts w:ascii="Cambria Math" w:hAnsi="Cambria Math"/>
                <w:noProof/>
                <w:sz w:val="22"/>
                <w:szCs w:val="22"/>
                <w:lang w:val="en-GB"/>
              </w:rPr>
              <m:t>0</m:t>
            </m:r>
          </m:sub>
        </m:sSub>
        <m:r>
          <w:rPr>
            <w:rFonts w:ascii="Cambria Math" w:hAnsi="Cambria Math"/>
            <w:noProof/>
            <w:sz w:val="22"/>
            <w:szCs w:val="22"/>
            <w:lang w:val="en-GB"/>
          </w:rPr>
          <m:t>=</m:t>
        </m:r>
        <m:f>
          <m:fPr>
            <m:ctrlPr>
              <w:rPr>
                <w:rFonts w:ascii="Cambria Math" w:hAnsi="Cambria Math"/>
                <w:i/>
                <w:noProof/>
                <w:sz w:val="22"/>
                <w:szCs w:val="22"/>
                <w:lang w:val="en-GB"/>
              </w:rPr>
            </m:ctrlPr>
          </m:fPr>
          <m:num>
            <m:nary>
              <m:naryPr>
                <m:chr m:val="∑"/>
                <m:ctrlPr>
                  <w:rPr>
                    <w:rFonts w:ascii="Cambria Math" w:hAnsi="Cambria Math"/>
                    <w:i/>
                    <w:noProof/>
                    <w:sz w:val="22"/>
                    <w:szCs w:val="22"/>
                    <w:lang w:val="en-GB"/>
                  </w:rPr>
                </m:ctrlPr>
              </m:naryPr>
              <m:sub>
                <m:r>
                  <w:rPr>
                    <w:rFonts w:ascii="Cambria Math" w:hAnsi="Cambria Math"/>
                    <w:noProof/>
                    <w:sz w:val="22"/>
                    <w:szCs w:val="22"/>
                    <w:lang w:val="en-GB"/>
                  </w:rPr>
                  <m:t>i=1</m:t>
                </m:r>
              </m:sub>
              <m:sup>
                <m:r>
                  <w:rPr>
                    <w:rFonts w:ascii="Cambria Math" w:hAnsi="Cambria Math"/>
                    <w:noProof/>
                    <w:sz w:val="22"/>
                    <w:szCs w:val="22"/>
                    <w:lang w:val="en-GB"/>
                  </w:rPr>
                  <m:t>N</m:t>
                </m:r>
              </m:sup>
              <m:e>
                <m:sSup>
                  <m:sSupPr>
                    <m:ctrlPr>
                      <w:rPr>
                        <w:rFonts w:ascii="Cambria Math" w:hAnsi="Cambria Math"/>
                        <w:i/>
                        <w:noProof/>
                        <w:sz w:val="22"/>
                        <w:szCs w:val="22"/>
                        <w:lang w:val="en-GB"/>
                      </w:rPr>
                    </m:ctrlPr>
                  </m:sSupPr>
                  <m:e>
                    <m:r>
                      <w:rPr>
                        <w:rFonts w:ascii="Cambria Math" w:hAnsi="Cambria Math"/>
                        <w:noProof/>
                        <w:sz w:val="22"/>
                        <w:szCs w:val="22"/>
                        <w:lang w:val="en-GB"/>
                      </w:rPr>
                      <m:t>Zi.di</m:t>
                    </m:r>
                  </m:e>
                  <m:sup>
                    <m:r>
                      <w:rPr>
                        <w:rFonts w:ascii="Cambria Math" w:hAnsi="Cambria Math"/>
                        <w:noProof/>
                        <w:sz w:val="22"/>
                        <w:szCs w:val="22"/>
                        <w:lang w:val="en-GB"/>
                      </w:rPr>
                      <m:t>-n</m:t>
                    </m:r>
                  </m:sup>
                </m:sSup>
              </m:e>
            </m:nary>
          </m:num>
          <m:den>
            <m:nary>
              <m:naryPr>
                <m:chr m:val="∑"/>
                <m:ctrlPr>
                  <w:rPr>
                    <w:rFonts w:ascii="Cambria Math" w:hAnsi="Cambria Math"/>
                    <w:i/>
                    <w:noProof/>
                    <w:sz w:val="22"/>
                    <w:szCs w:val="22"/>
                    <w:lang w:val="en-GB"/>
                  </w:rPr>
                </m:ctrlPr>
              </m:naryPr>
              <m:sub>
                <m:r>
                  <w:rPr>
                    <w:rFonts w:ascii="Cambria Math" w:hAnsi="Cambria Math"/>
                    <w:noProof/>
                    <w:sz w:val="22"/>
                    <w:szCs w:val="22"/>
                    <w:lang w:val="en-GB"/>
                  </w:rPr>
                  <m:t>i=1</m:t>
                </m:r>
              </m:sub>
              <m:sup>
                <m:r>
                  <w:rPr>
                    <w:rFonts w:ascii="Cambria Math" w:hAnsi="Cambria Math"/>
                    <w:noProof/>
                    <w:sz w:val="22"/>
                    <w:szCs w:val="22"/>
                    <w:lang w:val="en-GB"/>
                  </w:rPr>
                  <m:t>N</m:t>
                </m:r>
              </m:sup>
              <m:e>
                <m:sSup>
                  <m:sSupPr>
                    <m:ctrlPr>
                      <w:rPr>
                        <w:rFonts w:ascii="Cambria Math" w:hAnsi="Cambria Math"/>
                        <w:i/>
                        <w:noProof/>
                        <w:sz w:val="22"/>
                        <w:szCs w:val="22"/>
                        <w:lang w:val="en-GB"/>
                      </w:rPr>
                    </m:ctrlPr>
                  </m:sSupPr>
                  <m:e>
                    <m:r>
                      <w:rPr>
                        <w:rFonts w:ascii="Cambria Math" w:hAnsi="Cambria Math"/>
                        <w:noProof/>
                        <w:sz w:val="22"/>
                        <w:szCs w:val="22"/>
                        <w:lang w:val="en-GB"/>
                      </w:rPr>
                      <m:t>di</m:t>
                    </m:r>
                  </m:e>
                  <m:sup>
                    <m:r>
                      <w:rPr>
                        <w:rFonts w:ascii="Cambria Math" w:hAnsi="Cambria Math"/>
                        <w:noProof/>
                        <w:sz w:val="22"/>
                        <w:szCs w:val="22"/>
                        <w:lang w:val="en-GB"/>
                      </w:rPr>
                      <m:t>-n</m:t>
                    </m:r>
                  </m:sup>
                </m:sSup>
              </m:e>
            </m:nary>
          </m:den>
        </m:f>
      </m:oMath>
      <w:r w:rsidR="006A27DC" w:rsidRPr="00B8605D">
        <w:rPr>
          <w:noProof/>
          <w:sz w:val="22"/>
          <w:szCs w:val="22"/>
          <w:lang w:val="en-GB"/>
        </w:rPr>
        <w:tab/>
        <w:t xml:space="preserve"> </w:t>
      </w:r>
      <w:r w:rsidR="006A27DC" w:rsidRPr="00B8605D">
        <w:rPr>
          <w:rFonts w:eastAsiaTheme="minorEastAsia"/>
          <w:noProof/>
          <w:sz w:val="22"/>
          <w:szCs w:val="22"/>
          <w:lang w:val="en-GB"/>
        </w:rPr>
        <w:t>(1)</w:t>
      </w:r>
    </w:p>
    <w:p w14:paraId="417FF988" w14:textId="401EC29F" w:rsidR="006A27DC" w:rsidRPr="00B8605D" w:rsidRDefault="00B8605D" w:rsidP="006A27DC">
      <w:pPr>
        <w:autoSpaceDE w:val="0"/>
        <w:autoSpaceDN w:val="0"/>
        <w:adjustRightInd w:val="0"/>
        <w:jc w:val="both"/>
        <w:rPr>
          <w:noProof/>
          <w:sz w:val="22"/>
          <w:szCs w:val="22"/>
          <w:lang w:val="en-GB"/>
        </w:rPr>
      </w:pPr>
      <w:r w:rsidRPr="00B8605D">
        <w:rPr>
          <w:noProof/>
          <w:sz w:val="22"/>
          <w:szCs w:val="22"/>
          <w:lang w:val="en-GB"/>
        </w:rPr>
        <w:t>w</w:t>
      </w:r>
      <w:r w:rsidR="006A27DC" w:rsidRPr="00B8605D">
        <w:rPr>
          <w:noProof/>
          <w:sz w:val="22"/>
          <w:szCs w:val="22"/>
          <w:lang w:val="en-GB"/>
        </w:rPr>
        <w:t>here</w:t>
      </w:r>
      <w:r w:rsidRPr="00B8605D">
        <w:rPr>
          <w:noProof/>
          <w:sz w:val="22"/>
          <w:szCs w:val="22"/>
          <w:lang w:val="en-GB"/>
        </w:rPr>
        <w:t>:</w:t>
      </w:r>
    </w:p>
    <w:p w14:paraId="6594AF92" w14:textId="1ABB1FD1" w:rsidR="006A27DC" w:rsidRPr="00B8605D" w:rsidRDefault="006A27DC" w:rsidP="00DB3039">
      <w:pPr>
        <w:shd w:val="clear" w:color="auto" w:fill="FFFFFF"/>
        <w:rPr>
          <w:rFonts w:eastAsia="Times New Roman"/>
          <w:noProof/>
          <w:sz w:val="22"/>
          <w:szCs w:val="22"/>
          <w:lang w:val="en-GB" w:eastAsia="tr-TR"/>
        </w:rPr>
      </w:pPr>
      <w:r w:rsidRPr="00B8605D">
        <w:rPr>
          <w:rFonts w:eastAsia="Times New Roman"/>
          <w:noProof/>
          <w:sz w:val="22"/>
          <w:szCs w:val="22"/>
          <w:lang w:val="en-GB" w:eastAsia="tr-TR"/>
        </w:rPr>
        <w:t>Z</w:t>
      </w:r>
      <w:r w:rsidRPr="00B8605D">
        <w:rPr>
          <w:rFonts w:eastAsia="Times New Roman"/>
          <w:noProof/>
          <w:sz w:val="22"/>
          <w:szCs w:val="22"/>
          <w:vertAlign w:val="subscript"/>
          <w:lang w:val="en-GB" w:eastAsia="tr-TR"/>
        </w:rPr>
        <w:t>0</w:t>
      </w:r>
      <w:r w:rsidR="009326DD" w:rsidRPr="009326DD">
        <w:rPr>
          <w:rFonts w:eastAsia="Times New Roman"/>
          <w:noProof/>
          <w:sz w:val="22"/>
          <w:szCs w:val="22"/>
          <w:lang w:val="en-GB" w:eastAsia="tr-TR"/>
        </w:rPr>
        <w:t xml:space="preserve"> </w:t>
      </w:r>
      <w:r w:rsidR="009326DD">
        <w:rPr>
          <w:rFonts w:eastAsia="Times New Roman"/>
          <w:noProof/>
          <w:sz w:val="22"/>
          <w:szCs w:val="22"/>
          <w:lang w:val="en-GB" w:eastAsia="tr-TR"/>
        </w:rPr>
        <w:t>–</w:t>
      </w:r>
      <w:r w:rsidRPr="00B8605D">
        <w:rPr>
          <w:rFonts w:eastAsia="Times New Roman"/>
          <w:noProof/>
          <w:sz w:val="22"/>
          <w:szCs w:val="22"/>
          <w:lang w:val="en-GB" w:eastAsia="tr-TR"/>
        </w:rPr>
        <w:t xml:space="preserve"> the estimation value of variable z in point I</w:t>
      </w:r>
      <w:r w:rsidR="009326DD">
        <w:rPr>
          <w:rFonts w:eastAsia="Times New Roman"/>
          <w:noProof/>
          <w:sz w:val="22"/>
          <w:szCs w:val="22"/>
          <w:lang w:val="en-GB" w:eastAsia="tr-TR"/>
        </w:rPr>
        <w:t>,</w:t>
      </w:r>
      <w:r w:rsidRPr="00B8605D">
        <w:rPr>
          <w:rFonts w:eastAsia="Times New Roman"/>
          <w:noProof/>
          <w:sz w:val="22"/>
          <w:szCs w:val="22"/>
          <w:lang w:val="en-GB" w:eastAsia="tr-TR"/>
        </w:rPr>
        <w:t xml:space="preserve"> </w:t>
      </w:r>
      <w:r w:rsidR="00DB3039">
        <w:rPr>
          <w:rFonts w:eastAsia="Times New Roman"/>
          <w:noProof/>
          <w:sz w:val="22"/>
          <w:szCs w:val="22"/>
          <w:lang w:val="en-GB" w:eastAsia="tr-TR"/>
        </w:rPr>
        <w:br/>
      </w:r>
      <w:r w:rsidRPr="00B8605D">
        <w:rPr>
          <w:rFonts w:eastAsia="Times New Roman"/>
          <w:noProof/>
          <w:sz w:val="22"/>
          <w:szCs w:val="22"/>
          <w:lang w:val="en-GB" w:eastAsia="tr-TR"/>
        </w:rPr>
        <w:t>z</w:t>
      </w:r>
      <w:r w:rsidRPr="00B8605D">
        <w:rPr>
          <w:rFonts w:eastAsia="Times New Roman"/>
          <w:noProof/>
          <w:sz w:val="22"/>
          <w:szCs w:val="22"/>
          <w:vertAlign w:val="subscript"/>
          <w:lang w:val="en-GB" w:eastAsia="tr-TR"/>
        </w:rPr>
        <w:t>i</w:t>
      </w:r>
      <w:r w:rsidR="009326DD" w:rsidRPr="009326DD">
        <w:rPr>
          <w:rFonts w:eastAsia="Times New Roman"/>
          <w:noProof/>
          <w:sz w:val="22"/>
          <w:szCs w:val="22"/>
          <w:lang w:val="en-GB" w:eastAsia="tr-TR"/>
        </w:rPr>
        <w:t xml:space="preserve"> </w:t>
      </w:r>
      <w:r w:rsidR="009326DD">
        <w:rPr>
          <w:rFonts w:eastAsia="Times New Roman"/>
          <w:noProof/>
          <w:sz w:val="22"/>
          <w:szCs w:val="22"/>
          <w:lang w:val="en-GB" w:eastAsia="tr-TR"/>
        </w:rPr>
        <w:t>–</w:t>
      </w:r>
      <w:r w:rsidR="009326DD" w:rsidRPr="00B8605D">
        <w:rPr>
          <w:rFonts w:eastAsia="Times New Roman"/>
          <w:noProof/>
          <w:sz w:val="22"/>
          <w:szCs w:val="22"/>
          <w:lang w:val="en-GB" w:eastAsia="tr-TR"/>
        </w:rPr>
        <w:t xml:space="preserve"> </w:t>
      </w:r>
      <w:r w:rsidRPr="00B8605D">
        <w:rPr>
          <w:rFonts w:eastAsia="Times New Roman"/>
          <w:noProof/>
          <w:sz w:val="22"/>
          <w:szCs w:val="22"/>
          <w:lang w:val="en-GB" w:eastAsia="tr-TR"/>
        </w:rPr>
        <w:t>the sample value</w:t>
      </w:r>
      <w:r w:rsidR="009326DD">
        <w:rPr>
          <w:rFonts w:eastAsia="Times New Roman"/>
          <w:noProof/>
          <w:sz w:val="22"/>
          <w:szCs w:val="22"/>
          <w:lang w:val="en-GB" w:eastAsia="tr-TR"/>
        </w:rPr>
        <w:t>,</w:t>
      </w:r>
      <w:r w:rsidRPr="00B8605D">
        <w:rPr>
          <w:rFonts w:eastAsia="Times New Roman"/>
          <w:noProof/>
          <w:sz w:val="22"/>
          <w:szCs w:val="22"/>
          <w:lang w:val="en-GB" w:eastAsia="tr-TR"/>
        </w:rPr>
        <w:t xml:space="preserve"> </w:t>
      </w:r>
      <w:r w:rsidR="00DB3039">
        <w:rPr>
          <w:rFonts w:eastAsia="Times New Roman"/>
          <w:noProof/>
          <w:sz w:val="22"/>
          <w:szCs w:val="22"/>
          <w:lang w:val="en-GB" w:eastAsia="tr-TR"/>
        </w:rPr>
        <w:br/>
      </w:r>
      <w:r w:rsidRPr="00B8605D">
        <w:rPr>
          <w:rFonts w:eastAsia="Times New Roman"/>
          <w:noProof/>
          <w:sz w:val="22"/>
          <w:szCs w:val="22"/>
          <w:lang w:val="en-GB" w:eastAsia="tr-TR"/>
        </w:rPr>
        <w:t>d</w:t>
      </w:r>
      <w:r w:rsidRPr="00B8605D">
        <w:rPr>
          <w:rFonts w:eastAsia="Times New Roman"/>
          <w:noProof/>
          <w:sz w:val="22"/>
          <w:szCs w:val="22"/>
          <w:vertAlign w:val="subscript"/>
          <w:lang w:val="en-GB" w:eastAsia="tr-TR"/>
        </w:rPr>
        <w:t>i</w:t>
      </w:r>
      <w:r w:rsidR="009326DD" w:rsidRPr="009326DD">
        <w:rPr>
          <w:rFonts w:eastAsia="Times New Roman"/>
          <w:noProof/>
          <w:sz w:val="22"/>
          <w:szCs w:val="22"/>
          <w:lang w:val="en-GB" w:eastAsia="tr-TR"/>
        </w:rPr>
        <w:t xml:space="preserve"> </w:t>
      </w:r>
      <w:r w:rsidR="009326DD">
        <w:rPr>
          <w:rFonts w:eastAsia="Times New Roman"/>
          <w:noProof/>
          <w:sz w:val="22"/>
          <w:szCs w:val="22"/>
          <w:lang w:val="en-GB" w:eastAsia="tr-TR"/>
        </w:rPr>
        <w:t>–</w:t>
      </w:r>
      <w:r w:rsidR="009326DD" w:rsidRPr="00B8605D">
        <w:rPr>
          <w:rFonts w:eastAsia="Times New Roman"/>
          <w:noProof/>
          <w:sz w:val="22"/>
          <w:szCs w:val="22"/>
          <w:lang w:val="en-GB" w:eastAsia="tr-TR"/>
        </w:rPr>
        <w:t xml:space="preserve"> </w:t>
      </w:r>
      <w:r w:rsidRPr="00B8605D">
        <w:rPr>
          <w:rFonts w:eastAsia="Times New Roman"/>
          <w:noProof/>
          <w:sz w:val="22"/>
          <w:szCs w:val="22"/>
          <w:lang w:val="en-GB" w:eastAsia="tr-TR"/>
        </w:rPr>
        <w:t xml:space="preserve">the distance of </w:t>
      </w:r>
      <w:r w:rsidR="002004F2">
        <w:rPr>
          <w:rFonts w:eastAsia="Times New Roman"/>
          <w:noProof/>
          <w:sz w:val="22"/>
          <w:szCs w:val="22"/>
          <w:lang w:val="en-GB" w:eastAsia="tr-TR"/>
        </w:rPr>
        <w:t xml:space="preserve">the </w:t>
      </w:r>
      <w:r w:rsidRPr="00B8605D">
        <w:rPr>
          <w:rFonts w:eastAsia="Times New Roman"/>
          <w:noProof/>
          <w:sz w:val="22"/>
          <w:szCs w:val="22"/>
          <w:lang w:val="en-GB" w:eastAsia="tr-TR"/>
        </w:rPr>
        <w:t xml:space="preserve">sample point to </w:t>
      </w:r>
      <w:r w:rsidR="002004F2">
        <w:rPr>
          <w:rFonts w:eastAsia="Times New Roman"/>
          <w:noProof/>
          <w:sz w:val="22"/>
          <w:szCs w:val="22"/>
          <w:lang w:val="en-GB" w:eastAsia="tr-TR"/>
        </w:rPr>
        <w:t xml:space="preserve">the </w:t>
      </w:r>
      <w:r w:rsidRPr="00B8605D">
        <w:rPr>
          <w:rFonts w:eastAsia="Times New Roman"/>
          <w:noProof/>
          <w:sz w:val="22"/>
          <w:szCs w:val="22"/>
          <w:lang w:val="en-GB" w:eastAsia="tr-TR"/>
        </w:rPr>
        <w:t>estimated point</w:t>
      </w:r>
      <w:r w:rsidR="009326DD">
        <w:rPr>
          <w:rFonts w:eastAsia="Times New Roman"/>
          <w:noProof/>
          <w:sz w:val="22"/>
          <w:szCs w:val="22"/>
          <w:lang w:val="en-GB" w:eastAsia="tr-TR"/>
        </w:rPr>
        <w:t>,</w:t>
      </w:r>
      <w:r w:rsidRPr="00B8605D">
        <w:rPr>
          <w:rFonts w:eastAsia="Times New Roman"/>
          <w:noProof/>
          <w:sz w:val="22"/>
          <w:szCs w:val="22"/>
          <w:lang w:val="en-GB" w:eastAsia="tr-TR"/>
        </w:rPr>
        <w:t xml:space="preserve"> </w:t>
      </w:r>
      <w:r w:rsidR="00DB3039">
        <w:rPr>
          <w:rFonts w:eastAsia="Times New Roman"/>
          <w:noProof/>
          <w:sz w:val="22"/>
          <w:szCs w:val="22"/>
          <w:lang w:val="en-GB" w:eastAsia="tr-TR"/>
        </w:rPr>
        <w:br/>
      </w:r>
      <w:r w:rsidRPr="00B8605D">
        <w:rPr>
          <w:rFonts w:eastAsia="Times New Roman"/>
          <w:noProof/>
          <w:sz w:val="22"/>
          <w:szCs w:val="22"/>
          <w:lang w:val="en-GB" w:eastAsia="tr-TR"/>
        </w:rPr>
        <w:t>N</w:t>
      </w:r>
      <w:r w:rsidR="009326DD" w:rsidRPr="009326DD">
        <w:rPr>
          <w:rFonts w:eastAsia="Times New Roman"/>
          <w:noProof/>
          <w:sz w:val="22"/>
          <w:szCs w:val="22"/>
          <w:lang w:val="en-GB" w:eastAsia="tr-TR"/>
        </w:rPr>
        <w:t xml:space="preserve"> </w:t>
      </w:r>
      <w:r w:rsidR="009326DD">
        <w:rPr>
          <w:rFonts w:eastAsia="Times New Roman"/>
          <w:noProof/>
          <w:sz w:val="22"/>
          <w:szCs w:val="22"/>
          <w:lang w:val="en-GB" w:eastAsia="tr-TR"/>
        </w:rPr>
        <w:t>–</w:t>
      </w:r>
      <w:r w:rsidR="009326DD" w:rsidRPr="00B8605D">
        <w:rPr>
          <w:rFonts w:eastAsia="Times New Roman"/>
          <w:noProof/>
          <w:sz w:val="22"/>
          <w:szCs w:val="22"/>
          <w:lang w:val="en-GB" w:eastAsia="tr-TR"/>
        </w:rPr>
        <w:t xml:space="preserve"> </w:t>
      </w:r>
      <w:r w:rsidRPr="00B8605D">
        <w:rPr>
          <w:rFonts w:eastAsia="Times New Roman"/>
          <w:noProof/>
          <w:sz w:val="22"/>
          <w:szCs w:val="22"/>
          <w:lang w:val="en-GB" w:eastAsia="tr-TR"/>
        </w:rPr>
        <w:t>the coefficient that determines weigh</w:t>
      </w:r>
      <w:r w:rsidR="002004F2">
        <w:rPr>
          <w:rFonts w:eastAsia="Times New Roman"/>
          <w:noProof/>
          <w:sz w:val="22"/>
          <w:szCs w:val="22"/>
          <w:lang w:val="en-GB" w:eastAsia="tr-TR"/>
        </w:rPr>
        <w:t>t</w:t>
      </w:r>
      <w:r w:rsidRPr="00B8605D">
        <w:rPr>
          <w:rFonts w:eastAsia="Times New Roman"/>
          <w:noProof/>
          <w:sz w:val="22"/>
          <w:szCs w:val="22"/>
          <w:lang w:val="en-GB" w:eastAsia="tr-TR"/>
        </w:rPr>
        <w:t xml:space="preserve"> based on distance, </w:t>
      </w:r>
      <w:r w:rsidR="00DB3039">
        <w:rPr>
          <w:rFonts w:eastAsia="Times New Roman"/>
          <w:noProof/>
          <w:sz w:val="22"/>
          <w:szCs w:val="22"/>
          <w:lang w:val="en-GB" w:eastAsia="tr-TR"/>
        </w:rPr>
        <w:br/>
      </w:r>
      <w:r w:rsidRPr="00B8605D">
        <w:rPr>
          <w:rFonts w:eastAsia="Times New Roman"/>
          <w:noProof/>
          <w:sz w:val="22"/>
          <w:szCs w:val="22"/>
          <w:lang w:val="en-GB" w:eastAsia="tr-TR"/>
        </w:rPr>
        <w:t>N</w:t>
      </w:r>
      <w:r w:rsidR="009326DD" w:rsidRPr="009326DD">
        <w:rPr>
          <w:rFonts w:eastAsia="Times New Roman"/>
          <w:noProof/>
          <w:sz w:val="22"/>
          <w:szCs w:val="22"/>
          <w:lang w:val="en-GB" w:eastAsia="tr-TR"/>
        </w:rPr>
        <w:t xml:space="preserve"> – </w:t>
      </w:r>
      <w:r w:rsidRPr="00B8605D">
        <w:rPr>
          <w:rFonts w:eastAsia="Times New Roman"/>
          <w:noProof/>
          <w:sz w:val="22"/>
          <w:szCs w:val="22"/>
          <w:lang w:val="en-GB" w:eastAsia="tr-TR"/>
        </w:rPr>
        <w:t>the total number of predictions for each validation case.</w:t>
      </w:r>
    </w:p>
    <w:p w14:paraId="3738B853" w14:textId="77777777" w:rsidR="006A27DC" w:rsidRPr="00B8605D" w:rsidRDefault="006A27DC" w:rsidP="003851DF">
      <w:pPr>
        <w:pStyle w:val="Rn2"/>
        <w:rPr>
          <w:noProof/>
          <w:lang w:val="en-GB" w:eastAsia="tr-TR"/>
        </w:rPr>
      </w:pPr>
      <w:r w:rsidRPr="00B8605D">
        <w:rPr>
          <w:rFonts w:eastAsia="Times New Roman"/>
          <w:noProof/>
          <w:lang w:val="en-GB" w:eastAsia="tr-TR"/>
        </w:rPr>
        <w:t xml:space="preserve">2.5. </w:t>
      </w:r>
      <w:r w:rsidRPr="00B8605D">
        <w:rPr>
          <w:noProof/>
          <w:lang w:val="en-GB" w:eastAsia="tr-TR"/>
        </w:rPr>
        <w:t>Trend Analysis</w:t>
      </w:r>
    </w:p>
    <w:p w14:paraId="3559F8D0" w14:textId="5E482251"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The change </w:t>
      </w:r>
      <w:r w:rsidR="002004F2">
        <w:rPr>
          <w:rFonts w:eastAsiaTheme="minorEastAsia"/>
          <w:noProof/>
          <w:sz w:val="22"/>
          <w:szCs w:val="22"/>
          <w:lang w:val="en-GB" w:eastAsia="tr-TR"/>
        </w:rPr>
        <w:t>in</w:t>
      </w:r>
      <w:r w:rsidRPr="00B8605D">
        <w:rPr>
          <w:rFonts w:eastAsiaTheme="minorEastAsia"/>
          <w:noProof/>
          <w:sz w:val="22"/>
          <w:szCs w:val="22"/>
          <w:lang w:val="en-GB" w:eastAsia="tr-TR"/>
        </w:rPr>
        <w:t xml:space="preserve"> drinking water quality parameters over the years was evaluated by trend analysis in the current study. Mann-Kendall and Sperman's Rho Test and Sen's Trend Slope method were applied to water </w:t>
      </w:r>
      <w:r w:rsidRPr="00B8605D">
        <w:rPr>
          <w:rFonts w:eastAsiaTheme="minorEastAsia"/>
          <w:noProof/>
          <w:sz w:val="22"/>
          <w:szCs w:val="22"/>
          <w:lang w:val="en-GB" w:eastAsia="tr-TR"/>
        </w:rPr>
        <w:lastRenderedPageBreak/>
        <w:t xml:space="preserve">quality data at </w:t>
      </w:r>
      <w:r w:rsidR="002004F2">
        <w:rPr>
          <w:rFonts w:eastAsiaTheme="minorEastAsia"/>
          <w:noProof/>
          <w:sz w:val="22"/>
          <w:szCs w:val="22"/>
          <w:lang w:val="en-GB" w:eastAsia="tr-TR"/>
        </w:rPr>
        <w:t xml:space="preserve">a </w:t>
      </w:r>
      <w:r w:rsidRPr="00B8605D">
        <w:rPr>
          <w:rFonts w:eastAsiaTheme="minorEastAsia"/>
          <w:noProof/>
          <w:sz w:val="22"/>
          <w:szCs w:val="22"/>
          <w:lang w:val="en-GB" w:eastAsia="tr-TR"/>
        </w:rPr>
        <w:t>95% confidence level (Mann 1945, Kendall 1975, Sen 1968).</w:t>
      </w:r>
      <w:r w:rsidRPr="00B8605D">
        <w:rPr>
          <w:bCs/>
          <w:noProof/>
          <w:sz w:val="22"/>
          <w:szCs w:val="22"/>
          <w:lang w:val="en-GB"/>
        </w:rPr>
        <w:t xml:space="preserve"> </w:t>
      </w:r>
      <w:r w:rsidRPr="00B8605D">
        <w:rPr>
          <w:rFonts w:eastAsiaTheme="minorEastAsia"/>
          <w:noProof/>
          <w:sz w:val="22"/>
          <w:szCs w:val="22"/>
          <w:lang w:val="en-GB" w:eastAsia="tr-TR"/>
        </w:rPr>
        <w:t xml:space="preserve">Mann-Kendall test </w:t>
      </w:r>
      <w:r w:rsidR="002004F2">
        <w:rPr>
          <w:rFonts w:eastAsiaTheme="minorEastAsia"/>
          <w:noProof/>
          <w:sz w:val="22"/>
          <w:szCs w:val="22"/>
          <w:lang w:val="en-GB" w:eastAsia="tr-TR"/>
        </w:rPr>
        <w:t>was applied using the following equation:</w:t>
      </w:r>
    </w:p>
    <w:p w14:paraId="57AB092B" w14:textId="79DDD069" w:rsidR="006A27DC" w:rsidRPr="00B8605D" w:rsidRDefault="006A27DC" w:rsidP="00B8605D">
      <w:pPr>
        <w:tabs>
          <w:tab w:val="right" w:pos="9632"/>
        </w:tabs>
        <w:spacing w:before="120" w:after="120"/>
        <w:ind w:left="3544"/>
        <w:jc w:val="both"/>
        <w:rPr>
          <w:rFonts w:eastAsiaTheme="minorEastAsia"/>
          <w:noProof/>
          <w:sz w:val="22"/>
          <w:szCs w:val="22"/>
          <w:lang w:val="en-GB" w:eastAsia="tr-TR"/>
        </w:rPr>
      </w:pPr>
      <m:oMath>
        <m:r>
          <w:rPr>
            <w:rFonts w:ascii="Cambria Math" w:hAnsi="Cambria Math"/>
            <w:noProof/>
            <w:sz w:val="22"/>
            <w:szCs w:val="22"/>
            <w:lang w:val="en-GB"/>
          </w:rPr>
          <m:t>S=</m:t>
        </m:r>
        <m:nary>
          <m:naryPr>
            <m:chr m:val="∑"/>
            <m:limLoc m:val="subSup"/>
            <m:ctrlPr>
              <w:rPr>
                <w:rFonts w:ascii="Cambria Math" w:hAnsi="Cambria Math"/>
                <w:i/>
                <w:noProof/>
                <w:sz w:val="22"/>
                <w:szCs w:val="22"/>
                <w:lang w:val="en-GB"/>
              </w:rPr>
            </m:ctrlPr>
          </m:naryPr>
          <m:sub>
            <m:r>
              <w:rPr>
                <w:rFonts w:ascii="Cambria Math" w:hAnsi="Cambria Math"/>
                <w:noProof/>
                <w:sz w:val="22"/>
                <w:szCs w:val="22"/>
                <w:lang w:val="en-GB"/>
              </w:rPr>
              <m:t>İ=1</m:t>
            </m:r>
          </m:sub>
          <m:sup>
            <m:r>
              <w:rPr>
                <w:rFonts w:ascii="Cambria Math" w:hAnsi="Cambria Math"/>
                <w:noProof/>
                <w:sz w:val="22"/>
                <w:szCs w:val="22"/>
                <w:lang w:val="en-GB"/>
              </w:rPr>
              <m:t>n-1</m:t>
            </m:r>
          </m:sup>
          <m:e>
            <m:nary>
              <m:naryPr>
                <m:chr m:val="∑"/>
                <m:limLoc m:val="subSup"/>
                <m:ctrlPr>
                  <w:rPr>
                    <w:rFonts w:ascii="Cambria Math" w:hAnsi="Cambria Math"/>
                    <w:i/>
                    <w:noProof/>
                    <w:sz w:val="22"/>
                    <w:szCs w:val="22"/>
                    <w:lang w:val="en-GB"/>
                  </w:rPr>
                </m:ctrlPr>
              </m:naryPr>
              <m:sub>
                <m:r>
                  <w:rPr>
                    <w:rFonts w:ascii="Cambria Math" w:hAnsi="Cambria Math"/>
                    <w:noProof/>
                    <w:sz w:val="22"/>
                    <w:szCs w:val="22"/>
                    <w:lang w:val="en-GB"/>
                  </w:rPr>
                  <m:t>J=i+1</m:t>
                </m:r>
              </m:sub>
              <m:sup>
                <m:r>
                  <w:rPr>
                    <w:rFonts w:ascii="Cambria Math" w:hAnsi="Cambria Math"/>
                    <w:noProof/>
                    <w:sz w:val="22"/>
                    <w:szCs w:val="22"/>
                    <w:lang w:val="en-GB"/>
                  </w:rPr>
                  <m:t>n</m:t>
                </m:r>
              </m:sup>
              <m:e>
                <m:r>
                  <w:rPr>
                    <w:rFonts w:ascii="Cambria Math" w:hAnsi="Cambria Math"/>
                    <w:noProof/>
                    <w:sz w:val="22"/>
                    <w:szCs w:val="22"/>
                    <w:lang w:val="en-GB"/>
                  </w:rPr>
                  <m:t>sgn(</m:t>
                </m:r>
                <m:sSub>
                  <m:sSubPr>
                    <m:ctrlPr>
                      <w:rPr>
                        <w:rFonts w:ascii="Cambria Math" w:hAnsi="Cambria Math"/>
                        <w:i/>
                        <w:noProof/>
                        <w:sz w:val="22"/>
                        <w:szCs w:val="22"/>
                        <w:lang w:val="en-GB"/>
                      </w:rPr>
                    </m:ctrlPr>
                  </m:sSubPr>
                  <m:e>
                    <m:r>
                      <w:rPr>
                        <w:rFonts w:ascii="Cambria Math" w:hAnsi="Cambria Math"/>
                        <w:noProof/>
                        <w:sz w:val="22"/>
                        <w:szCs w:val="22"/>
                        <w:lang w:val="en-GB"/>
                      </w:rPr>
                      <m:t>x</m:t>
                    </m:r>
                  </m:e>
                  <m:sub>
                    <m:r>
                      <w:rPr>
                        <w:rFonts w:ascii="Cambria Math" w:hAnsi="Cambria Math"/>
                        <w:noProof/>
                        <w:sz w:val="22"/>
                        <w:szCs w:val="22"/>
                        <w:lang w:val="en-GB"/>
                      </w:rPr>
                      <m:t>j</m:t>
                    </m:r>
                  </m:sub>
                </m:sSub>
                <m:r>
                  <w:rPr>
                    <w:rFonts w:ascii="Cambria Math" w:hAnsi="Cambria Math"/>
                    <w:noProof/>
                    <w:sz w:val="22"/>
                    <w:szCs w:val="22"/>
                    <w:lang w:val="en-GB"/>
                  </w:rPr>
                  <m:t>-</m:t>
                </m:r>
                <m:sSub>
                  <m:sSubPr>
                    <m:ctrlPr>
                      <w:rPr>
                        <w:rFonts w:ascii="Cambria Math" w:hAnsi="Cambria Math"/>
                        <w:i/>
                        <w:noProof/>
                        <w:sz w:val="22"/>
                        <w:szCs w:val="22"/>
                        <w:lang w:val="en-GB"/>
                      </w:rPr>
                    </m:ctrlPr>
                  </m:sSubPr>
                  <m:e>
                    <m:r>
                      <w:rPr>
                        <w:rFonts w:ascii="Cambria Math" w:hAnsi="Cambria Math"/>
                        <w:noProof/>
                        <w:sz w:val="22"/>
                        <w:szCs w:val="22"/>
                        <w:lang w:val="en-GB"/>
                      </w:rPr>
                      <m:t>x</m:t>
                    </m:r>
                  </m:e>
                  <m:sub>
                    <m:r>
                      <w:rPr>
                        <w:rFonts w:ascii="Cambria Math" w:hAnsi="Cambria Math"/>
                        <w:noProof/>
                        <w:sz w:val="22"/>
                        <w:szCs w:val="22"/>
                        <w:lang w:val="en-GB"/>
                      </w:rPr>
                      <m:t>i</m:t>
                    </m:r>
                  </m:sub>
                </m:sSub>
                <m:r>
                  <w:rPr>
                    <w:rFonts w:ascii="Cambria Math" w:hAnsi="Cambria Math"/>
                    <w:noProof/>
                    <w:sz w:val="22"/>
                    <w:szCs w:val="22"/>
                    <w:lang w:val="en-GB"/>
                  </w:rPr>
                  <m:t>)</m:t>
                </m:r>
              </m:e>
            </m:nary>
          </m:e>
        </m:nary>
      </m:oMath>
      <w:r w:rsidRPr="00B8605D">
        <w:rPr>
          <w:rFonts w:eastAsiaTheme="minorEastAsia"/>
          <w:noProof/>
          <w:sz w:val="22"/>
          <w:szCs w:val="22"/>
          <w:lang w:val="en-GB"/>
        </w:rPr>
        <w:tab/>
        <w:t xml:space="preserve"> (2)</w:t>
      </w:r>
    </w:p>
    <w:p w14:paraId="566B1C7C" w14:textId="77777777" w:rsidR="00DB3039" w:rsidRDefault="006A27DC" w:rsidP="006A27DC">
      <w:pPr>
        <w:jc w:val="both"/>
        <w:rPr>
          <w:noProof/>
          <w:sz w:val="22"/>
          <w:szCs w:val="22"/>
          <w:lang w:val="en-GB"/>
        </w:rPr>
      </w:pPr>
      <w:r w:rsidRPr="00B8605D">
        <w:rPr>
          <w:noProof/>
          <w:sz w:val="22"/>
          <w:szCs w:val="22"/>
          <w:lang w:val="en-GB"/>
        </w:rPr>
        <w:t>where</w:t>
      </w:r>
      <w:r w:rsidR="00B8605D" w:rsidRPr="00B8605D">
        <w:rPr>
          <w:noProof/>
          <w:sz w:val="22"/>
          <w:szCs w:val="22"/>
          <w:lang w:val="en-GB"/>
        </w:rPr>
        <w:t>:</w:t>
      </w:r>
      <w:r w:rsidRPr="00B8605D">
        <w:rPr>
          <w:noProof/>
          <w:sz w:val="22"/>
          <w:szCs w:val="22"/>
          <w:lang w:val="en-GB"/>
        </w:rPr>
        <w:t xml:space="preserve"> </w:t>
      </w:r>
    </w:p>
    <w:p w14:paraId="591A6C4D" w14:textId="77777777" w:rsidR="00DB3039" w:rsidRDefault="006A27DC" w:rsidP="006A27DC">
      <w:pPr>
        <w:jc w:val="both"/>
        <w:rPr>
          <w:noProof/>
          <w:sz w:val="22"/>
          <w:szCs w:val="22"/>
          <w:lang w:val="en-GB"/>
        </w:rPr>
      </w:pPr>
      <w:r w:rsidRPr="00B8605D">
        <w:rPr>
          <w:noProof/>
          <w:sz w:val="22"/>
          <w:szCs w:val="22"/>
          <w:lang w:val="en-GB"/>
        </w:rPr>
        <w:t>S</w:t>
      </w:r>
      <w:r w:rsidR="00DB3039">
        <w:rPr>
          <w:noProof/>
          <w:sz w:val="22"/>
          <w:szCs w:val="22"/>
          <w:lang w:val="en-GB"/>
        </w:rPr>
        <w:t xml:space="preserve"> –</w:t>
      </w:r>
      <w:r w:rsidRPr="00B8605D">
        <w:rPr>
          <w:noProof/>
          <w:sz w:val="22"/>
          <w:szCs w:val="22"/>
          <w:lang w:val="en-GB"/>
        </w:rPr>
        <w:t xml:space="preserve"> Mann-Kendall test statistical,</w:t>
      </w:r>
    </w:p>
    <w:p w14:paraId="2478FF45" w14:textId="3B145030" w:rsidR="006A27DC" w:rsidRPr="00B8605D" w:rsidRDefault="006A27DC" w:rsidP="00DB3039">
      <w:pPr>
        <w:rPr>
          <w:noProof/>
          <w:sz w:val="22"/>
          <w:szCs w:val="22"/>
          <w:lang w:val="en-GB"/>
        </w:rPr>
      </w:pPr>
      <w:r w:rsidRPr="00B8605D">
        <w:rPr>
          <w:noProof/>
          <w:sz w:val="22"/>
          <w:szCs w:val="22"/>
          <w:lang w:val="en-GB"/>
        </w:rPr>
        <w:t>n</w:t>
      </w:r>
      <w:r w:rsidR="00DB3039">
        <w:rPr>
          <w:noProof/>
          <w:sz w:val="22"/>
          <w:szCs w:val="22"/>
          <w:lang w:val="en-GB"/>
        </w:rPr>
        <w:t xml:space="preserve"> –</w:t>
      </w:r>
      <w:r w:rsidRPr="00B8605D">
        <w:rPr>
          <w:noProof/>
          <w:sz w:val="22"/>
          <w:szCs w:val="22"/>
          <w:lang w:val="en-GB"/>
        </w:rPr>
        <w:t xml:space="preserve"> number of data points, </w:t>
      </w:r>
      <w:r w:rsidR="00DB3039">
        <w:rPr>
          <w:noProof/>
          <w:sz w:val="22"/>
          <w:szCs w:val="22"/>
          <w:lang w:val="en-GB"/>
        </w:rPr>
        <w:br/>
      </w:r>
      <w:r w:rsidRPr="00B8605D">
        <w:rPr>
          <w:rFonts w:ascii="Cambria Math" w:hAnsi="Cambria Math" w:cs="Cambria Math"/>
          <w:noProof/>
          <w:sz w:val="22"/>
          <w:szCs w:val="22"/>
          <w:lang w:val="en-GB"/>
        </w:rPr>
        <w:t>𝑥</w:t>
      </w:r>
      <w:r w:rsidRPr="00B8605D">
        <w:rPr>
          <w:rFonts w:ascii="Cambria Math" w:hAnsi="Cambria Math" w:cs="Cambria Math"/>
          <w:noProof/>
          <w:sz w:val="22"/>
          <w:szCs w:val="22"/>
          <w:vertAlign w:val="subscript"/>
          <w:lang w:val="en-GB"/>
        </w:rPr>
        <w:t>𝑖</w:t>
      </w:r>
      <w:r w:rsidRPr="00B8605D">
        <w:rPr>
          <w:noProof/>
          <w:sz w:val="22"/>
          <w:szCs w:val="22"/>
          <w:lang w:val="en-GB"/>
        </w:rPr>
        <w:t xml:space="preserve"> and </w:t>
      </w:r>
      <w:r w:rsidRPr="00B8605D">
        <w:rPr>
          <w:rFonts w:ascii="Cambria Math" w:hAnsi="Cambria Math" w:cs="Cambria Math"/>
          <w:noProof/>
          <w:sz w:val="22"/>
          <w:szCs w:val="22"/>
          <w:lang w:val="en-GB"/>
        </w:rPr>
        <w:t>𝑥</w:t>
      </w:r>
      <w:r w:rsidRPr="00B8605D">
        <w:rPr>
          <w:rFonts w:ascii="Cambria Math" w:hAnsi="Cambria Math" w:cs="Cambria Math"/>
          <w:noProof/>
          <w:sz w:val="22"/>
          <w:szCs w:val="22"/>
          <w:vertAlign w:val="subscript"/>
          <w:lang w:val="en-GB"/>
        </w:rPr>
        <w:t>𝑗</w:t>
      </w:r>
      <w:r w:rsidR="00DB3039">
        <w:rPr>
          <w:noProof/>
          <w:sz w:val="22"/>
          <w:szCs w:val="22"/>
          <w:lang w:val="en-GB"/>
        </w:rPr>
        <w:t xml:space="preserve"> –</w:t>
      </w:r>
      <w:r w:rsidR="00DB3039" w:rsidRPr="00B8605D">
        <w:rPr>
          <w:noProof/>
          <w:sz w:val="22"/>
          <w:szCs w:val="22"/>
          <w:lang w:val="en-GB"/>
        </w:rPr>
        <w:t xml:space="preserve"> </w:t>
      </w:r>
      <w:r w:rsidRPr="00B8605D">
        <w:rPr>
          <w:noProof/>
          <w:sz w:val="22"/>
          <w:szCs w:val="22"/>
          <w:lang w:val="en-GB"/>
        </w:rPr>
        <w:t xml:space="preserve">data values in time series i and j (j &gt; i), </w:t>
      </w:r>
      <w:r w:rsidR="00DB3039">
        <w:rPr>
          <w:noProof/>
          <w:sz w:val="22"/>
          <w:szCs w:val="22"/>
          <w:lang w:val="en-GB"/>
        </w:rPr>
        <w:br/>
      </w:r>
      <w:r w:rsidRPr="00B8605D">
        <w:rPr>
          <w:noProof/>
          <w:sz w:val="22"/>
          <w:szCs w:val="22"/>
          <w:lang w:val="en-GB"/>
        </w:rPr>
        <w:t>sgn (x</w:t>
      </w:r>
      <w:r w:rsidRPr="00B8605D">
        <w:rPr>
          <w:noProof/>
          <w:sz w:val="22"/>
          <w:szCs w:val="22"/>
          <w:vertAlign w:val="subscript"/>
          <w:lang w:val="en-GB"/>
        </w:rPr>
        <w:t>j</w:t>
      </w:r>
      <w:r w:rsidRPr="00B8605D">
        <w:rPr>
          <w:noProof/>
          <w:sz w:val="22"/>
          <w:szCs w:val="22"/>
          <w:lang w:val="en-GB"/>
        </w:rPr>
        <w:t>-x</w:t>
      </w:r>
      <w:r w:rsidRPr="00B8605D">
        <w:rPr>
          <w:noProof/>
          <w:sz w:val="22"/>
          <w:szCs w:val="22"/>
          <w:vertAlign w:val="subscript"/>
          <w:lang w:val="en-GB"/>
        </w:rPr>
        <w:t>i</w:t>
      </w:r>
      <w:r w:rsidRPr="00B8605D">
        <w:rPr>
          <w:noProof/>
          <w:sz w:val="22"/>
          <w:szCs w:val="22"/>
          <w:lang w:val="en-GB"/>
        </w:rPr>
        <w:t>)</w:t>
      </w:r>
      <w:r w:rsidR="00DB3039">
        <w:rPr>
          <w:noProof/>
          <w:sz w:val="22"/>
          <w:szCs w:val="22"/>
          <w:lang w:val="en-GB"/>
        </w:rPr>
        <w:t xml:space="preserve"> –</w:t>
      </w:r>
      <w:r w:rsidRPr="00B8605D">
        <w:rPr>
          <w:noProof/>
          <w:sz w:val="22"/>
          <w:szCs w:val="22"/>
          <w:lang w:val="en-GB"/>
        </w:rPr>
        <w:t xml:space="preserve"> mark function</w:t>
      </w:r>
      <w:r w:rsidR="00B8605D" w:rsidRPr="00B8605D">
        <w:rPr>
          <w:noProof/>
          <w:sz w:val="22"/>
          <w:szCs w:val="22"/>
          <w:lang w:val="en-GB"/>
        </w:rPr>
        <w:t xml:space="preserve"> </w:t>
      </w:r>
      <w:r w:rsidRPr="00B8605D">
        <w:rPr>
          <w:bCs/>
          <w:noProof/>
          <w:sz w:val="22"/>
          <w:szCs w:val="22"/>
          <w:lang w:val="en-GB"/>
        </w:rPr>
        <w:t>(Karakuş 2017)</w:t>
      </w:r>
      <w:r w:rsidRPr="00B8605D">
        <w:rPr>
          <w:rFonts w:eastAsiaTheme="minorEastAsia"/>
          <w:noProof/>
          <w:sz w:val="22"/>
          <w:szCs w:val="22"/>
          <w:lang w:val="en-GB" w:eastAsia="tr-TR"/>
        </w:rPr>
        <w:t>.</w:t>
      </w:r>
      <w:r w:rsidR="00B8605D" w:rsidRPr="00B8605D">
        <w:rPr>
          <w:bCs/>
          <w:noProof/>
          <w:sz w:val="22"/>
          <w:szCs w:val="22"/>
          <w:lang w:val="en-GB"/>
        </w:rPr>
        <w:t xml:space="preserve"> </w:t>
      </w:r>
      <w:r w:rsidRPr="00B8605D">
        <w:rPr>
          <w:rFonts w:eastAsiaTheme="minorEastAsia"/>
          <w:noProof/>
          <w:sz w:val="22"/>
          <w:szCs w:val="22"/>
          <w:lang w:val="en-GB" w:eastAsia="tr-TR"/>
        </w:rPr>
        <w:t>It is expressed below:</w:t>
      </w:r>
    </w:p>
    <w:p w14:paraId="2B08DA3E" w14:textId="77777777" w:rsidR="00DB3039" w:rsidRDefault="00DB3039" w:rsidP="006A27DC">
      <w:pPr>
        <w:rPr>
          <w:noProof/>
          <w:sz w:val="22"/>
          <w:szCs w:val="22"/>
          <w:lang w:val="en-GB"/>
        </w:rPr>
      </w:pPr>
    </w:p>
    <w:p w14:paraId="50E5AFDD" w14:textId="66DF994C" w:rsidR="006A27DC" w:rsidRPr="00B8605D" w:rsidRDefault="00833EB7" w:rsidP="006A27DC">
      <w:pPr>
        <w:rPr>
          <w:noProof/>
          <w:sz w:val="22"/>
          <w:szCs w:val="22"/>
          <w:lang w:val="en-GB"/>
        </w:rPr>
      </w:pPr>
      <w:r>
        <w:rPr>
          <w:noProof/>
          <w:sz w:val="22"/>
          <w:szCs w:val="22"/>
          <w:lang w:val="en-GB"/>
        </w:rPr>
        <mc:AlternateContent>
          <mc:Choice Requires="wpg">
            <w:drawing>
              <wp:anchor distT="0" distB="0" distL="114300" distR="114300" simplePos="0" relativeHeight="251664384" behindDoc="0" locked="0" layoutInCell="1" allowOverlap="1" wp14:anchorId="3F0A3C34" wp14:editId="169F145D">
                <wp:simplePos x="0" y="0"/>
                <wp:positionH relativeFrom="column">
                  <wp:posOffset>2639515</wp:posOffset>
                </wp:positionH>
                <wp:positionV relativeFrom="paragraph">
                  <wp:posOffset>66167</wp:posOffset>
                </wp:positionV>
                <wp:extent cx="1009498" cy="672998"/>
                <wp:effectExtent l="0" t="0" r="635" b="13335"/>
                <wp:wrapNone/>
                <wp:docPr id="1322167621" name="Grupa 3"/>
                <wp:cNvGraphicFramePr/>
                <a:graphic xmlns:a="http://schemas.openxmlformats.org/drawingml/2006/main">
                  <a:graphicData uri="http://schemas.microsoft.com/office/word/2010/wordprocessingGroup">
                    <wpg:wgp>
                      <wpg:cNvGrpSpPr/>
                      <wpg:grpSpPr>
                        <a:xfrm>
                          <a:off x="0" y="0"/>
                          <a:ext cx="1009498" cy="672998"/>
                          <a:chOff x="0" y="0"/>
                          <a:chExt cx="1009498" cy="672998"/>
                        </a:xfrm>
                      </wpg:grpSpPr>
                      <wps:wsp>
                        <wps:cNvPr id="1873012004" name="Metin Kutusu 2"/>
                        <wps:cNvSpPr txBox="1">
                          <a:spLocks noChangeArrowheads="1"/>
                        </wps:cNvSpPr>
                        <wps:spPr bwMode="auto">
                          <a:xfrm>
                            <a:off x="117043" y="0"/>
                            <a:ext cx="892455" cy="672490"/>
                          </a:xfrm>
                          <a:prstGeom prst="rect">
                            <a:avLst/>
                          </a:prstGeom>
                          <a:solidFill>
                            <a:srgbClr val="FFFFFF"/>
                          </a:solidFill>
                          <a:ln w="9525">
                            <a:noFill/>
                            <a:miter lim="800000"/>
                            <a:headEnd/>
                            <a:tailEnd/>
                          </a:ln>
                        </wps:spPr>
                        <wps:txbx>
                          <w:txbxContent>
                            <w:p w14:paraId="3A94B687" w14:textId="3D947103" w:rsidR="006A27DC" w:rsidRPr="00833EB7" w:rsidRDefault="006A27DC" w:rsidP="009326DD">
                              <w:pPr>
                                <w:spacing w:after="60"/>
                                <w:rPr>
                                  <w:sz w:val="22"/>
                                  <w:szCs w:val="22"/>
                                </w:rPr>
                              </w:pPr>
                              <w:r w:rsidRPr="00833EB7">
                                <w:rPr>
                                  <w:sz w:val="22"/>
                                  <w:szCs w:val="22"/>
                                </w:rPr>
                                <w:t xml:space="preserve">+1,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00833EB7" w:rsidRPr="00833EB7">
                                <w:rPr>
                                  <w:sz w:val="22"/>
                                  <w:szCs w:val="22"/>
                                </w:rPr>
                                <w:t xml:space="preserve"> </w:t>
                              </w:r>
                              <w:r w:rsidRPr="00833EB7">
                                <w:rPr>
                                  <w:sz w:val="22"/>
                                  <w:szCs w:val="22"/>
                                </w:rPr>
                                <w:t>&gt; 0</w:t>
                              </w:r>
                            </w:p>
                            <w:p w14:paraId="762B28B0" w14:textId="02C06506" w:rsidR="006A27DC" w:rsidRPr="00833EB7" w:rsidRDefault="006A27DC" w:rsidP="009326DD">
                              <w:pPr>
                                <w:spacing w:before="60" w:after="60"/>
                                <w:rPr>
                                  <w:sz w:val="22"/>
                                  <w:szCs w:val="22"/>
                                </w:rPr>
                              </w:pPr>
                              <w:r w:rsidRPr="00833EB7">
                                <w:rPr>
                                  <w:sz w:val="22"/>
                                  <w:szCs w:val="22"/>
                                </w:rPr>
                                <w:t xml:space="preserve"> 0,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Pr="00833EB7">
                                <w:rPr>
                                  <w:sz w:val="22"/>
                                  <w:szCs w:val="22"/>
                                </w:rPr>
                                <w:t xml:space="preserve"> = 0</w:t>
                              </w:r>
                            </w:p>
                            <w:p w14:paraId="2C86EE41" w14:textId="1806D4DB" w:rsidR="006A27DC" w:rsidRPr="00833EB7" w:rsidRDefault="006A27DC" w:rsidP="009326DD">
                              <w:pPr>
                                <w:spacing w:before="60" w:after="60"/>
                                <w:rPr>
                                  <w:sz w:val="22"/>
                                  <w:szCs w:val="22"/>
                                </w:rPr>
                              </w:pPr>
                              <w:r w:rsidRPr="00833EB7">
                                <w:rPr>
                                  <w:sz w:val="22"/>
                                  <w:szCs w:val="22"/>
                                </w:rPr>
                                <w:t xml:space="preserve">-1,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Pr="00833EB7">
                                <w:rPr>
                                  <w:sz w:val="22"/>
                                  <w:szCs w:val="22"/>
                                </w:rPr>
                                <w:t xml:space="preserve"> &lt; 0</w:t>
                              </w:r>
                            </w:p>
                          </w:txbxContent>
                        </wps:txbx>
                        <wps:bodyPr rot="0" vert="horz" wrap="square" lIns="91440" tIns="45720" rIns="91440" bIns="45720" anchor="t" anchorCtr="0">
                          <a:noAutofit/>
                        </wps:bodyPr>
                      </wps:wsp>
                      <wps:wsp>
                        <wps:cNvPr id="1525427897" name="Sol Ayraç 16"/>
                        <wps:cNvSpPr>
                          <a:spLocks/>
                        </wps:cNvSpPr>
                        <wps:spPr>
                          <a:xfrm>
                            <a:off x="0" y="14630"/>
                            <a:ext cx="200025" cy="658368"/>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A3C34" id="Grupa 3" o:spid="_x0000_s1026" style="position:absolute;margin-left:207.85pt;margin-top:5.2pt;width:79.5pt;height:53pt;z-index:251664384" coordsize="10094,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">
                <v:shapetype id="_x0000_t202" coordsize="21600,21600" o:spt="202" path="m,l,21600r21600,l21600,xe">
                  <v:stroke joinstyle="miter"/>
                  <v:path gradientshapeok="t" o:connecttype="rect"/>
                </v:shapetype>
                <v:shape id="Metin Kutusu 2" o:spid="_x0000_s1027" type="#_x0000_t202" style="position:absolute;left:1170;width:8924;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" stroked="f">
                  <v:textbox>
                    <w:txbxContent>
                      <w:p w14:paraId="3A94B687" w14:textId="3D947103" w:rsidR="006A27DC" w:rsidRPr="00833EB7" w:rsidRDefault="006A27DC" w:rsidP="009326DD">
                        <w:pPr>
                          <w:spacing w:after="60"/>
                          <w:rPr>
                            <w:sz w:val="22"/>
                            <w:szCs w:val="22"/>
                          </w:rPr>
                        </w:pPr>
                        <w:r w:rsidRPr="00833EB7">
                          <w:rPr>
                            <w:sz w:val="22"/>
                            <w:szCs w:val="22"/>
                          </w:rPr>
                          <w:t xml:space="preserve">+1,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00833EB7" w:rsidRPr="00833EB7">
                          <w:rPr>
                            <w:sz w:val="22"/>
                            <w:szCs w:val="22"/>
                          </w:rPr>
                          <w:t xml:space="preserve"> </w:t>
                        </w:r>
                        <w:r w:rsidRPr="00833EB7">
                          <w:rPr>
                            <w:sz w:val="22"/>
                            <w:szCs w:val="22"/>
                          </w:rPr>
                          <w:t>&gt; 0</w:t>
                        </w:r>
                      </w:p>
                      <w:p w14:paraId="762B28B0" w14:textId="02C06506" w:rsidR="006A27DC" w:rsidRPr="00833EB7" w:rsidRDefault="006A27DC" w:rsidP="009326DD">
                        <w:pPr>
                          <w:spacing w:before="60" w:after="60"/>
                          <w:rPr>
                            <w:sz w:val="22"/>
                            <w:szCs w:val="22"/>
                          </w:rPr>
                        </w:pPr>
                        <w:r w:rsidRPr="00833EB7">
                          <w:rPr>
                            <w:sz w:val="22"/>
                            <w:szCs w:val="22"/>
                          </w:rPr>
                          <w:t xml:space="preserve"> 0,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Pr="00833EB7">
                          <w:rPr>
                            <w:sz w:val="22"/>
                            <w:szCs w:val="22"/>
                          </w:rPr>
                          <w:t xml:space="preserve"> = 0</w:t>
                        </w:r>
                      </w:p>
                      <w:p w14:paraId="2C86EE41" w14:textId="1806D4DB" w:rsidR="006A27DC" w:rsidRPr="00833EB7" w:rsidRDefault="006A27DC" w:rsidP="009326DD">
                        <w:pPr>
                          <w:spacing w:before="60" w:after="60"/>
                          <w:rPr>
                            <w:sz w:val="22"/>
                            <w:szCs w:val="22"/>
                          </w:rPr>
                        </w:pPr>
                        <w:r w:rsidRPr="00833EB7">
                          <w:rPr>
                            <w:sz w:val="22"/>
                            <w:szCs w:val="22"/>
                          </w:rPr>
                          <w:t xml:space="preserve">-1, </w:t>
                        </w:r>
                        <w:proofErr w:type="spellStart"/>
                        <w:r w:rsidRPr="00833EB7">
                          <w:rPr>
                            <w:sz w:val="22"/>
                            <w:szCs w:val="22"/>
                          </w:rPr>
                          <w:t>x</w:t>
                        </w:r>
                        <w:r w:rsidRPr="00833EB7">
                          <w:rPr>
                            <w:sz w:val="22"/>
                            <w:szCs w:val="22"/>
                            <w:vertAlign w:val="subscript"/>
                          </w:rPr>
                          <w:t>j</w:t>
                        </w:r>
                        <w:proofErr w:type="spellEnd"/>
                        <w:r w:rsidRPr="00833EB7">
                          <w:rPr>
                            <w:sz w:val="22"/>
                            <w:szCs w:val="22"/>
                          </w:rPr>
                          <w:t>-x</w:t>
                        </w:r>
                        <w:r w:rsidRPr="00833EB7">
                          <w:rPr>
                            <w:sz w:val="22"/>
                            <w:szCs w:val="22"/>
                            <w:vertAlign w:val="subscript"/>
                          </w:rPr>
                          <w:t>i</w:t>
                        </w:r>
                        <w:r w:rsidRPr="00833EB7">
                          <w:rPr>
                            <w:sz w:val="22"/>
                            <w:szCs w:val="22"/>
                          </w:rPr>
                          <w:t xml:space="preserve"> &lt; 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6" o:spid="_x0000_s1028" type="#_x0000_t87" style="position:absolute;top:146;width:2000;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" adj="547" strokecolor="black [3040]" strokeweight="1pt"/>
              </v:group>
            </w:pict>
          </mc:Fallback>
        </mc:AlternateContent>
      </w:r>
    </w:p>
    <w:p w14:paraId="16989B29" w14:textId="283F8DB1" w:rsidR="006A27DC" w:rsidRPr="00B8605D" w:rsidRDefault="006A27DC" w:rsidP="006A27DC">
      <w:pPr>
        <w:rPr>
          <w:noProof/>
          <w:sz w:val="22"/>
          <w:szCs w:val="22"/>
          <w:lang w:val="en-GB"/>
        </w:rPr>
      </w:pPr>
    </w:p>
    <w:p w14:paraId="7785409E" w14:textId="53F96E02" w:rsidR="006A27DC" w:rsidRPr="00B8605D" w:rsidRDefault="006A27DC" w:rsidP="00DB3039">
      <w:pPr>
        <w:tabs>
          <w:tab w:val="right" w:pos="9632"/>
        </w:tabs>
        <w:ind w:left="2977"/>
        <w:jc w:val="both"/>
        <w:rPr>
          <w:noProof/>
          <w:sz w:val="22"/>
          <w:szCs w:val="22"/>
          <w:lang w:val="en-GB"/>
        </w:rPr>
      </w:pPr>
      <w:r w:rsidRPr="00B8605D">
        <w:rPr>
          <w:noProof/>
          <w:sz w:val="22"/>
          <w:szCs w:val="22"/>
          <w:lang w:val="en-GB"/>
        </w:rPr>
        <w:t>sgn (x</w:t>
      </w:r>
      <w:r w:rsidRPr="00B8605D">
        <w:rPr>
          <w:noProof/>
          <w:sz w:val="22"/>
          <w:szCs w:val="22"/>
          <w:vertAlign w:val="subscript"/>
          <w:lang w:val="en-GB"/>
        </w:rPr>
        <w:t>j</w:t>
      </w:r>
      <w:r w:rsidRPr="00B8605D">
        <w:rPr>
          <w:noProof/>
          <w:sz w:val="22"/>
          <w:szCs w:val="22"/>
          <w:lang w:val="en-GB"/>
        </w:rPr>
        <w:t>-x</w:t>
      </w:r>
      <w:r w:rsidRPr="00B8605D">
        <w:rPr>
          <w:noProof/>
          <w:sz w:val="22"/>
          <w:szCs w:val="22"/>
          <w:vertAlign w:val="subscript"/>
          <w:lang w:val="en-GB"/>
        </w:rPr>
        <w:t>i</w:t>
      </w:r>
      <w:r w:rsidRPr="00B8605D">
        <w:rPr>
          <w:noProof/>
          <w:sz w:val="22"/>
          <w:szCs w:val="22"/>
          <w:lang w:val="en-GB"/>
        </w:rPr>
        <w:t>)</w:t>
      </w:r>
      <w:r w:rsidR="009326DD">
        <w:rPr>
          <w:noProof/>
          <w:sz w:val="22"/>
          <w:szCs w:val="22"/>
          <w:lang w:val="en-GB"/>
        </w:rPr>
        <w:t xml:space="preserve"> </w:t>
      </w:r>
      <w:r w:rsidRPr="00B8605D">
        <w:rPr>
          <w:noProof/>
          <w:sz w:val="22"/>
          <w:szCs w:val="22"/>
          <w:lang w:val="en-GB"/>
        </w:rPr>
        <w:t>=</w:t>
      </w:r>
      <w:r w:rsidRPr="00B8605D">
        <w:rPr>
          <w:noProof/>
          <w:sz w:val="22"/>
          <w:szCs w:val="22"/>
          <w:lang w:val="en-GB"/>
        </w:rPr>
        <w:tab/>
      </w:r>
      <w:r w:rsidRPr="00B8605D">
        <w:rPr>
          <w:rFonts w:eastAsiaTheme="minorEastAsia"/>
          <w:noProof/>
          <w:sz w:val="22"/>
          <w:szCs w:val="22"/>
          <w:lang w:val="en-GB"/>
        </w:rPr>
        <w:t>(3)</w:t>
      </w:r>
    </w:p>
    <w:p w14:paraId="4E0CED9A" w14:textId="77777777" w:rsidR="006A27DC" w:rsidRPr="00B8605D" w:rsidRDefault="006A27DC" w:rsidP="006A27DC">
      <w:pPr>
        <w:jc w:val="right"/>
        <w:rPr>
          <w:noProof/>
          <w:sz w:val="22"/>
          <w:szCs w:val="22"/>
          <w:lang w:val="en-GB"/>
        </w:rPr>
      </w:pPr>
    </w:p>
    <w:p w14:paraId="6103FEB1" w14:textId="77777777" w:rsidR="006A27DC" w:rsidRPr="00B8605D" w:rsidRDefault="006A27DC" w:rsidP="006A27DC">
      <w:pPr>
        <w:jc w:val="right"/>
        <w:rPr>
          <w:noProof/>
          <w:sz w:val="22"/>
          <w:szCs w:val="22"/>
          <w:lang w:val="en-GB"/>
        </w:rPr>
      </w:pPr>
    </w:p>
    <w:p w14:paraId="0BB37229" w14:textId="77777777" w:rsidR="00DB3039" w:rsidRDefault="00DB3039" w:rsidP="003851DF">
      <w:pPr>
        <w:ind w:firstLine="284"/>
        <w:jc w:val="both"/>
        <w:rPr>
          <w:noProof/>
          <w:sz w:val="22"/>
          <w:szCs w:val="22"/>
          <w:lang w:val="en-GB"/>
        </w:rPr>
      </w:pPr>
    </w:p>
    <w:p w14:paraId="00078FB5" w14:textId="65D0C490" w:rsidR="006A27DC" w:rsidRPr="00B8605D" w:rsidRDefault="006A27DC" w:rsidP="003851DF">
      <w:pPr>
        <w:ind w:firstLine="284"/>
        <w:jc w:val="both"/>
        <w:rPr>
          <w:rFonts w:eastAsiaTheme="minorEastAsia"/>
          <w:noProof/>
          <w:sz w:val="22"/>
          <w:szCs w:val="22"/>
          <w:lang w:val="en-GB"/>
        </w:rPr>
      </w:pPr>
      <w:r w:rsidRPr="00B8605D">
        <w:rPr>
          <w:noProof/>
          <w:sz w:val="22"/>
          <w:szCs w:val="22"/>
          <w:lang w:val="en-GB"/>
        </w:rPr>
        <w:t>Whether the Mann-Kendall test, whose variance is determined, is significant or not is determined by</w:t>
      </w:r>
      <w:r w:rsidR="00096CF3">
        <w:rPr>
          <w:noProof/>
          <w:sz w:val="22"/>
          <w:szCs w:val="22"/>
          <w:lang w:val="en-GB"/>
        </w:rPr>
        <w:t> </w:t>
      </w:r>
      <w:r w:rsidRPr="00B8605D">
        <w:rPr>
          <w:noProof/>
          <w:sz w:val="22"/>
          <w:szCs w:val="22"/>
          <w:lang w:val="en-GB"/>
        </w:rPr>
        <w:t>calculating the standard normal variable Z with the following equation and comparing it with the critical Z</w:t>
      </w:r>
      <w:r w:rsidR="00096CF3">
        <w:rPr>
          <w:noProof/>
          <w:sz w:val="22"/>
          <w:szCs w:val="22"/>
          <w:lang w:val="en-GB"/>
        </w:rPr>
        <w:t> </w:t>
      </w:r>
      <w:r w:rsidRPr="00B8605D">
        <w:rPr>
          <w:noProof/>
          <w:sz w:val="22"/>
          <w:szCs w:val="22"/>
          <w:lang w:val="en-GB"/>
        </w:rPr>
        <w:t>value.</w:t>
      </w:r>
      <m:oMath>
        <m:r>
          <w:rPr>
            <w:rFonts w:ascii="Cambria Math" w:hAnsi="Cambria Math"/>
            <w:noProof/>
            <w:sz w:val="22"/>
            <w:szCs w:val="22"/>
            <w:lang w:val="en-GB"/>
          </w:rPr>
          <m:t xml:space="preserve"> </m:t>
        </m:r>
      </m:oMath>
    </w:p>
    <w:p w14:paraId="21F9B8ED" w14:textId="4D9142FB" w:rsidR="006A27DC" w:rsidRPr="00B8605D" w:rsidRDefault="006A27DC" w:rsidP="00B8605D">
      <w:pPr>
        <w:tabs>
          <w:tab w:val="right" w:pos="9632"/>
        </w:tabs>
        <w:spacing w:before="120" w:after="120"/>
        <w:ind w:left="3119"/>
        <w:rPr>
          <w:noProof/>
          <w:sz w:val="22"/>
          <w:szCs w:val="22"/>
          <w:lang w:val="en-GB"/>
        </w:rPr>
      </w:pPr>
      <m:oMath>
        <m:r>
          <w:rPr>
            <w:rFonts w:ascii="Cambria Math" w:hAnsi="Cambria Math"/>
            <w:noProof/>
            <w:sz w:val="22"/>
            <w:szCs w:val="22"/>
            <w:lang w:val="en-GB"/>
          </w:rPr>
          <m:t xml:space="preserve">Var </m:t>
        </m:r>
        <m:d>
          <m:dPr>
            <m:ctrlPr>
              <w:rPr>
                <w:rFonts w:ascii="Cambria Math" w:hAnsi="Cambria Math"/>
                <w:i/>
                <w:noProof/>
                <w:sz w:val="22"/>
                <w:szCs w:val="22"/>
                <w:lang w:val="en-GB"/>
              </w:rPr>
            </m:ctrlPr>
          </m:dPr>
          <m:e>
            <m:r>
              <w:rPr>
                <w:rFonts w:ascii="Cambria Math" w:hAnsi="Cambria Math"/>
                <w:noProof/>
                <w:sz w:val="22"/>
                <w:szCs w:val="22"/>
                <w:lang w:val="en-GB"/>
              </w:rPr>
              <m:t>s</m:t>
            </m:r>
          </m:e>
        </m:d>
        <m:r>
          <w:rPr>
            <w:rFonts w:ascii="Cambria Math" w:hAnsi="Cambria Math"/>
            <w:noProof/>
            <w:sz w:val="22"/>
            <w:szCs w:val="22"/>
            <w:lang w:val="en-GB"/>
          </w:rPr>
          <m:t>=</m:t>
        </m:r>
        <m:f>
          <m:fPr>
            <m:ctrlPr>
              <w:rPr>
                <w:rFonts w:ascii="Cambria Math" w:hAnsi="Cambria Math"/>
                <w:i/>
                <w:noProof/>
                <w:sz w:val="22"/>
                <w:szCs w:val="22"/>
                <w:lang w:val="en-GB"/>
              </w:rPr>
            </m:ctrlPr>
          </m:fPr>
          <m:num>
            <m:r>
              <w:rPr>
                <w:rFonts w:ascii="Cambria Math" w:hAnsi="Cambria Math"/>
                <w:noProof/>
                <w:sz w:val="22"/>
                <w:szCs w:val="22"/>
                <w:lang w:val="en-GB"/>
              </w:rPr>
              <m:t>n</m:t>
            </m:r>
            <m:d>
              <m:dPr>
                <m:ctrlPr>
                  <w:rPr>
                    <w:rFonts w:ascii="Cambria Math" w:hAnsi="Cambria Math"/>
                    <w:i/>
                    <w:noProof/>
                    <w:sz w:val="22"/>
                    <w:szCs w:val="22"/>
                    <w:lang w:val="en-GB"/>
                  </w:rPr>
                </m:ctrlPr>
              </m:dPr>
              <m:e>
                <m:r>
                  <w:rPr>
                    <w:rFonts w:ascii="Cambria Math" w:hAnsi="Cambria Math"/>
                    <w:noProof/>
                    <w:sz w:val="22"/>
                    <w:szCs w:val="22"/>
                    <w:lang w:val="en-GB"/>
                  </w:rPr>
                  <m:t>n-1</m:t>
                </m:r>
              </m:e>
            </m:d>
            <m:d>
              <m:dPr>
                <m:ctrlPr>
                  <w:rPr>
                    <w:rFonts w:ascii="Cambria Math" w:hAnsi="Cambria Math"/>
                    <w:i/>
                    <w:noProof/>
                    <w:sz w:val="22"/>
                    <w:szCs w:val="22"/>
                    <w:lang w:val="en-GB"/>
                  </w:rPr>
                </m:ctrlPr>
              </m:dPr>
              <m:e>
                <m:r>
                  <w:rPr>
                    <w:rFonts w:ascii="Cambria Math" w:hAnsi="Cambria Math"/>
                    <w:noProof/>
                    <w:sz w:val="22"/>
                    <w:szCs w:val="22"/>
                    <w:lang w:val="en-GB"/>
                  </w:rPr>
                  <m:t>2n+5</m:t>
                </m:r>
              </m:e>
            </m:d>
            <m:r>
              <w:rPr>
                <w:rFonts w:ascii="Cambria Math" w:hAnsi="Cambria Math"/>
                <w:noProof/>
                <w:sz w:val="22"/>
                <w:szCs w:val="22"/>
                <w:lang w:val="en-GB"/>
              </w:rPr>
              <m:t>-</m:t>
            </m:r>
            <m:nary>
              <m:naryPr>
                <m:chr m:val="∑"/>
                <m:limLoc m:val="undOvr"/>
                <m:ctrlPr>
                  <w:rPr>
                    <w:rFonts w:ascii="Cambria Math" w:hAnsi="Cambria Math"/>
                    <w:i/>
                    <w:noProof/>
                    <w:sz w:val="22"/>
                    <w:szCs w:val="22"/>
                    <w:lang w:val="en-GB"/>
                  </w:rPr>
                </m:ctrlPr>
              </m:naryPr>
              <m:sub>
                <m:r>
                  <w:rPr>
                    <w:rFonts w:ascii="Cambria Math" w:hAnsi="Cambria Math"/>
                    <w:noProof/>
                    <w:sz w:val="22"/>
                    <w:szCs w:val="22"/>
                    <w:lang w:val="en-GB"/>
                  </w:rPr>
                  <m:t>İ=1</m:t>
                </m:r>
              </m:sub>
              <m:sup>
                <m:r>
                  <w:rPr>
                    <w:rFonts w:ascii="Cambria Math" w:hAnsi="Cambria Math"/>
                    <w:noProof/>
                    <w:sz w:val="22"/>
                    <w:szCs w:val="22"/>
                    <w:lang w:val="en-GB"/>
                  </w:rPr>
                  <m:t>m</m:t>
                </m:r>
              </m:sup>
              <m:e>
                <m:sSub>
                  <m:sSubPr>
                    <m:ctrlPr>
                      <w:rPr>
                        <w:rFonts w:ascii="Cambria Math" w:hAnsi="Cambria Math"/>
                        <w:i/>
                        <w:noProof/>
                        <w:sz w:val="22"/>
                        <w:szCs w:val="22"/>
                        <w:lang w:val="en-GB"/>
                      </w:rPr>
                    </m:ctrlPr>
                  </m:sSubPr>
                  <m:e>
                    <m:r>
                      <w:rPr>
                        <w:rFonts w:ascii="Cambria Math" w:hAnsi="Cambria Math"/>
                        <w:noProof/>
                        <w:sz w:val="22"/>
                        <w:szCs w:val="22"/>
                        <w:lang w:val="en-GB"/>
                      </w:rPr>
                      <m:t>t</m:t>
                    </m:r>
                  </m:e>
                  <m:sub>
                    <m:r>
                      <w:rPr>
                        <w:rFonts w:ascii="Cambria Math" w:hAnsi="Cambria Math"/>
                        <w:noProof/>
                        <w:sz w:val="22"/>
                        <w:szCs w:val="22"/>
                        <w:lang w:val="en-GB"/>
                      </w:rPr>
                      <m:t>i</m:t>
                    </m:r>
                  </m:sub>
                </m:sSub>
                <m:d>
                  <m:dPr>
                    <m:ctrlPr>
                      <w:rPr>
                        <w:rFonts w:ascii="Cambria Math" w:hAnsi="Cambria Math"/>
                        <w:i/>
                        <w:noProof/>
                        <w:sz w:val="22"/>
                        <w:szCs w:val="22"/>
                        <w:lang w:val="en-GB"/>
                      </w:rPr>
                    </m:ctrlPr>
                  </m:dPr>
                  <m:e>
                    <m:sSub>
                      <m:sSubPr>
                        <m:ctrlPr>
                          <w:rPr>
                            <w:rFonts w:ascii="Cambria Math" w:hAnsi="Cambria Math"/>
                            <w:i/>
                            <w:noProof/>
                            <w:sz w:val="22"/>
                            <w:szCs w:val="22"/>
                            <w:lang w:val="en-GB"/>
                          </w:rPr>
                        </m:ctrlPr>
                      </m:sSubPr>
                      <m:e>
                        <m:r>
                          <w:rPr>
                            <w:rFonts w:ascii="Cambria Math" w:hAnsi="Cambria Math"/>
                            <w:noProof/>
                            <w:sz w:val="22"/>
                            <w:szCs w:val="22"/>
                            <w:lang w:val="en-GB"/>
                          </w:rPr>
                          <m:t>t</m:t>
                        </m:r>
                      </m:e>
                      <m:sub>
                        <m:r>
                          <w:rPr>
                            <w:rFonts w:ascii="Cambria Math" w:hAnsi="Cambria Math"/>
                            <w:noProof/>
                            <w:sz w:val="22"/>
                            <w:szCs w:val="22"/>
                            <w:lang w:val="en-GB"/>
                          </w:rPr>
                          <m:t>i</m:t>
                        </m:r>
                      </m:sub>
                    </m:sSub>
                    <m:r>
                      <w:rPr>
                        <w:rFonts w:ascii="Cambria Math" w:hAnsi="Cambria Math"/>
                        <w:noProof/>
                        <w:sz w:val="22"/>
                        <w:szCs w:val="22"/>
                        <w:lang w:val="en-GB"/>
                      </w:rPr>
                      <m:t>-1</m:t>
                    </m:r>
                  </m:e>
                </m:d>
                <m:d>
                  <m:dPr>
                    <m:ctrlPr>
                      <w:rPr>
                        <w:rFonts w:ascii="Cambria Math" w:hAnsi="Cambria Math"/>
                        <w:i/>
                        <w:noProof/>
                        <w:sz w:val="22"/>
                        <w:szCs w:val="22"/>
                        <w:lang w:val="en-GB"/>
                      </w:rPr>
                    </m:ctrlPr>
                  </m:dPr>
                  <m:e>
                    <m:r>
                      <w:rPr>
                        <w:rFonts w:ascii="Cambria Math" w:hAnsi="Cambria Math"/>
                        <w:noProof/>
                        <w:sz w:val="22"/>
                        <w:szCs w:val="22"/>
                        <w:lang w:val="en-GB"/>
                      </w:rPr>
                      <m:t>2</m:t>
                    </m:r>
                    <m:sSub>
                      <m:sSubPr>
                        <m:ctrlPr>
                          <w:rPr>
                            <w:rFonts w:ascii="Cambria Math" w:hAnsi="Cambria Math"/>
                            <w:i/>
                            <w:noProof/>
                            <w:sz w:val="22"/>
                            <w:szCs w:val="22"/>
                            <w:lang w:val="en-GB"/>
                          </w:rPr>
                        </m:ctrlPr>
                      </m:sSubPr>
                      <m:e>
                        <m:r>
                          <w:rPr>
                            <w:rFonts w:ascii="Cambria Math" w:hAnsi="Cambria Math"/>
                            <w:noProof/>
                            <w:sz w:val="22"/>
                            <w:szCs w:val="22"/>
                            <w:lang w:val="en-GB"/>
                          </w:rPr>
                          <m:t>t</m:t>
                        </m:r>
                      </m:e>
                      <m:sub>
                        <m:r>
                          <w:rPr>
                            <w:rFonts w:ascii="Cambria Math" w:hAnsi="Cambria Math"/>
                            <w:noProof/>
                            <w:sz w:val="22"/>
                            <w:szCs w:val="22"/>
                            <w:lang w:val="en-GB"/>
                          </w:rPr>
                          <m:t>i</m:t>
                        </m:r>
                      </m:sub>
                    </m:sSub>
                    <m:r>
                      <w:rPr>
                        <w:rFonts w:ascii="Cambria Math" w:hAnsi="Cambria Math"/>
                        <w:noProof/>
                        <w:sz w:val="22"/>
                        <w:szCs w:val="22"/>
                        <w:lang w:val="en-GB"/>
                      </w:rPr>
                      <m:t>+5</m:t>
                    </m:r>
                  </m:e>
                </m:d>
              </m:e>
            </m:nary>
          </m:num>
          <m:den>
            <m:r>
              <w:rPr>
                <w:rFonts w:ascii="Cambria Math" w:hAnsi="Cambria Math"/>
                <w:noProof/>
                <w:sz w:val="22"/>
                <w:szCs w:val="22"/>
                <w:lang w:val="en-GB"/>
              </w:rPr>
              <m:t>18</m:t>
            </m:r>
          </m:den>
        </m:f>
      </m:oMath>
      <w:r w:rsidRPr="00B8605D">
        <w:rPr>
          <w:rFonts w:eastAsiaTheme="minorEastAsia"/>
          <w:noProof/>
          <w:sz w:val="22"/>
          <w:szCs w:val="22"/>
          <w:lang w:val="en-GB"/>
        </w:rPr>
        <w:tab/>
        <w:t xml:space="preserve"> </w:t>
      </w:r>
      <w:r w:rsidRPr="00B8605D">
        <w:rPr>
          <w:noProof/>
          <w:sz w:val="22"/>
          <w:szCs w:val="22"/>
          <w:lang w:val="en-GB"/>
        </w:rPr>
        <w:t>(4)</w:t>
      </w:r>
    </w:p>
    <w:p w14:paraId="6301FC7D" w14:textId="77777777" w:rsidR="00DB3039" w:rsidRDefault="006A27DC" w:rsidP="006A27DC">
      <w:pPr>
        <w:jc w:val="both"/>
        <w:rPr>
          <w:noProof/>
          <w:sz w:val="22"/>
          <w:szCs w:val="22"/>
          <w:lang w:val="en-GB"/>
        </w:rPr>
      </w:pPr>
      <w:r w:rsidRPr="00B8605D">
        <w:rPr>
          <w:noProof/>
          <w:sz w:val="22"/>
          <w:szCs w:val="22"/>
          <w:lang w:val="en-GB"/>
        </w:rPr>
        <w:t>where</w:t>
      </w:r>
      <w:r w:rsidR="00833EB7">
        <w:rPr>
          <w:noProof/>
          <w:sz w:val="22"/>
          <w:szCs w:val="22"/>
          <w:lang w:val="en-GB"/>
        </w:rPr>
        <w:t>:</w:t>
      </w:r>
      <w:r w:rsidRPr="00B8605D">
        <w:rPr>
          <w:noProof/>
          <w:sz w:val="22"/>
          <w:szCs w:val="22"/>
          <w:lang w:val="en-GB"/>
        </w:rPr>
        <w:t xml:space="preserve"> </w:t>
      </w:r>
    </w:p>
    <w:p w14:paraId="7813110B" w14:textId="38F2715B" w:rsidR="006A27DC" w:rsidRPr="00B8605D" w:rsidRDefault="006A27DC" w:rsidP="00DB3039">
      <w:pPr>
        <w:rPr>
          <w:noProof/>
          <w:sz w:val="22"/>
          <w:szCs w:val="22"/>
          <w:lang w:val="en-GB"/>
        </w:rPr>
      </w:pPr>
      <w:r w:rsidRPr="00B8605D">
        <w:rPr>
          <w:noProof/>
          <w:sz w:val="22"/>
          <w:szCs w:val="22"/>
          <w:lang w:val="en-GB"/>
        </w:rPr>
        <w:t>Var(s)</w:t>
      </w:r>
      <w:r w:rsidR="00833EB7">
        <w:rPr>
          <w:noProof/>
          <w:sz w:val="22"/>
          <w:szCs w:val="22"/>
          <w:lang w:val="en-GB"/>
        </w:rPr>
        <w:t xml:space="preserve"> –</w:t>
      </w:r>
      <w:r w:rsidRPr="00B8605D">
        <w:rPr>
          <w:noProof/>
          <w:sz w:val="22"/>
          <w:szCs w:val="22"/>
          <w:lang w:val="en-GB"/>
        </w:rPr>
        <w:t xml:space="preserve"> variance, </w:t>
      </w:r>
      <w:r w:rsidR="00DB3039">
        <w:rPr>
          <w:noProof/>
          <w:sz w:val="22"/>
          <w:szCs w:val="22"/>
          <w:lang w:val="en-GB"/>
        </w:rPr>
        <w:br/>
      </w:r>
      <w:r w:rsidRPr="00B8605D">
        <w:rPr>
          <w:noProof/>
          <w:sz w:val="22"/>
          <w:szCs w:val="22"/>
          <w:lang w:val="en-GB"/>
        </w:rPr>
        <w:t>n</w:t>
      </w:r>
      <w:r w:rsidR="00833EB7">
        <w:rPr>
          <w:noProof/>
          <w:sz w:val="22"/>
          <w:szCs w:val="22"/>
          <w:lang w:val="en-GB"/>
        </w:rPr>
        <w:t xml:space="preserve"> –</w:t>
      </w:r>
      <w:r w:rsidRPr="00B8605D">
        <w:rPr>
          <w:noProof/>
          <w:sz w:val="22"/>
          <w:szCs w:val="22"/>
          <w:lang w:val="en-GB"/>
        </w:rPr>
        <w:t xml:space="preserve"> number of data points, </w:t>
      </w:r>
      <w:r w:rsidR="00DB3039">
        <w:rPr>
          <w:noProof/>
          <w:sz w:val="22"/>
          <w:szCs w:val="22"/>
          <w:lang w:val="en-GB"/>
        </w:rPr>
        <w:br/>
      </w:r>
      <w:r w:rsidRPr="00B8605D">
        <w:rPr>
          <w:noProof/>
          <w:sz w:val="22"/>
          <w:szCs w:val="22"/>
          <w:lang w:val="en-GB"/>
        </w:rPr>
        <w:t>m</w:t>
      </w:r>
      <w:r w:rsidR="00833EB7">
        <w:rPr>
          <w:noProof/>
          <w:sz w:val="22"/>
          <w:szCs w:val="22"/>
          <w:lang w:val="en-GB"/>
        </w:rPr>
        <w:t xml:space="preserve"> –</w:t>
      </w:r>
      <w:r w:rsidRPr="00B8605D">
        <w:rPr>
          <w:noProof/>
          <w:sz w:val="22"/>
          <w:szCs w:val="22"/>
          <w:lang w:val="en-GB"/>
        </w:rPr>
        <w:t xml:space="preserve"> number of connected groups,</w:t>
      </w:r>
      <w:r w:rsidR="00B8605D" w:rsidRPr="00B8605D">
        <w:rPr>
          <w:noProof/>
          <w:sz w:val="22"/>
          <w:szCs w:val="22"/>
          <w:lang w:val="en-GB"/>
        </w:rPr>
        <w:t xml:space="preserve"> </w:t>
      </w:r>
      <w:r w:rsidR="00DB3039">
        <w:rPr>
          <w:noProof/>
          <w:sz w:val="22"/>
          <w:szCs w:val="22"/>
          <w:lang w:val="en-GB"/>
        </w:rPr>
        <w:br/>
      </w:r>
      <w:r w:rsidRPr="00B8605D">
        <w:rPr>
          <w:rFonts w:ascii="Cambria Math" w:hAnsi="Cambria Math" w:cs="Cambria Math"/>
          <w:noProof/>
          <w:sz w:val="22"/>
          <w:szCs w:val="22"/>
          <w:lang w:val="en-GB"/>
        </w:rPr>
        <w:t>𝑡</w:t>
      </w:r>
      <w:r w:rsidRPr="00833EB7">
        <w:rPr>
          <w:rFonts w:ascii="Cambria Math" w:hAnsi="Cambria Math" w:cs="Cambria Math"/>
          <w:noProof/>
          <w:sz w:val="22"/>
          <w:szCs w:val="22"/>
          <w:vertAlign w:val="subscript"/>
          <w:lang w:val="en-GB"/>
        </w:rPr>
        <w:t>𝑖</w:t>
      </w:r>
      <w:r w:rsidR="00833EB7">
        <w:rPr>
          <w:rFonts w:ascii="Cambria Math" w:hAnsi="Cambria Math" w:cs="Cambria Math"/>
          <w:noProof/>
          <w:sz w:val="22"/>
          <w:szCs w:val="22"/>
          <w:lang w:val="en-GB"/>
        </w:rPr>
        <w:t xml:space="preserve"> </w:t>
      </w:r>
      <w:r w:rsidR="00833EB7">
        <w:rPr>
          <w:noProof/>
          <w:sz w:val="22"/>
          <w:szCs w:val="22"/>
          <w:lang w:val="en-GB"/>
        </w:rPr>
        <w:t>–</w:t>
      </w:r>
      <w:r w:rsidRPr="00B8605D">
        <w:rPr>
          <w:noProof/>
          <w:sz w:val="22"/>
          <w:szCs w:val="22"/>
          <w:lang w:val="en-GB"/>
        </w:rPr>
        <w:t xml:space="preserve"> number of bonds within i.</w:t>
      </w:r>
    </w:p>
    <w:p w14:paraId="0E81C172" w14:textId="77777777" w:rsidR="006A27DC" w:rsidRPr="00B8605D" w:rsidRDefault="006A27DC" w:rsidP="00DB3039">
      <w:pPr>
        <w:jc w:val="both"/>
        <w:rPr>
          <w:noProof/>
          <w:sz w:val="22"/>
          <w:szCs w:val="22"/>
          <w:lang w:val="en-GB"/>
        </w:rPr>
      </w:pPr>
    </w:p>
    <w:p w14:paraId="22E6DC00" w14:textId="531EABD3" w:rsidR="006A27DC" w:rsidRPr="00B8605D" w:rsidRDefault="00000000" w:rsidP="00DB3039">
      <w:pPr>
        <w:tabs>
          <w:tab w:val="right" w:pos="9632"/>
        </w:tabs>
        <w:ind w:left="3828"/>
        <w:rPr>
          <w:noProof/>
          <w:sz w:val="22"/>
          <w:szCs w:val="22"/>
          <w:lang w:val="en-GB"/>
        </w:rPr>
      </w:pPr>
      <m:oMath>
        <m:sSub>
          <m:sSubPr>
            <m:ctrlPr>
              <w:rPr>
                <w:rFonts w:ascii="Cambria Math" w:hAnsi="Cambria Math"/>
                <w:i/>
                <w:noProof/>
                <w:sz w:val="22"/>
                <w:szCs w:val="22"/>
                <w:lang w:val="en-GB"/>
              </w:rPr>
            </m:ctrlPr>
          </m:sSubPr>
          <m:e>
            <m:r>
              <w:rPr>
                <w:rFonts w:ascii="Cambria Math" w:hAnsi="Cambria Math"/>
                <w:noProof/>
                <w:sz w:val="22"/>
                <w:szCs w:val="22"/>
                <w:lang w:val="en-GB"/>
              </w:rPr>
              <m:t>Z</m:t>
            </m:r>
          </m:e>
          <m:sub>
            <m:r>
              <w:rPr>
                <w:rFonts w:ascii="Cambria Math" w:hAnsi="Cambria Math"/>
                <w:noProof/>
                <w:sz w:val="22"/>
                <w:szCs w:val="22"/>
                <w:lang w:val="en-GB"/>
              </w:rPr>
              <m:t>s</m:t>
            </m:r>
          </m:sub>
        </m:sSub>
        <m:r>
          <w:rPr>
            <w:rFonts w:ascii="Cambria Math" w:hAnsi="Cambria Math"/>
            <w:noProof/>
            <w:sz w:val="22"/>
            <w:szCs w:val="22"/>
            <w:lang w:val="en-GB"/>
          </w:rPr>
          <m:t>=</m:t>
        </m:r>
        <m:d>
          <m:dPr>
            <m:begChr m:val="{"/>
            <m:endChr m:val=""/>
            <m:ctrlPr>
              <w:rPr>
                <w:rFonts w:ascii="Cambria Math" w:hAnsi="Cambria Math"/>
                <w:i/>
                <w:noProof/>
                <w:sz w:val="22"/>
                <w:szCs w:val="22"/>
                <w:lang w:val="en-GB"/>
              </w:rPr>
            </m:ctrlPr>
          </m:dPr>
          <m:e>
            <m:eqArr>
              <m:eqArrPr>
                <m:ctrlPr>
                  <w:rPr>
                    <w:rFonts w:ascii="Cambria Math" w:hAnsi="Cambria Math"/>
                    <w:i/>
                    <w:noProof/>
                    <w:sz w:val="22"/>
                    <w:szCs w:val="22"/>
                    <w:lang w:val="en-GB"/>
                  </w:rPr>
                </m:ctrlPr>
              </m:eqArrPr>
              <m:e>
                <m:f>
                  <m:fPr>
                    <m:ctrlPr>
                      <w:rPr>
                        <w:rFonts w:ascii="Cambria Math" w:hAnsi="Cambria Math"/>
                        <w:i/>
                        <w:noProof/>
                        <w:sz w:val="22"/>
                        <w:szCs w:val="22"/>
                        <w:lang w:val="en-GB"/>
                      </w:rPr>
                    </m:ctrlPr>
                  </m:fPr>
                  <m:num>
                    <m:r>
                      <w:rPr>
                        <w:rFonts w:ascii="Cambria Math" w:hAnsi="Cambria Math"/>
                        <w:noProof/>
                        <w:sz w:val="22"/>
                        <w:szCs w:val="22"/>
                        <w:lang w:val="en-GB"/>
                      </w:rPr>
                      <m:t>S-1</m:t>
                    </m:r>
                  </m:num>
                  <m:den>
                    <m:rad>
                      <m:radPr>
                        <m:degHide m:val="1"/>
                        <m:ctrlPr>
                          <w:rPr>
                            <w:rFonts w:ascii="Cambria Math" w:hAnsi="Cambria Math"/>
                            <w:i/>
                            <w:noProof/>
                            <w:sz w:val="22"/>
                            <w:szCs w:val="22"/>
                            <w:lang w:val="en-GB"/>
                          </w:rPr>
                        </m:ctrlPr>
                      </m:radPr>
                      <m:deg/>
                      <m:e>
                        <m:r>
                          <w:rPr>
                            <w:rFonts w:ascii="Cambria Math" w:hAnsi="Cambria Math"/>
                            <w:noProof/>
                            <w:sz w:val="22"/>
                            <w:szCs w:val="22"/>
                            <w:lang w:val="en-GB"/>
                          </w:rPr>
                          <m:t xml:space="preserve">Var </m:t>
                        </m:r>
                        <m:d>
                          <m:dPr>
                            <m:ctrlPr>
                              <w:rPr>
                                <w:rFonts w:ascii="Cambria Math" w:hAnsi="Cambria Math"/>
                                <w:i/>
                                <w:noProof/>
                                <w:sz w:val="22"/>
                                <w:szCs w:val="22"/>
                                <w:lang w:val="en-GB"/>
                              </w:rPr>
                            </m:ctrlPr>
                          </m:dPr>
                          <m:e>
                            <m:r>
                              <w:rPr>
                                <w:rFonts w:ascii="Cambria Math" w:hAnsi="Cambria Math"/>
                                <w:noProof/>
                                <w:sz w:val="22"/>
                                <w:szCs w:val="22"/>
                                <w:lang w:val="en-GB"/>
                              </w:rPr>
                              <m:t>S</m:t>
                            </m:r>
                          </m:e>
                        </m:d>
                      </m:e>
                    </m:rad>
                  </m:den>
                </m:f>
                <m:r>
                  <w:rPr>
                    <w:rFonts w:ascii="Cambria Math" w:hAnsi="Cambria Math"/>
                    <w:noProof/>
                    <w:sz w:val="22"/>
                    <w:szCs w:val="22"/>
                    <w:lang w:val="en-GB"/>
                  </w:rPr>
                  <m:t>,  S&gt;0</m:t>
                </m:r>
              </m:e>
              <m:e>
                <m:r>
                  <m:rPr>
                    <m:sty m:val="p"/>
                  </m:rPr>
                  <w:rPr>
                    <w:rFonts w:ascii="Cambria Math" w:hAnsi="Cambria Math"/>
                    <w:noProof/>
                    <w:sz w:val="22"/>
                    <w:szCs w:val="22"/>
                    <w:lang w:val="en-GB"/>
                  </w:rPr>
                  <m:t>0,  S=0</m:t>
                </m:r>
                <m:ctrlPr>
                  <w:rPr>
                    <w:rFonts w:ascii="Cambria Math" w:eastAsia="Cambria Math" w:hAnsi="Cambria Math"/>
                    <w:i/>
                    <w:noProof/>
                    <w:sz w:val="22"/>
                    <w:szCs w:val="22"/>
                    <w:lang w:val="en-GB"/>
                  </w:rPr>
                </m:ctrlPr>
              </m:e>
              <m:e>
                <m:f>
                  <m:fPr>
                    <m:ctrlPr>
                      <w:rPr>
                        <w:rFonts w:ascii="Cambria Math" w:hAnsi="Cambria Math"/>
                        <w:i/>
                        <w:noProof/>
                        <w:sz w:val="22"/>
                        <w:szCs w:val="22"/>
                        <w:lang w:val="en-GB"/>
                      </w:rPr>
                    </m:ctrlPr>
                  </m:fPr>
                  <m:num>
                    <m:r>
                      <w:rPr>
                        <w:rFonts w:ascii="Cambria Math" w:hAnsi="Cambria Math"/>
                        <w:noProof/>
                        <w:sz w:val="22"/>
                        <w:szCs w:val="22"/>
                        <w:lang w:val="en-GB"/>
                      </w:rPr>
                      <m:t>S+1</m:t>
                    </m:r>
                  </m:num>
                  <m:den>
                    <m:rad>
                      <m:radPr>
                        <m:degHide m:val="1"/>
                        <m:ctrlPr>
                          <w:rPr>
                            <w:rFonts w:ascii="Cambria Math" w:hAnsi="Cambria Math"/>
                            <w:i/>
                            <w:noProof/>
                            <w:sz w:val="22"/>
                            <w:szCs w:val="22"/>
                            <w:lang w:val="en-GB"/>
                          </w:rPr>
                        </m:ctrlPr>
                      </m:radPr>
                      <m:deg/>
                      <m:e>
                        <m:r>
                          <w:rPr>
                            <w:rFonts w:ascii="Cambria Math" w:hAnsi="Cambria Math"/>
                            <w:noProof/>
                            <w:sz w:val="22"/>
                            <w:szCs w:val="22"/>
                            <w:lang w:val="en-GB"/>
                          </w:rPr>
                          <m:t xml:space="preserve">Var </m:t>
                        </m:r>
                        <m:d>
                          <m:dPr>
                            <m:ctrlPr>
                              <w:rPr>
                                <w:rFonts w:ascii="Cambria Math" w:hAnsi="Cambria Math"/>
                                <w:i/>
                                <w:noProof/>
                                <w:sz w:val="22"/>
                                <w:szCs w:val="22"/>
                                <w:lang w:val="en-GB"/>
                              </w:rPr>
                            </m:ctrlPr>
                          </m:dPr>
                          <m:e>
                            <m:r>
                              <w:rPr>
                                <w:rFonts w:ascii="Cambria Math" w:hAnsi="Cambria Math"/>
                                <w:noProof/>
                                <w:sz w:val="22"/>
                                <w:szCs w:val="22"/>
                                <w:lang w:val="en-GB"/>
                              </w:rPr>
                              <m:t>S</m:t>
                            </m:r>
                          </m:e>
                        </m:d>
                      </m:e>
                    </m:rad>
                  </m:den>
                </m:f>
                <m:r>
                  <w:rPr>
                    <w:rFonts w:ascii="Cambria Math" w:hAnsi="Cambria Math"/>
                    <w:noProof/>
                    <w:sz w:val="22"/>
                    <w:szCs w:val="22"/>
                    <w:lang w:val="en-GB"/>
                  </w:rPr>
                  <m:t>,  S&lt;0</m:t>
                </m:r>
              </m:e>
            </m:eqArr>
            <m:r>
              <w:rPr>
                <w:rFonts w:ascii="Cambria Math" w:hAnsi="Cambria Math"/>
                <w:noProof/>
                <w:sz w:val="22"/>
                <w:szCs w:val="22"/>
                <w:lang w:val="en-GB"/>
              </w:rPr>
              <m:t xml:space="preserve">    </m:t>
            </m:r>
          </m:e>
        </m:d>
      </m:oMath>
      <w:r w:rsidR="006A27DC" w:rsidRPr="00B8605D">
        <w:rPr>
          <w:rFonts w:eastAsiaTheme="minorEastAsia"/>
          <w:noProof/>
          <w:sz w:val="22"/>
          <w:szCs w:val="22"/>
          <w:lang w:val="en-GB"/>
        </w:rPr>
        <w:tab/>
        <w:t xml:space="preserve"> </w:t>
      </w:r>
      <w:r w:rsidR="006A27DC" w:rsidRPr="00B8605D">
        <w:rPr>
          <w:noProof/>
          <w:sz w:val="22"/>
          <w:szCs w:val="22"/>
          <w:lang w:val="en-GB"/>
        </w:rPr>
        <w:t>(5)</w:t>
      </w:r>
    </w:p>
    <w:p w14:paraId="0D92BE93" w14:textId="77777777" w:rsidR="006A27DC" w:rsidRPr="00B8605D" w:rsidRDefault="006A27DC" w:rsidP="006A27DC">
      <w:pPr>
        <w:autoSpaceDE w:val="0"/>
        <w:autoSpaceDN w:val="0"/>
        <w:adjustRightInd w:val="0"/>
        <w:jc w:val="both"/>
        <w:rPr>
          <w:noProof/>
          <w:sz w:val="22"/>
          <w:szCs w:val="22"/>
          <w:lang w:val="en-GB"/>
        </w:rPr>
      </w:pPr>
    </w:p>
    <w:p w14:paraId="51A5C752" w14:textId="77777777" w:rsidR="006A27DC" w:rsidRPr="00B8605D" w:rsidRDefault="006A27DC" w:rsidP="003851DF">
      <w:pPr>
        <w:autoSpaceDE w:val="0"/>
        <w:autoSpaceDN w:val="0"/>
        <w:adjustRightInd w:val="0"/>
        <w:ind w:firstLine="284"/>
        <w:jc w:val="both"/>
        <w:rPr>
          <w:noProof/>
          <w:sz w:val="22"/>
          <w:szCs w:val="22"/>
          <w:lang w:val="en-GB"/>
        </w:rPr>
      </w:pPr>
      <w:r w:rsidRPr="00B8605D">
        <w:rPr>
          <w:noProof/>
          <w:sz w:val="22"/>
          <w:szCs w:val="22"/>
          <w:lang w:val="en-GB"/>
        </w:rPr>
        <w:t>Sperarman's Rho Test is used in comparison with the Mann-Kendall test. This test statistic is given in the equations below.</w:t>
      </w:r>
    </w:p>
    <w:p w14:paraId="28E5AD22" w14:textId="1F27214E" w:rsidR="006A27DC" w:rsidRPr="00B8605D" w:rsidRDefault="00000000" w:rsidP="00B8605D">
      <w:pPr>
        <w:tabs>
          <w:tab w:val="right" w:pos="9632"/>
        </w:tabs>
        <w:autoSpaceDE w:val="0"/>
        <w:autoSpaceDN w:val="0"/>
        <w:adjustRightInd w:val="0"/>
        <w:spacing w:before="120" w:after="120"/>
        <w:ind w:left="4111"/>
        <w:jc w:val="both"/>
        <w:rPr>
          <w:noProof/>
          <w:sz w:val="22"/>
          <w:szCs w:val="22"/>
          <w:lang w:val="en-GB"/>
        </w:rPr>
      </w:pPr>
      <m:oMath>
        <m:sSub>
          <m:sSubPr>
            <m:ctrlPr>
              <w:rPr>
                <w:rFonts w:ascii="Cambria Math" w:hAnsi="Cambria Math"/>
                <w:i/>
                <w:noProof/>
                <w:sz w:val="22"/>
                <w:szCs w:val="22"/>
                <w:lang w:val="en-GB"/>
              </w:rPr>
            </m:ctrlPr>
          </m:sSubPr>
          <m:e>
            <m:r>
              <w:rPr>
                <w:rFonts w:ascii="Cambria Math" w:hAnsi="Cambria Math"/>
                <w:noProof/>
                <w:sz w:val="22"/>
                <w:szCs w:val="22"/>
                <w:lang w:val="en-GB"/>
              </w:rPr>
              <m:t>R</m:t>
            </m:r>
          </m:e>
          <m:sub>
            <m:r>
              <w:rPr>
                <w:rFonts w:ascii="Cambria Math" w:hAnsi="Cambria Math"/>
                <w:noProof/>
                <w:sz w:val="22"/>
                <w:szCs w:val="22"/>
                <w:lang w:val="en-GB"/>
              </w:rPr>
              <m:t>sp</m:t>
            </m:r>
          </m:sub>
        </m:sSub>
        <m:r>
          <w:rPr>
            <w:rFonts w:ascii="Cambria Math" w:hAnsi="Cambria Math"/>
            <w:noProof/>
            <w:sz w:val="22"/>
            <w:szCs w:val="22"/>
            <w:lang w:val="en-GB"/>
          </w:rPr>
          <m:t>=1</m:t>
        </m:r>
        <m:f>
          <m:fPr>
            <m:ctrlPr>
              <w:rPr>
                <w:rFonts w:ascii="Cambria Math" w:hAnsi="Cambria Math"/>
                <w:i/>
                <w:noProof/>
                <w:sz w:val="22"/>
                <w:szCs w:val="22"/>
                <w:lang w:val="en-GB"/>
              </w:rPr>
            </m:ctrlPr>
          </m:fPr>
          <m:num>
            <m:r>
              <w:rPr>
                <w:rFonts w:ascii="Cambria Math" w:hAnsi="Cambria Math"/>
                <w:noProof/>
                <w:sz w:val="22"/>
                <w:szCs w:val="22"/>
                <w:lang w:val="en-GB"/>
              </w:rPr>
              <m:t>6</m:t>
            </m:r>
            <m:nary>
              <m:naryPr>
                <m:chr m:val="∑"/>
                <m:ctrlPr>
                  <w:rPr>
                    <w:rFonts w:ascii="Cambria Math" w:hAnsi="Cambria Math"/>
                    <w:i/>
                    <w:noProof/>
                    <w:sz w:val="22"/>
                    <w:szCs w:val="22"/>
                    <w:lang w:val="en-GB"/>
                  </w:rPr>
                </m:ctrlPr>
              </m:naryPr>
              <m:sub>
                <m:r>
                  <w:rPr>
                    <w:rFonts w:ascii="Cambria Math" w:hAnsi="Cambria Math"/>
                    <w:noProof/>
                    <w:sz w:val="22"/>
                    <w:szCs w:val="22"/>
                    <w:lang w:val="en-GB"/>
                  </w:rPr>
                  <m:t>i=1</m:t>
                </m:r>
              </m:sub>
              <m:sup>
                <m:r>
                  <w:rPr>
                    <w:rFonts w:ascii="Cambria Math" w:hAnsi="Cambria Math"/>
                    <w:noProof/>
                    <w:sz w:val="22"/>
                    <w:szCs w:val="22"/>
                    <w:lang w:val="en-GB"/>
                  </w:rPr>
                  <m:t>n</m:t>
                </m:r>
              </m:sup>
              <m:e>
                <m:sSup>
                  <m:sSupPr>
                    <m:ctrlPr>
                      <w:rPr>
                        <w:rFonts w:ascii="Cambria Math" w:hAnsi="Cambria Math"/>
                        <w:i/>
                        <w:noProof/>
                        <w:sz w:val="22"/>
                        <w:szCs w:val="22"/>
                        <w:lang w:val="en-GB"/>
                      </w:rPr>
                    </m:ctrlPr>
                  </m:sSupPr>
                  <m:e>
                    <m:r>
                      <w:rPr>
                        <w:rFonts w:ascii="Cambria Math" w:hAnsi="Cambria Math"/>
                        <w:noProof/>
                        <w:sz w:val="22"/>
                        <w:szCs w:val="22"/>
                        <w:lang w:val="en-GB"/>
                      </w:rPr>
                      <m:t>(Di-i)</m:t>
                    </m:r>
                  </m:e>
                  <m:sup>
                    <m:r>
                      <w:rPr>
                        <w:rFonts w:ascii="Cambria Math" w:hAnsi="Cambria Math"/>
                        <w:noProof/>
                        <w:sz w:val="22"/>
                        <w:szCs w:val="22"/>
                        <w:lang w:val="en-GB"/>
                      </w:rPr>
                      <m:t>2</m:t>
                    </m:r>
                  </m:sup>
                </m:sSup>
              </m:e>
            </m:nary>
          </m:num>
          <m:den>
            <m:r>
              <w:rPr>
                <w:rFonts w:ascii="Cambria Math" w:hAnsi="Cambria Math"/>
                <w:noProof/>
                <w:sz w:val="22"/>
                <w:szCs w:val="22"/>
                <w:lang w:val="en-GB"/>
              </w:rPr>
              <m:t>n(</m:t>
            </m:r>
            <m:sSup>
              <m:sSupPr>
                <m:ctrlPr>
                  <w:rPr>
                    <w:rFonts w:ascii="Cambria Math" w:hAnsi="Cambria Math"/>
                    <w:i/>
                    <w:noProof/>
                    <w:sz w:val="22"/>
                    <w:szCs w:val="22"/>
                    <w:lang w:val="en-GB"/>
                  </w:rPr>
                </m:ctrlPr>
              </m:sSupPr>
              <m:e>
                <m:r>
                  <w:rPr>
                    <w:rFonts w:ascii="Cambria Math" w:hAnsi="Cambria Math"/>
                    <w:noProof/>
                    <w:sz w:val="22"/>
                    <w:szCs w:val="22"/>
                    <w:lang w:val="en-GB"/>
                  </w:rPr>
                  <m:t>n</m:t>
                </m:r>
              </m:e>
              <m:sup>
                <m:r>
                  <w:rPr>
                    <w:rFonts w:ascii="Cambria Math" w:hAnsi="Cambria Math"/>
                    <w:noProof/>
                    <w:sz w:val="22"/>
                    <w:szCs w:val="22"/>
                    <w:lang w:val="en-GB"/>
                  </w:rPr>
                  <m:t>2</m:t>
                </m:r>
              </m:sup>
            </m:sSup>
            <m:r>
              <w:rPr>
                <w:rFonts w:ascii="Cambria Math" w:hAnsi="Cambria Math"/>
                <w:noProof/>
                <w:sz w:val="22"/>
                <w:szCs w:val="22"/>
                <w:lang w:val="en-GB"/>
              </w:rPr>
              <m:t>-1)</m:t>
            </m:r>
          </m:den>
        </m:f>
      </m:oMath>
      <w:r w:rsidR="006A27DC" w:rsidRPr="00B8605D">
        <w:rPr>
          <w:rFonts w:eastAsiaTheme="minorEastAsia"/>
          <w:noProof/>
          <w:sz w:val="22"/>
          <w:szCs w:val="22"/>
          <w:lang w:val="en-GB"/>
        </w:rPr>
        <w:tab/>
        <w:t xml:space="preserve"> </w:t>
      </w:r>
      <w:r w:rsidR="006A27DC" w:rsidRPr="00B8605D">
        <w:rPr>
          <w:noProof/>
          <w:sz w:val="22"/>
          <w:szCs w:val="22"/>
          <w:lang w:val="en-GB"/>
        </w:rPr>
        <w:t>(6)</w:t>
      </w:r>
    </w:p>
    <w:p w14:paraId="57E9A71F" w14:textId="708D1BA0" w:rsidR="006A27DC" w:rsidRPr="00B8605D" w:rsidRDefault="00000000" w:rsidP="00B8605D">
      <w:pPr>
        <w:tabs>
          <w:tab w:val="right" w:pos="9632"/>
        </w:tabs>
        <w:spacing w:after="120"/>
        <w:ind w:left="4111"/>
        <w:rPr>
          <w:noProof/>
          <w:sz w:val="22"/>
          <w:szCs w:val="22"/>
          <w:lang w:val="en-GB"/>
        </w:rPr>
      </w:pPr>
      <m:oMath>
        <m:sSub>
          <m:sSubPr>
            <m:ctrlPr>
              <w:rPr>
                <w:rFonts w:ascii="Cambria Math" w:hAnsi="Cambria Math"/>
                <w:i/>
                <w:noProof/>
                <w:sz w:val="22"/>
                <w:szCs w:val="22"/>
                <w:lang w:val="en-GB"/>
              </w:rPr>
            </m:ctrlPr>
          </m:sSubPr>
          <m:e>
            <m:r>
              <w:rPr>
                <w:rFonts w:ascii="Cambria Math" w:hAnsi="Cambria Math"/>
                <w:noProof/>
                <w:sz w:val="22"/>
                <w:szCs w:val="22"/>
                <w:lang w:val="en-GB"/>
              </w:rPr>
              <m:t>Z</m:t>
            </m:r>
          </m:e>
          <m:sub>
            <m:r>
              <w:rPr>
                <w:rFonts w:ascii="Cambria Math" w:hAnsi="Cambria Math"/>
                <w:noProof/>
                <w:sz w:val="22"/>
                <w:szCs w:val="22"/>
                <w:lang w:val="en-GB"/>
              </w:rPr>
              <m:t>Sp</m:t>
            </m:r>
          </m:sub>
        </m:sSub>
        <m:r>
          <w:rPr>
            <w:rFonts w:ascii="Cambria Math" w:hAnsi="Cambria Math"/>
            <w:noProof/>
            <w:sz w:val="22"/>
            <w:szCs w:val="22"/>
            <w:lang w:val="en-GB"/>
          </w:rPr>
          <m:t>=</m:t>
        </m:r>
        <m:sSub>
          <m:sSubPr>
            <m:ctrlPr>
              <w:rPr>
                <w:rFonts w:ascii="Cambria Math" w:hAnsi="Cambria Math"/>
                <w:i/>
                <w:noProof/>
                <w:sz w:val="22"/>
                <w:szCs w:val="22"/>
                <w:lang w:val="en-GB"/>
              </w:rPr>
            </m:ctrlPr>
          </m:sSubPr>
          <m:e>
            <m:r>
              <w:rPr>
                <w:rFonts w:ascii="Cambria Math" w:hAnsi="Cambria Math"/>
                <w:noProof/>
                <w:sz w:val="22"/>
                <w:szCs w:val="22"/>
                <w:lang w:val="en-GB"/>
              </w:rPr>
              <m:t>R</m:t>
            </m:r>
          </m:e>
          <m:sub>
            <m:r>
              <w:rPr>
                <w:rFonts w:ascii="Cambria Math" w:hAnsi="Cambria Math"/>
                <w:noProof/>
                <w:sz w:val="22"/>
                <w:szCs w:val="22"/>
                <w:lang w:val="en-GB"/>
              </w:rPr>
              <m:t>sp</m:t>
            </m:r>
          </m:sub>
        </m:sSub>
        <m:rad>
          <m:radPr>
            <m:degHide m:val="1"/>
            <m:ctrlPr>
              <w:rPr>
                <w:rFonts w:ascii="Cambria Math" w:hAnsi="Cambria Math"/>
                <w:i/>
                <w:noProof/>
                <w:sz w:val="22"/>
                <w:szCs w:val="22"/>
                <w:lang w:val="en-GB"/>
              </w:rPr>
            </m:ctrlPr>
          </m:radPr>
          <m:deg/>
          <m:e>
            <m:f>
              <m:fPr>
                <m:ctrlPr>
                  <w:rPr>
                    <w:rFonts w:ascii="Cambria Math" w:hAnsi="Cambria Math"/>
                    <w:i/>
                    <w:noProof/>
                    <w:sz w:val="22"/>
                    <w:szCs w:val="22"/>
                    <w:lang w:val="en-GB"/>
                  </w:rPr>
                </m:ctrlPr>
              </m:fPr>
              <m:num>
                <m:r>
                  <w:rPr>
                    <w:rFonts w:ascii="Cambria Math" w:hAnsi="Cambria Math"/>
                    <w:noProof/>
                    <w:sz w:val="22"/>
                    <w:szCs w:val="22"/>
                    <w:lang w:val="en-GB"/>
                  </w:rPr>
                  <m:t>n-2</m:t>
                </m:r>
              </m:num>
              <m:den>
                <m:r>
                  <w:rPr>
                    <w:rFonts w:ascii="Cambria Math" w:hAnsi="Cambria Math"/>
                    <w:noProof/>
                    <w:sz w:val="22"/>
                    <w:szCs w:val="22"/>
                    <w:lang w:val="en-GB"/>
                  </w:rPr>
                  <m:t>1-</m:t>
                </m:r>
                <m:sSup>
                  <m:sSupPr>
                    <m:ctrlPr>
                      <w:rPr>
                        <w:rFonts w:ascii="Cambria Math" w:hAnsi="Cambria Math"/>
                        <w:i/>
                        <w:noProof/>
                        <w:sz w:val="22"/>
                        <w:szCs w:val="22"/>
                        <w:lang w:val="en-GB"/>
                      </w:rPr>
                    </m:ctrlPr>
                  </m:sSupPr>
                  <m:e>
                    <m:r>
                      <w:rPr>
                        <w:rFonts w:ascii="Cambria Math" w:hAnsi="Cambria Math"/>
                        <w:noProof/>
                        <w:sz w:val="22"/>
                        <w:szCs w:val="22"/>
                        <w:lang w:val="en-GB"/>
                      </w:rPr>
                      <m:t>Rsp</m:t>
                    </m:r>
                  </m:e>
                  <m:sup>
                    <m:r>
                      <w:rPr>
                        <w:rFonts w:ascii="Cambria Math" w:hAnsi="Cambria Math"/>
                        <w:noProof/>
                        <w:sz w:val="22"/>
                        <w:szCs w:val="22"/>
                        <w:lang w:val="en-GB"/>
                      </w:rPr>
                      <m:t>2</m:t>
                    </m:r>
                  </m:sup>
                </m:sSup>
              </m:den>
            </m:f>
          </m:e>
        </m:rad>
      </m:oMath>
      <w:r w:rsidR="006A27DC" w:rsidRPr="00B8605D">
        <w:rPr>
          <w:noProof/>
          <w:sz w:val="22"/>
          <w:szCs w:val="22"/>
          <w:lang w:val="en-GB"/>
        </w:rPr>
        <w:t xml:space="preserve"> </w:t>
      </w:r>
      <w:r w:rsidR="006A27DC" w:rsidRPr="00B8605D">
        <w:rPr>
          <w:noProof/>
          <w:sz w:val="22"/>
          <w:szCs w:val="22"/>
          <w:lang w:val="en-GB"/>
        </w:rPr>
        <w:tab/>
        <w:t xml:space="preserve"> (7)</w:t>
      </w:r>
    </w:p>
    <w:p w14:paraId="3977402E" w14:textId="77777777" w:rsidR="00392FF4" w:rsidRDefault="00392FF4" w:rsidP="00392FF4">
      <w:pPr>
        <w:jc w:val="both"/>
        <w:rPr>
          <w:noProof/>
          <w:sz w:val="22"/>
          <w:szCs w:val="22"/>
          <w:lang w:val="en-GB"/>
        </w:rPr>
      </w:pPr>
      <w:r w:rsidRPr="00B8605D">
        <w:rPr>
          <w:noProof/>
          <w:sz w:val="22"/>
          <w:szCs w:val="22"/>
          <w:lang w:val="en-GB"/>
        </w:rPr>
        <w:t>where</w:t>
      </w:r>
      <w:r>
        <w:rPr>
          <w:noProof/>
          <w:sz w:val="22"/>
          <w:szCs w:val="22"/>
          <w:lang w:val="en-GB"/>
        </w:rPr>
        <w:t>:</w:t>
      </w:r>
      <w:r w:rsidRPr="00B8605D">
        <w:rPr>
          <w:noProof/>
          <w:sz w:val="22"/>
          <w:szCs w:val="22"/>
          <w:lang w:val="en-GB"/>
        </w:rPr>
        <w:t xml:space="preserve"> </w:t>
      </w:r>
    </w:p>
    <w:p w14:paraId="09B9FCD3" w14:textId="10E8753F" w:rsidR="00392FF4" w:rsidRDefault="006A27DC" w:rsidP="00392FF4">
      <w:pPr>
        <w:rPr>
          <w:noProof/>
          <w:sz w:val="22"/>
          <w:szCs w:val="22"/>
          <w:lang w:val="en-GB"/>
        </w:rPr>
      </w:pPr>
      <w:r w:rsidRPr="00B8605D">
        <w:rPr>
          <w:noProof/>
          <w:sz w:val="22"/>
          <w:szCs w:val="22"/>
          <w:lang w:val="en-GB"/>
        </w:rPr>
        <w:t>D</w:t>
      </w:r>
      <w:r w:rsidRPr="00B8605D">
        <w:rPr>
          <w:noProof/>
          <w:sz w:val="22"/>
          <w:szCs w:val="22"/>
          <w:vertAlign w:val="subscript"/>
          <w:lang w:val="en-GB"/>
        </w:rPr>
        <w:t>i</w:t>
      </w:r>
      <w:r w:rsidR="00392FF4">
        <w:rPr>
          <w:rFonts w:ascii="Cambria Math" w:hAnsi="Cambria Math" w:cs="Cambria Math"/>
          <w:noProof/>
          <w:sz w:val="22"/>
          <w:szCs w:val="22"/>
          <w:lang w:val="en-GB"/>
        </w:rPr>
        <w:t xml:space="preserve"> </w:t>
      </w:r>
      <w:r w:rsidR="00392FF4">
        <w:rPr>
          <w:noProof/>
          <w:sz w:val="22"/>
          <w:szCs w:val="22"/>
          <w:lang w:val="en-GB"/>
        </w:rPr>
        <w:t>–</w:t>
      </w:r>
      <w:r w:rsidR="00392FF4" w:rsidRPr="00B8605D">
        <w:rPr>
          <w:noProof/>
          <w:sz w:val="22"/>
          <w:szCs w:val="22"/>
          <w:lang w:val="en-GB"/>
        </w:rPr>
        <w:t xml:space="preserve"> </w:t>
      </w:r>
      <w:r w:rsidRPr="00B8605D">
        <w:rPr>
          <w:noProof/>
          <w:sz w:val="22"/>
          <w:szCs w:val="22"/>
          <w:lang w:val="en-GB"/>
        </w:rPr>
        <w:t xml:space="preserve">sequence number of i observations, </w:t>
      </w:r>
      <w:r w:rsidR="00392FF4">
        <w:rPr>
          <w:noProof/>
          <w:sz w:val="22"/>
          <w:szCs w:val="22"/>
          <w:lang w:val="en-GB"/>
        </w:rPr>
        <w:br/>
      </w:r>
      <w:r w:rsidRPr="00B8605D">
        <w:rPr>
          <w:noProof/>
          <w:sz w:val="22"/>
          <w:szCs w:val="22"/>
          <w:lang w:val="en-GB"/>
        </w:rPr>
        <w:t>n</w:t>
      </w:r>
      <w:r w:rsidR="00392FF4">
        <w:rPr>
          <w:rFonts w:ascii="Cambria Math" w:hAnsi="Cambria Math" w:cs="Cambria Math"/>
          <w:noProof/>
          <w:sz w:val="22"/>
          <w:szCs w:val="22"/>
          <w:lang w:val="en-GB"/>
        </w:rPr>
        <w:t xml:space="preserve"> </w:t>
      </w:r>
      <w:r w:rsidR="00392FF4">
        <w:rPr>
          <w:noProof/>
          <w:sz w:val="22"/>
          <w:szCs w:val="22"/>
          <w:lang w:val="en-GB"/>
        </w:rPr>
        <w:t>–</w:t>
      </w:r>
      <w:r w:rsidR="00392FF4" w:rsidRPr="00B8605D">
        <w:rPr>
          <w:noProof/>
          <w:sz w:val="22"/>
          <w:szCs w:val="22"/>
          <w:lang w:val="en-GB"/>
        </w:rPr>
        <w:t xml:space="preserve"> </w:t>
      </w:r>
      <w:r w:rsidRPr="00B8605D">
        <w:rPr>
          <w:noProof/>
          <w:sz w:val="22"/>
          <w:szCs w:val="22"/>
          <w:lang w:val="en-GB"/>
        </w:rPr>
        <w:t xml:space="preserve">total length of time series data, </w:t>
      </w:r>
      <w:r w:rsidR="00392FF4">
        <w:rPr>
          <w:noProof/>
          <w:sz w:val="22"/>
          <w:szCs w:val="22"/>
          <w:lang w:val="en-GB"/>
        </w:rPr>
        <w:br/>
      </w:r>
      <w:r w:rsidRPr="00B8605D">
        <w:rPr>
          <w:noProof/>
          <w:sz w:val="22"/>
          <w:szCs w:val="22"/>
          <w:lang w:val="en-GB"/>
        </w:rPr>
        <w:t>i</w:t>
      </w:r>
      <w:r w:rsidR="00392FF4">
        <w:rPr>
          <w:rFonts w:ascii="Cambria Math" w:hAnsi="Cambria Math" w:cs="Cambria Math"/>
          <w:noProof/>
          <w:sz w:val="22"/>
          <w:szCs w:val="22"/>
          <w:lang w:val="en-GB"/>
        </w:rPr>
        <w:t xml:space="preserve"> </w:t>
      </w:r>
      <w:r w:rsidR="00392FF4">
        <w:rPr>
          <w:noProof/>
          <w:sz w:val="22"/>
          <w:szCs w:val="22"/>
          <w:lang w:val="en-GB"/>
        </w:rPr>
        <w:t>–</w:t>
      </w:r>
      <w:r w:rsidR="00392FF4" w:rsidRPr="00B8605D">
        <w:rPr>
          <w:noProof/>
          <w:sz w:val="22"/>
          <w:szCs w:val="22"/>
          <w:lang w:val="en-GB"/>
        </w:rPr>
        <w:t xml:space="preserve"> </w:t>
      </w:r>
      <w:r w:rsidRPr="00B8605D">
        <w:rPr>
          <w:noProof/>
          <w:sz w:val="22"/>
          <w:szCs w:val="22"/>
          <w:lang w:val="en-GB"/>
        </w:rPr>
        <w:t xml:space="preserve">observation order of data, </w:t>
      </w:r>
      <w:r w:rsidR="00392FF4">
        <w:rPr>
          <w:noProof/>
          <w:sz w:val="22"/>
          <w:szCs w:val="22"/>
          <w:lang w:val="en-GB"/>
        </w:rPr>
        <w:br/>
      </w:r>
      <w:r w:rsidRPr="00B8605D">
        <w:rPr>
          <w:noProof/>
          <w:sz w:val="22"/>
          <w:szCs w:val="22"/>
          <w:lang w:val="en-GB"/>
        </w:rPr>
        <w:t>Z</w:t>
      </w:r>
      <w:r w:rsidRPr="00B8605D">
        <w:rPr>
          <w:noProof/>
          <w:sz w:val="22"/>
          <w:szCs w:val="22"/>
          <w:vertAlign w:val="subscript"/>
          <w:lang w:val="en-GB"/>
        </w:rPr>
        <w:t>sp</w:t>
      </w:r>
      <w:r w:rsidR="00392FF4">
        <w:rPr>
          <w:rFonts w:ascii="Cambria Math" w:hAnsi="Cambria Math" w:cs="Cambria Math"/>
          <w:noProof/>
          <w:sz w:val="22"/>
          <w:szCs w:val="22"/>
          <w:lang w:val="en-GB"/>
        </w:rPr>
        <w:t xml:space="preserve"> </w:t>
      </w:r>
      <w:r w:rsidR="00392FF4">
        <w:rPr>
          <w:noProof/>
          <w:sz w:val="22"/>
          <w:szCs w:val="22"/>
          <w:lang w:val="en-GB"/>
        </w:rPr>
        <w:t>–</w:t>
      </w:r>
      <w:r w:rsidR="00392FF4" w:rsidRPr="00B8605D">
        <w:rPr>
          <w:noProof/>
          <w:sz w:val="22"/>
          <w:szCs w:val="22"/>
          <w:lang w:val="en-GB"/>
        </w:rPr>
        <w:t xml:space="preserve"> </w:t>
      </w:r>
      <w:r w:rsidRPr="00B8605D">
        <w:rPr>
          <w:noProof/>
          <w:sz w:val="22"/>
          <w:szCs w:val="22"/>
          <w:lang w:val="en-GB"/>
        </w:rPr>
        <w:t>(</w:t>
      </w:r>
      <w:r w:rsidRPr="00B8605D">
        <w:rPr>
          <w:rFonts w:ascii="Cambria Math" w:hAnsi="Cambria Math" w:cs="Cambria Math"/>
          <w:noProof/>
          <w:sz w:val="22"/>
          <w:szCs w:val="22"/>
          <w:lang w:val="en-GB"/>
        </w:rPr>
        <w:t>𝑛</w:t>
      </w:r>
      <w:r w:rsidR="00392FF4">
        <w:rPr>
          <w:noProof/>
          <w:sz w:val="22"/>
          <w:szCs w:val="22"/>
          <w:lang w:val="en-GB"/>
        </w:rPr>
        <w:t>-</w:t>
      </w:r>
      <w:r w:rsidRPr="00B8605D">
        <w:rPr>
          <w:noProof/>
          <w:sz w:val="22"/>
          <w:szCs w:val="22"/>
          <w:lang w:val="en-GB"/>
        </w:rPr>
        <w:t xml:space="preserve">2) degrees of freedom. </w:t>
      </w:r>
    </w:p>
    <w:p w14:paraId="072AA9FB" w14:textId="77777777" w:rsidR="00392FF4" w:rsidRDefault="00392FF4" w:rsidP="00392FF4">
      <w:pPr>
        <w:rPr>
          <w:noProof/>
          <w:sz w:val="22"/>
          <w:szCs w:val="22"/>
          <w:lang w:val="en-GB"/>
        </w:rPr>
      </w:pPr>
    </w:p>
    <w:p w14:paraId="2B973B81" w14:textId="71ABB116" w:rsidR="006A27DC" w:rsidRPr="00B8605D" w:rsidRDefault="006A27DC" w:rsidP="00267D26">
      <w:pPr>
        <w:ind w:firstLine="284"/>
        <w:jc w:val="both"/>
        <w:rPr>
          <w:noProof/>
          <w:sz w:val="22"/>
          <w:szCs w:val="22"/>
          <w:lang w:val="en-GB"/>
        </w:rPr>
      </w:pPr>
      <w:r w:rsidRPr="00B8605D">
        <w:rPr>
          <w:noProof/>
          <w:sz w:val="22"/>
          <w:szCs w:val="22"/>
          <w:lang w:val="en-GB"/>
        </w:rPr>
        <w:t xml:space="preserve">Positive values of </w:t>
      </w:r>
      <w:r w:rsidRPr="00B8605D">
        <w:rPr>
          <w:rFonts w:ascii="Cambria Math" w:hAnsi="Cambria Math" w:cs="Cambria Math"/>
          <w:noProof/>
          <w:sz w:val="22"/>
          <w:szCs w:val="22"/>
          <w:lang w:val="en-GB"/>
        </w:rPr>
        <w:t>𝑍</w:t>
      </w:r>
      <w:r w:rsidRPr="00B8605D">
        <w:rPr>
          <w:rFonts w:ascii="Cambria Math" w:hAnsi="Cambria Math" w:cs="Cambria Math"/>
          <w:noProof/>
          <w:sz w:val="22"/>
          <w:szCs w:val="22"/>
          <w:vertAlign w:val="subscript"/>
          <w:lang w:val="en-GB"/>
        </w:rPr>
        <w:t>𝑠𝑝</w:t>
      </w:r>
      <w:r w:rsidRPr="00B8605D">
        <w:rPr>
          <w:noProof/>
          <w:sz w:val="22"/>
          <w:szCs w:val="22"/>
          <w:lang w:val="en-GB"/>
        </w:rPr>
        <w:t xml:space="preserve"> indicate an increasing trend in the hydrological time series, while negative values indicate a decreasing trend (Karakuş 2017, Büyükyıldız &amp; Berktay 2004).</w:t>
      </w:r>
    </w:p>
    <w:p w14:paraId="63D2863F" w14:textId="5235D467" w:rsidR="006A27DC" w:rsidRPr="00B8605D" w:rsidRDefault="006A27DC" w:rsidP="003851DF">
      <w:pPr>
        <w:ind w:firstLine="284"/>
        <w:jc w:val="both"/>
        <w:rPr>
          <w:noProof/>
          <w:sz w:val="22"/>
          <w:szCs w:val="22"/>
          <w:lang w:val="en-GB"/>
        </w:rPr>
      </w:pPr>
      <w:r w:rsidRPr="00B8605D">
        <w:rPr>
          <w:rFonts w:eastAsia="TimesNewRoman,Bold"/>
          <w:bCs/>
          <w:noProof/>
          <w:sz w:val="22"/>
          <w:szCs w:val="22"/>
          <w:lang w:val="en-GB"/>
        </w:rPr>
        <w:t>Water quality parameter values were subjected to the training method test developed by Sen. This test was used to determine the slope and magnitude of the trend (Sen 1968). This non-parametric method, with its structure that is not affected by large data errors or outliers, is applied to calculate the linear trend size, that is, the change in unit time, in the time series of the data (Yu et al. 1993).</w:t>
      </w:r>
      <w:r w:rsidR="00B8605D" w:rsidRPr="00B8605D">
        <w:rPr>
          <w:rFonts w:eastAsia="TimesNewRoman,Bold"/>
          <w:bCs/>
          <w:noProof/>
          <w:sz w:val="22"/>
          <w:szCs w:val="22"/>
          <w:lang w:val="en-GB"/>
        </w:rPr>
        <w:t xml:space="preserve"> </w:t>
      </w:r>
      <w:r w:rsidR="002004F2">
        <w:rPr>
          <w:rFonts w:eastAsia="TimesNewRoman,Bold"/>
          <w:bCs/>
          <w:noProof/>
          <w:sz w:val="22"/>
          <w:szCs w:val="22"/>
          <w:lang w:val="en-GB"/>
        </w:rPr>
        <w:t>"</w:t>
      </w:r>
      <w:r w:rsidRPr="00B8605D">
        <w:rPr>
          <w:rFonts w:eastAsia="TimesNewRoman,Bold"/>
          <w:bCs/>
          <w:noProof/>
          <w:sz w:val="22"/>
          <w:szCs w:val="22"/>
          <w:lang w:val="en-GB"/>
        </w:rPr>
        <w:t>Trend Analysis for Windows</w:t>
      </w:r>
      <w:r w:rsidR="002004F2">
        <w:rPr>
          <w:rFonts w:eastAsia="TimesNewRoman,Bold"/>
          <w:bCs/>
          <w:noProof/>
          <w:sz w:val="22"/>
          <w:szCs w:val="22"/>
          <w:lang w:val="en-GB"/>
        </w:rPr>
        <w:t>"</w:t>
      </w:r>
      <w:r w:rsidRPr="00B8605D">
        <w:rPr>
          <w:rFonts w:eastAsia="TimesNewRoman,Bold"/>
          <w:bCs/>
          <w:noProof/>
          <w:sz w:val="22"/>
          <w:szCs w:val="22"/>
          <w:lang w:val="en-GB"/>
        </w:rPr>
        <w:t xml:space="preserve"> software was used </w:t>
      </w:r>
      <w:r w:rsidR="002004F2">
        <w:rPr>
          <w:rFonts w:eastAsia="TimesNewRoman,Bold"/>
          <w:bCs/>
          <w:noProof/>
          <w:sz w:val="22"/>
          <w:szCs w:val="22"/>
          <w:lang w:val="en-GB"/>
        </w:rPr>
        <w:t>to evaluate</w:t>
      </w:r>
      <w:r w:rsidRPr="00B8605D">
        <w:rPr>
          <w:rFonts w:eastAsia="TimesNewRoman,Bold"/>
          <w:bCs/>
          <w:noProof/>
          <w:sz w:val="22"/>
          <w:szCs w:val="22"/>
          <w:lang w:val="en-GB"/>
        </w:rPr>
        <w:t xml:space="preserve"> drinking water quality parameters determined in water samples with trend analysis depending on time. This program applies the Mann-Kendall test, Spearman's Rho test, Mann-Kendall Rank Correlation test</w:t>
      </w:r>
      <w:r w:rsidR="002004F2">
        <w:rPr>
          <w:rFonts w:eastAsia="TimesNewRoman,Bold"/>
          <w:bCs/>
          <w:noProof/>
          <w:sz w:val="22"/>
          <w:szCs w:val="22"/>
          <w:lang w:val="en-GB"/>
        </w:rPr>
        <w:t>,</w:t>
      </w:r>
      <w:r w:rsidRPr="00B8605D">
        <w:rPr>
          <w:rFonts w:eastAsia="TimesNewRoman,Bold"/>
          <w:bCs/>
          <w:noProof/>
          <w:sz w:val="22"/>
          <w:szCs w:val="22"/>
          <w:lang w:val="en-GB"/>
        </w:rPr>
        <w:t xml:space="preserve"> and Sen's Trend Slope method to the data and performs analysis. The results are presented as graphics and text</w:t>
      </w:r>
      <w:r w:rsidR="00B8605D" w:rsidRPr="00B8605D">
        <w:rPr>
          <w:rFonts w:eastAsia="TimesNewRoman,Bold"/>
          <w:bCs/>
          <w:noProof/>
          <w:sz w:val="22"/>
          <w:szCs w:val="22"/>
          <w:lang w:val="en-GB"/>
        </w:rPr>
        <w:t xml:space="preserve"> </w:t>
      </w:r>
      <w:r w:rsidRPr="00B8605D">
        <w:rPr>
          <w:rFonts w:eastAsia="Calibri"/>
          <w:noProof/>
          <w:sz w:val="22"/>
          <w:szCs w:val="22"/>
          <w:lang w:val="en-GB"/>
        </w:rPr>
        <w:t>(Gümüş 2006).</w:t>
      </w:r>
    </w:p>
    <w:p w14:paraId="0DD4CB6E" w14:textId="24237882" w:rsidR="006A27DC" w:rsidRPr="00B8605D" w:rsidRDefault="003851DF" w:rsidP="003851DF">
      <w:pPr>
        <w:pStyle w:val="Rn1"/>
        <w:rPr>
          <w:noProof/>
          <w:lang w:val="en-GB"/>
        </w:rPr>
      </w:pPr>
      <w:r w:rsidRPr="00B8605D">
        <w:rPr>
          <w:noProof/>
          <w:lang w:val="en-GB"/>
        </w:rPr>
        <w:lastRenderedPageBreak/>
        <w:t>3. Results and Discussions</w:t>
      </w:r>
    </w:p>
    <w:p w14:paraId="32932828" w14:textId="77777777" w:rsidR="006A27DC" w:rsidRPr="00B8605D" w:rsidRDefault="006A27DC" w:rsidP="003851DF">
      <w:pPr>
        <w:pStyle w:val="Rn2"/>
        <w:rPr>
          <w:noProof/>
          <w:lang w:val="en-GB" w:eastAsia="tr-TR"/>
        </w:rPr>
      </w:pPr>
      <w:r w:rsidRPr="00B8605D">
        <w:rPr>
          <w:noProof/>
          <w:lang w:val="en-GB" w:eastAsia="tr-TR"/>
        </w:rPr>
        <w:t>3.1. Spatial Modeling and Trend Analysis of the Electrical Conductivity (EC) Values in Drinking Water</w:t>
      </w:r>
    </w:p>
    <w:p w14:paraId="6DABBE7A" w14:textId="48F886A0" w:rsidR="006A27DC" w:rsidRPr="002004F2" w:rsidRDefault="006A27DC" w:rsidP="003851DF">
      <w:pPr>
        <w:ind w:firstLine="284"/>
        <w:jc w:val="both"/>
        <w:rPr>
          <w:rFonts w:eastAsiaTheme="minorEastAsia"/>
          <w:noProof/>
          <w:spacing w:val="-4"/>
          <w:sz w:val="22"/>
          <w:szCs w:val="22"/>
          <w:lang w:val="en-GB" w:eastAsia="tr-TR"/>
        </w:rPr>
      </w:pPr>
      <w:r w:rsidRPr="002004F2">
        <w:rPr>
          <w:rFonts w:eastAsiaTheme="minorEastAsia"/>
          <w:noProof/>
          <w:spacing w:val="-4"/>
          <w:sz w:val="22"/>
          <w:szCs w:val="22"/>
          <w:lang w:val="en-GB" w:eastAsia="tr-TR"/>
        </w:rPr>
        <w:t xml:space="preserve">EC values determined in </w:t>
      </w:r>
      <w:r w:rsidR="002004F2" w:rsidRPr="002004F2">
        <w:rPr>
          <w:rFonts w:eastAsiaTheme="minorEastAsia"/>
          <w:noProof/>
          <w:spacing w:val="-4"/>
          <w:sz w:val="22"/>
          <w:szCs w:val="22"/>
          <w:lang w:val="en-GB" w:eastAsia="tr-TR"/>
        </w:rPr>
        <w:t xml:space="preserve">the </w:t>
      </w:r>
      <w:r w:rsidRPr="002004F2">
        <w:rPr>
          <w:rFonts w:eastAsiaTheme="minorEastAsia"/>
          <w:noProof/>
          <w:spacing w:val="-4"/>
          <w:sz w:val="22"/>
          <w:szCs w:val="22"/>
          <w:lang w:val="en-GB" w:eastAsia="tr-TR"/>
        </w:rPr>
        <w:t>drinking water of Ankara province between 2018</w:t>
      </w:r>
      <w:r w:rsidR="002004F2" w:rsidRPr="002004F2">
        <w:rPr>
          <w:rFonts w:eastAsiaTheme="minorEastAsia"/>
          <w:noProof/>
          <w:spacing w:val="-4"/>
          <w:sz w:val="22"/>
          <w:szCs w:val="22"/>
          <w:lang w:val="en-GB" w:eastAsia="tr-TR"/>
        </w:rPr>
        <w:t xml:space="preserve"> and </w:t>
      </w:r>
      <w:r w:rsidRPr="002004F2">
        <w:rPr>
          <w:rFonts w:eastAsiaTheme="minorEastAsia"/>
          <w:noProof/>
          <w:spacing w:val="-4"/>
          <w:sz w:val="22"/>
          <w:szCs w:val="22"/>
          <w:lang w:val="en-GB" w:eastAsia="tr-TR"/>
        </w:rPr>
        <w:t>2020 were analyzed spatially. Spatial distribution models of EC values in drinking water of Ankara province are presented in Figure 2.</w:t>
      </w:r>
    </w:p>
    <w:p w14:paraId="02315926" w14:textId="77777777" w:rsidR="000D6514" w:rsidRPr="00B8605D" w:rsidRDefault="000D6514" w:rsidP="006A27DC">
      <w:pPr>
        <w:jc w:val="both"/>
        <w:rPr>
          <w:rFonts w:eastAsiaTheme="minorEastAsia"/>
          <w:noProof/>
          <w:sz w:val="22"/>
          <w:szCs w:val="22"/>
          <w:lang w:val="en-GB" w:eastAsia="tr-TR"/>
        </w:rPr>
      </w:pPr>
    </w:p>
    <w:p w14:paraId="70B73C3D" w14:textId="77777777" w:rsidR="006A27DC" w:rsidRPr="00B8605D" w:rsidRDefault="006A27DC" w:rsidP="006A27DC">
      <w:pPr>
        <w:jc w:val="center"/>
        <w:rPr>
          <w:rFonts w:eastAsiaTheme="minorEastAsia"/>
          <w:noProof/>
          <w:sz w:val="22"/>
          <w:szCs w:val="22"/>
          <w:lang w:val="en-GB" w:eastAsia="tr-TR"/>
        </w:rPr>
      </w:pPr>
      <w:r w:rsidRPr="00B8605D">
        <w:rPr>
          <w:b/>
          <w:noProof/>
          <w:sz w:val="22"/>
          <w:szCs w:val="22"/>
          <w:lang w:val="en-GB" w:eastAsia="tr-TR"/>
        </w:rPr>
        <w:drawing>
          <wp:inline distT="0" distB="0" distL="0" distR="0" wp14:anchorId="33D6F5D5" wp14:editId="119EAE70">
            <wp:extent cx="5760000" cy="247673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476736"/>
                    </a:xfrm>
                    <a:prstGeom prst="rect">
                      <a:avLst/>
                    </a:prstGeom>
                    <a:noFill/>
                    <a:ln>
                      <a:noFill/>
                    </a:ln>
                  </pic:spPr>
                </pic:pic>
              </a:graphicData>
            </a:graphic>
          </wp:inline>
        </w:drawing>
      </w:r>
    </w:p>
    <w:p w14:paraId="498F87F2" w14:textId="77777777" w:rsidR="006A27DC" w:rsidRPr="00B8605D" w:rsidRDefault="006A27DC" w:rsidP="003851DF">
      <w:pPr>
        <w:pStyle w:val="Rrys"/>
        <w:rPr>
          <w:noProof/>
          <w:lang w:val="en-GB" w:eastAsia="tr-TR"/>
        </w:rPr>
      </w:pPr>
      <w:r w:rsidRPr="00B8605D">
        <w:rPr>
          <w:b/>
          <w:noProof/>
          <w:lang w:val="en-GB" w:eastAsia="tr-TR"/>
        </w:rPr>
        <w:t>Fig. 2.</w:t>
      </w:r>
      <w:r w:rsidRPr="00B8605D">
        <w:rPr>
          <w:noProof/>
          <w:lang w:val="en-GB" w:eastAsia="tr-TR"/>
        </w:rPr>
        <w:t xml:space="preserve"> Spatial Modeling </w:t>
      </w:r>
      <w:r w:rsidRPr="00B8605D">
        <w:rPr>
          <w:noProof/>
          <w:lang w:val="en-GB"/>
        </w:rPr>
        <w:t xml:space="preserve">and Trend Analysis </w:t>
      </w:r>
      <w:r w:rsidRPr="00B8605D">
        <w:rPr>
          <w:noProof/>
          <w:lang w:val="en-GB" w:eastAsia="tr-TR"/>
        </w:rPr>
        <w:t>of the Electrical Conductivity (EC) Values</w:t>
      </w:r>
    </w:p>
    <w:p w14:paraId="225F2323" w14:textId="77777777" w:rsidR="006A27DC" w:rsidRPr="00B8605D" w:rsidRDefault="006A27DC" w:rsidP="003851DF">
      <w:pPr>
        <w:ind w:firstLine="284"/>
        <w:jc w:val="both"/>
        <w:rPr>
          <w:rFonts w:eastAsiaTheme="minorEastAsia"/>
          <w:noProof/>
          <w:sz w:val="22"/>
          <w:szCs w:val="22"/>
          <w:lang w:val="en-GB" w:eastAsia="tr-TR"/>
        </w:rPr>
      </w:pPr>
    </w:p>
    <w:p w14:paraId="18EB22AB" w14:textId="6191D7D0"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The EC term is the numerical expression of water's ability to conduct electricity</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the permissible limit value (drinking water) according to the TS 266 standard in Turkey is 250 mS/m at 25</w:t>
      </w:r>
      <w:r w:rsidR="00096CF3" w:rsidRPr="00096CF3">
        <w:rPr>
          <w:rFonts w:eastAsiaTheme="minorEastAsia"/>
          <w:noProof/>
          <w:sz w:val="22"/>
          <w:szCs w:val="22"/>
          <w:lang w:val="en-GB" w:eastAsia="tr-TR"/>
        </w:rPr>
        <w:t>°</w:t>
      </w:r>
      <w:r w:rsidRPr="00B8605D">
        <w:rPr>
          <w:rFonts w:eastAsiaTheme="minorEastAsia"/>
          <w:noProof/>
          <w:sz w:val="22"/>
          <w:szCs w:val="22"/>
          <w:lang w:val="en-GB" w:eastAsia="tr-TR"/>
        </w:rPr>
        <w:t>C (TS 2005). EC values in the drinking water of Ankara province and 25 districts in 2018 were examined. According to this analysis, it was determined that the highest EC value was 136.8 mS/m, concentrated in Beypazarı and Polatlı districts, and the lowest value was 31.2 mS/m, concentrated in Çamlıdere and Kızılcahamam districts.</w:t>
      </w:r>
      <w:r w:rsidR="00B8605D" w:rsidRPr="00B8605D">
        <w:rPr>
          <w:rFonts w:eastAsiaTheme="minorEastAsia"/>
          <w:noProof/>
          <w:sz w:val="22"/>
          <w:szCs w:val="22"/>
          <w:lang w:val="en-GB" w:eastAsia="tr-TR"/>
        </w:rPr>
        <w:t xml:space="preserve"> </w:t>
      </w:r>
    </w:p>
    <w:p w14:paraId="0F9DB192" w14:textId="4FB21D0F"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According to the EC values of 2020, the highest EC value was determined in Bala and Nallıhan districts with 144.6 mS/m, and the lowest value was determined in Çamlıdere and Kızılcahamam districts with 29.4</w:t>
      </w:r>
      <w:r w:rsidR="002004F2">
        <w:rPr>
          <w:rFonts w:eastAsiaTheme="minorEastAsia"/>
          <w:noProof/>
          <w:sz w:val="22"/>
          <w:szCs w:val="22"/>
          <w:lang w:val="en-GB" w:eastAsia="tr-TR"/>
        </w:rPr>
        <w:t> </w:t>
      </w:r>
      <w:r w:rsidRPr="00B8605D">
        <w:rPr>
          <w:rFonts w:eastAsiaTheme="minorEastAsia"/>
          <w:noProof/>
          <w:sz w:val="22"/>
          <w:szCs w:val="22"/>
          <w:lang w:val="en-GB" w:eastAsia="tr-TR"/>
        </w:rPr>
        <w:t xml:space="preserve">mS/m. It has been observed that the drinking water of Ankara province complies with the TS 266 standard in terms of EC. </w:t>
      </w:r>
    </w:p>
    <w:p w14:paraId="2FB1F167" w14:textId="518BEDF0"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Trend analysis was applied to the average EC values of 25 districts of Ankara province in 2018-2020. The</w:t>
      </w:r>
      <w:r w:rsidR="0095280A">
        <w:rPr>
          <w:rFonts w:eastAsiaTheme="minorEastAsia"/>
          <w:noProof/>
          <w:sz w:val="22"/>
          <w:szCs w:val="22"/>
          <w:lang w:val="en-GB" w:eastAsia="tr-TR"/>
        </w:rPr>
        <w:t> </w:t>
      </w:r>
      <w:r w:rsidRPr="00B8605D">
        <w:rPr>
          <w:rFonts w:eastAsiaTheme="minorEastAsia"/>
          <w:noProof/>
          <w:sz w:val="22"/>
          <w:szCs w:val="22"/>
          <w:lang w:val="en-GB" w:eastAsia="tr-TR"/>
        </w:rPr>
        <w:t xml:space="preserve">results showed that there was a significant trend in 10 districts. According to Mann-Kendall and Sperman's Rho tests, it was concluded that there was a decreasing trend in Altındağ, Çankaya, Etimesgut, Gölbaşı, Haymana, Keçiören, Mamak, Sincan and Yenimahalle districts, and an increasing trend in Bala district. </w:t>
      </w:r>
      <w:r w:rsidR="002004F2">
        <w:rPr>
          <w:rFonts w:eastAsiaTheme="minorEastAsia"/>
          <w:noProof/>
          <w:sz w:val="22"/>
          <w:szCs w:val="22"/>
          <w:lang w:val="en-GB" w:eastAsia="tr-TR"/>
        </w:rPr>
        <w:t>No</w:t>
      </w:r>
      <w:r w:rsidR="0095280A">
        <w:rPr>
          <w:rFonts w:eastAsiaTheme="minorEastAsia"/>
          <w:noProof/>
          <w:sz w:val="22"/>
          <w:szCs w:val="22"/>
          <w:lang w:val="en-GB" w:eastAsia="tr-TR"/>
        </w:rPr>
        <w:t> </w:t>
      </w:r>
      <w:r w:rsidR="002004F2">
        <w:rPr>
          <w:rFonts w:eastAsiaTheme="minorEastAsia"/>
          <w:noProof/>
          <w:sz w:val="22"/>
          <w:szCs w:val="22"/>
          <w:lang w:val="en-GB" w:eastAsia="tr-TR"/>
        </w:rPr>
        <w:t>significant increase or decrease in EC values was found in other districts</w:t>
      </w:r>
      <w:r w:rsidRPr="00B8605D">
        <w:rPr>
          <w:rFonts w:eastAsiaTheme="minorEastAsia"/>
          <w:noProof/>
          <w:sz w:val="22"/>
          <w:szCs w:val="22"/>
          <w:lang w:val="en-GB" w:eastAsia="tr-TR"/>
        </w:rPr>
        <w:t>.</w:t>
      </w:r>
    </w:p>
    <w:p w14:paraId="43C8C256" w14:textId="7C6E541C" w:rsidR="006A27DC" w:rsidRPr="00B8605D" w:rsidRDefault="003851DF" w:rsidP="003851DF">
      <w:pPr>
        <w:pStyle w:val="Rn2"/>
        <w:rPr>
          <w:noProof/>
          <w:lang w:val="en-GB"/>
        </w:rPr>
      </w:pPr>
      <w:r w:rsidRPr="00B8605D">
        <w:rPr>
          <w:noProof/>
          <w:lang w:val="en-GB"/>
        </w:rPr>
        <w:t xml:space="preserve">3.2. </w:t>
      </w:r>
      <w:r w:rsidR="006A27DC" w:rsidRPr="00B8605D">
        <w:rPr>
          <w:noProof/>
          <w:lang w:val="en-GB"/>
        </w:rPr>
        <w:t>Spatial Modeling and Trend Analysis of Turbidity Values in Drinking Water</w:t>
      </w:r>
    </w:p>
    <w:p w14:paraId="71FBE1B0" w14:textId="47765B4F"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Spatial distributions of turbidity values of drinking water in Ankara province for 2018-2020 are presented in Figure 3.</w:t>
      </w:r>
    </w:p>
    <w:p w14:paraId="297BB4C1" w14:textId="03A5F983" w:rsidR="00392FF4" w:rsidRPr="00B8605D" w:rsidRDefault="00392FF4" w:rsidP="00392FF4">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In the analyses carried out in drinking water in Ankara in 2018, it was determined that the highest turbidity value was 1.02 NTU, concentrated in Beypazarı district and its surroundings, and the lowest value was 0.36 NTU, concentrated in Kızılcahamam, Nallıhan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Polatlı districts. In drinking water analy</w:t>
      </w:r>
      <w:r w:rsidR="002004F2">
        <w:rPr>
          <w:rFonts w:eastAsiaTheme="minorEastAsia"/>
          <w:noProof/>
          <w:sz w:val="22"/>
          <w:szCs w:val="22"/>
          <w:lang w:val="en-GB" w:eastAsia="tr-TR"/>
        </w:rPr>
        <w:t>s</w:t>
      </w:r>
      <w:r w:rsidRPr="00B8605D">
        <w:rPr>
          <w:rFonts w:eastAsiaTheme="minorEastAsia"/>
          <w:noProof/>
          <w:sz w:val="22"/>
          <w:szCs w:val="22"/>
          <w:lang w:val="en-GB" w:eastAsia="tr-TR"/>
        </w:rPr>
        <w:t xml:space="preserve">es for 2019, the highest turbidity value was seen in Altındağ, Çamlıdere, Elmadağ, Kahramankazan and Şereflikoçhisar districts with 0.57 NTU. </w:t>
      </w:r>
    </w:p>
    <w:p w14:paraId="09D21174" w14:textId="6E3BAF3C" w:rsidR="00392FF4" w:rsidRPr="00B8605D" w:rsidRDefault="00392FF4" w:rsidP="00392FF4">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The lowest value was seen in Beypazarı and Güdül districts</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with 0.17. In 2020, the highest turbidity value in drinking water was seen in Çamlıdere and Elmadağ districts with 0.50 NTU. The lowest turbidity value was seen in Güdül and Nallıhan districts with 0.15 NTU. </w:t>
      </w:r>
      <w:r w:rsidRPr="0095280A">
        <w:rPr>
          <w:rFonts w:eastAsiaTheme="minorEastAsia"/>
          <w:noProof/>
          <w:spacing w:val="-2"/>
          <w:sz w:val="22"/>
          <w:szCs w:val="22"/>
          <w:lang w:val="en-GB" w:eastAsia="tr-TR"/>
        </w:rPr>
        <w:t>Turbidity is a measure of light transmittance in water. According to TS 266, EPA</w:t>
      </w:r>
      <w:r w:rsidR="002004F2" w:rsidRPr="0095280A">
        <w:rPr>
          <w:rFonts w:eastAsiaTheme="minorEastAsia"/>
          <w:noProof/>
          <w:spacing w:val="-2"/>
          <w:sz w:val="22"/>
          <w:szCs w:val="22"/>
          <w:lang w:val="en-GB" w:eastAsia="tr-TR"/>
        </w:rPr>
        <w:t>,</w:t>
      </w:r>
      <w:r w:rsidRPr="0095280A">
        <w:rPr>
          <w:rFonts w:eastAsiaTheme="minorEastAsia"/>
          <w:noProof/>
          <w:spacing w:val="-2"/>
          <w:sz w:val="22"/>
          <w:szCs w:val="22"/>
          <w:lang w:val="en-GB" w:eastAsia="tr-TR"/>
        </w:rPr>
        <w:t xml:space="preserve"> and EU standards, the permissible limit value in drinking water is 1 NTU (TS 2005, EPA 2016, EU 2020). Based on these outcomes, the drinking water in Ankara was found to be of drinkable quality in terms of turbidity.</w:t>
      </w:r>
    </w:p>
    <w:p w14:paraId="22306F08" w14:textId="256DF6A0" w:rsidR="006A27DC" w:rsidRPr="00B8605D" w:rsidRDefault="000D6514" w:rsidP="006A27DC">
      <w:pPr>
        <w:jc w:val="center"/>
        <w:rPr>
          <w:rFonts w:eastAsiaTheme="minorEastAsia"/>
          <w:b/>
          <w:noProof/>
          <w:sz w:val="22"/>
          <w:szCs w:val="22"/>
          <w:lang w:val="en-GB" w:eastAsia="tr-TR"/>
        </w:rPr>
      </w:pPr>
      <w:r w:rsidRPr="00B8605D">
        <w:rPr>
          <w:b/>
          <w:noProof/>
          <w:sz w:val="22"/>
          <w:szCs w:val="22"/>
          <w:lang w:val="en-GB" w:eastAsia="tr-TR"/>
        </w:rPr>
        <w:lastRenderedPageBreak/>
        <w:drawing>
          <wp:inline distT="0" distB="0" distL="0" distR="0" wp14:anchorId="069B1100" wp14:editId="13B7BC6C">
            <wp:extent cx="5760000" cy="2529570"/>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529570"/>
                    </a:xfrm>
                    <a:prstGeom prst="rect">
                      <a:avLst/>
                    </a:prstGeom>
                    <a:noFill/>
                    <a:ln>
                      <a:noFill/>
                    </a:ln>
                  </pic:spPr>
                </pic:pic>
              </a:graphicData>
            </a:graphic>
          </wp:inline>
        </w:drawing>
      </w:r>
    </w:p>
    <w:p w14:paraId="6207D337" w14:textId="77777777" w:rsidR="006A27DC" w:rsidRPr="00B8605D" w:rsidRDefault="006A27DC" w:rsidP="003851DF">
      <w:pPr>
        <w:pStyle w:val="Rrys"/>
        <w:rPr>
          <w:noProof/>
          <w:lang w:val="en-GB"/>
        </w:rPr>
      </w:pPr>
      <w:r w:rsidRPr="00B8605D">
        <w:rPr>
          <w:rFonts w:eastAsiaTheme="minorEastAsia"/>
          <w:b/>
          <w:noProof/>
          <w:lang w:val="en-GB" w:eastAsia="tr-TR"/>
        </w:rPr>
        <w:t xml:space="preserve">Fig. </w:t>
      </w:r>
      <w:r w:rsidRPr="00B8605D">
        <w:rPr>
          <w:b/>
          <w:noProof/>
          <w:lang w:val="en-GB"/>
        </w:rPr>
        <w:t>3.</w:t>
      </w:r>
      <w:r w:rsidRPr="00B8605D">
        <w:rPr>
          <w:noProof/>
          <w:lang w:val="en-GB"/>
        </w:rPr>
        <w:t xml:space="preserve"> Spatial Modeling and Trend Analysis of Turbidity Values</w:t>
      </w:r>
    </w:p>
    <w:p w14:paraId="613EC423" w14:textId="77777777" w:rsidR="006A27DC" w:rsidRPr="00B8605D" w:rsidRDefault="006A27DC" w:rsidP="003851DF">
      <w:pPr>
        <w:ind w:firstLine="284"/>
        <w:jc w:val="both"/>
        <w:rPr>
          <w:rFonts w:eastAsiaTheme="minorEastAsia"/>
          <w:noProof/>
          <w:sz w:val="22"/>
          <w:szCs w:val="22"/>
          <w:lang w:val="en-GB" w:eastAsia="tr-TR"/>
        </w:rPr>
      </w:pPr>
    </w:p>
    <w:p w14:paraId="11AD63C7" w14:textId="7758C068" w:rsidR="006A27DC" w:rsidRPr="00B8605D" w:rsidRDefault="006A27DC" w:rsidP="003851DF">
      <w:pPr>
        <w:ind w:firstLine="284"/>
        <w:jc w:val="both"/>
        <w:rPr>
          <w:bCs/>
          <w:noProof/>
          <w:sz w:val="22"/>
          <w:szCs w:val="22"/>
          <w:lang w:val="en-GB"/>
        </w:rPr>
      </w:pPr>
      <w:r w:rsidRPr="00B8605D">
        <w:rPr>
          <w:rFonts w:eastAsiaTheme="minorEastAsia"/>
          <w:noProof/>
          <w:sz w:val="22"/>
          <w:szCs w:val="22"/>
          <w:lang w:val="en-GB" w:eastAsia="tr-TR"/>
        </w:rPr>
        <w:t>The results obtained from the trend analysis indicate that there is a trend in 17 districts. According to Sperman's Rho Test, it was determined that there was a decreasing trend in Altındağ, Beypazarı, Çankaya, Gölbaşı, Kalecik, Keçiören, Pursaklar, Sincan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Şereflikoçhisar districts</w:t>
      </w:r>
      <w:r w:rsidR="002004F2">
        <w:rPr>
          <w:rFonts w:eastAsiaTheme="minorEastAsia"/>
          <w:noProof/>
          <w:sz w:val="22"/>
          <w:szCs w:val="22"/>
          <w:lang w:val="en-GB" w:eastAsia="tr-TR"/>
        </w:rPr>
        <w:t>. Still,</w:t>
      </w:r>
      <w:r w:rsidRPr="00B8605D">
        <w:rPr>
          <w:rFonts w:eastAsiaTheme="minorEastAsia"/>
          <w:noProof/>
          <w:sz w:val="22"/>
          <w:szCs w:val="22"/>
          <w:lang w:val="en-GB" w:eastAsia="tr-TR"/>
        </w:rPr>
        <w:t xml:space="preserve"> there was no trend according to the Mann-Kendall test. According to Mann-Kendall and Sperman's Rho tests, it was determined that there was a decreasing trend in Akyurt, Ayaş, Çubuk, Güdül, Haymana, Kahramankazan, Kızılcahamam and Polatlı districts according to both test results. No trend was observed in other districts</w:t>
      </w:r>
      <w:r w:rsidRPr="00B8605D">
        <w:rPr>
          <w:bCs/>
          <w:noProof/>
          <w:sz w:val="22"/>
          <w:szCs w:val="22"/>
          <w:lang w:val="en-GB"/>
        </w:rPr>
        <w:t>.</w:t>
      </w:r>
    </w:p>
    <w:p w14:paraId="65402B3A" w14:textId="7E5CEE66" w:rsidR="006A27DC" w:rsidRPr="00B8605D" w:rsidRDefault="003851DF" w:rsidP="003851DF">
      <w:pPr>
        <w:pStyle w:val="Rn2"/>
        <w:rPr>
          <w:noProof/>
          <w:lang w:val="en-GB"/>
        </w:rPr>
      </w:pPr>
      <w:r w:rsidRPr="00B8605D">
        <w:rPr>
          <w:noProof/>
          <w:lang w:val="en-GB"/>
        </w:rPr>
        <w:t xml:space="preserve">3.3. </w:t>
      </w:r>
      <w:r w:rsidR="006A27DC" w:rsidRPr="00B8605D">
        <w:rPr>
          <w:noProof/>
          <w:lang w:val="en-GB"/>
        </w:rPr>
        <w:t>Spatial Modeling and Trend Analysis of Residual Chlorine (Cl) Amounts in Drinking Water</w:t>
      </w:r>
    </w:p>
    <w:p w14:paraId="1B2C23F6" w14:textId="2CC85A3B" w:rsidR="006A27DC" w:rsidRPr="00B8605D" w:rsidRDefault="002004F2" w:rsidP="003851DF">
      <w:pPr>
        <w:ind w:firstLine="284"/>
        <w:jc w:val="both"/>
        <w:rPr>
          <w:rFonts w:eastAsiaTheme="minorEastAsia"/>
          <w:noProof/>
          <w:sz w:val="22"/>
          <w:szCs w:val="22"/>
          <w:lang w:val="en-GB" w:eastAsia="tr-TR"/>
        </w:rPr>
      </w:pPr>
      <w:r>
        <w:rPr>
          <w:rFonts w:eastAsiaTheme="minorEastAsia"/>
          <w:noProof/>
          <w:sz w:val="22"/>
          <w:szCs w:val="22"/>
          <w:lang w:val="en-GB" w:eastAsia="tr-TR"/>
        </w:rPr>
        <w:t>A spatial analysis of the residual Cl values in the drinking water of Ankara province was carried out in the 2018-2020 period</w:t>
      </w:r>
      <w:r w:rsidR="006A27DC" w:rsidRPr="00B8605D">
        <w:rPr>
          <w:rFonts w:eastAsiaTheme="minorEastAsia"/>
          <w:noProof/>
          <w:sz w:val="22"/>
          <w:szCs w:val="22"/>
          <w:lang w:val="en-GB" w:eastAsia="tr-TR"/>
        </w:rPr>
        <w:t>. Spatial models of residual Cl values according to years are presented in Figure 4.</w:t>
      </w:r>
    </w:p>
    <w:p w14:paraId="076C5F00" w14:textId="77777777" w:rsidR="006A27DC" w:rsidRPr="00B8605D" w:rsidRDefault="006A27DC" w:rsidP="006A27DC">
      <w:pPr>
        <w:jc w:val="both"/>
        <w:rPr>
          <w:rFonts w:eastAsiaTheme="minorEastAsia"/>
          <w:noProof/>
          <w:sz w:val="22"/>
          <w:szCs w:val="22"/>
          <w:lang w:val="en-GB" w:eastAsia="tr-TR"/>
        </w:rPr>
      </w:pPr>
    </w:p>
    <w:p w14:paraId="6385332D" w14:textId="37FC325F" w:rsidR="006A27DC" w:rsidRPr="00B8605D" w:rsidRDefault="000A57A3" w:rsidP="003851DF">
      <w:pPr>
        <w:jc w:val="center"/>
        <w:rPr>
          <w:rFonts w:eastAsiaTheme="minorEastAsia"/>
          <w:noProof/>
          <w:sz w:val="22"/>
          <w:szCs w:val="22"/>
          <w:lang w:val="en-GB" w:eastAsia="tr-TR"/>
        </w:rPr>
      </w:pPr>
      <w:r>
        <w:rPr>
          <w:b/>
          <w:noProof/>
          <w:sz w:val="22"/>
          <w:szCs w:val="22"/>
          <w:lang w:val="en-GB" w:eastAsia="tr-TR"/>
        </w:rPr>
        <w:t>,</w:t>
      </w:r>
      <w:r w:rsidR="006A27DC" w:rsidRPr="00B8605D">
        <w:rPr>
          <w:b/>
          <w:noProof/>
          <w:sz w:val="22"/>
          <w:szCs w:val="22"/>
          <w:lang w:val="en-GB" w:eastAsia="tr-TR"/>
        </w:rPr>
        <w:drawing>
          <wp:inline distT="0" distB="0" distL="0" distR="0" wp14:anchorId="521E48DA" wp14:editId="1779D565">
            <wp:extent cx="5760000" cy="2606922"/>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2606922"/>
                    </a:xfrm>
                    <a:prstGeom prst="rect">
                      <a:avLst/>
                    </a:prstGeom>
                    <a:noFill/>
                    <a:ln>
                      <a:noFill/>
                    </a:ln>
                  </pic:spPr>
                </pic:pic>
              </a:graphicData>
            </a:graphic>
          </wp:inline>
        </w:drawing>
      </w:r>
    </w:p>
    <w:p w14:paraId="178EEF5C" w14:textId="77777777" w:rsidR="006A27DC" w:rsidRPr="00B8605D" w:rsidRDefault="006A27DC" w:rsidP="003851DF">
      <w:pPr>
        <w:pStyle w:val="Rrys"/>
        <w:rPr>
          <w:rFonts w:eastAsiaTheme="minorEastAsia"/>
          <w:noProof/>
          <w:lang w:val="en-GB" w:eastAsia="tr-TR"/>
        </w:rPr>
      </w:pPr>
      <w:r w:rsidRPr="00B8605D">
        <w:rPr>
          <w:rFonts w:eastAsiaTheme="minorEastAsia"/>
          <w:b/>
          <w:noProof/>
          <w:lang w:val="en-GB" w:eastAsia="tr-TR"/>
        </w:rPr>
        <w:t>Fig. 4.</w:t>
      </w:r>
      <w:r w:rsidRPr="00B8605D">
        <w:rPr>
          <w:rFonts w:eastAsiaTheme="minorEastAsia"/>
          <w:noProof/>
          <w:lang w:val="en-GB" w:eastAsia="tr-TR"/>
        </w:rPr>
        <w:t xml:space="preserve"> </w:t>
      </w:r>
      <w:r w:rsidRPr="00B8605D">
        <w:rPr>
          <w:noProof/>
          <w:lang w:val="en-GB"/>
        </w:rPr>
        <w:t>Spatial Modeling and Trend Analysis of Residual Chlorine (Cl) Amounts</w:t>
      </w:r>
    </w:p>
    <w:p w14:paraId="6BA40BE9" w14:textId="77777777" w:rsidR="000D6514" w:rsidRPr="00B8605D" w:rsidRDefault="000D6514" w:rsidP="003851DF">
      <w:pPr>
        <w:ind w:firstLine="284"/>
        <w:jc w:val="both"/>
        <w:rPr>
          <w:rFonts w:eastAsiaTheme="minorEastAsia"/>
          <w:noProof/>
          <w:sz w:val="22"/>
          <w:szCs w:val="22"/>
          <w:lang w:val="en-GB" w:eastAsia="tr-TR"/>
        </w:rPr>
      </w:pPr>
    </w:p>
    <w:p w14:paraId="4923AA2C" w14:textId="758A0E10"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The highest residual Cl values in the drinking water of Ankara province in 2018 were seen in Beypazarı and Haymana districts with 0.66 mg/l. The lowest residual Cl value was in Elmadağ and Şereflikoçhisar districts with 0.41 mg/l. The highest residual Cl value in drinking water for 2019 was seen in Beypazarı district with 0.60 mg/l. The lowest value was in Şereflikoçhisar district and its surroundings, with 0.33 mg/l. In 2020, the highest residual Cl value in drinking water was seen in Elmadağ, Haymana, Kalecik</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Nallıhan districts with 0.58 mg/l. The lowest residual Cl value was seen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 xml:space="preserve">Evren district with 0.40 mg/l. The highest allowable residual Cl amount in drinking water is 250 mg/l according to TS 266, WHO, EPA, </w:t>
      </w:r>
      <w:r w:rsidR="002004F2">
        <w:rPr>
          <w:rFonts w:eastAsiaTheme="minorEastAsia"/>
          <w:noProof/>
          <w:sz w:val="22"/>
          <w:szCs w:val="22"/>
          <w:lang w:val="en-GB" w:eastAsia="tr-TR"/>
        </w:rPr>
        <w:t xml:space="preserve">and </w:t>
      </w:r>
      <w:r w:rsidRPr="00B8605D">
        <w:rPr>
          <w:rFonts w:eastAsiaTheme="minorEastAsia"/>
          <w:noProof/>
          <w:sz w:val="22"/>
          <w:szCs w:val="22"/>
          <w:lang w:val="en-GB" w:eastAsia="tr-TR"/>
        </w:rPr>
        <w:t xml:space="preserve">EU standards (TS 2005, WHO 2017, EPA 2016, EU 2020). In this regard, Ankara province's drinking water has been deemed suitable </w:t>
      </w:r>
      <w:r w:rsidR="002004F2">
        <w:rPr>
          <w:rFonts w:eastAsiaTheme="minorEastAsia"/>
          <w:noProof/>
          <w:sz w:val="22"/>
          <w:szCs w:val="22"/>
          <w:lang w:val="en-GB" w:eastAsia="tr-TR"/>
        </w:rPr>
        <w:t>for</w:t>
      </w:r>
      <w:r w:rsidRPr="00B8605D">
        <w:rPr>
          <w:rFonts w:eastAsiaTheme="minorEastAsia"/>
          <w:noProof/>
          <w:sz w:val="22"/>
          <w:szCs w:val="22"/>
          <w:lang w:val="en-GB" w:eastAsia="tr-TR"/>
        </w:rPr>
        <w:t xml:space="preserve"> chlorine concentration.</w:t>
      </w:r>
    </w:p>
    <w:p w14:paraId="6DD51CAE" w14:textId="52D4DED8"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lastRenderedPageBreak/>
        <w:t>Trend analyses were conducted</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a trend was found in 16 districts. According to the Mann-Kendall test, there is an increasing trend in Ayaş, Çankaya, Çamlıdere, Etimesgut, Gölbaşı, Kahramankazan, Kalecik, Kızılcahamam, Mamak, Polatlı, Sincan and Yenimahalle districts. According to Spearman's Rho test, there is a decreasing trend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Beypazarı, Evren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Haymana districts. According to both test results, an increasing trend was found in Elmadağ district</w:t>
      </w:r>
      <w:r w:rsidRPr="00B8605D">
        <w:rPr>
          <w:bCs/>
          <w:noProof/>
          <w:sz w:val="22"/>
          <w:szCs w:val="22"/>
          <w:lang w:val="en-GB"/>
        </w:rPr>
        <w:t>.</w:t>
      </w:r>
    </w:p>
    <w:p w14:paraId="3A50A091" w14:textId="77777777" w:rsidR="006A27DC" w:rsidRPr="00B8605D" w:rsidRDefault="006A27DC" w:rsidP="003851DF">
      <w:pPr>
        <w:pStyle w:val="Rn2"/>
        <w:rPr>
          <w:noProof/>
          <w:lang w:val="en-GB" w:eastAsia="tr-TR"/>
        </w:rPr>
      </w:pPr>
      <w:r w:rsidRPr="00B8605D">
        <w:rPr>
          <w:noProof/>
          <w:lang w:val="en-GB" w:eastAsia="tr-TR"/>
        </w:rPr>
        <w:t>3.4. Spatial Modeling and Trend Analysis of Sulphate (SO</w:t>
      </w:r>
      <w:r w:rsidRPr="00B8605D">
        <w:rPr>
          <w:noProof/>
          <w:vertAlign w:val="subscript"/>
          <w:lang w:val="en-GB" w:eastAsia="tr-TR"/>
        </w:rPr>
        <w:t>4</w:t>
      </w:r>
      <w:r w:rsidRPr="00B8605D">
        <w:rPr>
          <w:noProof/>
          <w:vertAlign w:val="superscript"/>
          <w:lang w:val="en-GB" w:eastAsia="tr-TR"/>
        </w:rPr>
        <w:t>-2</w:t>
      </w:r>
      <w:r w:rsidRPr="00B8605D">
        <w:rPr>
          <w:noProof/>
          <w:lang w:val="en-GB" w:eastAsia="tr-TR"/>
        </w:rPr>
        <w:t>) Amounts in Drinking Water</w:t>
      </w:r>
    </w:p>
    <w:p w14:paraId="478923F6" w14:textId="3F182C81" w:rsidR="006A27DC"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Sul</w:t>
      </w:r>
      <w:r w:rsidR="002004F2">
        <w:rPr>
          <w:rFonts w:eastAsiaTheme="minorEastAsia"/>
          <w:noProof/>
          <w:sz w:val="22"/>
          <w:szCs w:val="22"/>
          <w:lang w:val="en-GB" w:eastAsia="tr-TR"/>
        </w:rPr>
        <w:t>f</w:t>
      </w:r>
      <w:r w:rsidRPr="00B8605D">
        <w:rPr>
          <w:rFonts w:eastAsiaTheme="minorEastAsia"/>
          <w:noProof/>
          <w:sz w:val="22"/>
          <w:szCs w:val="22"/>
          <w:lang w:val="en-GB" w:eastAsia="tr-TR"/>
        </w:rPr>
        <w:t>ate values in drinking water for the 2018-2020 period were subjected to spatial analysis and modeled using the IDW interpolation method. Spatial models of sulphate amount</w:t>
      </w:r>
      <w:r w:rsidR="002004F2">
        <w:rPr>
          <w:rFonts w:eastAsiaTheme="minorEastAsia"/>
          <w:noProof/>
          <w:sz w:val="22"/>
          <w:szCs w:val="22"/>
          <w:lang w:val="en-GB" w:eastAsia="tr-TR"/>
        </w:rPr>
        <w:t>s</w:t>
      </w:r>
      <w:r w:rsidRPr="00B8605D">
        <w:rPr>
          <w:rFonts w:eastAsiaTheme="minorEastAsia"/>
          <w:noProof/>
          <w:sz w:val="22"/>
          <w:szCs w:val="22"/>
          <w:lang w:val="en-GB" w:eastAsia="tr-TR"/>
        </w:rPr>
        <w:t xml:space="preserve"> in drinking water of Ankara province for 2018, 2019</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2020 are presented in Figure 5.</w:t>
      </w:r>
    </w:p>
    <w:p w14:paraId="594365C2" w14:textId="77777777" w:rsidR="000A57A3" w:rsidRDefault="000A57A3" w:rsidP="003851DF">
      <w:pPr>
        <w:ind w:firstLine="284"/>
        <w:jc w:val="both"/>
        <w:rPr>
          <w:rFonts w:eastAsiaTheme="minorEastAsia"/>
          <w:noProof/>
          <w:sz w:val="22"/>
          <w:szCs w:val="22"/>
          <w:lang w:val="en-GB" w:eastAsia="tr-TR"/>
        </w:rPr>
      </w:pPr>
    </w:p>
    <w:p w14:paraId="6E73E5DD" w14:textId="30631329" w:rsidR="000A57A3" w:rsidRPr="000A57A3" w:rsidRDefault="000A57A3" w:rsidP="000A57A3">
      <w:pPr>
        <w:jc w:val="center"/>
        <w:rPr>
          <w:rFonts w:eastAsiaTheme="minorEastAsia"/>
          <w:noProof/>
          <w:sz w:val="22"/>
          <w:szCs w:val="22"/>
          <w:lang w:eastAsia="tr-TR"/>
        </w:rPr>
      </w:pPr>
      <w:r w:rsidRPr="000A57A3">
        <w:rPr>
          <w:rFonts w:eastAsiaTheme="minorEastAsia"/>
          <w:noProof/>
          <w:sz w:val="22"/>
          <w:szCs w:val="22"/>
          <w:lang w:eastAsia="tr-TR"/>
        </w:rPr>
        <w:drawing>
          <wp:inline distT="0" distB="0" distL="0" distR="0" wp14:anchorId="15BF7EE5" wp14:editId="7B3BBDDA">
            <wp:extent cx="5760000" cy="2490622"/>
            <wp:effectExtent l="0" t="0" r="0" b="5080"/>
            <wp:docPr id="3112723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490622"/>
                    </a:xfrm>
                    <a:prstGeom prst="rect">
                      <a:avLst/>
                    </a:prstGeom>
                    <a:noFill/>
                  </pic:spPr>
                </pic:pic>
              </a:graphicData>
            </a:graphic>
          </wp:inline>
        </w:drawing>
      </w:r>
    </w:p>
    <w:p w14:paraId="75CC1285" w14:textId="49C8D492" w:rsidR="000A57A3" w:rsidRPr="000A57A3" w:rsidRDefault="000A57A3" w:rsidP="000A57A3">
      <w:pPr>
        <w:pStyle w:val="Rrys"/>
        <w:rPr>
          <w:noProof/>
          <w:lang w:eastAsia="tr-TR"/>
        </w:rPr>
      </w:pPr>
      <w:r w:rsidRPr="000A57A3">
        <w:rPr>
          <w:b/>
          <w:noProof/>
          <w:lang w:eastAsia="tr-TR"/>
        </w:rPr>
        <w:t>Fig. 5.</w:t>
      </w:r>
      <w:r w:rsidRPr="000A57A3">
        <w:rPr>
          <w:noProof/>
          <w:lang w:eastAsia="tr-TR"/>
        </w:rPr>
        <w:t xml:space="preserve"> Spatial Modeling and Trend Analysis of Sulphate (SO</w:t>
      </w:r>
      <w:r w:rsidRPr="000A57A3">
        <w:rPr>
          <w:noProof/>
          <w:vertAlign w:val="subscript"/>
          <w:lang w:eastAsia="tr-TR"/>
        </w:rPr>
        <w:t>4</w:t>
      </w:r>
      <w:r w:rsidRPr="000A57A3">
        <w:rPr>
          <w:noProof/>
          <w:lang w:eastAsia="tr-TR"/>
        </w:rPr>
        <w:t>) Amounts</w:t>
      </w:r>
    </w:p>
    <w:p w14:paraId="3AF80A0D" w14:textId="77777777" w:rsidR="000A57A3" w:rsidRPr="00B8605D" w:rsidRDefault="000A57A3" w:rsidP="003851DF">
      <w:pPr>
        <w:ind w:firstLine="284"/>
        <w:jc w:val="both"/>
        <w:rPr>
          <w:rFonts w:eastAsiaTheme="minorEastAsia"/>
          <w:noProof/>
          <w:sz w:val="22"/>
          <w:szCs w:val="22"/>
          <w:lang w:val="en-GB" w:eastAsia="tr-TR"/>
        </w:rPr>
      </w:pPr>
    </w:p>
    <w:p w14:paraId="733577DF" w14:textId="0BBE0723"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The highest value of sul</w:t>
      </w:r>
      <w:r w:rsidR="002004F2">
        <w:rPr>
          <w:rFonts w:eastAsiaTheme="minorEastAsia"/>
          <w:noProof/>
          <w:sz w:val="22"/>
          <w:szCs w:val="22"/>
          <w:lang w:val="en-GB" w:eastAsia="tr-TR"/>
        </w:rPr>
        <w:t>f</w:t>
      </w:r>
      <w:r w:rsidRPr="00B8605D">
        <w:rPr>
          <w:rFonts w:eastAsiaTheme="minorEastAsia"/>
          <w:noProof/>
          <w:sz w:val="22"/>
          <w:szCs w:val="22"/>
          <w:lang w:val="en-GB" w:eastAsia="tr-TR"/>
        </w:rPr>
        <w:t>ate amount in drinking water of Ankara province in 2018 was seen in Bala, Beypazarı, Çankaya, Etimesgut, Gölbaşı, Polatlı, Sincan and Yenimahalle districts with 190.8 mg/l. The lowest sul</w:t>
      </w:r>
      <w:r w:rsidR="002004F2">
        <w:rPr>
          <w:rFonts w:eastAsiaTheme="minorEastAsia"/>
          <w:noProof/>
          <w:sz w:val="22"/>
          <w:szCs w:val="22"/>
          <w:lang w:val="en-GB" w:eastAsia="tr-TR"/>
        </w:rPr>
        <w:t>f</w:t>
      </w:r>
      <w:r w:rsidRPr="00B8605D">
        <w:rPr>
          <w:rFonts w:eastAsiaTheme="minorEastAsia"/>
          <w:noProof/>
          <w:sz w:val="22"/>
          <w:szCs w:val="22"/>
          <w:lang w:val="en-GB" w:eastAsia="tr-TR"/>
        </w:rPr>
        <w:t>ate value of 12.1 mg/l was seen in Ayaş, Çamlıdere, Güdül, Haymana</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Kızılcahamam districts. </w:t>
      </w:r>
      <w:r w:rsidR="002004F2">
        <w:rPr>
          <w:rFonts w:eastAsiaTheme="minorEastAsia"/>
          <w:noProof/>
          <w:sz w:val="22"/>
          <w:szCs w:val="22"/>
          <w:lang w:val="en-GB" w:eastAsia="tr-TR"/>
        </w:rPr>
        <w:t>Concerning</w:t>
      </w:r>
      <w:r w:rsidRPr="00B8605D">
        <w:rPr>
          <w:rFonts w:eastAsiaTheme="minorEastAsia"/>
          <w:noProof/>
          <w:sz w:val="22"/>
          <w:szCs w:val="22"/>
          <w:lang w:val="en-GB" w:eastAsia="tr-TR"/>
        </w:rPr>
        <w:t xml:space="preserve"> 2019, the highest sul</w:t>
      </w:r>
      <w:r w:rsidR="002004F2">
        <w:rPr>
          <w:rFonts w:eastAsiaTheme="minorEastAsia"/>
          <w:noProof/>
          <w:sz w:val="22"/>
          <w:szCs w:val="22"/>
          <w:lang w:val="en-GB" w:eastAsia="tr-TR"/>
        </w:rPr>
        <w:t>f</w:t>
      </w:r>
      <w:r w:rsidRPr="00B8605D">
        <w:rPr>
          <w:rFonts w:eastAsiaTheme="minorEastAsia"/>
          <w:noProof/>
          <w:sz w:val="22"/>
          <w:szCs w:val="22"/>
          <w:lang w:val="en-GB" w:eastAsia="tr-TR"/>
        </w:rPr>
        <w:t>ate concentration in drinking water in Ankara was seen in Beypazarı and Polatlı districts</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with 189.8 mg/l. The lowest amount of sul</w:t>
      </w:r>
      <w:r w:rsidR="002004F2">
        <w:rPr>
          <w:rFonts w:eastAsiaTheme="minorEastAsia"/>
          <w:noProof/>
          <w:sz w:val="22"/>
          <w:szCs w:val="22"/>
          <w:lang w:val="en-GB" w:eastAsia="tr-TR"/>
        </w:rPr>
        <w:t>f</w:t>
      </w:r>
      <w:r w:rsidRPr="00B8605D">
        <w:rPr>
          <w:rFonts w:eastAsiaTheme="minorEastAsia"/>
          <w:noProof/>
          <w:sz w:val="22"/>
          <w:szCs w:val="22"/>
          <w:lang w:val="en-GB" w:eastAsia="tr-TR"/>
        </w:rPr>
        <w:t>ate was determined in Ayaş, Çamlıdere, Güdül, Haymana, Kahramankazan and Kızılcahamam districts with 6.7 mg/l. The highest sul</w:t>
      </w:r>
      <w:r w:rsidR="002004F2">
        <w:rPr>
          <w:rFonts w:eastAsiaTheme="minorEastAsia"/>
          <w:noProof/>
          <w:sz w:val="22"/>
          <w:szCs w:val="22"/>
          <w:lang w:val="en-GB" w:eastAsia="tr-TR"/>
        </w:rPr>
        <w:t>f</w:t>
      </w:r>
      <w:r w:rsidRPr="00B8605D">
        <w:rPr>
          <w:rFonts w:eastAsiaTheme="minorEastAsia"/>
          <w:noProof/>
          <w:sz w:val="22"/>
          <w:szCs w:val="22"/>
          <w:lang w:val="en-GB" w:eastAsia="tr-TR"/>
        </w:rPr>
        <w:t xml:space="preserve">ate concentration in drinking water of Ankara province for 2020 was seen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Bala, Beypazarı, Nallıhan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Polatlı districts with 153.7 mg/l. The lowest amount of sul</w:t>
      </w:r>
      <w:r w:rsidR="002004F2">
        <w:rPr>
          <w:rFonts w:eastAsiaTheme="minorEastAsia"/>
          <w:noProof/>
          <w:sz w:val="22"/>
          <w:szCs w:val="22"/>
          <w:lang w:val="en-GB" w:eastAsia="tr-TR"/>
        </w:rPr>
        <w:t>f</w:t>
      </w:r>
      <w:r w:rsidRPr="00B8605D">
        <w:rPr>
          <w:rFonts w:eastAsiaTheme="minorEastAsia"/>
          <w:noProof/>
          <w:sz w:val="22"/>
          <w:szCs w:val="22"/>
          <w:lang w:val="en-GB" w:eastAsia="tr-TR"/>
        </w:rPr>
        <w:t>ate was seen in Çamlıdere, Güdül, Haymana, Kahramankazan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Kızılcahamam districts with 18.2 mg/l. </w:t>
      </w:r>
      <w:r w:rsidR="002004F2">
        <w:rPr>
          <w:rFonts w:eastAsiaTheme="minorEastAsia"/>
          <w:noProof/>
          <w:sz w:val="22"/>
          <w:szCs w:val="22"/>
          <w:lang w:val="en-GB" w:eastAsia="tr-TR"/>
        </w:rPr>
        <w:t>According to TS 266, EPA and EU standards, the allowable limit value for sulfate in drinking water</w:t>
      </w:r>
      <w:r w:rsidRPr="00B8605D">
        <w:rPr>
          <w:rFonts w:eastAsiaTheme="minorEastAsia"/>
          <w:noProof/>
          <w:sz w:val="22"/>
          <w:szCs w:val="22"/>
          <w:lang w:val="en-GB" w:eastAsia="tr-TR"/>
        </w:rPr>
        <w:t xml:space="preserve"> is 250 mg/l (TS 2005, EPA 2016,</w:t>
      </w:r>
      <w:r w:rsidR="00B8605D" w:rsidRPr="00B8605D">
        <w:rPr>
          <w:rFonts w:eastAsiaTheme="minorEastAsia"/>
          <w:noProof/>
          <w:sz w:val="22"/>
          <w:szCs w:val="22"/>
          <w:lang w:val="en-GB" w:eastAsia="tr-TR"/>
        </w:rPr>
        <w:t xml:space="preserve"> </w:t>
      </w:r>
      <w:r w:rsidRPr="00B8605D">
        <w:rPr>
          <w:rFonts w:eastAsiaTheme="minorEastAsia"/>
          <w:noProof/>
          <w:sz w:val="22"/>
          <w:szCs w:val="22"/>
          <w:lang w:val="en-GB" w:eastAsia="tr-TR"/>
        </w:rPr>
        <w:t xml:space="preserve">EU 2020). </w:t>
      </w:r>
    </w:p>
    <w:p w14:paraId="6544883E" w14:textId="65F5DA10" w:rsidR="006A27DC" w:rsidRPr="00B8605D" w:rsidRDefault="002004F2" w:rsidP="003851DF">
      <w:pPr>
        <w:ind w:firstLine="284"/>
        <w:jc w:val="both"/>
        <w:rPr>
          <w:rFonts w:eastAsiaTheme="minorEastAsia"/>
          <w:noProof/>
          <w:sz w:val="22"/>
          <w:szCs w:val="22"/>
          <w:lang w:val="en-GB" w:eastAsia="tr-TR"/>
        </w:rPr>
      </w:pPr>
      <w:r>
        <w:rPr>
          <w:rFonts w:eastAsiaTheme="minorEastAsia"/>
          <w:noProof/>
          <w:sz w:val="22"/>
          <w:szCs w:val="22"/>
          <w:lang w:val="en-GB" w:eastAsia="tr-TR"/>
        </w:rPr>
        <w:t>Regarding</w:t>
      </w:r>
      <w:r w:rsidR="006A27DC" w:rsidRPr="00B8605D">
        <w:rPr>
          <w:rFonts w:eastAsiaTheme="minorEastAsia"/>
          <w:noProof/>
          <w:sz w:val="22"/>
          <w:szCs w:val="22"/>
          <w:lang w:val="en-GB" w:eastAsia="tr-TR"/>
        </w:rPr>
        <w:t xml:space="preserve"> sul</w:t>
      </w:r>
      <w:r>
        <w:rPr>
          <w:rFonts w:eastAsiaTheme="minorEastAsia"/>
          <w:noProof/>
          <w:sz w:val="22"/>
          <w:szCs w:val="22"/>
          <w:lang w:val="en-GB" w:eastAsia="tr-TR"/>
        </w:rPr>
        <w:t>f</w:t>
      </w:r>
      <w:r w:rsidR="006A27DC" w:rsidRPr="00B8605D">
        <w:rPr>
          <w:rFonts w:eastAsiaTheme="minorEastAsia"/>
          <w:noProof/>
          <w:sz w:val="22"/>
          <w:szCs w:val="22"/>
          <w:lang w:val="en-GB" w:eastAsia="tr-TR"/>
        </w:rPr>
        <w:t>ate concentration, it is below the permissible limit values of Ankara drinking water. The</w:t>
      </w:r>
      <w:r w:rsidR="0095280A">
        <w:rPr>
          <w:rFonts w:eastAsiaTheme="minorEastAsia"/>
          <w:noProof/>
          <w:sz w:val="22"/>
          <w:szCs w:val="22"/>
          <w:lang w:val="en-GB" w:eastAsia="tr-TR"/>
        </w:rPr>
        <w:t> </w:t>
      </w:r>
      <w:r w:rsidR="006A27DC" w:rsidRPr="00B8605D">
        <w:rPr>
          <w:rFonts w:eastAsiaTheme="minorEastAsia"/>
          <w:noProof/>
          <w:sz w:val="22"/>
          <w:szCs w:val="22"/>
          <w:lang w:val="en-GB" w:eastAsia="tr-TR"/>
        </w:rPr>
        <w:t xml:space="preserve">drinking water of Ankara province has been deemed suitable </w:t>
      </w:r>
      <w:r>
        <w:rPr>
          <w:rFonts w:eastAsiaTheme="minorEastAsia"/>
          <w:noProof/>
          <w:sz w:val="22"/>
          <w:szCs w:val="22"/>
          <w:lang w:val="en-GB" w:eastAsia="tr-TR"/>
        </w:rPr>
        <w:t>for</w:t>
      </w:r>
      <w:r w:rsidR="006A27DC" w:rsidRPr="00B8605D">
        <w:rPr>
          <w:rFonts w:eastAsiaTheme="minorEastAsia"/>
          <w:noProof/>
          <w:sz w:val="22"/>
          <w:szCs w:val="22"/>
          <w:lang w:val="en-GB" w:eastAsia="tr-TR"/>
        </w:rPr>
        <w:t xml:space="preserve"> sulphate concentration.</w:t>
      </w:r>
    </w:p>
    <w:p w14:paraId="112B9176" w14:textId="394B76A5" w:rsidR="006A27DC" w:rsidRPr="00B8605D" w:rsidRDefault="006A27DC" w:rsidP="003851DF">
      <w:pPr>
        <w:ind w:firstLine="284"/>
        <w:jc w:val="both"/>
        <w:rPr>
          <w:rFonts w:eastAsiaTheme="minorEastAsia"/>
          <w:noProof/>
          <w:sz w:val="22"/>
          <w:szCs w:val="22"/>
          <w:lang w:val="en-GB" w:eastAsia="tr-TR"/>
        </w:rPr>
      </w:pPr>
      <w:r w:rsidRPr="00B8605D">
        <w:rPr>
          <w:noProof/>
          <w:sz w:val="22"/>
          <w:szCs w:val="22"/>
          <w:lang w:val="en-GB"/>
        </w:rPr>
        <w:t>Trend analyses were made in sul</w:t>
      </w:r>
      <w:r w:rsidR="002004F2">
        <w:rPr>
          <w:noProof/>
          <w:sz w:val="22"/>
          <w:szCs w:val="22"/>
          <w:lang w:val="en-GB"/>
        </w:rPr>
        <w:t>f</w:t>
      </w:r>
      <w:r w:rsidRPr="00B8605D">
        <w:rPr>
          <w:noProof/>
          <w:sz w:val="22"/>
          <w:szCs w:val="22"/>
          <w:lang w:val="en-GB"/>
        </w:rPr>
        <w:t>ate values</w:t>
      </w:r>
      <w:r w:rsidR="002004F2">
        <w:rPr>
          <w:noProof/>
          <w:sz w:val="22"/>
          <w:szCs w:val="22"/>
          <w:lang w:val="en-GB"/>
        </w:rPr>
        <w:t>,</w:t>
      </w:r>
      <w:r w:rsidRPr="00B8605D">
        <w:rPr>
          <w:noProof/>
          <w:sz w:val="22"/>
          <w:szCs w:val="22"/>
          <w:lang w:val="en-GB"/>
        </w:rPr>
        <w:t xml:space="preserve"> and a trend was found in 17 districts. In Mann-Kendall and Spearman's Rho test, a decreasing trend was detected in Altındağ, Çamlıdere, Çankaya, Etimesgut, Gölbaşı, Güdül, Kahramankazan, Keçiören, Mamak, Sincan, Şereflikoçhisar Yenimahalle districts. It was determined that there was an increasing trend in </w:t>
      </w:r>
      <w:r w:rsidR="002004F2">
        <w:rPr>
          <w:noProof/>
          <w:sz w:val="22"/>
          <w:szCs w:val="22"/>
          <w:lang w:val="en-GB"/>
        </w:rPr>
        <w:t xml:space="preserve">the </w:t>
      </w:r>
      <w:r w:rsidRPr="00B8605D">
        <w:rPr>
          <w:noProof/>
          <w:sz w:val="22"/>
          <w:szCs w:val="22"/>
          <w:lang w:val="en-GB"/>
        </w:rPr>
        <w:t>Akyurt, Ayaş</w:t>
      </w:r>
      <w:r w:rsidR="002004F2">
        <w:rPr>
          <w:noProof/>
          <w:sz w:val="22"/>
          <w:szCs w:val="22"/>
          <w:lang w:val="en-GB"/>
        </w:rPr>
        <w:t>,</w:t>
      </w:r>
      <w:r w:rsidRPr="00B8605D">
        <w:rPr>
          <w:noProof/>
          <w:sz w:val="22"/>
          <w:szCs w:val="22"/>
          <w:lang w:val="en-GB"/>
        </w:rPr>
        <w:t xml:space="preserve"> and Şereflikoçhisar districts. It was determined that there was an increasing trend in </w:t>
      </w:r>
      <w:r w:rsidR="002004F2">
        <w:rPr>
          <w:noProof/>
          <w:sz w:val="22"/>
          <w:szCs w:val="22"/>
          <w:lang w:val="en-GB"/>
        </w:rPr>
        <w:t xml:space="preserve">the </w:t>
      </w:r>
      <w:r w:rsidRPr="00B8605D">
        <w:rPr>
          <w:noProof/>
          <w:sz w:val="22"/>
          <w:szCs w:val="22"/>
          <w:lang w:val="en-GB"/>
        </w:rPr>
        <w:t>Kalecik and Nallıhan districts only according to the Mann-Kendall test. No trend results were found in other districts</w:t>
      </w:r>
      <w:r w:rsidRPr="00B8605D">
        <w:rPr>
          <w:rFonts w:eastAsiaTheme="minorEastAsia"/>
          <w:noProof/>
          <w:sz w:val="22"/>
          <w:szCs w:val="22"/>
          <w:lang w:val="en-GB" w:eastAsia="tr-TR"/>
        </w:rPr>
        <w:t>.</w:t>
      </w:r>
    </w:p>
    <w:p w14:paraId="4CBD8B75" w14:textId="6ADED604" w:rsidR="006A27DC" w:rsidRPr="00B8605D" w:rsidRDefault="003851DF" w:rsidP="003851DF">
      <w:pPr>
        <w:pStyle w:val="Rn2"/>
        <w:rPr>
          <w:noProof/>
          <w:lang w:val="en-GB"/>
        </w:rPr>
      </w:pPr>
      <w:r w:rsidRPr="00B8605D">
        <w:rPr>
          <w:noProof/>
          <w:lang w:val="en-GB"/>
        </w:rPr>
        <w:t xml:space="preserve">3.5. </w:t>
      </w:r>
      <w:r w:rsidR="006A27DC" w:rsidRPr="00B8605D">
        <w:rPr>
          <w:noProof/>
          <w:lang w:val="en-GB"/>
        </w:rPr>
        <w:t>Spatial Modeling and Trend Analysis of Iron (Fe) Amounts in Drinking Water</w:t>
      </w:r>
    </w:p>
    <w:p w14:paraId="7D20F8BD" w14:textId="1DB532D0" w:rsidR="006A27DC" w:rsidRPr="00B8605D" w:rsidRDefault="006A27DC" w:rsidP="003851DF">
      <w:pPr>
        <w:ind w:firstLine="284"/>
        <w:rPr>
          <w:rFonts w:eastAsiaTheme="minorEastAsia"/>
          <w:noProof/>
          <w:sz w:val="22"/>
          <w:szCs w:val="22"/>
          <w:lang w:val="en-GB" w:eastAsia="tr-TR"/>
        </w:rPr>
      </w:pPr>
      <w:r w:rsidRPr="00B8605D">
        <w:rPr>
          <w:rFonts w:eastAsiaTheme="minorEastAsia"/>
          <w:noProof/>
          <w:sz w:val="22"/>
          <w:szCs w:val="22"/>
          <w:lang w:val="en-GB" w:eastAsia="tr-TR"/>
        </w:rPr>
        <w:t xml:space="preserve">Spatial modeling of </w:t>
      </w:r>
      <w:r w:rsidR="002004F2">
        <w:rPr>
          <w:rFonts w:eastAsiaTheme="minorEastAsia"/>
          <w:noProof/>
          <w:sz w:val="22"/>
          <w:szCs w:val="22"/>
          <w:lang w:val="en-GB" w:eastAsia="tr-TR"/>
        </w:rPr>
        <w:t>i</w:t>
      </w:r>
      <w:r w:rsidRPr="00B8605D">
        <w:rPr>
          <w:rFonts w:eastAsiaTheme="minorEastAsia"/>
          <w:noProof/>
          <w:sz w:val="22"/>
          <w:szCs w:val="22"/>
          <w:lang w:val="en-GB" w:eastAsia="tr-TR"/>
        </w:rPr>
        <w:t>ron concentration values in drinking water</w:t>
      </w:r>
      <w:r w:rsidR="00B8605D" w:rsidRPr="00B8605D">
        <w:rPr>
          <w:rFonts w:eastAsiaTheme="minorEastAsia"/>
          <w:noProof/>
          <w:sz w:val="22"/>
          <w:szCs w:val="22"/>
          <w:lang w:val="en-GB" w:eastAsia="tr-TR"/>
        </w:rPr>
        <w:t xml:space="preserve"> </w:t>
      </w:r>
      <w:r w:rsidR="002004F2">
        <w:rPr>
          <w:rFonts w:eastAsiaTheme="minorEastAsia"/>
          <w:noProof/>
          <w:sz w:val="22"/>
          <w:szCs w:val="22"/>
          <w:lang w:val="en-GB" w:eastAsia="tr-TR"/>
        </w:rPr>
        <w:t>is</w:t>
      </w:r>
      <w:r w:rsidRPr="00B8605D">
        <w:rPr>
          <w:rFonts w:eastAsiaTheme="minorEastAsia"/>
          <w:noProof/>
          <w:sz w:val="22"/>
          <w:szCs w:val="22"/>
          <w:lang w:val="en-GB" w:eastAsia="tr-TR"/>
        </w:rPr>
        <w:t xml:space="preserve"> presented in Figure 6.</w:t>
      </w:r>
    </w:p>
    <w:p w14:paraId="700A0B3D" w14:textId="77777777" w:rsidR="000A57A3" w:rsidRPr="00B8605D" w:rsidRDefault="000A57A3" w:rsidP="000A57A3">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In Ankara province, the highest Fe concentration values in drinking water in 2018 were 70.0 µg/l, concentrated in Ayaş, Çankaya, Etimesgut, Gölbaşı and Sincan districts. The lowest Fe amount was seen in Beypazarı, Bala, Elmadağ, Güdül, Kızılcahamam, Nallıhan</w:t>
      </w:r>
      <w:r>
        <w:rPr>
          <w:rFonts w:eastAsiaTheme="minorEastAsia"/>
          <w:noProof/>
          <w:sz w:val="22"/>
          <w:szCs w:val="22"/>
          <w:lang w:val="en-GB" w:eastAsia="tr-TR"/>
        </w:rPr>
        <w:t>,</w:t>
      </w:r>
      <w:r w:rsidRPr="00B8605D">
        <w:rPr>
          <w:rFonts w:eastAsiaTheme="minorEastAsia"/>
          <w:noProof/>
          <w:sz w:val="22"/>
          <w:szCs w:val="22"/>
          <w:lang w:val="en-GB" w:eastAsia="tr-TR"/>
        </w:rPr>
        <w:t xml:space="preserve"> and Şereflikoçhisar districts with 4.2 µg/l. For 2019, the highest Fe amount was seen in Ayaş, Çamlıdere, Etimesgut, Kahramankazan</w:t>
      </w:r>
      <w:r>
        <w:rPr>
          <w:rFonts w:eastAsiaTheme="minorEastAsia"/>
          <w:noProof/>
          <w:sz w:val="22"/>
          <w:szCs w:val="22"/>
          <w:lang w:val="en-GB" w:eastAsia="tr-TR"/>
        </w:rPr>
        <w:t>,</w:t>
      </w:r>
      <w:r w:rsidRPr="00B8605D">
        <w:rPr>
          <w:rFonts w:eastAsiaTheme="minorEastAsia"/>
          <w:noProof/>
          <w:sz w:val="22"/>
          <w:szCs w:val="22"/>
          <w:lang w:val="en-GB" w:eastAsia="tr-TR"/>
        </w:rPr>
        <w:t xml:space="preserve"> and Şereflikoçhisar districts with 37.8 µg/l. The lowest Fe concentration was determined in </w:t>
      </w:r>
      <w:r>
        <w:rPr>
          <w:rFonts w:eastAsiaTheme="minorEastAsia"/>
          <w:noProof/>
          <w:sz w:val="22"/>
          <w:szCs w:val="22"/>
          <w:lang w:val="en-GB" w:eastAsia="tr-TR"/>
        </w:rPr>
        <w:t xml:space="preserve">the </w:t>
      </w:r>
      <w:r w:rsidRPr="00B8605D">
        <w:rPr>
          <w:rFonts w:eastAsiaTheme="minorEastAsia"/>
          <w:noProof/>
          <w:sz w:val="22"/>
          <w:szCs w:val="22"/>
          <w:lang w:val="en-GB" w:eastAsia="tr-TR"/>
        </w:rPr>
        <w:t>Bala, Güdül, Haymana, Kızılcahamam</w:t>
      </w:r>
      <w:r>
        <w:rPr>
          <w:rFonts w:eastAsiaTheme="minorEastAsia"/>
          <w:noProof/>
          <w:sz w:val="22"/>
          <w:szCs w:val="22"/>
          <w:lang w:val="en-GB" w:eastAsia="tr-TR"/>
        </w:rPr>
        <w:t>,</w:t>
      </w:r>
      <w:r w:rsidRPr="00B8605D">
        <w:rPr>
          <w:rFonts w:eastAsiaTheme="minorEastAsia"/>
          <w:noProof/>
          <w:sz w:val="22"/>
          <w:szCs w:val="22"/>
          <w:lang w:val="en-GB" w:eastAsia="tr-TR"/>
        </w:rPr>
        <w:t xml:space="preserve"> and Nallıhan districts with 4.0 µg/l. </w:t>
      </w:r>
    </w:p>
    <w:p w14:paraId="22B414AC" w14:textId="77777777" w:rsidR="000D6514" w:rsidRPr="00B8605D" w:rsidRDefault="000D6514" w:rsidP="003851DF">
      <w:pPr>
        <w:ind w:firstLine="284"/>
        <w:rPr>
          <w:rFonts w:eastAsiaTheme="minorEastAsia"/>
          <w:noProof/>
          <w:sz w:val="22"/>
          <w:szCs w:val="22"/>
          <w:lang w:val="en-GB" w:eastAsia="tr-TR"/>
        </w:rPr>
      </w:pPr>
    </w:p>
    <w:p w14:paraId="74F357D4" w14:textId="77777777" w:rsidR="006A27DC" w:rsidRPr="00B8605D" w:rsidRDefault="006A27DC" w:rsidP="006A27DC">
      <w:pPr>
        <w:jc w:val="center"/>
        <w:rPr>
          <w:rFonts w:eastAsiaTheme="minorEastAsia"/>
          <w:b/>
          <w:noProof/>
          <w:sz w:val="22"/>
          <w:szCs w:val="22"/>
          <w:lang w:val="en-GB" w:eastAsia="tr-TR"/>
        </w:rPr>
      </w:pPr>
      <w:r w:rsidRPr="00B8605D">
        <w:rPr>
          <w:b/>
          <w:noProof/>
          <w:sz w:val="22"/>
          <w:szCs w:val="22"/>
          <w:lang w:val="en-GB" w:eastAsia="tr-TR"/>
        </w:rPr>
        <w:lastRenderedPageBreak/>
        <w:drawing>
          <wp:inline distT="0" distB="0" distL="0" distR="0" wp14:anchorId="479A9715" wp14:editId="386E518F">
            <wp:extent cx="5760000" cy="2530176"/>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530176"/>
                    </a:xfrm>
                    <a:prstGeom prst="rect">
                      <a:avLst/>
                    </a:prstGeom>
                    <a:noFill/>
                    <a:ln>
                      <a:noFill/>
                    </a:ln>
                  </pic:spPr>
                </pic:pic>
              </a:graphicData>
            </a:graphic>
          </wp:inline>
        </w:drawing>
      </w:r>
    </w:p>
    <w:p w14:paraId="53FC4CBD" w14:textId="77777777" w:rsidR="006A27DC" w:rsidRPr="00B8605D" w:rsidRDefault="006A27DC" w:rsidP="003851DF">
      <w:pPr>
        <w:pStyle w:val="Rrys"/>
        <w:rPr>
          <w:rFonts w:eastAsiaTheme="minorEastAsia"/>
          <w:noProof/>
          <w:lang w:val="en-GB" w:eastAsia="tr-TR"/>
        </w:rPr>
      </w:pPr>
      <w:r w:rsidRPr="00B8605D">
        <w:rPr>
          <w:rFonts w:eastAsiaTheme="minorEastAsia"/>
          <w:b/>
          <w:noProof/>
          <w:lang w:val="en-GB" w:eastAsia="tr-TR"/>
        </w:rPr>
        <w:t>Fig. 6.</w:t>
      </w:r>
      <w:r w:rsidRPr="00B8605D">
        <w:rPr>
          <w:rFonts w:eastAsiaTheme="minorEastAsia"/>
          <w:noProof/>
          <w:lang w:val="en-GB" w:eastAsia="tr-TR"/>
        </w:rPr>
        <w:t xml:space="preserve"> </w:t>
      </w:r>
      <w:r w:rsidRPr="00B8605D">
        <w:rPr>
          <w:noProof/>
          <w:lang w:val="en-GB"/>
        </w:rPr>
        <w:t>Spatial Modeling and Trend Analysis of Iron (Fe) Amounts</w:t>
      </w:r>
    </w:p>
    <w:p w14:paraId="60735DA5" w14:textId="77777777" w:rsidR="00392FF4" w:rsidRDefault="00392FF4" w:rsidP="003851DF">
      <w:pPr>
        <w:ind w:firstLine="284"/>
        <w:jc w:val="both"/>
        <w:rPr>
          <w:rFonts w:eastAsiaTheme="minorEastAsia"/>
          <w:noProof/>
          <w:sz w:val="22"/>
          <w:szCs w:val="22"/>
          <w:lang w:val="en-GB" w:eastAsia="tr-TR"/>
        </w:rPr>
      </w:pPr>
    </w:p>
    <w:p w14:paraId="62EF37FB" w14:textId="4C223CE5"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The distribution of Fe concentrations in drinking water in 2020 was examined. The highest Fe amount was concentrated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Akyurt, Beypazarı, Çamlıdere, Etimesgut</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Sincan districts</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with 28.3 µg/l. The lowest Fe amount was seen in Bala, Çubuk, Güdül and Nallıhan districts with 5.1 µg/l. According to TS 266 and EU standards, the allowable Fe concentration in drinking water is 200 µg/l (TS 2005, EU 2020).</w:t>
      </w:r>
      <w:r w:rsidR="00B8605D" w:rsidRPr="00B8605D">
        <w:rPr>
          <w:rFonts w:eastAsiaTheme="minorEastAsia"/>
          <w:noProof/>
          <w:sz w:val="22"/>
          <w:szCs w:val="22"/>
          <w:lang w:val="en-GB" w:eastAsia="tr-TR"/>
        </w:rPr>
        <w:t xml:space="preserve"> </w:t>
      </w:r>
      <w:r w:rsidRPr="00B8605D">
        <w:rPr>
          <w:rFonts w:eastAsiaTheme="minorEastAsia"/>
          <w:noProof/>
          <w:sz w:val="22"/>
          <w:szCs w:val="22"/>
          <w:lang w:val="en-GB" w:eastAsia="tr-TR"/>
        </w:rPr>
        <w:t xml:space="preserve">In this regard, drinking water in Ankara was deemed suitable </w:t>
      </w:r>
      <w:r w:rsidR="002004F2">
        <w:rPr>
          <w:rFonts w:eastAsiaTheme="minorEastAsia"/>
          <w:noProof/>
          <w:sz w:val="22"/>
          <w:szCs w:val="22"/>
          <w:lang w:val="en-GB" w:eastAsia="tr-TR"/>
        </w:rPr>
        <w:t>for</w:t>
      </w:r>
      <w:r w:rsidRPr="00B8605D">
        <w:rPr>
          <w:rFonts w:eastAsiaTheme="minorEastAsia"/>
          <w:noProof/>
          <w:sz w:val="22"/>
          <w:szCs w:val="22"/>
          <w:lang w:val="en-GB" w:eastAsia="tr-TR"/>
        </w:rPr>
        <w:t xml:space="preserve"> Fe concentration.</w:t>
      </w:r>
    </w:p>
    <w:p w14:paraId="4DDE91D1" w14:textId="6ABBBFF0"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A trend analysis was conducted in sul</w:t>
      </w:r>
      <w:r w:rsidR="002004F2">
        <w:rPr>
          <w:rFonts w:eastAsiaTheme="minorEastAsia"/>
          <w:noProof/>
          <w:sz w:val="22"/>
          <w:szCs w:val="22"/>
          <w:lang w:val="en-GB" w:eastAsia="tr-TR"/>
        </w:rPr>
        <w:t>f</w:t>
      </w:r>
      <w:r w:rsidRPr="00B8605D">
        <w:rPr>
          <w:rFonts w:eastAsiaTheme="minorEastAsia"/>
          <w:noProof/>
          <w:sz w:val="22"/>
          <w:szCs w:val="22"/>
          <w:lang w:val="en-GB" w:eastAsia="tr-TR"/>
        </w:rPr>
        <w:t>ate values for the 2018-2020 period in 25 districts of Ankara. The</w:t>
      </w:r>
      <w:r w:rsidR="0095280A">
        <w:rPr>
          <w:rFonts w:eastAsiaTheme="minorEastAsia"/>
          <w:noProof/>
          <w:sz w:val="22"/>
          <w:szCs w:val="22"/>
          <w:lang w:val="en-GB" w:eastAsia="tr-TR"/>
        </w:rPr>
        <w:t> </w:t>
      </w:r>
      <w:r w:rsidRPr="00B8605D">
        <w:rPr>
          <w:rFonts w:eastAsiaTheme="minorEastAsia"/>
          <w:noProof/>
          <w:sz w:val="22"/>
          <w:szCs w:val="22"/>
          <w:lang w:val="en-GB" w:eastAsia="tr-TR"/>
        </w:rPr>
        <w:t>trend was found in 15 districts. Mann-Kendall test was conducted, and it was determined that there was an increasing trend in Bala, Beypazarı, Çubuk, Evren, Güdül, Haymana, Kalecik, Kızılcahamam, Nallıhan and Pursaklar districts. According to SpearmanRho's test, it was determined that there was a decreasing trend in Akyurt, Altındağ, Bala, Beypazarı, Çubuk, Güdül, Haymana, Kalecik, Kızılcahamam, Nallıhan, Pursaklar and Sincan districts. According to both test results, it was determined that there was a decreasing trend in Ayaş district and an increasing trend in Şereflikoçhisar district. No trend was found in other districts.</w:t>
      </w:r>
    </w:p>
    <w:p w14:paraId="564CACE9" w14:textId="6C709555" w:rsidR="006A27DC" w:rsidRPr="00B8605D" w:rsidRDefault="003851DF" w:rsidP="003851DF">
      <w:pPr>
        <w:pStyle w:val="Rn2"/>
        <w:rPr>
          <w:noProof/>
          <w:lang w:val="en-GB"/>
        </w:rPr>
      </w:pPr>
      <w:r w:rsidRPr="00B8605D">
        <w:rPr>
          <w:noProof/>
          <w:lang w:val="en-GB"/>
        </w:rPr>
        <w:t xml:space="preserve">3.6. </w:t>
      </w:r>
      <w:r w:rsidR="006A27DC" w:rsidRPr="00B8605D">
        <w:rPr>
          <w:noProof/>
          <w:lang w:val="en-GB"/>
        </w:rPr>
        <w:t>Spatial Modeling and Trend Analysis of Aluminum (Al) Amounts in Drinking Water</w:t>
      </w:r>
    </w:p>
    <w:p w14:paraId="456173F7" w14:textId="5F3C3537" w:rsidR="006A27DC" w:rsidRPr="00B8605D" w:rsidRDefault="006A27DC" w:rsidP="003851DF">
      <w:pPr>
        <w:ind w:firstLine="284"/>
        <w:jc w:val="both"/>
        <w:rPr>
          <w:rFonts w:eastAsiaTheme="minorEastAsia"/>
          <w:bCs/>
          <w:noProof/>
          <w:sz w:val="22"/>
          <w:szCs w:val="22"/>
          <w:lang w:val="en-GB" w:eastAsia="tr-TR"/>
        </w:rPr>
      </w:pPr>
      <w:r w:rsidRPr="00B8605D">
        <w:rPr>
          <w:rFonts w:eastAsiaTheme="minorEastAsia"/>
          <w:bCs/>
          <w:noProof/>
          <w:sz w:val="22"/>
          <w:szCs w:val="22"/>
          <w:lang w:val="en-GB" w:eastAsia="tr-TR"/>
        </w:rPr>
        <w:t xml:space="preserve">The spatial distribution of aluminum amounts in </w:t>
      </w:r>
      <w:r w:rsidR="002004F2">
        <w:rPr>
          <w:rFonts w:eastAsiaTheme="minorEastAsia"/>
          <w:bCs/>
          <w:noProof/>
          <w:sz w:val="22"/>
          <w:szCs w:val="22"/>
          <w:lang w:val="en-GB" w:eastAsia="tr-TR"/>
        </w:rPr>
        <w:t xml:space="preserve">the </w:t>
      </w:r>
      <w:r w:rsidRPr="00B8605D">
        <w:rPr>
          <w:rFonts w:eastAsiaTheme="minorEastAsia"/>
          <w:bCs/>
          <w:noProof/>
          <w:sz w:val="22"/>
          <w:szCs w:val="22"/>
          <w:lang w:val="en-GB" w:eastAsia="tr-TR"/>
        </w:rPr>
        <w:t>drinking water of Ankara province between 2018 and 2022 is presented in Figure 7.</w:t>
      </w:r>
    </w:p>
    <w:p w14:paraId="46AAB461" w14:textId="77777777" w:rsidR="006A27DC" w:rsidRPr="00B8605D" w:rsidRDefault="006A27DC" w:rsidP="006A27DC">
      <w:pPr>
        <w:jc w:val="both"/>
        <w:rPr>
          <w:rFonts w:eastAsiaTheme="minorEastAsia"/>
          <w:bCs/>
          <w:noProof/>
          <w:sz w:val="22"/>
          <w:szCs w:val="22"/>
          <w:lang w:val="en-GB" w:eastAsia="tr-TR"/>
        </w:rPr>
      </w:pPr>
    </w:p>
    <w:p w14:paraId="1DD6CB6D" w14:textId="77777777" w:rsidR="006A27DC" w:rsidRPr="00B8605D" w:rsidRDefault="006A27DC" w:rsidP="006A27DC">
      <w:pPr>
        <w:jc w:val="center"/>
        <w:rPr>
          <w:rFonts w:eastAsiaTheme="minorEastAsia"/>
          <w:bCs/>
          <w:noProof/>
          <w:sz w:val="22"/>
          <w:szCs w:val="22"/>
          <w:lang w:val="en-GB" w:eastAsia="tr-TR"/>
        </w:rPr>
      </w:pPr>
      <w:r w:rsidRPr="00B8605D">
        <w:rPr>
          <w:rFonts w:eastAsiaTheme="minorEastAsia"/>
          <w:bCs/>
          <w:noProof/>
          <w:sz w:val="22"/>
          <w:szCs w:val="22"/>
          <w:lang w:val="en-GB" w:eastAsia="tr-TR"/>
        </w:rPr>
        <w:drawing>
          <wp:inline distT="0" distB="0" distL="0" distR="0" wp14:anchorId="52030682" wp14:editId="2DBDD8BB">
            <wp:extent cx="5760000" cy="249830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498301"/>
                    </a:xfrm>
                    <a:prstGeom prst="rect">
                      <a:avLst/>
                    </a:prstGeom>
                    <a:noFill/>
                    <a:ln>
                      <a:noFill/>
                    </a:ln>
                  </pic:spPr>
                </pic:pic>
              </a:graphicData>
            </a:graphic>
          </wp:inline>
        </w:drawing>
      </w:r>
    </w:p>
    <w:p w14:paraId="1D825BB4" w14:textId="77777777" w:rsidR="006A27DC" w:rsidRPr="00B8605D" w:rsidRDefault="006A27DC" w:rsidP="003851DF">
      <w:pPr>
        <w:pStyle w:val="Rrys"/>
        <w:rPr>
          <w:rFonts w:eastAsiaTheme="minorEastAsia"/>
          <w:bCs/>
          <w:noProof/>
          <w:lang w:val="en-GB" w:eastAsia="tr-TR"/>
        </w:rPr>
      </w:pPr>
      <w:r w:rsidRPr="00B8605D">
        <w:rPr>
          <w:rFonts w:eastAsiaTheme="minorEastAsia"/>
          <w:b/>
          <w:bCs/>
          <w:noProof/>
          <w:lang w:val="en-GB" w:eastAsia="tr-TR"/>
        </w:rPr>
        <w:t>Fig. 7.</w:t>
      </w:r>
      <w:r w:rsidRPr="00B8605D">
        <w:rPr>
          <w:rFonts w:eastAsiaTheme="minorEastAsia"/>
          <w:bCs/>
          <w:noProof/>
          <w:lang w:val="en-GB" w:eastAsia="tr-TR"/>
        </w:rPr>
        <w:t xml:space="preserve"> </w:t>
      </w:r>
      <w:r w:rsidRPr="00B8605D">
        <w:rPr>
          <w:noProof/>
          <w:lang w:val="en-GB"/>
        </w:rPr>
        <w:t>Spatial Modeling and Trend Analysis of Aluminum (Al) Amounts</w:t>
      </w:r>
    </w:p>
    <w:p w14:paraId="2D04D8CA" w14:textId="77777777" w:rsidR="006A27DC" w:rsidRPr="00B8605D" w:rsidRDefault="006A27DC" w:rsidP="006A27DC">
      <w:pPr>
        <w:rPr>
          <w:rFonts w:eastAsiaTheme="minorEastAsia"/>
          <w:noProof/>
          <w:sz w:val="22"/>
          <w:szCs w:val="22"/>
          <w:lang w:val="en-GB" w:eastAsia="tr-TR"/>
        </w:rPr>
      </w:pPr>
    </w:p>
    <w:p w14:paraId="2DFD9367" w14:textId="56D3276D"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In 2018, the highest amount of Al in drinking water in Ankara was seen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Çamlıdere, Çubuk</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Kahramankazan districts</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with 62.0 µg/l. The lowest amount of Al was seen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Güdül district</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with 6.9</w:t>
      </w:r>
      <w:r w:rsidR="002004F2">
        <w:rPr>
          <w:rFonts w:eastAsiaTheme="minorEastAsia"/>
          <w:noProof/>
          <w:sz w:val="22"/>
          <w:szCs w:val="22"/>
          <w:lang w:val="en-GB" w:eastAsia="tr-TR"/>
        </w:rPr>
        <w:t> </w:t>
      </w:r>
      <w:r w:rsidRPr="00B8605D">
        <w:rPr>
          <w:rFonts w:eastAsiaTheme="minorEastAsia"/>
          <w:noProof/>
          <w:sz w:val="22"/>
          <w:szCs w:val="22"/>
          <w:lang w:val="en-GB" w:eastAsia="tr-TR"/>
        </w:rPr>
        <w:t>µg/l. In 2019, the highest Al value was seen in Çamlıdere, Çubuk, Kahramankazan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Pursaklar districts with 117.0 µg/l. The lowest Al concentration was seen in Beypazarı, Haymana</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Polatlı districts with 7.6</w:t>
      </w:r>
      <w:r w:rsidR="002004F2">
        <w:rPr>
          <w:rFonts w:eastAsiaTheme="minorEastAsia"/>
          <w:noProof/>
          <w:sz w:val="22"/>
          <w:szCs w:val="22"/>
          <w:lang w:val="en-GB" w:eastAsia="tr-TR"/>
        </w:rPr>
        <w:t> </w:t>
      </w:r>
      <w:r w:rsidRPr="00B8605D">
        <w:rPr>
          <w:rFonts w:eastAsiaTheme="minorEastAsia"/>
          <w:noProof/>
          <w:sz w:val="22"/>
          <w:szCs w:val="22"/>
          <w:lang w:val="en-GB" w:eastAsia="tr-TR"/>
        </w:rPr>
        <w:t xml:space="preserve">µg/l. </w:t>
      </w:r>
      <w:r w:rsidRPr="00B8605D">
        <w:rPr>
          <w:rFonts w:eastAsiaTheme="minorEastAsia"/>
          <w:noProof/>
          <w:sz w:val="22"/>
          <w:szCs w:val="22"/>
          <w:lang w:val="en-GB" w:eastAsia="tr-TR"/>
        </w:rPr>
        <w:lastRenderedPageBreak/>
        <w:t>In 2020, the highest Al value was seen in Çamlıdere, Çubuk, Kahramankazan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Pursaklar districts with 77</w:t>
      </w:r>
      <w:r w:rsidR="002004F2">
        <w:rPr>
          <w:rFonts w:eastAsiaTheme="minorEastAsia"/>
          <w:noProof/>
          <w:sz w:val="22"/>
          <w:szCs w:val="22"/>
          <w:lang w:val="en-GB" w:eastAsia="tr-TR"/>
        </w:rPr>
        <w:t> </w:t>
      </w:r>
      <w:r w:rsidRPr="00B8605D">
        <w:rPr>
          <w:rFonts w:eastAsiaTheme="minorEastAsia"/>
          <w:noProof/>
          <w:sz w:val="22"/>
          <w:szCs w:val="22"/>
          <w:lang w:val="en-GB" w:eastAsia="tr-TR"/>
        </w:rPr>
        <w:t>µg/l. The lowest amount of Al was determined in Ayaş, Bala, Nallıhan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Güdül districts with 13.0 µg/l. According to TS 266, EPA</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EU standards, the maximum allowable Al concentration in drinking water is 200 µg/l (TS 2005, EPA 2016, EU 2020).</w:t>
      </w:r>
    </w:p>
    <w:p w14:paraId="740C9DF9" w14:textId="27B145E5" w:rsidR="006A27DC" w:rsidRPr="00B8605D" w:rsidRDefault="006A27DC" w:rsidP="003851DF">
      <w:pPr>
        <w:ind w:firstLine="284"/>
        <w:jc w:val="both"/>
        <w:rPr>
          <w:noProof/>
          <w:sz w:val="22"/>
          <w:szCs w:val="22"/>
          <w:lang w:val="en-GB"/>
        </w:rPr>
      </w:pPr>
      <w:r w:rsidRPr="00B8605D">
        <w:rPr>
          <w:rFonts w:eastAsiaTheme="minorEastAsia"/>
          <w:noProof/>
          <w:sz w:val="22"/>
          <w:szCs w:val="22"/>
          <w:lang w:val="en-GB" w:eastAsia="tr-TR"/>
        </w:rPr>
        <w:t>As a result of the trend analysis made with Al values in 2018-2020 of 25 districts of Ankara province, a</w:t>
      </w:r>
      <w:r w:rsidR="0095280A">
        <w:rPr>
          <w:rFonts w:eastAsiaTheme="minorEastAsia"/>
          <w:noProof/>
          <w:sz w:val="22"/>
          <w:szCs w:val="22"/>
          <w:lang w:val="en-GB" w:eastAsia="tr-TR"/>
        </w:rPr>
        <w:t> </w:t>
      </w:r>
      <w:r w:rsidRPr="00B8605D">
        <w:rPr>
          <w:rFonts w:eastAsiaTheme="minorEastAsia"/>
          <w:noProof/>
          <w:sz w:val="22"/>
          <w:szCs w:val="22"/>
          <w:lang w:val="en-GB" w:eastAsia="tr-TR"/>
        </w:rPr>
        <w:t xml:space="preserve">trend was found in 20 districts. According to the Mann-Kendall test, an increasing trend was found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Evren, Güdül, Kızılcahamam, Nallıhan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Polatlı districts. Both test results showed that there was an increasing trend in Altındağ, Ayaş, Bala, Beypazarı, Çankaya, Çubuk, Etimesgut, Gölbaşı, Kahramankazan, Keçiören, Mamak, Pursaklar, Sincan, Şereflikoçhisar and Yenimahalle districts. No significant trend results were found in other districts.</w:t>
      </w:r>
      <w:r w:rsidRPr="00B8605D">
        <w:rPr>
          <w:noProof/>
          <w:sz w:val="22"/>
          <w:szCs w:val="22"/>
          <w:lang w:val="en-GB"/>
        </w:rPr>
        <w:t xml:space="preserve"> </w:t>
      </w:r>
    </w:p>
    <w:p w14:paraId="23154535" w14:textId="66493D5B" w:rsidR="006A27DC" w:rsidRDefault="002004F2" w:rsidP="003851DF">
      <w:pPr>
        <w:ind w:firstLine="284"/>
        <w:jc w:val="both"/>
        <w:rPr>
          <w:rFonts w:eastAsiaTheme="minorEastAsia"/>
          <w:noProof/>
          <w:sz w:val="22"/>
          <w:szCs w:val="22"/>
          <w:lang w:val="en-GB" w:eastAsia="tr-TR"/>
        </w:rPr>
      </w:pPr>
      <w:r>
        <w:rPr>
          <w:rFonts w:eastAsiaTheme="minorEastAsia"/>
          <w:noProof/>
          <w:sz w:val="22"/>
          <w:szCs w:val="22"/>
          <w:lang w:val="en-GB" w:eastAsia="tr-TR"/>
        </w:rPr>
        <w:t>Many studies in the literature show</w:t>
      </w:r>
      <w:r w:rsidR="006A27DC" w:rsidRPr="00B8605D">
        <w:rPr>
          <w:rFonts w:eastAsiaTheme="minorEastAsia"/>
          <w:noProof/>
          <w:sz w:val="22"/>
          <w:szCs w:val="22"/>
          <w:lang w:val="en-GB" w:eastAsia="tr-TR"/>
        </w:rPr>
        <w:t xml:space="preserve"> that drinking water quality should be evaluated spatially with GIS. For example, a study was conducted to determine and monitor drinking water quality in </w:t>
      </w:r>
      <w:r>
        <w:rPr>
          <w:rFonts w:eastAsiaTheme="minorEastAsia"/>
          <w:noProof/>
          <w:sz w:val="22"/>
          <w:szCs w:val="22"/>
          <w:lang w:val="en-GB" w:eastAsia="tr-TR"/>
        </w:rPr>
        <w:t>southern</w:t>
      </w:r>
      <w:r w:rsidR="006A27DC" w:rsidRPr="00B8605D">
        <w:rPr>
          <w:rFonts w:eastAsiaTheme="minorEastAsia"/>
          <w:noProof/>
          <w:sz w:val="22"/>
          <w:szCs w:val="22"/>
          <w:lang w:val="en-GB" w:eastAsia="tr-TR"/>
        </w:rPr>
        <w:t xml:space="preserve"> Ethiopia. </w:t>
      </w:r>
      <w:r>
        <w:rPr>
          <w:rFonts w:eastAsiaTheme="minorEastAsia"/>
          <w:noProof/>
          <w:sz w:val="22"/>
          <w:szCs w:val="22"/>
          <w:lang w:val="en-GB" w:eastAsia="tr-TR"/>
        </w:rPr>
        <w:t>This study carried out some drinking water quality parameters and heavy metal analyses</w:t>
      </w:r>
      <w:r w:rsidR="006A27DC" w:rsidRPr="00B8605D">
        <w:rPr>
          <w:rFonts w:eastAsiaTheme="minorEastAsia"/>
          <w:noProof/>
          <w:sz w:val="22"/>
          <w:szCs w:val="22"/>
          <w:lang w:val="en-GB" w:eastAsia="tr-TR"/>
        </w:rPr>
        <w:t>. The results obtained were evaluated spatially with the help of IDW interpolation techniques using Arc GIS, one of the Geography Information Systems programs, and distribution maps were produced (Bojago et al. 2023).</w:t>
      </w:r>
    </w:p>
    <w:p w14:paraId="020CBD87" w14:textId="1033C37E"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A study was conducted in </w:t>
      </w:r>
      <w:r w:rsidR="002004F2">
        <w:rPr>
          <w:rFonts w:eastAsiaTheme="minorEastAsia"/>
          <w:noProof/>
          <w:sz w:val="22"/>
          <w:szCs w:val="22"/>
          <w:lang w:val="en-GB" w:eastAsia="tr-TR"/>
        </w:rPr>
        <w:t xml:space="preserve">the </w:t>
      </w:r>
      <w:r w:rsidRPr="00B8605D">
        <w:rPr>
          <w:rFonts w:eastAsiaTheme="minorEastAsia"/>
          <w:noProof/>
          <w:sz w:val="22"/>
          <w:szCs w:val="22"/>
          <w:lang w:val="en-GB" w:eastAsia="tr-TR"/>
        </w:rPr>
        <w:t>Jammu and Kashmir regions of India</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w:t>
      </w:r>
      <w:r w:rsidR="002004F2">
        <w:rPr>
          <w:rFonts w:eastAsiaTheme="minorEastAsia"/>
          <w:noProof/>
          <w:sz w:val="22"/>
          <w:szCs w:val="22"/>
          <w:lang w:val="en-GB" w:eastAsia="tr-TR"/>
        </w:rPr>
        <w:t xml:space="preserve">a </w:t>
      </w:r>
      <w:r w:rsidRPr="00B8605D">
        <w:rPr>
          <w:rFonts w:eastAsiaTheme="minorEastAsia"/>
          <w:noProof/>
          <w:sz w:val="22"/>
          <w:szCs w:val="22"/>
          <w:lang w:val="en-GB" w:eastAsia="tr-TR"/>
        </w:rPr>
        <w:t xml:space="preserve">GIS-based assessment of </w:t>
      </w:r>
      <w:r w:rsidR="002004F2">
        <w:rPr>
          <w:rFonts w:eastAsiaTheme="minorEastAsia"/>
          <w:noProof/>
          <w:sz w:val="22"/>
          <w:szCs w:val="22"/>
          <w:lang w:val="en-GB" w:eastAsia="tr-TR"/>
        </w:rPr>
        <w:t>drinking water quality</w:t>
      </w:r>
      <w:r w:rsidRPr="00B8605D">
        <w:rPr>
          <w:rFonts w:eastAsiaTheme="minorEastAsia"/>
          <w:noProof/>
          <w:sz w:val="22"/>
          <w:szCs w:val="22"/>
          <w:lang w:val="en-GB" w:eastAsia="tr-TR"/>
        </w:rPr>
        <w:t xml:space="preserve"> was carried out. </w:t>
      </w:r>
      <w:r w:rsidR="002004F2">
        <w:rPr>
          <w:rFonts w:eastAsiaTheme="minorEastAsia"/>
          <w:noProof/>
          <w:sz w:val="22"/>
          <w:szCs w:val="22"/>
          <w:lang w:val="en-GB" w:eastAsia="tr-TR"/>
        </w:rPr>
        <w:t>Water samples were collected from 32 different regions in the research mentioned above</w:t>
      </w:r>
      <w:r w:rsidRPr="00B8605D">
        <w:rPr>
          <w:rFonts w:eastAsiaTheme="minorEastAsia"/>
          <w:noProof/>
          <w:sz w:val="22"/>
          <w:szCs w:val="22"/>
          <w:lang w:val="en-GB" w:eastAsia="tr-TR"/>
        </w:rPr>
        <w:t>. 11 parameters were examined in the drinking water samples taken</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spatial distribution maps were produced (Hemraj &amp; Kumar 2022).</w:t>
      </w:r>
    </w:p>
    <w:p w14:paraId="3DCF8B28" w14:textId="68466708"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In a thesis study conducted to determine </w:t>
      </w:r>
      <w:r w:rsidR="002004F2">
        <w:rPr>
          <w:rFonts w:eastAsiaTheme="minorEastAsia"/>
          <w:noProof/>
          <w:sz w:val="22"/>
          <w:szCs w:val="22"/>
          <w:lang w:val="en-GB" w:eastAsia="tr-TR"/>
        </w:rPr>
        <w:t>drinking water quality</w:t>
      </w:r>
      <w:r w:rsidRPr="00B8605D">
        <w:rPr>
          <w:rFonts w:eastAsiaTheme="minorEastAsia"/>
          <w:noProof/>
          <w:sz w:val="22"/>
          <w:szCs w:val="22"/>
          <w:lang w:val="en-GB" w:eastAsia="tr-TR"/>
        </w:rPr>
        <w:t xml:space="preserve"> in Giresun province of Turkiye, water samples were taken from 5 different locations. Dissolved oxygen, temperature, pH, salinity, conductivity, biological oxygen demand, alkalinity</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hardness values were examined in the water samples taken. </w:t>
      </w:r>
    </w:p>
    <w:p w14:paraId="5E1A5054" w14:textId="243DD1BE"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As a result of the study, it was seen that the drinking water content of Giresun province was among the allowed limit values (Aydın 2020).</w:t>
      </w:r>
      <w:r w:rsidRPr="00F06B4E">
        <w:rPr>
          <w:rFonts w:eastAsiaTheme="minorEastAsia"/>
          <w:noProof/>
          <w:sz w:val="22"/>
          <w:szCs w:val="22"/>
          <w:lang w:val="en-GB" w:eastAsia="tr-TR"/>
        </w:rPr>
        <w:t xml:space="preserve"> </w:t>
      </w:r>
      <w:r w:rsidRPr="00B8605D">
        <w:rPr>
          <w:rFonts w:eastAsiaTheme="minorEastAsia"/>
          <w:noProof/>
          <w:sz w:val="22"/>
          <w:szCs w:val="22"/>
          <w:lang w:val="en-GB" w:eastAsia="tr-TR"/>
        </w:rPr>
        <w:t>There are many recent studies in the literature on evaluating water quality spatially using GIS-based mapping and trend analysis (Table 2).</w:t>
      </w:r>
    </w:p>
    <w:p w14:paraId="428D70A8" w14:textId="515765C7" w:rsidR="000A57A3" w:rsidRDefault="000A57A3">
      <w:pPr>
        <w:rPr>
          <w:rFonts w:eastAsiaTheme="minorHAnsi" w:cstheme="minorBidi"/>
          <w:b/>
          <w:noProof/>
          <w:kern w:val="2"/>
          <w:sz w:val="20"/>
          <w:szCs w:val="22"/>
          <w:bdr w:val="none" w:sz="0" w:space="0" w:color="auto"/>
          <w:lang w:val="en-GB" w:eastAsia="tr-TR"/>
          <w14:ligatures w14:val="standardContextual"/>
        </w:rPr>
      </w:pPr>
    </w:p>
    <w:p w14:paraId="32888C58" w14:textId="673049D5" w:rsidR="006A27DC" w:rsidRPr="00B8605D" w:rsidRDefault="006A27DC" w:rsidP="003851DF">
      <w:pPr>
        <w:pStyle w:val="Rtab"/>
        <w:rPr>
          <w:noProof/>
          <w:lang w:val="en-GB" w:eastAsia="tr-TR"/>
        </w:rPr>
      </w:pPr>
      <w:r w:rsidRPr="00B8605D">
        <w:rPr>
          <w:b/>
          <w:noProof/>
          <w:lang w:val="en-GB" w:eastAsia="tr-TR"/>
        </w:rPr>
        <w:t>Table 2.</w:t>
      </w:r>
      <w:r w:rsidRPr="00B8605D">
        <w:rPr>
          <w:noProof/>
          <w:lang w:val="en-GB" w:eastAsia="tr-TR"/>
        </w:rPr>
        <w:t xml:space="preserve"> Some recent studies on spatial modeling and trend analysis of water quality</w:t>
      </w:r>
    </w:p>
    <w:tbl>
      <w:tblPr>
        <w:tblStyle w:val="Jasnecieniowanieakcent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352"/>
        <w:gridCol w:w="2085"/>
        <w:gridCol w:w="2435"/>
      </w:tblGrid>
      <w:tr w:rsidR="00392FF4" w:rsidRPr="00392FF4" w14:paraId="7CC16E47" w14:textId="77777777" w:rsidTr="00A1626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auto"/>
            <w:vAlign w:val="center"/>
          </w:tcPr>
          <w:p w14:paraId="3B7CE00A" w14:textId="77777777" w:rsidR="006A27DC" w:rsidRPr="00A1626F" w:rsidRDefault="006A27DC" w:rsidP="00392FF4">
            <w:pPr>
              <w:jc w:val="center"/>
              <w:rPr>
                <w:rFonts w:ascii="Times New Roman" w:hAnsi="Times New Roman" w:cs="Times New Roman"/>
                <w:b w:val="0"/>
                <w:bCs w:val="0"/>
                <w:noProof/>
                <w:color w:val="auto"/>
                <w:sz w:val="22"/>
                <w:szCs w:val="22"/>
                <w:lang w:val="en-GB"/>
              </w:rPr>
            </w:pPr>
            <w:r w:rsidRPr="00A1626F">
              <w:rPr>
                <w:rFonts w:ascii="Times New Roman" w:hAnsi="Times New Roman" w:cs="Times New Roman"/>
                <w:b w:val="0"/>
                <w:bCs w:val="0"/>
                <w:noProof/>
                <w:color w:val="auto"/>
                <w:sz w:val="22"/>
                <w:szCs w:val="22"/>
                <w:lang w:val="en-GB"/>
              </w:rPr>
              <w:t>Recent Studies</w:t>
            </w:r>
          </w:p>
        </w:tc>
        <w:tc>
          <w:tcPr>
            <w:tcW w:w="2352" w:type="dxa"/>
            <w:tcBorders>
              <w:top w:val="none" w:sz="0" w:space="0" w:color="auto"/>
              <w:left w:val="none" w:sz="0" w:space="0" w:color="auto"/>
              <w:bottom w:val="none" w:sz="0" w:space="0" w:color="auto"/>
              <w:right w:val="none" w:sz="0" w:space="0" w:color="auto"/>
            </w:tcBorders>
            <w:shd w:val="clear" w:color="auto" w:fill="auto"/>
            <w:vAlign w:val="center"/>
          </w:tcPr>
          <w:p w14:paraId="40ABB1D4" w14:textId="77777777" w:rsidR="006A27DC" w:rsidRPr="00A1626F" w:rsidRDefault="006A27DC" w:rsidP="00392F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rPr>
            </w:pPr>
            <w:r w:rsidRPr="00A1626F">
              <w:rPr>
                <w:rFonts w:ascii="Times New Roman" w:hAnsi="Times New Roman" w:cs="Times New Roman"/>
                <w:b w:val="0"/>
                <w:bCs w:val="0"/>
                <w:noProof/>
                <w:color w:val="auto"/>
                <w:sz w:val="22"/>
                <w:szCs w:val="22"/>
                <w:lang w:val="en-GB"/>
              </w:rPr>
              <w:t>Research Area</w:t>
            </w:r>
          </w:p>
        </w:tc>
        <w:tc>
          <w:tcPr>
            <w:tcW w:w="2085" w:type="dxa"/>
            <w:tcBorders>
              <w:top w:val="none" w:sz="0" w:space="0" w:color="auto"/>
              <w:left w:val="none" w:sz="0" w:space="0" w:color="auto"/>
              <w:bottom w:val="none" w:sz="0" w:space="0" w:color="auto"/>
              <w:right w:val="none" w:sz="0" w:space="0" w:color="auto"/>
            </w:tcBorders>
            <w:shd w:val="clear" w:color="auto" w:fill="auto"/>
            <w:vAlign w:val="center"/>
          </w:tcPr>
          <w:p w14:paraId="15D1F5D3" w14:textId="77777777" w:rsidR="006A27DC" w:rsidRPr="00A1626F" w:rsidRDefault="006A27DC" w:rsidP="00392F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rPr>
            </w:pPr>
            <w:r w:rsidRPr="00A1626F">
              <w:rPr>
                <w:rFonts w:ascii="Times New Roman" w:hAnsi="Times New Roman" w:cs="Times New Roman"/>
                <w:b w:val="0"/>
                <w:bCs w:val="0"/>
                <w:noProof/>
                <w:color w:val="auto"/>
                <w:sz w:val="22"/>
                <w:szCs w:val="22"/>
                <w:lang w:val="en-GB"/>
              </w:rPr>
              <w:t>Aim</w:t>
            </w:r>
          </w:p>
        </w:tc>
        <w:tc>
          <w:tcPr>
            <w:tcW w:w="2435" w:type="dxa"/>
            <w:tcBorders>
              <w:top w:val="none" w:sz="0" w:space="0" w:color="auto"/>
              <w:left w:val="none" w:sz="0" w:space="0" w:color="auto"/>
              <w:bottom w:val="none" w:sz="0" w:space="0" w:color="auto"/>
              <w:right w:val="none" w:sz="0" w:space="0" w:color="auto"/>
            </w:tcBorders>
            <w:shd w:val="clear" w:color="auto" w:fill="auto"/>
            <w:vAlign w:val="center"/>
          </w:tcPr>
          <w:p w14:paraId="32D05108" w14:textId="77777777" w:rsidR="006A27DC" w:rsidRPr="00A1626F" w:rsidRDefault="006A27DC" w:rsidP="00392F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lang w:val="en-GB"/>
              </w:rPr>
            </w:pPr>
            <w:r w:rsidRPr="00A1626F">
              <w:rPr>
                <w:rFonts w:ascii="Times New Roman" w:hAnsi="Times New Roman" w:cs="Times New Roman"/>
                <w:b w:val="0"/>
                <w:bCs w:val="0"/>
                <w:noProof/>
                <w:color w:val="auto"/>
                <w:sz w:val="22"/>
                <w:szCs w:val="22"/>
                <w:lang w:val="en-GB"/>
              </w:rPr>
              <w:t>Analysis</w:t>
            </w:r>
          </w:p>
        </w:tc>
      </w:tr>
      <w:tr w:rsidR="00392FF4" w:rsidRPr="00392FF4" w14:paraId="2CE904D2" w14:textId="77777777" w:rsidTr="00A1626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7" w:type="dxa"/>
            <w:tcBorders>
              <w:left w:val="none" w:sz="0" w:space="0" w:color="auto"/>
              <w:right w:val="none" w:sz="0" w:space="0" w:color="auto"/>
            </w:tcBorders>
            <w:shd w:val="clear" w:color="auto" w:fill="auto"/>
            <w:vAlign w:val="center"/>
          </w:tcPr>
          <w:p w14:paraId="490ADDA4" w14:textId="5F412AFD" w:rsidR="006A27DC" w:rsidRPr="00A1626F" w:rsidRDefault="006A27DC" w:rsidP="00392FF4">
            <w:pPr>
              <w:rPr>
                <w:rFonts w:ascii="Times New Roman" w:hAnsi="Times New Roman" w:cs="Times New Roman"/>
                <w:b w:val="0"/>
                <w:noProof/>
                <w:color w:val="auto"/>
                <w:sz w:val="22"/>
                <w:szCs w:val="22"/>
                <w:lang w:val="en-GB"/>
              </w:rPr>
            </w:pPr>
            <w:r w:rsidRPr="00A1626F">
              <w:rPr>
                <w:rFonts w:ascii="Times New Roman" w:hAnsi="Times New Roman" w:cs="Times New Roman"/>
                <w:b w:val="0"/>
                <w:noProof/>
                <w:color w:val="auto"/>
                <w:sz w:val="22"/>
                <w:szCs w:val="22"/>
                <w:lang w:val="en-GB"/>
              </w:rPr>
              <w:t>(Laaraj et al. 2023)</w:t>
            </w:r>
          </w:p>
        </w:tc>
        <w:tc>
          <w:tcPr>
            <w:tcW w:w="2352" w:type="dxa"/>
            <w:tcBorders>
              <w:left w:val="none" w:sz="0" w:space="0" w:color="auto"/>
              <w:right w:val="none" w:sz="0" w:space="0" w:color="auto"/>
            </w:tcBorders>
            <w:shd w:val="clear" w:color="auto" w:fill="auto"/>
            <w:vAlign w:val="center"/>
          </w:tcPr>
          <w:p w14:paraId="40E5C52E" w14:textId="7154D738"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In the northern part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Morocco's</w:t>
            </w:r>
          </w:p>
          <w:p w14:paraId="49CA3F11" w14:textId="3BE3E244"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Fès-Taza region</w:t>
            </w:r>
          </w:p>
        </w:tc>
        <w:tc>
          <w:tcPr>
            <w:tcW w:w="2085" w:type="dxa"/>
            <w:tcBorders>
              <w:left w:val="none" w:sz="0" w:space="0" w:color="auto"/>
              <w:right w:val="none" w:sz="0" w:space="0" w:color="auto"/>
            </w:tcBorders>
            <w:shd w:val="clear" w:color="auto" w:fill="auto"/>
            <w:vAlign w:val="center"/>
          </w:tcPr>
          <w:p w14:paraId="6EE24258" w14:textId="262DEE93"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Spatial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tcBorders>
              <w:left w:val="none" w:sz="0" w:space="0" w:color="auto"/>
              <w:right w:val="none" w:sz="0" w:space="0" w:color="auto"/>
            </w:tcBorders>
            <w:shd w:val="clear" w:color="auto" w:fill="auto"/>
            <w:vAlign w:val="center"/>
          </w:tcPr>
          <w:p w14:paraId="79181BA2" w14:textId="5DA09C4C"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 xml:space="preserve">GIS-based </w:t>
            </w:r>
            <w:r w:rsidR="0095280A">
              <w:rPr>
                <w:rFonts w:ascii="Times New Roman" w:hAnsi="Times New Roman" w:cs="Times New Roman"/>
                <w:noProof/>
                <w:color w:val="auto"/>
                <w:sz w:val="22"/>
                <w:szCs w:val="22"/>
                <w:lang w:val="en-GB"/>
              </w:rPr>
              <w:t>M</w:t>
            </w:r>
            <w:r w:rsidRPr="00A1626F">
              <w:rPr>
                <w:rFonts w:ascii="Times New Roman" w:hAnsi="Times New Roman" w:cs="Times New Roman"/>
                <w:noProof/>
                <w:color w:val="auto"/>
                <w:sz w:val="22"/>
                <w:szCs w:val="22"/>
                <w:lang w:val="en-GB"/>
              </w:rPr>
              <w:t>apping with Kriging interpolation</w:t>
            </w:r>
          </w:p>
        </w:tc>
      </w:tr>
      <w:tr w:rsidR="00392FF4" w:rsidRPr="00392FF4" w14:paraId="3B60E0A5" w14:textId="77777777" w:rsidTr="00A1626F">
        <w:trPr>
          <w:trHeight w:val="567"/>
        </w:trPr>
        <w:tc>
          <w:tcPr>
            <w:cnfStyle w:val="001000000000" w:firstRow="0" w:lastRow="0" w:firstColumn="1" w:lastColumn="0" w:oddVBand="0" w:evenVBand="0" w:oddHBand="0" w:evenHBand="0" w:firstRowFirstColumn="0" w:firstRowLastColumn="0" w:lastRowFirstColumn="0" w:lastRowLastColumn="0"/>
            <w:tcW w:w="2767" w:type="dxa"/>
            <w:shd w:val="clear" w:color="auto" w:fill="auto"/>
            <w:vAlign w:val="center"/>
          </w:tcPr>
          <w:p w14:paraId="5550F0E2" w14:textId="2B64E89C" w:rsidR="006A27DC" w:rsidRPr="00A1626F" w:rsidRDefault="006A27DC" w:rsidP="00392FF4">
            <w:pPr>
              <w:rPr>
                <w:rFonts w:ascii="Times New Roman" w:hAnsi="Times New Roman" w:cs="Times New Roman"/>
                <w:b w:val="0"/>
                <w:noProof/>
                <w:color w:val="auto"/>
                <w:sz w:val="22"/>
                <w:szCs w:val="22"/>
                <w:lang w:val="en-GB"/>
              </w:rPr>
            </w:pPr>
            <w:r w:rsidRPr="00A1626F">
              <w:rPr>
                <w:rFonts w:ascii="Times New Roman" w:hAnsi="Times New Roman" w:cs="Times New Roman"/>
                <w:b w:val="0"/>
                <w:noProof/>
                <w:color w:val="auto"/>
                <w:sz w:val="22"/>
                <w:szCs w:val="22"/>
                <w:lang w:val="en-GB"/>
              </w:rPr>
              <w:t>(Al Yousıf &amp; Chabuk 2023)</w:t>
            </w:r>
          </w:p>
        </w:tc>
        <w:tc>
          <w:tcPr>
            <w:tcW w:w="2352" w:type="dxa"/>
            <w:shd w:val="clear" w:color="auto" w:fill="auto"/>
            <w:vAlign w:val="center"/>
          </w:tcPr>
          <w:p w14:paraId="1D35F522" w14:textId="05F4C83D"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shd w:val="clear" w:color="auto" w:fill="FFFFFF"/>
                <w:lang w:val="en-GB"/>
              </w:rPr>
            </w:pPr>
            <w:r w:rsidRPr="00A1626F">
              <w:rPr>
                <w:rFonts w:ascii="Times New Roman" w:hAnsi="Times New Roman" w:cs="Times New Roman"/>
                <w:noProof/>
                <w:color w:val="auto"/>
                <w:sz w:val="22"/>
                <w:szCs w:val="22"/>
                <w:lang w:val="en-GB"/>
              </w:rPr>
              <w:t>Al-Abbasiyah River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Iraq</w:t>
            </w:r>
          </w:p>
        </w:tc>
        <w:tc>
          <w:tcPr>
            <w:tcW w:w="2085" w:type="dxa"/>
            <w:shd w:val="clear" w:color="auto" w:fill="auto"/>
            <w:vAlign w:val="center"/>
          </w:tcPr>
          <w:p w14:paraId="3A09DA77" w14:textId="14F704DA"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Spatial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shd w:val="clear" w:color="auto" w:fill="auto"/>
            <w:vAlign w:val="center"/>
          </w:tcPr>
          <w:p w14:paraId="7FFA2B6D" w14:textId="088DF7F1" w:rsidR="006A27DC" w:rsidRPr="00A1626F" w:rsidRDefault="006A27DC" w:rsidP="009528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GIS-based Mapping,</w:t>
            </w:r>
            <w:r w:rsidR="0095280A">
              <w:rPr>
                <w:rFonts w:ascii="Times New Roman" w:hAnsi="Times New Roman" w:cs="Times New Roman"/>
                <w:noProof/>
                <w:color w:val="auto"/>
                <w:sz w:val="22"/>
                <w:szCs w:val="22"/>
                <w:lang w:val="en-GB"/>
              </w:rPr>
              <w:t xml:space="preserve"> </w:t>
            </w:r>
            <w:r w:rsidRPr="00A1626F">
              <w:rPr>
                <w:rFonts w:ascii="Times New Roman" w:hAnsi="Times New Roman" w:cs="Times New Roman"/>
                <w:noProof/>
                <w:color w:val="auto"/>
                <w:sz w:val="22"/>
                <w:szCs w:val="22"/>
                <w:lang w:val="en-GB"/>
              </w:rPr>
              <w:t>IDW and Kriging interpolations</w:t>
            </w:r>
          </w:p>
        </w:tc>
      </w:tr>
      <w:tr w:rsidR="00392FF4" w:rsidRPr="00392FF4" w14:paraId="7F5E5351" w14:textId="77777777" w:rsidTr="00A1626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7" w:type="dxa"/>
            <w:tcBorders>
              <w:left w:val="none" w:sz="0" w:space="0" w:color="auto"/>
              <w:right w:val="none" w:sz="0" w:space="0" w:color="auto"/>
            </w:tcBorders>
            <w:shd w:val="clear" w:color="auto" w:fill="auto"/>
            <w:vAlign w:val="center"/>
          </w:tcPr>
          <w:p w14:paraId="04A5B8D8" w14:textId="0BB66011" w:rsidR="006A27DC" w:rsidRPr="00A1626F" w:rsidRDefault="006A27DC" w:rsidP="00392FF4">
            <w:pPr>
              <w:rPr>
                <w:rFonts w:ascii="Times New Roman" w:hAnsi="Times New Roman" w:cs="Times New Roman"/>
                <w:b w:val="0"/>
                <w:bCs w:val="0"/>
                <w:noProof/>
                <w:color w:val="auto"/>
                <w:sz w:val="22"/>
                <w:szCs w:val="22"/>
                <w:lang w:val="en-GB"/>
              </w:rPr>
            </w:pPr>
            <w:r w:rsidRPr="00A1626F">
              <w:rPr>
                <w:rFonts w:ascii="Times New Roman" w:hAnsi="Times New Roman" w:cs="Times New Roman"/>
                <w:b w:val="0"/>
                <w:noProof/>
                <w:color w:val="auto"/>
                <w:sz w:val="22"/>
                <w:szCs w:val="22"/>
                <w:lang w:val="en-GB"/>
              </w:rPr>
              <w:t>(Ram et al. 2021)</w:t>
            </w:r>
          </w:p>
        </w:tc>
        <w:tc>
          <w:tcPr>
            <w:tcW w:w="2352" w:type="dxa"/>
            <w:tcBorders>
              <w:left w:val="none" w:sz="0" w:space="0" w:color="auto"/>
              <w:right w:val="none" w:sz="0" w:space="0" w:color="auto"/>
            </w:tcBorders>
            <w:shd w:val="clear" w:color="auto" w:fill="auto"/>
            <w:vAlign w:val="center"/>
          </w:tcPr>
          <w:p w14:paraId="64B0F734" w14:textId="77777777"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South-western district of Uttar Pradesh, India</w:t>
            </w:r>
          </w:p>
        </w:tc>
        <w:tc>
          <w:tcPr>
            <w:tcW w:w="2085" w:type="dxa"/>
            <w:tcBorders>
              <w:left w:val="none" w:sz="0" w:space="0" w:color="auto"/>
              <w:right w:val="none" w:sz="0" w:space="0" w:color="auto"/>
            </w:tcBorders>
            <w:shd w:val="clear" w:color="auto" w:fill="auto"/>
            <w:vAlign w:val="center"/>
          </w:tcPr>
          <w:p w14:paraId="740883B1" w14:textId="4D0DFF6E"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Spatial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tcBorders>
              <w:left w:val="none" w:sz="0" w:space="0" w:color="auto"/>
              <w:right w:val="none" w:sz="0" w:space="0" w:color="auto"/>
            </w:tcBorders>
            <w:shd w:val="clear" w:color="auto" w:fill="auto"/>
            <w:vAlign w:val="center"/>
          </w:tcPr>
          <w:p w14:paraId="76A0515D" w14:textId="0A73BC4A" w:rsidR="006A27DC" w:rsidRPr="00A1626F" w:rsidRDefault="006A27DC" w:rsidP="009528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GIS-based Mapping,</w:t>
            </w:r>
            <w:r w:rsidR="0095280A">
              <w:rPr>
                <w:rFonts w:ascii="Times New Roman" w:hAnsi="Times New Roman" w:cs="Times New Roman"/>
                <w:noProof/>
                <w:color w:val="auto"/>
                <w:sz w:val="22"/>
                <w:szCs w:val="22"/>
                <w:lang w:val="en-GB"/>
              </w:rPr>
              <w:t xml:space="preserve"> </w:t>
            </w:r>
            <w:r w:rsidRPr="00A1626F">
              <w:rPr>
                <w:rFonts w:ascii="Times New Roman" w:hAnsi="Times New Roman" w:cs="Times New Roman"/>
                <w:noProof/>
                <w:color w:val="auto"/>
                <w:sz w:val="22"/>
                <w:szCs w:val="22"/>
                <w:lang w:val="en-GB"/>
              </w:rPr>
              <w:t>IDW interpolation</w:t>
            </w:r>
          </w:p>
        </w:tc>
      </w:tr>
      <w:tr w:rsidR="00392FF4" w:rsidRPr="00392FF4" w14:paraId="45013636" w14:textId="77777777" w:rsidTr="00A1626F">
        <w:trPr>
          <w:trHeight w:val="567"/>
        </w:trPr>
        <w:tc>
          <w:tcPr>
            <w:cnfStyle w:val="001000000000" w:firstRow="0" w:lastRow="0" w:firstColumn="1" w:lastColumn="0" w:oddVBand="0" w:evenVBand="0" w:oddHBand="0" w:evenHBand="0" w:firstRowFirstColumn="0" w:firstRowLastColumn="0" w:lastRowFirstColumn="0" w:lastRowLastColumn="0"/>
            <w:tcW w:w="2767" w:type="dxa"/>
            <w:shd w:val="clear" w:color="auto" w:fill="auto"/>
            <w:vAlign w:val="center"/>
          </w:tcPr>
          <w:p w14:paraId="41DFBC70" w14:textId="593C7A44" w:rsidR="006A27DC" w:rsidRPr="00A1626F" w:rsidRDefault="006A27DC" w:rsidP="00392FF4">
            <w:pPr>
              <w:rPr>
                <w:rFonts w:ascii="Times New Roman" w:hAnsi="Times New Roman" w:cs="Times New Roman"/>
                <w:b w:val="0"/>
                <w:noProof/>
                <w:color w:val="auto"/>
                <w:sz w:val="22"/>
                <w:szCs w:val="22"/>
                <w:lang w:val="en-GB"/>
              </w:rPr>
            </w:pPr>
            <w:r w:rsidRPr="00A1626F">
              <w:rPr>
                <w:rFonts w:ascii="Times New Roman" w:hAnsi="Times New Roman" w:cs="Times New Roman"/>
                <w:b w:val="0"/>
                <w:noProof/>
                <w:color w:val="auto"/>
                <w:sz w:val="22"/>
                <w:szCs w:val="22"/>
                <w:lang w:val="en-GB"/>
              </w:rPr>
              <w:t>(Naddeo 2023)</w:t>
            </w:r>
          </w:p>
        </w:tc>
        <w:tc>
          <w:tcPr>
            <w:tcW w:w="2352" w:type="dxa"/>
            <w:shd w:val="clear" w:color="auto" w:fill="auto"/>
            <w:vAlign w:val="center"/>
          </w:tcPr>
          <w:p w14:paraId="3F4CFE09" w14:textId="021916A9"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Salerno of Napoli in</w:t>
            </w:r>
            <w:r w:rsidR="00392FF4" w:rsidRPr="00A1626F">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Italy</w:t>
            </w:r>
          </w:p>
        </w:tc>
        <w:tc>
          <w:tcPr>
            <w:tcW w:w="2085" w:type="dxa"/>
            <w:shd w:val="clear" w:color="auto" w:fill="auto"/>
            <w:vAlign w:val="center"/>
          </w:tcPr>
          <w:p w14:paraId="07BA87F3" w14:textId="656405A2"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shd w:val="clear" w:color="auto" w:fill="auto"/>
            <w:vAlign w:val="center"/>
          </w:tcPr>
          <w:p w14:paraId="19FE1F3D" w14:textId="63B66C7E"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with</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Mann-Kendall</w:t>
            </w:r>
          </w:p>
        </w:tc>
      </w:tr>
      <w:tr w:rsidR="00392FF4" w:rsidRPr="00392FF4" w14:paraId="77164B00" w14:textId="77777777" w:rsidTr="00A1626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7" w:type="dxa"/>
            <w:tcBorders>
              <w:left w:val="none" w:sz="0" w:space="0" w:color="auto"/>
              <w:right w:val="none" w:sz="0" w:space="0" w:color="auto"/>
            </w:tcBorders>
            <w:shd w:val="clear" w:color="auto" w:fill="auto"/>
            <w:vAlign w:val="center"/>
          </w:tcPr>
          <w:p w14:paraId="6832059E" w14:textId="2580A9DC" w:rsidR="006A27DC" w:rsidRPr="00A1626F" w:rsidRDefault="006A27DC" w:rsidP="00392FF4">
            <w:pPr>
              <w:rPr>
                <w:rFonts w:ascii="Times New Roman" w:hAnsi="Times New Roman" w:cs="Times New Roman"/>
                <w:b w:val="0"/>
                <w:bCs w:val="0"/>
                <w:noProof/>
                <w:color w:val="auto"/>
                <w:sz w:val="22"/>
                <w:szCs w:val="22"/>
                <w:lang w:val="en-GB"/>
              </w:rPr>
            </w:pPr>
            <w:r w:rsidRPr="00A1626F">
              <w:rPr>
                <w:rFonts w:ascii="Times New Roman" w:hAnsi="Times New Roman" w:cs="Times New Roman"/>
                <w:b w:val="0"/>
                <w:noProof/>
                <w:color w:val="auto"/>
                <w:sz w:val="22"/>
                <w:szCs w:val="22"/>
                <w:lang w:val="en-GB"/>
              </w:rPr>
              <w:t>(Alilou et al. 2022)</w:t>
            </w:r>
          </w:p>
        </w:tc>
        <w:tc>
          <w:tcPr>
            <w:tcW w:w="2352" w:type="dxa"/>
            <w:tcBorders>
              <w:left w:val="none" w:sz="0" w:space="0" w:color="auto"/>
              <w:right w:val="none" w:sz="0" w:space="0" w:color="auto"/>
            </w:tcBorders>
            <w:shd w:val="clear" w:color="auto" w:fill="auto"/>
            <w:vAlign w:val="center"/>
          </w:tcPr>
          <w:p w14:paraId="620E6366" w14:textId="77777777"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South-west Australia</w:t>
            </w:r>
          </w:p>
        </w:tc>
        <w:tc>
          <w:tcPr>
            <w:tcW w:w="2085" w:type="dxa"/>
            <w:tcBorders>
              <w:left w:val="none" w:sz="0" w:space="0" w:color="auto"/>
              <w:right w:val="none" w:sz="0" w:space="0" w:color="auto"/>
            </w:tcBorders>
            <w:shd w:val="clear" w:color="auto" w:fill="auto"/>
            <w:vAlign w:val="center"/>
          </w:tcPr>
          <w:p w14:paraId="5D083A90" w14:textId="2DB8CA21"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tcBorders>
              <w:left w:val="none" w:sz="0" w:space="0" w:color="auto"/>
              <w:right w:val="none" w:sz="0" w:space="0" w:color="auto"/>
            </w:tcBorders>
            <w:shd w:val="clear" w:color="auto" w:fill="auto"/>
            <w:vAlign w:val="center"/>
          </w:tcPr>
          <w:p w14:paraId="1FBB7F7B" w14:textId="37F98CFC" w:rsidR="006A27DC" w:rsidRPr="00A1626F" w:rsidRDefault="006A27DC" w:rsidP="00392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with</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Mann-Kendall</w:t>
            </w:r>
          </w:p>
        </w:tc>
      </w:tr>
      <w:tr w:rsidR="00392FF4" w:rsidRPr="00392FF4" w14:paraId="7FD3852A" w14:textId="77777777" w:rsidTr="00A1626F">
        <w:trPr>
          <w:trHeight w:val="567"/>
        </w:trPr>
        <w:tc>
          <w:tcPr>
            <w:cnfStyle w:val="001000000000" w:firstRow="0" w:lastRow="0" w:firstColumn="1" w:lastColumn="0" w:oddVBand="0" w:evenVBand="0" w:oddHBand="0" w:evenHBand="0" w:firstRowFirstColumn="0" w:firstRowLastColumn="0" w:lastRowFirstColumn="0" w:lastRowLastColumn="0"/>
            <w:tcW w:w="2767" w:type="dxa"/>
            <w:shd w:val="clear" w:color="auto" w:fill="auto"/>
            <w:vAlign w:val="center"/>
          </w:tcPr>
          <w:p w14:paraId="476B6289" w14:textId="487A23BE" w:rsidR="006A27DC" w:rsidRPr="00A1626F" w:rsidRDefault="006A27DC" w:rsidP="00392FF4">
            <w:pPr>
              <w:rPr>
                <w:rFonts w:ascii="Times New Roman" w:hAnsi="Times New Roman" w:cs="Times New Roman"/>
                <w:b w:val="0"/>
                <w:bCs w:val="0"/>
                <w:noProof/>
                <w:color w:val="auto"/>
                <w:sz w:val="22"/>
                <w:szCs w:val="22"/>
                <w:lang w:val="en-GB"/>
              </w:rPr>
            </w:pPr>
            <w:r w:rsidRPr="00A1626F">
              <w:rPr>
                <w:rFonts w:ascii="Times New Roman" w:hAnsi="Times New Roman" w:cs="Times New Roman"/>
                <w:b w:val="0"/>
                <w:noProof/>
                <w:color w:val="auto"/>
                <w:sz w:val="22"/>
                <w:szCs w:val="22"/>
                <w:lang w:val="en-GB"/>
              </w:rPr>
              <w:t>(Gao et al. 2023)</w:t>
            </w:r>
          </w:p>
        </w:tc>
        <w:tc>
          <w:tcPr>
            <w:tcW w:w="2352" w:type="dxa"/>
            <w:shd w:val="clear" w:color="auto" w:fill="auto"/>
            <w:vAlign w:val="center"/>
          </w:tcPr>
          <w:p w14:paraId="7DB00D37" w14:textId="77777777"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Xiaoqing River, China</w:t>
            </w:r>
          </w:p>
        </w:tc>
        <w:tc>
          <w:tcPr>
            <w:tcW w:w="2085" w:type="dxa"/>
            <w:shd w:val="clear" w:color="auto" w:fill="auto"/>
            <w:vAlign w:val="center"/>
          </w:tcPr>
          <w:p w14:paraId="65F7E2F3" w14:textId="1EA1C851"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of</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water quality</w:t>
            </w:r>
          </w:p>
        </w:tc>
        <w:tc>
          <w:tcPr>
            <w:tcW w:w="2435" w:type="dxa"/>
            <w:shd w:val="clear" w:color="auto" w:fill="auto"/>
            <w:vAlign w:val="center"/>
          </w:tcPr>
          <w:p w14:paraId="71CA7ABC" w14:textId="1FA80436" w:rsidR="006A27DC" w:rsidRPr="00A1626F" w:rsidRDefault="006A27DC" w:rsidP="00392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lang w:val="en-GB"/>
              </w:rPr>
            </w:pPr>
            <w:r w:rsidRPr="00A1626F">
              <w:rPr>
                <w:rFonts w:ascii="Times New Roman" w:hAnsi="Times New Roman" w:cs="Times New Roman"/>
                <w:noProof/>
                <w:color w:val="auto"/>
                <w:sz w:val="22"/>
                <w:szCs w:val="22"/>
                <w:lang w:val="en-GB"/>
              </w:rPr>
              <w:t>Trend Analysis with</w:t>
            </w:r>
            <w:r w:rsidR="0095280A">
              <w:rPr>
                <w:rFonts w:ascii="Times New Roman" w:hAnsi="Times New Roman" w:cs="Times New Roman"/>
                <w:noProof/>
                <w:color w:val="auto"/>
                <w:sz w:val="22"/>
                <w:szCs w:val="22"/>
                <w:lang w:val="en-GB"/>
              </w:rPr>
              <w:t> </w:t>
            </w:r>
            <w:r w:rsidRPr="00A1626F">
              <w:rPr>
                <w:rFonts w:ascii="Times New Roman" w:hAnsi="Times New Roman" w:cs="Times New Roman"/>
                <w:noProof/>
                <w:color w:val="auto"/>
                <w:sz w:val="22"/>
                <w:szCs w:val="22"/>
                <w:lang w:val="en-GB"/>
              </w:rPr>
              <w:t>Mann-Kendall</w:t>
            </w:r>
          </w:p>
        </w:tc>
      </w:tr>
    </w:tbl>
    <w:p w14:paraId="0F422FB9" w14:textId="77777777" w:rsidR="006A27DC" w:rsidRPr="00B8605D" w:rsidRDefault="006A27DC" w:rsidP="003851DF">
      <w:pPr>
        <w:pStyle w:val="Rn1"/>
        <w:rPr>
          <w:noProof/>
          <w:lang w:val="en-GB"/>
        </w:rPr>
      </w:pPr>
      <w:r w:rsidRPr="00B8605D">
        <w:rPr>
          <w:noProof/>
          <w:lang w:val="en-GB" w:eastAsia="tr-TR"/>
        </w:rPr>
        <w:t>4. Conclusions</w:t>
      </w:r>
    </w:p>
    <w:p w14:paraId="1D2E0E6C" w14:textId="0E37CE05" w:rsidR="006A27DC" w:rsidRPr="00B8605D" w:rsidRDefault="006A27DC" w:rsidP="003851DF">
      <w:pPr>
        <w:ind w:firstLine="284"/>
        <w:jc w:val="both"/>
        <w:rPr>
          <w:rFonts w:eastAsiaTheme="minorEastAsia"/>
          <w:noProof/>
          <w:sz w:val="22"/>
          <w:szCs w:val="22"/>
          <w:lang w:val="en-GB" w:eastAsia="tr-TR"/>
        </w:rPr>
      </w:pPr>
      <w:bookmarkStart w:id="4" w:name="_Hlk70425616"/>
      <w:r w:rsidRPr="00B8605D">
        <w:rPr>
          <w:rFonts w:eastAsiaTheme="minorEastAsia"/>
          <w:noProof/>
          <w:sz w:val="22"/>
          <w:szCs w:val="22"/>
          <w:lang w:val="en-GB" w:eastAsia="tr-TR"/>
        </w:rPr>
        <w:t xml:space="preserve">It is vital for human health that the water supplied for drinking water and released into the distribution network is high quality and healthy. </w:t>
      </w:r>
      <w:r w:rsidR="002004F2">
        <w:rPr>
          <w:rFonts w:eastAsiaTheme="minorEastAsia"/>
          <w:noProof/>
          <w:sz w:val="22"/>
          <w:szCs w:val="22"/>
          <w:lang w:val="en-GB" w:eastAsia="tr-TR"/>
        </w:rPr>
        <w:t>E</w:t>
      </w:r>
      <w:r w:rsidRPr="00B8605D">
        <w:rPr>
          <w:rFonts w:eastAsiaTheme="minorEastAsia"/>
          <w:noProof/>
          <w:sz w:val="22"/>
          <w:szCs w:val="22"/>
          <w:lang w:val="en-GB" w:eastAsia="tr-TR"/>
        </w:rPr>
        <w:t xml:space="preserve">pidemic disease in the drinking water treatment process or distribution network in a settlement can affect all people in the region and cause serious health problems. </w:t>
      </w:r>
      <w:r w:rsidR="002004F2">
        <w:rPr>
          <w:rFonts w:eastAsiaTheme="minorEastAsia"/>
          <w:noProof/>
          <w:sz w:val="22"/>
          <w:szCs w:val="22"/>
          <w:lang w:val="en-GB" w:eastAsia="tr-TR"/>
        </w:rPr>
        <w:t>T</w:t>
      </w:r>
      <w:r w:rsidRPr="00B8605D">
        <w:rPr>
          <w:rFonts w:eastAsiaTheme="minorEastAsia"/>
          <w:noProof/>
          <w:sz w:val="22"/>
          <w:szCs w:val="22"/>
          <w:lang w:val="en-GB" w:eastAsia="tr-TR"/>
        </w:rPr>
        <w:t xml:space="preserve">o prevent these negative incidents, water quality parameters and regional monitoring of these quality parameters are necessary. Therefore, </w:t>
      </w:r>
      <w:r w:rsidR="002004F2">
        <w:rPr>
          <w:rFonts w:eastAsiaTheme="minorEastAsia"/>
          <w:noProof/>
          <w:sz w:val="22"/>
          <w:szCs w:val="22"/>
          <w:lang w:val="en-GB" w:eastAsia="tr-TR"/>
        </w:rPr>
        <w:t>monitoring drinking water quality parameters from the source to the distribution network is important</w:t>
      </w:r>
      <w:r w:rsidRPr="00B8605D">
        <w:rPr>
          <w:rFonts w:eastAsiaTheme="minorEastAsia"/>
          <w:noProof/>
          <w:sz w:val="22"/>
          <w:szCs w:val="22"/>
          <w:lang w:val="en-GB" w:eastAsia="tr-TR"/>
        </w:rPr>
        <w:t>.</w:t>
      </w:r>
    </w:p>
    <w:p w14:paraId="1E5A1A1F" w14:textId="78B82D24"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Evaluating water quality parameters alone is not sufficient to monitor the current situation. It may be important for determining water quality, but it is </w:t>
      </w:r>
      <w:r w:rsidR="002004F2">
        <w:rPr>
          <w:rFonts w:eastAsiaTheme="minorEastAsia"/>
          <w:noProof/>
          <w:sz w:val="22"/>
          <w:szCs w:val="22"/>
          <w:lang w:val="en-GB" w:eastAsia="tr-TR"/>
        </w:rPr>
        <w:t>ineffective</w:t>
      </w:r>
      <w:r w:rsidRPr="00B8605D">
        <w:rPr>
          <w:rFonts w:eastAsiaTheme="minorEastAsia"/>
          <w:noProof/>
          <w:sz w:val="22"/>
          <w:szCs w:val="22"/>
          <w:lang w:val="en-GB" w:eastAsia="tr-TR"/>
        </w:rPr>
        <w:t xml:space="preserve"> in determining the current status and distribution. It is important to perform spatial analyses with statistical and geographical programs </w:t>
      </w:r>
      <w:r w:rsidR="002004F2">
        <w:rPr>
          <w:rFonts w:eastAsiaTheme="minorEastAsia"/>
          <w:noProof/>
          <w:sz w:val="22"/>
          <w:szCs w:val="22"/>
          <w:lang w:val="en-GB" w:eastAsia="tr-TR"/>
        </w:rPr>
        <w:t>to determine the current situation and take</w:t>
      </w:r>
      <w:r w:rsidRPr="00B8605D">
        <w:rPr>
          <w:rFonts w:eastAsiaTheme="minorEastAsia"/>
          <w:noProof/>
          <w:sz w:val="22"/>
          <w:szCs w:val="22"/>
          <w:lang w:val="en-GB" w:eastAsia="tr-TR"/>
        </w:rPr>
        <w:t xml:space="preserve"> precautions against future incidents with advanced technology. GIS enables spatial analysis by storing data in a digital environment. </w:t>
      </w:r>
    </w:p>
    <w:p w14:paraId="45CF4B4E" w14:textId="1ED60C46" w:rsidR="006A27DC" w:rsidRPr="00B8605D"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lastRenderedPageBreak/>
        <w:t>Within the scope of the current study, spatial analysis of drinking water quality parameters of Ankara province was carried out using Arc GIS 10.3.1 software</w:t>
      </w:r>
      <w:r w:rsidR="002004F2">
        <w:rPr>
          <w:rFonts w:eastAsiaTheme="minorEastAsia"/>
          <w:noProof/>
          <w:sz w:val="22"/>
          <w:szCs w:val="22"/>
          <w:lang w:val="en-GB" w:eastAsia="tr-TR"/>
        </w:rPr>
        <w:t>,</w:t>
      </w:r>
      <w:r w:rsidRPr="00B8605D">
        <w:rPr>
          <w:rFonts w:eastAsiaTheme="minorEastAsia"/>
          <w:noProof/>
          <w:sz w:val="22"/>
          <w:szCs w:val="22"/>
          <w:lang w:val="en-GB" w:eastAsia="tr-TR"/>
        </w:rPr>
        <w:t xml:space="preserve"> and the results were presented as map output. Spatial analyses were carried out by integrating water quality parameters with GIS. It is important to obtain clear results from the distribution maps created </w:t>
      </w:r>
      <w:r w:rsidR="002004F2">
        <w:rPr>
          <w:rFonts w:eastAsiaTheme="minorEastAsia"/>
          <w:noProof/>
          <w:sz w:val="22"/>
          <w:szCs w:val="22"/>
          <w:lang w:val="en-GB" w:eastAsia="tr-TR"/>
        </w:rPr>
        <w:t>from</w:t>
      </w:r>
      <w:r w:rsidRPr="00B8605D">
        <w:rPr>
          <w:rFonts w:eastAsiaTheme="minorEastAsia"/>
          <w:noProof/>
          <w:sz w:val="22"/>
          <w:szCs w:val="22"/>
          <w:lang w:val="en-GB" w:eastAsia="tr-TR"/>
        </w:rPr>
        <w:t xml:space="preserve"> these analyses </w:t>
      </w:r>
      <w:r w:rsidR="002004F2">
        <w:rPr>
          <w:rFonts w:eastAsiaTheme="minorEastAsia"/>
          <w:noProof/>
          <w:sz w:val="22"/>
          <w:szCs w:val="22"/>
          <w:lang w:val="en-GB" w:eastAsia="tr-TR"/>
        </w:rPr>
        <w:t>to monitor the current situation and</w:t>
      </w:r>
      <w:r w:rsidRPr="00B8605D">
        <w:rPr>
          <w:rFonts w:eastAsiaTheme="minorEastAsia"/>
          <w:noProof/>
          <w:sz w:val="22"/>
          <w:szCs w:val="22"/>
          <w:lang w:val="en-GB" w:eastAsia="tr-TR"/>
        </w:rPr>
        <w:t xml:space="preserve"> share the results obtained </w:t>
      </w:r>
      <w:r w:rsidR="002004F2">
        <w:rPr>
          <w:rFonts w:eastAsiaTheme="minorEastAsia"/>
          <w:noProof/>
          <w:sz w:val="22"/>
          <w:szCs w:val="22"/>
          <w:lang w:val="en-GB" w:eastAsia="tr-TR"/>
        </w:rPr>
        <w:t>strikingly and effectivel</w:t>
      </w:r>
      <w:r w:rsidRPr="00B8605D">
        <w:rPr>
          <w:rFonts w:eastAsiaTheme="minorEastAsia"/>
          <w:noProof/>
          <w:sz w:val="22"/>
          <w:szCs w:val="22"/>
          <w:lang w:val="en-GB" w:eastAsia="tr-TR"/>
        </w:rPr>
        <w:t xml:space="preserve">y. Drinking water quality parameters can be evaluated with spatial analyses created in GIS. In addition, many factors such as climate, agriculture, </w:t>
      </w:r>
      <w:r w:rsidR="002004F2">
        <w:rPr>
          <w:rFonts w:eastAsiaTheme="minorEastAsia"/>
          <w:noProof/>
          <w:sz w:val="22"/>
          <w:szCs w:val="22"/>
          <w:lang w:val="en-GB" w:eastAsia="tr-TR"/>
        </w:rPr>
        <w:t xml:space="preserve">and </w:t>
      </w:r>
      <w:r w:rsidRPr="00B8605D">
        <w:rPr>
          <w:rFonts w:eastAsiaTheme="minorEastAsia"/>
          <w:noProof/>
          <w:sz w:val="22"/>
          <w:szCs w:val="22"/>
          <w:lang w:val="en-GB" w:eastAsia="tr-TR"/>
        </w:rPr>
        <w:t>population change can be analy</w:t>
      </w:r>
      <w:r w:rsidR="002004F2">
        <w:rPr>
          <w:rFonts w:eastAsiaTheme="minorEastAsia"/>
          <w:noProof/>
          <w:sz w:val="22"/>
          <w:szCs w:val="22"/>
          <w:lang w:val="en-GB" w:eastAsia="tr-TR"/>
        </w:rPr>
        <w:t>z</w:t>
      </w:r>
      <w:r w:rsidRPr="00B8605D">
        <w:rPr>
          <w:rFonts w:eastAsiaTheme="minorEastAsia"/>
          <w:noProof/>
          <w:sz w:val="22"/>
          <w:szCs w:val="22"/>
          <w:lang w:val="en-GB" w:eastAsia="tr-TR"/>
        </w:rPr>
        <w:t>ed to reveal clear results and factors.</w:t>
      </w:r>
    </w:p>
    <w:p w14:paraId="3DDB7E55" w14:textId="14A1A82F" w:rsidR="006A27DC" w:rsidRPr="00B8605D" w:rsidRDefault="006A27DC" w:rsidP="003851DF">
      <w:pPr>
        <w:ind w:firstLine="284"/>
        <w:jc w:val="both"/>
        <w:rPr>
          <w:noProof/>
          <w:sz w:val="22"/>
          <w:szCs w:val="22"/>
          <w:lang w:val="en-GB"/>
        </w:rPr>
      </w:pPr>
      <w:r w:rsidRPr="00B8605D">
        <w:rPr>
          <w:noProof/>
          <w:sz w:val="22"/>
          <w:szCs w:val="22"/>
          <w:lang w:val="en-GB"/>
        </w:rPr>
        <w:t xml:space="preserve">Ankara province, which is important due to its strategic location, is in the Central Anatolia region and </w:t>
      </w:r>
      <w:r w:rsidR="002004F2">
        <w:rPr>
          <w:noProof/>
          <w:sz w:val="22"/>
          <w:szCs w:val="22"/>
          <w:lang w:val="en-GB"/>
        </w:rPr>
        <w:t xml:space="preserve">the </w:t>
      </w:r>
      <w:r w:rsidRPr="00B8605D">
        <w:rPr>
          <w:noProof/>
          <w:sz w:val="22"/>
          <w:szCs w:val="22"/>
          <w:lang w:val="en-GB"/>
        </w:rPr>
        <w:t>capital of Turkey. Due to regional geography, the drought rate is high. With the increasing temperature due to drought, decreases in water resources are inevitable. Dams provide the majority of raw water resources for drinking water in Ankara. The water occupancy rate in dams is important for the world and Turkey. The same importance applies to Ankara. In some districts of Ankara, groundwater is used as a drinking water source.</w:t>
      </w:r>
    </w:p>
    <w:p w14:paraId="288A5AB2" w14:textId="42EA073B" w:rsidR="006A27DC" w:rsidRDefault="006A27DC" w:rsidP="003851DF">
      <w:pPr>
        <w:ind w:firstLine="284"/>
        <w:jc w:val="both"/>
        <w:rPr>
          <w:rFonts w:eastAsiaTheme="minorEastAsia"/>
          <w:noProof/>
          <w:sz w:val="22"/>
          <w:szCs w:val="22"/>
          <w:lang w:val="en-GB" w:eastAsia="tr-TR"/>
        </w:rPr>
      </w:pPr>
      <w:r w:rsidRPr="00B8605D">
        <w:rPr>
          <w:rFonts w:eastAsiaTheme="minorEastAsia"/>
          <w:noProof/>
          <w:sz w:val="22"/>
          <w:szCs w:val="22"/>
          <w:lang w:val="en-GB" w:eastAsia="tr-TR"/>
        </w:rPr>
        <w:t xml:space="preserve">Nowadays, </w:t>
      </w:r>
      <w:r w:rsidR="002004F2">
        <w:rPr>
          <w:rFonts w:eastAsiaTheme="minorEastAsia"/>
          <w:noProof/>
          <w:sz w:val="22"/>
          <w:szCs w:val="22"/>
          <w:lang w:val="en-GB" w:eastAsia="tr-TR"/>
        </w:rPr>
        <w:t>the amount of water used for drinking is</w:t>
      </w:r>
      <w:r w:rsidRPr="00B8605D">
        <w:rPr>
          <w:rFonts w:eastAsiaTheme="minorEastAsia"/>
          <w:noProof/>
          <w:sz w:val="22"/>
          <w:szCs w:val="22"/>
          <w:lang w:val="en-GB" w:eastAsia="tr-TR"/>
        </w:rPr>
        <w:t xml:space="preserve"> decreasing, and the importance of water resources is increasing. </w:t>
      </w:r>
      <w:r w:rsidR="002004F2">
        <w:rPr>
          <w:rFonts w:eastAsiaTheme="minorEastAsia"/>
          <w:noProof/>
          <w:sz w:val="22"/>
          <w:szCs w:val="22"/>
          <w:lang w:val="en-GB" w:eastAsia="tr-TR"/>
        </w:rPr>
        <w:t>Unfortunately, the opportunity to access quality water resources to obtain drinking water is decreasing</w:t>
      </w:r>
      <w:r w:rsidRPr="00B8605D">
        <w:rPr>
          <w:rFonts w:eastAsiaTheme="minorEastAsia"/>
          <w:noProof/>
          <w:sz w:val="22"/>
          <w:szCs w:val="22"/>
          <w:lang w:val="en-GB" w:eastAsia="tr-TR"/>
        </w:rPr>
        <w:t xml:space="preserve">. Evaluation using GIS or different statistical analyses will provide more necessary information for today and the future. As a result of all these processes, it will be important for local governments to use GIS more widely and actively </w:t>
      </w:r>
      <w:r w:rsidR="002004F2">
        <w:rPr>
          <w:rFonts w:eastAsiaTheme="minorEastAsia"/>
          <w:noProof/>
          <w:sz w:val="22"/>
          <w:szCs w:val="22"/>
          <w:lang w:val="en-GB" w:eastAsia="tr-TR"/>
        </w:rPr>
        <w:t>to control the existing water potential and monitor</w:t>
      </w:r>
      <w:r w:rsidRPr="00B8605D">
        <w:rPr>
          <w:rFonts w:eastAsiaTheme="minorEastAsia"/>
          <w:noProof/>
          <w:sz w:val="22"/>
          <w:szCs w:val="22"/>
          <w:lang w:val="en-GB" w:eastAsia="tr-TR"/>
        </w:rPr>
        <w:t xml:space="preserve"> drinking water quality parameter results. This will save time, especially in determining the measures that can be taken against current and future changes or dangers.</w:t>
      </w:r>
    </w:p>
    <w:p w14:paraId="59715CC0" w14:textId="77777777" w:rsidR="000A57A3" w:rsidRPr="00B8605D" w:rsidRDefault="000A57A3" w:rsidP="003851DF">
      <w:pPr>
        <w:ind w:firstLine="284"/>
        <w:jc w:val="both"/>
        <w:rPr>
          <w:rFonts w:eastAsiaTheme="minorEastAsia"/>
          <w:noProof/>
          <w:sz w:val="22"/>
          <w:szCs w:val="22"/>
          <w:lang w:val="en-GB" w:eastAsia="tr-TR"/>
        </w:rPr>
      </w:pPr>
    </w:p>
    <w:p w14:paraId="64A15207" w14:textId="31CD754D" w:rsidR="006A27DC" w:rsidRPr="00DF551A" w:rsidRDefault="006A27DC" w:rsidP="00DF551A">
      <w:pPr>
        <w:jc w:val="center"/>
        <w:rPr>
          <w:i/>
          <w:iCs/>
          <w:noProof/>
          <w:color w:val="333333"/>
          <w:sz w:val="22"/>
          <w:szCs w:val="22"/>
          <w:shd w:val="clear" w:color="auto" w:fill="FFFFFF"/>
          <w:lang w:val="en-GB"/>
        </w:rPr>
      </w:pPr>
      <w:r w:rsidRPr="00DF551A">
        <w:rPr>
          <w:i/>
          <w:iCs/>
          <w:noProof/>
          <w:sz w:val="22"/>
          <w:szCs w:val="22"/>
          <w:lang w:val="en-GB"/>
        </w:rPr>
        <w:t xml:space="preserve">This study is quoted from a part of the MSc thesis of Oğuzhan ARSLAN titled "Modeling of Drinking </w:t>
      </w:r>
      <w:r w:rsidR="00DF551A">
        <w:rPr>
          <w:i/>
          <w:iCs/>
          <w:noProof/>
          <w:sz w:val="22"/>
          <w:szCs w:val="22"/>
          <w:lang w:val="en-GB"/>
        </w:rPr>
        <w:br/>
      </w:r>
      <w:r w:rsidRPr="00DF551A">
        <w:rPr>
          <w:i/>
          <w:iCs/>
          <w:noProof/>
          <w:sz w:val="22"/>
          <w:szCs w:val="22"/>
          <w:lang w:val="en-GB"/>
        </w:rPr>
        <w:t xml:space="preserve">Water Quality Parameters in Ankara Province with Geography Information Systems (GIS) by Using Different Interpolation Methods", Nevsehir Hacı Bektas Veli Univesity, </w:t>
      </w:r>
      <w:r w:rsidRPr="00DF551A">
        <w:rPr>
          <w:i/>
          <w:iCs/>
          <w:noProof/>
          <w:color w:val="333333"/>
          <w:sz w:val="22"/>
          <w:szCs w:val="22"/>
          <w:shd w:val="clear" w:color="auto" w:fill="FFFFFF"/>
          <w:lang w:val="en-GB"/>
        </w:rPr>
        <w:t xml:space="preserve">Graduate School of Natural </w:t>
      </w:r>
      <w:r w:rsidR="00DF551A">
        <w:rPr>
          <w:i/>
          <w:iCs/>
          <w:noProof/>
          <w:color w:val="333333"/>
          <w:sz w:val="22"/>
          <w:szCs w:val="22"/>
          <w:shd w:val="clear" w:color="auto" w:fill="FFFFFF"/>
          <w:lang w:val="en-GB"/>
        </w:rPr>
        <w:br/>
      </w:r>
      <w:r w:rsidRPr="00DF551A">
        <w:rPr>
          <w:i/>
          <w:iCs/>
          <w:noProof/>
          <w:color w:val="333333"/>
          <w:sz w:val="22"/>
          <w:szCs w:val="22"/>
          <w:shd w:val="clear" w:color="auto" w:fill="FFFFFF"/>
          <w:lang w:val="en-GB"/>
        </w:rPr>
        <w:t>and Applied Sciences.</w:t>
      </w:r>
    </w:p>
    <w:bookmarkEnd w:id="4"/>
    <w:p w14:paraId="4B5C9BCE" w14:textId="6D0026B6" w:rsidR="006A27DC" w:rsidRPr="00B8605D" w:rsidRDefault="006A27DC" w:rsidP="003851DF">
      <w:pPr>
        <w:pStyle w:val="Rn2"/>
        <w:rPr>
          <w:noProof/>
          <w:lang w:val="en-GB"/>
        </w:rPr>
      </w:pPr>
      <w:r w:rsidRPr="00B8605D">
        <w:rPr>
          <w:noProof/>
          <w:lang w:val="en-GB"/>
        </w:rPr>
        <w:t>References</w:t>
      </w:r>
    </w:p>
    <w:p w14:paraId="27633F2D" w14:textId="7B445679" w:rsidR="006A27DC" w:rsidRPr="00B8605D" w:rsidRDefault="006A27DC" w:rsidP="003851DF">
      <w:pPr>
        <w:pStyle w:val="Rlit"/>
        <w:rPr>
          <w:noProof/>
          <w:lang w:val="en-GB"/>
        </w:rPr>
      </w:pPr>
      <w:r w:rsidRPr="00B8605D">
        <w:rPr>
          <w:bCs/>
          <w:noProof/>
          <w:lang w:val="en-GB"/>
        </w:rPr>
        <w:t xml:space="preserve">Akın, M.,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bCs/>
          <w:noProof/>
          <w:lang w:val="en-GB"/>
        </w:rPr>
        <w:t xml:space="preserve">Akın, G. (2007). </w:t>
      </w:r>
      <w:r w:rsidRPr="00B8605D">
        <w:rPr>
          <w:noProof/>
          <w:lang w:val="en-GB"/>
        </w:rPr>
        <w:t>Suyun önemi, Türkiye’de su potansiyeli, su havzaları ve su kirliliği</w:t>
      </w:r>
      <w:r w:rsidR="000B6B33">
        <w:rPr>
          <w:noProof/>
          <w:lang w:val="en-GB"/>
        </w:rPr>
        <w:t>.</w:t>
      </w:r>
      <w:r w:rsidRPr="00B8605D">
        <w:rPr>
          <w:i/>
          <w:iCs/>
          <w:noProof/>
          <w:lang w:val="en-GB"/>
        </w:rPr>
        <w:t xml:space="preserve"> Ankara Üniversitesi Dil ve Tarih-Coğrafya Fakültesi Dergisi</w:t>
      </w:r>
      <w:r w:rsidRPr="000B6B33">
        <w:rPr>
          <w:noProof/>
          <w:lang w:val="en-GB"/>
        </w:rPr>
        <w:t>,</w:t>
      </w:r>
      <w:r w:rsidRPr="000B6B33">
        <w:rPr>
          <w:bCs/>
          <w:noProof/>
          <w:lang w:val="en-GB"/>
        </w:rPr>
        <w:t xml:space="preserve"> </w:t>
      </w:r>
      <w:r w:rsidRPr="000B6B33">
        <w:rPr>
          <w:i/>
          <w:iCs/>
          <w:noProof/>
          <w:lang w:val="en-GB"/>
        </w:rPr>
        <w:t>47</w:t>
      </w:r>
      <w:r w:rsidRPr="00B8605D">
        <w:rPr>
          <w:noProof/>
          <w:lang w:val="en-GB"/>
        </w:rPr>
        <w:t>(2), 105-118 (in Turkish)</w:t>
      </w:r>
    </w:p>
    <w:p w14:paraId="257B63F6" w14:textId="07B66C74" w:rsidR="006A27DC" w:rsidRPr="00B8605D" w:rsidRDefault="006A27DC" w:rsidP="003851DF">
      <w:pPr>
        <w:pStyle w:val="Rlit"/>
        <w:rPr>
          <w:rFonts w:eastAsia="Calibri"/>
          <w:bCs/>
          <w:noProof/>
          <w:kern w:val="32"/>
          <w:shd w:val="clear" w:color="auto" w:fill="FFFFFF"/>
          <w:lang w:val="en-GB"/>
        </w:rPr>
      </w:pPr>
      <w:r w:rsidRPr="00B8605D">
        <w:rPr>
          <w:rFonts w:eastAsia="Calibri"/>
          <w:bCs/>
          <w:noProof/>
          <w:kern w:val="32"/>
          <w:shd w:val="clear" w:color="auto" w:fill="FFFFFF"/>
          <w:lang w:val="en-GB"/>
        </w:rPr>
        <w:t>Ali, S.,</w:t>
      </w:r>
      <w:r w:rsidR="00B8605D" w:rsidRPr="00B8605D">
        <w:rPr>
          <w:rFonts w:eastAsia="Calibri"/>
          <w:bCs/>
          <w:noProof/>
          <w:kern w:val="32"/>
          <w:shd w:val="clear" w:color="auto" w:fill="FFFFFF"/>
          <w:lang w:val="en-GB"/>
        </w:rPr>
        <w:t xml:space="preserve"> </w:t>
      </w:r>
      <w:r w:rsidRPr="00B8605D">
        <w:rPr>
          <w:rFonts w:eastAsia="Calibri"/>
          <w:bCs/>
          <w:noProof/>
          <w:kern w:val="32"/>
          <w:shd w:val="clear" w:color="auto" w:fill="FFFFFF"/>
          <w:lang w:val="en-GB"/>
        </w:rPr>
        <w:t xml:space="preserve">Farooq F. H., Abbas G., Hussain Z., Anwar M. S., Ahmad R. I., Naz F., Hussain M., Nawaz H., Shaukat M., Shaukat H., Sindhu M. W.,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rFonts w:eastAsia="Calibri"/>
          <w:bCs/>
          <w:noProof/>
          <w:kern w:val="32"/>
          <w:shd w:val="clear" w:color="auto" w:fill="FFFFFF"/>
          <w:lang w:val="en-GB"/>
        </w:rPr>
        <w:t>Sindhu M. A. (2022). Clean Drinking Water And Future Prospective</w:t>
      </w:r>
      <w:r w:rsidR="000B6B33">
        <w:rPr>
          <w:rFonts w:eastAsia="Calibri"/>
          <w:bCs/>
          <w:noProof/>
          <w:kern w:val="32"/>
          <w:shd w:val="clear" w:color="auto" w:fill="FFFFFF"/>
          <w:lang w:val="en-GB"/>
        </w:rPr>
        <w:t>.</w:t>
      </w:r>
      <w:r w:rsidRPr="00B8605D">
        <w:rPr>
          <w:rFonts w:eastAsia="Calibri"/>
          <w:bCs/>
          <w:noProof/>
          <w:kern w:val="32"/>
          <w:shd w:val="clear" w:color="auto" w:fill="FFFFFF"/>
          <w:lang w:val="en-GB"/>
        </w:rPr>
        <w:t xml:space="preserve"> </w:t>
      </w:r>
      <w:r w:rsidRPr="00B8605D">
        <w:rPr>
          <w:rFonts w:eastAsia="Calibri"/>
          <w:bCs/>
          <w:i/>
          <w:noProof/>
          <w:kern w:val="32"/>
          <w:shd w:val="clear" w:color="auto" w:fill="FFFFFF"/>
          <w:lang w:val="en-GB"/>
        </w:rPr>
        <w:t>Pakistan Journal of Science</w:t>
      </w:r>
      <w:r w:rsidRPr="000B6B33">
        <w:rPr>
          <w:rFonts w:eastAsia="Calibri"/>
          <w:bCs/>
          <w:iCs/>
          <w:noProof/>
          <w:kern w:val="32"/>
          <w:shd w:val="clear" w:color="auto" w:fill="FFFFFF"/>
          <w:lang w:val="en-GB"/>
        </w:rPr>
        <w:t xml:space="preserve">, </w:t>
      </w:r>
      <w:r w:rsidRPr="000B6B33">
        <w:rPr>
          <w:rFonts w:eastAsia="Calibri"/>
          <w:bCs/>
          <w:i/>
          <w:iCs/>
          <w:noProof/>
          <w:kern w:val="32"/>
          <w:shd w:val="clear" w:color="auto" w:fill="FFFFFF"/>
          <w:lang w:val="en-GB"/>
        </w:rPr>
        <w:t>74</w:t>
      </w:r>
      <w:r w:rsidRPr="00B8605D">
        <w:rPr>
          <w:rFonts w:eastAsia="Calibri"/>
          <w:bCs/>
          <w:noProof/>
          <w:kern w:val="32"/>
          <w:shd w:val="clear" w:color="auto" w:fill="FFFFFF"/>
          <w:lang w:val="en-GB"/>
        </w:rPr>
        <w:t>(1), 28-39.</w:t>
      </w:r>
    </w:p>
    <w:p w14:paraId="09B69A34" w14:textId="5E781C96" w:rsidR="006A27DC" w:rsidRPr="0095280A" w:rsidRDefault="006A27DC" w:rsidP="000B6B33">
      <w:pPr>
        <w:pStyle w:val="Rlit"/>
        <w:jc w:val="left"/>
      </w:pPr>
      <w:r w:rsidRPr="00B8605D">
        <w:rPr>
          <w:noProof/>
          <w:lang w:val="en-GB"/>
        </w:rPr>
        <w:t>ASKİ (2021). İçme suyu kalitesi parametreleri, Ankara Su ve Kanalizasyon İdaresi Genel Müdürlüğü,</w:t>
      </w:r>
      <w:r w:rsidR="00B8605D" w:rsidRPr="00B8605D">
        <w:rPr>
          <w:noProof/>
          <w:lang w:val="en-GB"/>
        </w:rPr>
        <w:t xml:space="preserve"> </w:t>
      </w:r>
      <w:hyperlink r:id="rId17" w:history="1">
        <w:r w:rsidRPr="0095280A">
          <w:t>https://www.aski.gov.tr/TR/SuAnalizSonuclari.aspx</w:t>
        </w:r>
      </w:hyperlink>
      <w:r w:rsidRPr="0095280A">
        <w:t xml:space="preserve"> (in Turkish)</w:t>
      </w:r>
    </w:p>
    <w:p w14:paraId="3D467B75" w14:textId="7C6B416E" w:rsidR="006A27DC" w:rsidRPr="0095280A" w:rsidRDefault="006A27DC" w:rsidP="008B7D15">
      <w:pPr>
        <w:pStyle w:val="Rlit"/>
        <w:jc w:val="left"/>
      </w:pPr>
      <w:r w:rsidRPr="00B8605D">
        <w:rPr>
          <w:noProof/>
          <w:shd w:val="clear" w:color="auto" w:fill="FFFFFF"/>
          <w:lang w:val="en-GB"/>
        </w:rPr>
        <w:t xml:space="preserve">Al Yousıf, M. A.,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shd w:val="clear" w:color="auto" w:fill="FFFFFF"/>
          <w:lang w:val="en-GB"/>
        </w:rPr>
        <w:t>Chabuk A. (2023). Assessment of the Al-Abbasiyah River (Iraq) Water Quality for Drinking Purposes Using the Water Quality Index and GIS Software</w:t>
      </w:r>
      <w:r w:rsidR="000B6B33">
        <w:rPr>
          <w:noProof/>
          <w:shd w:val="clear" w:color="auto" w:fill="FFFFFF"/>
          <w:lang w:val="en-GB"/>
        </w:rPr>
        <w:t>.</w:t>
      </w:r>
      <w:r w:rsidRPr="00B8605D">
        <w:rPr>
          <w:noProof/>
          <w:shd w:val="clear" w:color="auto" w:fill="FFFFFF"/>
          <w:lang w:val="en-GB"/>
        </w:rPr>
        <w:t xml:space="preserve"> </w:t>
      </w:r>
      <w:r w:rsidRPr="00B8605D">
        <w:rPr>
          <w:i/>
          <w:noProof/>
          <w:shd w:val="clear" w:color="auto" w:fill="FFFFFF"/>
          <w:lang w:val="en-GB"/>
        </w:rPr>
        <w:t>Journal of Ecological Engineering</w:t>
      </w:r>
      <w:r w:rsidRPr="00B8605D">
        <w:rPr>
          <w:noProof/>
          <w:shd w:val="clear" w:color="auto" w:fill="FFFFFF"/>
          <w:lang w:val="en-GB"/>
        </w:rPr>
        <w:t xml:space="preserve">, </w:t>
      </w:r>
      <w:r w:rsidRPr="008B7D15">
        <w:rPr>
          <w:i/>
          <w:iCs/>
          <w:noProof/>
          <w:shd w:val="clear" w:color="auto" w:fill="FFFFFF"/>
          <w:lang w:val="en-GB"/>
        </w:rPr>
        <w:t>24</w:t>
      </w:r>
      <w:r w:rsidRPr="00B8605D">
        <w:rPr>
          <w:noProof/>
          <w:shd w:val="clear" w:color="auto" w:fill="FFFFFF"/>
          <w:lang w:val="en-GB"/>
        </w:rPr>
        <w:t xml:space="preserve">(8), 157-174. </w:t>
      </w:r>
      <w:r w:rsidR="008B7D15" w:rsidRPr="0095280A">
        <w:t>https://doi.org/</w:t>
      </w:r>
      <w:hyperlink r:id="rId18" w:history="1">
        <w:r w:rsidRPr="0095280A">
          <w:t>10.12911/22998993/166396</w:t>
        </w:r>
      </w:hyperlink>
    </w:p>
    <w:p w14:paraId="53FB04AE" w14:textId="231A2B8A" w:rsidR="006A27DC" w:rsidRPr="00B8605D" w:rsidRDefault="006A27DC" w:rsidP="008B7D15">
      <w:pPr>
        <w:pStyle w:val="Rlit"/>
        <w:jc w:val="left"/>
        <w:rPr>
          <w:rFonts w:eastAsiaTheme="minorEastAsia"/>
          <w:noProof/>
          <w:lang w:val="en-GB" w:eastAsia="tr-TR"/>
        </w:rPr>
      </w:pPr>
      <w:r w:rsidRPr="00B8605D">
        <w:rPr>
          <w:rFonts w:eastAsiaTheme="minorEastAsia"/>
          <w:noProof/>
          <w:lang w:val="en-GB" w:eastAsia="tr-TR"/>
        </w:rPr>
        <w:t>Aydın, M. (2020). Giresun İli İçme Suyu Kalitesi, Giresun Üniversitesi, Fen Bilimleri Enstitüsü, Yüksek Lisans Tezi</w:t>
      </w:r>
      <w:r w:rsidR="00D36446">
        <w:rPr>
          <w:rFonts w:eastAsiaTheme="minorEastAsia"/>
          <w:noProof/>
          <w:lang w:val="en-GB" w:eastAsia="tr-TR"/>
        </w:rPr>
        <w:t>.</w:t>
      </w:r>
      <w:r w:rsidRPr="00B8605D">
        <w:rPr>
          <w:rFonts w:eastAsiaTheme="minorEastAsia"/>
          <w:noProof/>
          <w:lang w:val="en-GB" w:eastAsia="tr-TR"/>
        </w:rPr>
        <w:t xml:space="preserve"> (in</w:t>
      </w:r>
      <w:r w:rsidR="008B7D15">
        <w:rPr>
          <w:rFonts w:eastAsiaTheme="minorEastAsia"/>
          <w:noProof/>
          <w:lang w:val="en-GB" w:eastAsia="tr-TR"/>
        </w:rPr>
        <w:t> </w:t>
      </w:r>
      <w:r w:rsidRPr="00B8605D">
        <w:rPr>
          <w:rFonts w:eastAsiaTheme="minorEastAsia"/>
          <w:noProof/>
          <w:lang w:val="en-GB" w:eastAsia="tr-TR"/>
        </w:rPr>
        <w:t>Turkish)</w:t>
      </w:r>
    </w:p>
    <w:p w14:paraId="5FEF647F" w14:textId="39BA0801" w:rsidR="006A27DC" w:rsidRPr="0095280A" w:rsidRDefault="006A27DC" w:rsidP="008B7D15">
      <w:pPr>
        <w:pStyle w:val="Rlit"/>
        <w:jc w:val="left"/>
        <w:rPr>
          <w:rFonts w:eastAsia="Calibri"/>
        </w:rPr>
      </w:pPr>
      <w:r w:rsidRPr="00B8605D">
        <w:rPr>
          <w:rFonts w:eastAsia="Calibri"/>
          <w:noProof/>
          <w:kern w:val="32"/>
          <w:shd w:val="clear" w:color="auto" w:fill="FFFFFF"/>
          <w:lang w:val="en-GB"/>
        </w:rPr>
        <w:t>Alilou, H., Oldham, C.,</w:t>
      </w:r>
      <w:r w:rsidR="00B8605D" w:rsidRPr="00B8605D">
        <w:rPr>
          <w:rFonts w:eastAsia="Calibri"/>
          <w:noProof/>
          <w:kern w:val="32"/>
          <w:shd w:val="clear" w:color="auto" w:fill="FFFFFF"/>
          <w:lang w:val="en-GB"/>
        </w:rPr>
        <w:t xml:space="preserve"> </w:t>
      </w:r>
      <w:r w:rsidRPr="00B8605D">
        <w:rPr>
          <w:rFonts w:eastAsia="Calibri"/>
          <w:noProof/>
          <w:kern w:val="32"/>
          <w:shd w:val="clear" w:color="auto" w:fill="FFFFFF"/>
          <w:lang w:val="en-GB"/>
        </w:rPr>
        <w:t>Mcfarlane, D.,</w:t>
      </w:r>
      <w:r w:rsidR="00B8605D" w:rsidRPr="00B8605D">
        <w:rPr>
          <w:rFonts w:eastAsia="Calibri"/>
          <w:noProof/>
          <w:kern w:val="32"/>
          <w:shd w:val="clear" w:color="auto" w:fill="FFFFFF"/>
          <w:lang w:val="en-GB"/>
        </w:rPr>
        <w:t xml:space="preserve">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rFonts w:eastAsia="Calibri"/>
          <w:noProof/>
          <w:kern w:val="32"/>
          <w:shd w:val="clear" w:color="auto" w:fill="FFFFFF"/>
          <w:lang w:val="en-GB"/>
        </w:rPr>
        <w:t>Hipsey, M. R.</w:t>
      </w:r>
      <w:r w:rsidR="00B8605D" w:rsidRPr="00B8605D">
        <w:rPr>
          <w:rFonts w:eastAsia="Calibri"/>
          <w:noProof/>
          <w:kern w:val="32"/>
          <w:shd w:val="clear" w:color="auto" w:fill="FFFFFF"/>
          <w:lang w:val="en-GB"/>
        </w:rPr>
        <w:t xml:space="preserve"> </w:t>
      </w:r>
      <w:r w:rsidRPr="00B8605D">
        <w:rPr>
          <w:rFonts w:eastAsia="Calibri"/>
          <w:noProof/>
          <w:kern w:val="32"/>
          <w:shd w:val="clear" w:color="auto" w:fill="FFFFFF"/>
          <w:lang w:val="en-GB"/>
        </w:rPr>
        <w:t>(2022). A structured framework to interpret hydro-climatic and water quality trends in Mediterranean climate zones</w:t>
      </w:r>
      <w:r w:rsidR="008B7D15">
        <w:rPr>
          <w:rFonts w:eastAsia="Calibri"/>
          <w:noProof/>
          <w:kern w:val="32"/>
          <w:shd w:val="clear" w:color="auto" w:fill="FFFFFF"/>
          <w:lang w:val="en-GB"/>
        </w:rPr>
        <w:t>.</w:t>
      </w:r>
      <w:r w:rsidRPr="00B8605D">
        <w:rPr>
          <w:rFonts w:eastAsia="Calibri"/>
          <w:i/>
          <w:noProof/>
          <w:kern w:val="32"/>
          <w:shd w:val="clear" w:color="auto" w:fill="FFFFFF"/>
          <w:lang w:val="en-GB"/>
        </w:rPr>
        <w:t xml:space="preserve"> </w:t>
      </w:r>
      <w:hyperlink r:id="rId19" w:tooltip="Go to Journal of Hydrology on ScienceDirect" w:history="1">
        <w:r w:rsidRPr="00B8605D">
          <w:rPr>
            <w:rFonts w:eastAsia="Calibri"/>
            <w:i/>
            <w:noProof/>
            <w:kern w:val="32"/>
            <w:shd w:val="clear" w:color="auto" w:fill="FFFFFF"/>
            <w:lang w:val="en-GB"/>
          </w:rPr>
          <w:t>Journal of Hydrology</w:t>
        </w:r>
      </w:hyperlink>
      <w:r w:rsidRPr="00B8605D">
        <w:rPr>
          <w:rFonts w:eastAsia="Calibri"/>
          <w:noProof/>
          <w:kern w:val="32"/>
          <w:shd w:val="clear" w:color="auto" w:fill="FFFFFF"/>
          <w:lang w:val="en-GB"/>
        </w:rPr>
        <w:t xml:space="preserve">, </w:t>
      </w:r>
      <w:hyperlink r:id="rId20" w:tooltip="Go to table of contents for this volume/issue" w:history="1">
        <w:r w:rsidRPr="00D36446">
          <w:rPr>
            <w:rFonts w:eastAsia="Calibri"/>
            <w:i/>
            <w:iCs/>
            <w:noProof/>
            <w:kern w:val="32"/>
            <w:shd w:val="clear" w:color="auto" w:fill="FFFFFF"/>
            <w:lang w:val="en-GB"/>
          </w:rPr>
          <w:t>614</w:t>
        </w:r>
        <w:r w:rsidRPr="00B8605D">
          <w:rPr>
            <w:rFonts w:eastAsia="Calibri"/>
            <w:noProof/>
            <w:kern w:val="32"/>
            <w:shd w:val="clear" w:color="auto" w:fill="FFFFFF"/>
            <w:lang w:val="en-GB"/>
          </w:rPr>
          <w:t>(A</w:t>
        </w:r>
      </w:hyperlink>
      <w:r w:rsidRPr="00B8605D">
        <w:rPr>
          <w:rFonts w:eastAsia="Calibri"/>
          <w:noProof/>
          <w:kern w:val="32"/>
          <w:shd w:val="clear" w:color="auto" w:fill="FFFFFF"/>
          <w:lang w:val="en-GB"/>
        </w:rPr>
        <w:t>), 128512</w:t>
      </w:r>
      <w:r w:rsidR="00D36446">
        <w:rPr>
          <w:rFonts w:eastAsia="Calibri"/>
          <w:noProof/>
          <w:kern w:val="32"/>
          <w:shd w:val="clear" w:color="auto" w:fill="FFFFFF"/>
          <w:lang w:val="en-GB"/>
        </w:rPr>
        <w:t xml:space="preserve">. </w:t>
      </w:r>
      <w:r w:rsidR="00D36446" w:rsidRPr="00211721">
        <w:t>https://doi.org/</w:t>
      </w:r>
      <w:hyperlink r:id="rId21" w:tgtFrame="_blank" w:tooltip="Persistent link using digital object identifier" w:history="1">
        <w:r w:rsidRPr="00B8605D">
          <w:rPr>
            <w:noProof/>
            <w:lang w:val="en-GB" w:eastAsia="tr-TR"/>
          </w:rPr>
          <w:t>10.1016/j.jhydrol.2022.128512</w:t>
        </w:r>
      </w:hyperlink>
    </w:p>
    <w:p w14:paraId="7DEF3B71" w14:textId="5C500390" w:rsidR="006A27DC" w:rsidRPr="00B8605D" w:rsidRDefault="006A27DC" w:rsidP="003851DF">
      <w:pPr>
        <w:pStyle w:val="Rlit"/>
        <w:rPr>
          <w:noProof/>
          <w:lang w:val="en-GB"/>
        </w:rPr>
      </w:pPr>
      <w:r w:rsidRPr="00B8605D">
        <w:rPr>
          <w:noProof/>
          <w:lang w:val="en-GB"/>
        </w:rPr>
        <w:t xml:space="preserve">Anonymous (2021). </w:t>
      </w:r>
      <w:r w:rsidRPr="00B8605D">
        <w:rPr>
          <w:bCs/>
          <w:noProof/>
          <w:lang w:val="en-GB"/>
        </w:rPr>
        <w:t>Toprak Su Kaynakları,</w:t>
      </w:r>
      <w:r w:rsidR="00B8605D" w:rsidRPr="00B8605D">
        <w:rPr>
          <w:bCs/>
          <w:noProof/>
          <w:lang w:val="en-GB"/>
        </w:rPr>
        <w:t xml:space="preserve"> </w:t>
      </w:r>
      <w:r w:rsidRPr="00B8605D">
        <w:rPr>
          <w:bCs/>
          <w:noProof/>
          <w:lang w:val="en-GB"/>
        </w:rPr>
        <w:t>Devlet Su İşleri Genel Müdürlüğü</w:t>
      </w:r>
      <w:r w:rsidR="00D36446">
        <w:rPr>
          <w:bCs/>
          <w:noProof/>
          <w:lang w:val="en-GB"/>
        </w:rPr>
        <w:t>.</w:t>
      </w:r>
      <w:r w:rsidRPr="00B8605D">
        <w:rPr>
          <w:bCs/>
          <w:noProof/>
          <w:lang w:val="en-GB"/>
        </w:rPr>
        <w:t xml:space="preserve"> </w:t>
      </w:r>
      <w:r w:rsidRPr="00B8605D">
        <w:rPr>
          <w:noProof/>
          <w:lang w:val="en-GB"/>
        </w:rPr>
        <w:t>(in Turkish)</w:t>
      </w:r>
    </w:p>
    <w:p w14:paraId="5DC8600D" w14:textId="04A589F3" w:rsidR="006A27DC" w:rsidRPr="00B8605D" w:rsidRDefault="006A27DC" w:rsidP="003851DF">
      <w:pPr>
        <w:pStyle w:val="Rlit"/>
        <w:rPr>
          <w:rFonts w:eastAsiaTheme="majorEastAsia"/>
          <w:noProof/>
          <w:lang w:val="en-GB" w:eastAsia="tr-TR"/>
        </w:rPr>
      </w:pPr>
      <w:r w:rsidRPr="00B8605D">
        <w:rPr>
          <w:noProof/>
          <w:lang w:val="en-GB" w:eastAsia="tr-TR"/>
        </w:rPr>
        <w:t>Anonymous (2023a). Genel coğrafya ve yeryüzü şekilleri, Ankara Valiliği</w:t>
      </w:r>
      <w:r w:rsidR="00D36446">
        <w:rPr>
          <w:noProof/>
          <w:lang w:val="en-GB" w:eastAsia="tr-TR"/>
        </w:rPr>
        <w:t>.</w:t>
      </w:r>
      <w:r w:rsidRPr="00B8605D">
        <w:rPr>
          <w:noProof/>
          <w:lang w:val="en-GB" w:eastAsia="tr-TR"/>
        </w:rPr>
        <w:t xml:space="preserve"> </w:t>
      </w:r>
      <w:r w:rsidRPr="00B8605D">
        <w:rPr>
          <w:noProof/>
          <w:lang w:val="en-GB"/>
        </w:rPr>
        <w:t>(in Turkish)</w:t>
      </w:r>
    </w:p>
    <w:p w14:paraId="6B19B241" w14:textId="5BCB5C7F" w:rsidR="006A27DC" w:rsidRPr="00B8605D" w:rsidRDefault="006A27DC" w:rsidP="003851DF">
      <w:pPr>
        <w:pStyle w:val="Rlit"/>
        <w:rPr>
          <w:noProof/>
          <w:lang w:val="en-GB"/>
        </w:rPr>
      </w:pPr>
      <w:r w:rsidRPr="00B8605D">
        <w:rPr>
          <w:noProof/>
          <w:lang w:val="en-GB" w:eastAsia="tr-TR"/>
        </w:rPr>
        <w:t>Anonymous (2023b). Nüfus ve idari durum, Ankara Valiliği</w:t>
      </w:r>
      <w:r w:rsidR="00D36446">
        <w:rPr>
          <w:noProof/>
          <w:lang w:val="en-GB" w:eastAsia="tr-TR"/>
        </w:rPr>
        <w:t>.</w:t>
      </w:r>
      <w:r w:rsidRPr="00B8605D">
        <w:rPr>
          <w:noProof/>
          <w:lang w:val="en-GB" w:eastAsia="tr-TR"/>
        </w:rPr>
        <w:t xml:space="preserve"> </w:t>
      </w:r>
      <w:r w:rsidRPr="00B8605D">
        <w:rPr>
          <w:noProof/>
          <w:lang w:val="en-GB"/>
        </w:rPr>
        <w:t>(in Turkish)</w:t>
      </w:r>
    </w:p>
    <w:p w14:paraId="53D85828" w14:textId="4E76830B" w:rsidR="006A27DC" w:rsidRPr="00B8605D" w:rsidRDefault="006A27DC" w:rsidP="003851DF">
      <w:pPr>
        <w:pStyle w:val="Rlit"/>
        <w:rPr>
          <w:noProof/>
          <w:lang w:val="en-GB"/>
        </w:rPr>
      </w:pPr>
      <w:r w:rsidRPr="00B8605D">
        <w:rPr>
          <w:noProof/>
          <w:lang w:val="en-GB"/>
        </w:rPr>
        <w:t>Başayiğit</w:t>
      </w:r>
      <w:r w:rsidR="00D36446">
        <w:rPr>
          <w:noProof/>
          <w:lang w:val="en-GB"/>
        </w:rPr>
        <w:t>,</w:t>
      </w:r>
      <w:r w:rsidRPr="00B8605D">
        <w:rPr>
          <w:noProof/>
          <w:lang w:val="en-GB"/>
        </w:rPr>
        <w:t xml:space="preserve"> L., Şenol, H.,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lang w:val="en-GB"/>
        </w:rPr>
        <w:t>Müjdeci, M. (2008). Isparta İli Meyve Yetiştirme Potansiyeli Yüksek Alanların Bazı Toprak Özelliklerinin Coğrafi Bilgi Sistemleri ile Haritalanması</w:t>
      </w:r>
      <w:r w:rsidR="00D36446">
        <w:rPr>
          <w:noProof/>
          <w:lang w:val="en-GB"/>
        </w:rPr>
        <w:t>.</w:t>
      </w:r>
      <w:r w:rsidRPr="00B8605D">
        <w:rPr>
          <w:noProof/>
          <w:lang w:val="en-GB"/>
        </w:rPr>
        <w:t xml:space="preserve"> </w:t>
      </w:r>
      <w:r w:rsidRPr="00B8605D">
        <w:rPr>
          <w:i/>
          <w:iCs/>
          <w:noProof/>
          <w:lang w:val="en-GB"/>
        </w:rPr>
        <w:t>Süleyman Demirel Üniversitesi Ziraat Fakültesi Dergisi.</w:t>
      </w:r>
      <w:r w:rsidRPr="00D36446">
        <w:rPr>
          <w:noProof/>
          <w:lang w:val="en-GB"/>
        </w:rPr>
        <w:t xml:space="preserve">, </w:t>
      </w:r>
      <w:r w:rsidRPr="00D36446">
        <w:rPr>
          <w:i/>
          <w:iCs/>
          <w:noProof/>
          <w:lang w:val="en-GB"/>
        </w:rPr>
        <w:t>3</w:t>
      </w:r>
      <w:r w:rsidRPr="00B8605D">
        <w:rPr>
          <w:noProof/>
          <w:lang w:val="en-GB"/>
        </w:rPr>
        <w:t>(2), 1-10</w:t>
      </w:r>
      <w:r w:rsidR="00D36446">
        <w:rPr>
          <w:noProof/>
          <w:lang w:val="en-GB"/>
        </w:rPr>
        <w:t>.</w:t>
      </w:r>
      <w:r w:rsidRPr="00B8605D">
        <w:rPr>
          <w:noProof/>
          <w:lang w:val="en-GB"/>
        </w:rPr>
        <w:t xml:space="preserve"> (in Turkish)</w:t>
      </w:r>
    </w:p>
    <w:p w14:paraId="2DBAC9C7" w14:textId="4F59D5C5" w:rsidR="006A27DC" w:rsidRPr="00B8605D" w:rsidRDefault="006A27DC" w:rsidP="003851DF">
      <w:pPr>
        <w:pStyle w:val="Rlit"/>
        <w:rPr>
          <w:noProof/>
          <w:lang w:val="en-GB"/>
        </w:rPr>
      </w:pPr>
      <w:r w:rsidRPr="00B8605D">
        <w:rPr>
          <w:noProof/>
          <w:lang w:val="en-GB"/>
        </w:rPr>
        <w:t>Bağdatli, M.</w:t>
      </w:r>
      <w:r w:rsidR="00D36446">
        <w:rPr>
          <w:noProof/>
          <w:lang w:val="en-GB"/>
        </w:rPr>
        <w:t xml:space="preserve"> </w:t>
      </w:r>
      <w:r w:rsidRPr="00B8605D">
        <w:rPr>
          <w:noProof/>
          <w:lang w:val="en-GB"/>
        </w:rPr>
        <w:t xml:space="preserve">C., İstanbulluoğlu, A.,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lang w:val="en-GB"/>
        </w:rPr>
        <w:t>Bayar</w:t>
      </w:r>
      <w:r w:rsidR="00D36446">
        <w:rPr>
          <w:noProof/>
          <w:lang w:val="en-GB"/>
        </w:rPr>
        <w:t>,</w:t>
      </w:r>
      <w:r w:rsidRPr="00B8605D">
        <w:rPr>
          <w:noProof/>
          <w:lang w:val="en-GB"/>
        </w:rPr>
        <w:t xml:space="preserve"> N.</w:t>
      </w:r>
      <w:r w:rsidR="00D36446">
        <w:rPr>
          <w:noProof/>
          <w:lang w:val="en-GB"/>
        </w:rPr>
        <w:t xml:space="preserve"> </w:t>
      </w:r>
      <w:r w:rsidRPr="00B8605D">
        <w:rPr>
          <w:noProof/>
          <w:lang w:val="en-GB"/>
        </w:rPr>
        <w:t>A. (2014). Toprak ve su kaynakları potansiyelinin Coğrafi Bilgi Sistemleri (CBS) yardımıyla belirlenmesi: Tekirdağ-Çerkezköy ilçesi uygulaması</w:t>
      </w:r>
      <w:r w:rsidR="00D36446">
        <w:rPr>
          <w:noProof/>
          <w:lang w:val="en-GB"/>
        </w:rPr>
        <w:t>.</w:t>
      </w:r>
      <w:r w:rsidRPr="00B8605D">
        <w:rPr>
          <w:noProof/>
          <w:lang w:val="en-GB"/>
        </w:rPr>
        <w:t xml:space="preserve"> </w:t>
      </w:r>
      <w:r w:rsidRPr="00B8605D">
        <w:rPr>
          <w:i/>
          <w:iCs/>
          <w:noProof/>
          <w:lang w:val="en-GB"/>
        </w:rPr>
        <w:t>Afyon Kocatepe Üniversitesi, Fen</w:t>
      </w:r>
      <w:r w:rsidR="00AC488F">
        <w:rPr>
          <w:i/>
          <w:iCs/>
          <w:noProof/>
          <w:lang w:val="en-GB"/>
        </w:rPr>
        <w:t> </w:t>
      </w:r>
      <w:r w:rsidRPr="00B8605D">
        <w:rPr>
          <w:i/>
          <w:iCs/>
          <w:noProof/>
          <w:lang w:val="en-GB"/>
        </w:rPr>
        <w:t>ve Mühendislik Dergisi</w:t>
      </w:r>
      <w:r w:rsidRPr="00D36446">
        <w:rPr>
          <w:noProof/>
          <w:lang w:val="en-GB"/>
        </w:rPr>
        <w:t xml:space="preserve">, </w:t>
      </w:r>
      <w:r w:rsidRPr="00D36446">
        <w:rPr>
          <w:i/>
          <w:iCs/>
          <w:noProof/>
          <w:lang w:val="en-GB"/>
        </w:rPr>
        <w:t>14</w:t>
      </w:r>
      <w:r w:rsidRPr="00B8605D">
        <w:rPr>
          <w:noProof/>
          <w:lang w:val="en-GB"/>
        </w:rPr>
        <w:t>, 17-25</w:t>
      </w:r>
      <w:r w:rsidR="00D36446">
        <w:rPr>
          <w:noProof/>
          <w:lang w:val="en-GB"/>
        </w:rPr>
        <w:t>.</w:t>
      </w:r>
      <w:r w:rsidRPr="00B8605D">
        <w:rPr>
          <w:noProof/>
          <w:lang w:val="en-GB"/>
        </w:rPr>
        <w:t xml:space="preserve"> (in Turkish)</w:t>
      </w:r>
    </w:p>
    <w:p w14:paraId="71DBA990" w14:textId="446AD05D" w:rsidR="006A27DC" w:rsidRPr="00B8605D" w:rsidRDefault="006A27DC" w:rsidP="003851DF">
      <w:pPr>
        <w:pStyle w:val="Rlit"/>
        <w:rPr>
          <w:rFonts w:eastAsiaTheme="minorEastAsia"/>
          <w:noProof/>
          <w:lang w:val="en-GB"/>
        </w:rPr>
      </w:pPr>
      <w:r w:rsidRPr="00B8605D">
        <w:rPr>
          <w:rFonts w:eastAsiaTheme="minorEastAsia"/>
          <w:noProof/>
          <w:lang w:val="en-GB"/>
        </w:rPr>
        <w:t>Burrough, P.</w:t>
      </w:r>
      <w:r w:rsidR="00D36446">
        <w:rPr>
          <w:rFonts w:eastAsiaTheme="minorEastAsia"/>
          <w:noProof/>
          <w:lang w:val="en-GB"/>
        </w:rPr>
        <w:t xml:space="preserve"> </w:t>
      </w:r>
      <w:r w:rsidRPr="00B8605D">
        <w:rPr>
          <w:rFonts w:eastAsiaTheme="minorEastAsia"/>
          <w:noProof/>
          <w:lang w:val="en-GB"/>
        </w:rPr>
        <w:t>A.,</w:t>
      </w:r>
      <w:r w:rsidRPr="00B8605D">
        <w:rPr>
          <w:noProof/>
          <w:lang w:val="en-GB"/>
        </w:rPr>
        <w:t xml:space="preserve">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rFonts w:eastAsiaTheme="minorEastAsia"/>
          <w:noProof/>
          <w:lang w:val="en-GB"/>
        </w:rPr>
        <w:t>Mcdonnell, R.</w:t>
      </w:r>
      <w:r w:rsidR="00D36446">
        <w:rPr>
          <w:rFonts w:eastAsiaTheme="minorEastAsia"/>
          <w:noProof/>
          <w:lang w:val="en-GB"/>
        </w:rPr>
        <w:t xml:space="preserve"> </w:t>
      </w:r>
      <w:r w:rsidRPr="00B8605D">
        <w:rPr>
          <w:rFonts w:eastAsiaTheme="minorEastAsia"/>
          <w:noProof/>
          <w:lang w:val="en-GB"/>
        </w:rPr>
        <w:t xml:space="preserve">A. (1998). </w:t>
      </w:r>
      <w:r w:rsidRPr="00B25DC1">
        <w:rPr>
          <w:rFonts w:eastAsiaTheme="minorEastAsia"/>
          <w:i/>
          <w:iCs/>
          <w:noProof/>
          <w:lang w:val="en-GB"/>
        </w:rPr>
        <w:t>Creating continuous surfaces from point data</w:t>
      </w:r>
      <w:r w:rsidRPr="00B8605D">
        <w:rPr>
          <w:rFonts w:eastAsiaTheme="minorEastAsia"/>
          <w:noProof/>
          <w:lang w:val="en-GB"/>
        </w:rPr>
        <w:t>.</w:t>
      </w:r>
      <w:r w:rsidR="00B8605D" w:rsidRPr="00B8605D">
        <w:rPr>
          <w:rFonts w:eastAsiaTheme="minorEastAsia"/>
          <w:noProof/>
          <w:lang w:val="en-GB"/>
        </w:rPr>
        <w:t xml:space="preserve"> </w:t>
      </w:r>
      <w:r w:rsidR="00D36446">
        <w:rPr>
          <w:rFonts w:eastAsiaTheme="minorEastAsia"/>
          <w:noProof/>
          <w:lang w:val="en-GB"/>
        </w:rPr>
        <w:t>[</w:t>
      </w:r>
      <w:r w:rsidRPr="00B8605D">
        <w:rPr>
          <w:rFonts w:eastAsiaTheme="minorEastAsia"/>
          <w:noProof/>
          <w:lang w:val="en-GB"/>
        </w:rPr>
        <w:t>In:</w:t>
      </w:r>
      <w:r w:rsidR="00D36446">
        <w:rPr>
          <w:rFonts w:eastAsiaTheme="minorEastAsia"/>
          <w:noProof/>
          <w:lang w:val="en-GB"/>
        </w:rPr>
        <w:t>]</w:t>
      </w:r>
      <w:r w:rsidRPr="00B8605D">
        <w:rPr>
          <w:rFonts w:eastAsiaTheme="minorEastAsia"/>
          <w:noProof/>
          <w:lang w:val="en-GB"/>
        </w:rPr>
        <w:t xml:space="preserve"> Burrough, P.</w:t>
      </w:r>
      <w:r w:rsidR="00AC488F">
        <w:rPr>
          <w:rFonts w:eastAsiaTheme="minorEastAsia"/>
          <w:noProof/>
          <w:lang w:val="en-GB"/>
        </w:rPr>
        <w:t xml:space="preserve"> </w:t>
      </w:r>
      <w:r w:rsidRPr="00B8605D">
        <w:rPr>
          <w:rFonts w:eastAsiaTheme="minorEastAsia"/>
          <w:noProof/>
          <w:lang w:val="en-GB"/>
        </w:rPr>
        <w:t>A., Goodchild, M.F., McDonnell, R.A., Switzer, P., Worboys, M. (Eds.), Principles of Geographic Information Systems., Oxford University Press, Oxford, UK.</w:t>
      </w:r>
    </w:p>
    <w:p w14:paraId="1304E417" w14:textId="645AB8E4" w:rsidR="006A27DC" w:rsidRPr="00B8605D" w:rsidRDefault="006A27DC" w:rsidP="003851DF">
      <w:pPr>
        <w:pStyle w:val="Rlit"/>
        <w:rPr>
          <w:noProof/>
          <w:lang w:val="en-GB"/>
        </w:rPr>
      </w:pPr>
      <w:r w:rsidRPr="00B8605D">
        <w:rPr>
          <w:noProof/>
          <w:lang w:val="en-GB"/>
        </w:rPr>
        <w:t xml:space="preserve">Büyükyildiz, M.,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lang w:val="en-GB"/>
        </w:rPr>
        <w:t>Berktay, A. (2004). Parametrik Olmayan Testler Kullanılarak Sakarya Havzası Yağışlarının Trend Analizi</w:t>
      </w:r>
      <w:r w:rsidR="00D36446">
        <w:rPr>
          <w:noProof/>
          <w:lang w:val="en-GB"/>
        </w:rPr>
        <w:t>.</w:t>
      </w:r>
      <w:r w:rsidRPr="00B8605D">
        <w:rPr>
          <w:noProof/>
          <w:lang w:val="en-GB"/>
        </w:rPr>
        <w:t xml:space="preserve"> </w:t>
      </w:r>
      <w:r w:rsidRPr="00B8605D">
        <w:rPr>
          <w:i/>
          <w:iCs/>
          <w:noProof/>
          <w:lang w:val="en-GB"/>
        </w:rPr>
        <w:t>J. Fac. Eng. Arch. Selcuk Uni.</w:t>
      </w:r>
      <w:r w:rsidRPr="00D36446">
        <w:rPr>
          <w:noProof/>
          <w:lang w:val="en-GB"/>
        </w:rPr>
        <w:t xml:space="preserve">, </w:t>
      </w:r>
      <w:r w:rsidRPr="00D36446">
        <w:rPr>
          <w:i/>
          <w:iCs/>
          <w:noProof/>
          <w:lang w:val="en-GB"/>
        </w:rPr>
        <w:t>19</w:t>
      </w:r>
      <w:r w:rsidRPr="00B8605D">
        <w:rPr>
          <w:noProof/>
          <w:lang w:val="en-GB"/>
        </w:rPr>
        <w:t>(2), 23-38</w:t>
      </w:r>
      <w:r w:rsidR="00D36446">
        <w:rPr>
          <w:noProof/>
          <w:lang w:val="en-GB"/>
        </w:rPr>
        <w:t>.</w:t>
      </w:r>
      <w:r w:rsidRPr="00B8605D">
        <w:rPr>
          <w:noProof/>
          <w:lang w:val="en-GB"/>
        </w:rPr>
        <w:t xml:space="preserve"> (in Turkish)</w:t>
      </w:r>
    </w:p>
    <w:p w14:paraId="3DAEF3B0" w14:textId="0773F998" w:rsidR="006A27DC" w:rsidRPr="00B8605D" w:rsidRDefault="006A27DC" w:rsidP="003851DF">
      <w:pPr>
        <w:pStyle w:val="Rlit"/>
        <w:rPr>
          <w:rStyle w:val="Hipercze"/>
          <w:rFonts w:eastAsiaTheme="majorEastAsia"/>
          <w:bCs/>
          <w:noProof/>
          <w:sz w:val="22"/>
          <w:szCs w:val="22"/>
          <w:u w:val="none"/>
          <w:lang w:val="en-GB"/>
        </w:rPr>
      </w:pPr>
      <w:r w:rsidRPr="00B8605D">
        <w:rPr>
          <w:noProof/>
          <w:lang w:val="en-GB"/>
        </w:rPr>
        <w:t xml:space="preserve">Bojago, E., Tyagi, I., Ahamad, F.,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lang w:val="en-GB"/>
        </w:rPr>
        <w:t>Chandniha, S. K. (2023). GIS based spatial-temporal distribution of water quality parameters and heavymetals in drinking water: Ecological and health modelling</w:t>
      </w:r>
      <w:r w:rsidR="00D36446">
        <w:rPr>
          <w:noProof/>
          <w:lang w:val="en-GB"/>
        </w:rPr>
        <w:t>.</w:t>
      </w:r>
      <w:r w:rsidRPr="00B8605D">
        <w:rPr>
          <w:noProof/>
          <w:lang w:val="en-GB"/>
        </w:rPr>
        <w:t xml:space="preserve"> </w:t>
      </w:r>
      <w:r w:rsidRPr="00B8605D">
        <w:rPr>
          <w:i/>
          <w:noProof/>
          <w:lang w:val="en-GB"/>
        </w:rPr>
        <w:t>Physics and Chemistry of the Earth</w:t>
      </w:r>
      <w:r w:rsidRPr="00B8605D">
        <w:rPr>
          <w:noProof/>
          <w:lang w:val="en-GB"/>
        </w:rPr>
        <w:t xml:space="preserve">, </w:t>
      </w:r>
      <w:r w:rsidRPr="00D36446">
        <w:rPr>
          <w:i/>
          <w:iCs/>
        </w:rPr>
        <w:t>130</w:t>
      </w:r>
      <w:r w:rsidR="00D36446">
        <w:t>,</w:t>
      </w:r>
      <w:r w:rsidRPr="00D36446">
        <w:t xml:space="preserve"> 103399</w:t>
      </w:r>
      <w:r w:rsidR="00D36446">
        <w:t>.</w:t>
      </w:r>
      <w:r w:rsidRPr="00D36446">
        <w:t xml:space="preserve"> </w:t>
      </w:r>
      <w:r w:rsidR="00D36446" w:rsidRPr="00211721">
        <w:t>https://doi.org/</w:t>
      </w:r>
      <w:hyperlink r:id="rId22" w:tgtFrame="_blank" w:tooltip="Persistent link using digital object identifier" w:history="1"/>
      <w:hyperlink r:id="rId23" w:tgtFrame="_blank" w:tooltip="Persistent link using digital object identifier" w:history="1">
        <w:r w:rsidRPr="00D36446">
          <w:rPr>
            <w:rFonts w:eastAsiaTheme="majorEastAsia"/>
          </w:rPr>
          <w:t>10.1016/j.pce.2023.103399</w:t>
        </w:r>
      </w:hyperlink>
    </w:p>
    <w:p w14:paraId="7BC77CA7" w14:textId="2E09E16D" w:rsidR="006A27DC" w:rsidRPr="00D36446" w:rsidRDefault="006A27DC" w:rsidP="003851DF">
      <w:pPr>
        <w:pStyle w:val="Rlit"/>
      </w:pPr>
      <w:r w:rsidRPr="00B8605D">
        <w:rPr>
          <w:noProof/>
          <w:lang w:val="en-GB"/>
        </w:rPr>
        <w:t xml:space="preserve">EPA (2016). National primary drinking water regulations related info, US. Environmental Protection Agency (EPA) </w:t>
      </w:r>
      <w:hyperlink r:id="rId24" w:history="1">
        <w:r w:rsidR="000D6514" w:rsidRPr="00D36446">
          <w:t>https://www.epa.gov/sites/production/files/201606/documents/npwdr_complete_table.pdf</w:t>
        </w:r>
      </w:hyperlink>
    </w:p>
    <w:p w14:paraId="2F060B14" w14:textId="734E9362" w:rsidR="006A27DC" w:rsidRPr="00B8605D" w:rsidRDefault="006A27DC" w:rsidP="003851DF">
      <w:pPr>
        <w:pStyle w:val="Rlit"/>
        <w:rPr>
          <w:noProof/>
          <w:lang w:val="en-GB"/>
        </w:rPr>
      </w:pPr>
      <w:r w:rsidRPr="00B8605D">
        <w:rPr>
          <w:noProof/>
          <w:lang w:val="en-GB"/>
        </w:rPr>
        <w:lastRenderedPageBreak/>
        <w:t>EU (2020).</w:t>
      </w:r>
      <w:r w:rsidR="00B8605D" w:rsidRPr="00B8605D">
        <w:rPr>
          <w:noProof/>
          <w:lang w:val="en-GB"/>
        </w:rPr>
        <w:t xml:space="preserve"> </w:t>
      </w:r>
      <w:r w:rsidRPr="00B8605D">
        <w:rPr>
          <w:noProof/>
          <w:lang w:val="en-GB"/>
        </w:rPr>
        <w:t>Directive (EU) 2020/2184 of the European Parliament and of the Council of 16 December 2020 on the quality of water intended for human consumption.</w:t>
      </w:r>
      <w:r w:rsidR="00D36446">
        <w:rPr>
          <w:noProof/>
          <w:lang w:val="en-GB"/>
        </w:rPr>
        <w:t xml:space="preserve"> </w:t>
      </w:r>
      <w:r w:rsidRPr="00D36446">
        <w:rPr>
          <w:i/>
          <w:iCs/>
          <w:noProof/>
          <w:lang w:val="en-GB"/>
        </w:rPr>
        <w:t>Off. J. Eur. Union.</w:t>
      </w:r>
      <w:r w:rsidRPr="00B8605D">
        <w:rPr>
          <w:noProof/>
          <w:lang w:val="en-GB"/>
        </w:rPr>
        <w:t>,</w:t>
      </w:r>
      <w:r w:rsidR="00B8605D" w:rsidRPr="00B8605D">
        <w:rPr>
          <w:noProof/>
          <w:lang w:val="en-GB"/>
        </w:rPr>
        <w:t xml:space="preserve"> </w:t>
      </w:r>
      <w:r w:rsidRPr="00D36446">
        <w:rPr>
          <w:i/>
          <w:iCs/>
          <w:noProof/>
          <w:lang w:val="en-GB"/>
        </w:rPr>
        <w:t>435</w:t>
      </w:r>
      <w:r w:rsidRPr="00B8605D">
        <w:rPr>
          <w:noProof/>
          <w:lang w:val="en-GB"/>
        </w:rPr>
        <w:t>, 1</w:t>
      </w:r>
      <w:r w:rsidR="00D36446">
        <w:rPr>
          <w:noProof/>
          <w:lang w:val="en-GB"/>
        </w:rPr>
        <w:t>-</w:t>
      </w:r>
      <w:r w:rsidRPr="00B8605D">
        <w:rPr>
          <w:noProof/>
          <w:lang w:val="en-GB"/>
        </w:rPr>
        <w:t>62.</w:t>
      </w:r>
    </w:p>
    <w:p w14:paraId="15E3D436" w14:textId="48195268" w:rsidR="006A27DC" w:rsidRPr="00B8605D" w:rsidRDefault="006A27DC" w:rsidP="003851DF">
      <w:pPr>
        <w:pStyle w:val="Rlit"/>
        <w:rPr>
          <w:noProof/>
          <w:lang w:val="en-GB"/>
        </w:rPr>
      </w:pPr>
      <w:r w:rsidRPr="00B8605D">
        <w:rPr>
          <w:noProof/>
          <w:lang w:val="en-GB"/>
        </w:rPr>
        <w:t>ESRI (2010). Arc GIS 10.3.1 software, ESRI, Environmental System Research Institute, Redland, CA, USA</w:t>
      </w:r>
      <w:r w:rsidR="00D36446">
        <w:rPr>
          <w:noProof/>
          <w:lang w:val="en-GB"/>
        </w:rPr>
        <w:t>.</w:t>
      </w:r>
    </w:p>
    <w:p w14:paraId="6050DC34" w14:textId="7093F8E4" w:rsidR="006A27DC" w:rsidRPr="00B8605D" w:rsidRDefault="006A27DC" w:rsidP="003851DF">
      <w:pPr>
        <w:pStyle w:val="Rlit"/>
        <w:rPr>
          <w:noProof/>
          <w:lang w:val="en-GB"/>
        </w:rPr>
      </w:pPr>
      <w:r w:rsidRPr="00B8605D">
        <w:rPr>
          <w:noProof/>
          <w:lang w:val="en-GB"/>
        </w:rPr>
        <w:t>Fitzpatrick, C.,</w:t>
      </w:r>
      <w:r w:rsidR="00B8605D" w:rsidRPr="00B8605D">
        <w:rPr>
          <w:noProof/>
          <w:lang w:val="en-GB"/>
        </w:rPr>
        <w:t xml:space="preserve"> </w:t>
      </w:r>
      <w:r w:rsidR="00326C28">
        <w:rPr>
          <w:rFonts w:eastAsiaTheme="minorEastAsia"/>
          <w:noProof/>
          <w:lang w:val="en-GB" w:eastAsia="tr-TR"/>
        </w:rPr>
        <w:t>&amp;</w:t>
      </w:r>
      <w:r w:rsidR="00326C28" w:rsidRPr="00B8605D">
        <w:rPr>
          <w:rFonts w:eastAsiaTheme="minorEastAsia"/>
          <w:noProof/>
          <w:lang w:val="en-GB" w:eastAsia="tr-TR"/>
        </w:rPr>
        <w:t xml:space="preserve"> </w:t>
      </w:r>
      <w:r w:rsidRPr="00B8605D">
        <w:rPr>
          <w:noProof/>
          <w:lang w:val="en-GB"/>
        </w:rPr>
        <w:t>Maguire,</w:t>
      </w:r>
      <w:r w:rsidR="00B8605D" w:rsidRPr="00B8605D">
        <w:rPr>
          <w:noProof/>
          <w:lang w:val="en-GB"/>
        </w:rPr>
        <w:t xml:space="preserve"> </w:t>
      </w:r>
      <w:r w:rsidRPr="00B8605D">
        <w:rPr>
          <w:noProof/>
          <w:lang w:val="en-GB"/>
        </w:rPr>
        <w:t>D.</w:t>
      </w:r>
      <w:r w:rsidR="00B8605D" w:rsidRPr="00B8605D">
        <w:rPr>
          <w:noProof/>
          <w:lang w:val="en-GB"/>
        </w:rPr>
        <w:t xml:space="preserve"> </w:t>
      </w:r>
      <w:r w:rsidRPr="00B8605D">
        <w:rPr>
          <w:noProof/>
          <w:lang w:val="en-GB"/>
        </w:rPr>
        <w:t>J. (2001).</w:t>
      </w:r>
      <w:r w:rsidR="00B8605D" w:rsidRPr="00B8605D">
        <w:rPr>
          <w:noProof/>
          <w:lang w:val="en-GB"/>
        </w:rPr>
        <w:t xml:space="preserve"> </w:t>
      </w:r>
      <w:r w:rsidRPr="00B8605D">
        <w:rPr>
          <w:noProof/>
          <w:lang w:val="en-GB"/>
        </w:rPr>
        <w:t>GIS</w:t>
      </w:r>
      <w:r w:rsidR="00B8605D" w:rsidRPr="00B8605D">
        <w:rPr>
          <w:noProof/>
          <w:lang w:val="en-GB"/>
        </w:rPr>
        <w:t xml:space="preserve"> </w:t>
      </w:r>
      <w:r w:rsidRPr="00B8605D">
        <w:rPr>
          <w:noProof/>
          <w:lang w:val="en-GB"/>
        </w:rPr>
        <w:t>in</w:t>
      </w:r>
      <w:r w:rsidR="00B8605D" w:rsidRPr="00B8605D">
        <w:rPr>
          <w:noProof/>
          <w:lang w:val="en-GB"/>
        </w:rPr>
        <w:t xml:space="preserve"> </w:t>
      </w:r>
      <w:r w:rsidRPr="00B8605D">
        <w:rPr>
          <w:noProof/>
          <w:lang w:val="en-GB"/>
        </w:rPr>
        <w:t>Schools:</w:t>
      </w:r>
      <w:r w:rsidR="00B8605D" w:rsidRPr="00B8605D">
        <w:rPr>
          <w:noProof/>
          <w:lang w:val="en-GB"/>
        </w:rPr>
        <w:t xml:space="preserve"> </w:t>
      </w:r>
      <w:r w:rsidRPr="00B8605D">
        <w:rPr>
          <w:noProof/>
          <w:lang w:val="en-GB"/>
        </w:rPr>
        <w:t>Infrastructure, Methodology and Role, CRC Press</w:t>
      </w:r>
      <w:r w:rsidR="00D36446">
        <w:rPr>
          <w:noProof/>
          <w:lang w:val="en-GB"/>
        </w:rPr>
        <w:t>.</w:t>
      </w:r>
    </w:p>
    <w:p w14:paraId="191CA6C3" w14:textId="073AEBE0" w:rsidR="006A27DC" w:rsidRPr="00B8605D" w:rsidRDefault="006A27DC" w:rsidP="003851DF">
      <w:pPr>
        <w:pStyle w:val="Rlit"/>
        <w:rPr>
          <w:rFonts w:eastAsia="Calibri"/>
          <w:b/>
          <w:kern w:val="32"/>
          <w:shd w:val="clear" w:color="auto" w:fill="FFFFFF"/>
          <w:lang w:val="en-GB"/>
        </w:rPr>
      </w:pPr>
      <w:r w:rsidRPr="00B8605D">
        <w:rPr>
          <w:rFonts w:eastAsia="Calibri"/>
          <w:kern w:val="32"/>
          <w:shd w:val="clear" w:color="auto" w:fill="FFFFFF"/>
          <w:lang w:val="en-GB"/>
        </w:rPr>
        <w:t xml:space="preserve">Gao, Z., Chen, J., Wang, G., Ren, S., Fang, L., Yinglan, A.,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rFonts w:eastAsia="Calibri"/>
          <w:kern w:val="32"/>
          <w:shd w:val="clear" w:color="auto" w:fill="FFFFFF"/>
          <w:lang w:val="en-GB"/>
        </w:rPr>
        <w:t>Wang, Q. (2023). A novel multivariate time series prediction of crucial water quality parameters with</w:t>
      </w:r>
      <w:r w:rsidR="00890C57" w:rsidRPr="00B8605D">
        <w:rPr>
          <w:rFonts w:eastAsia="Calibri"/>
          <w:kern w:val="32"/>
          <w:shd w:val="clear" w:color="auto" w:fill="FFFFFF"/>
          <w:lang w:val="en-GB"/>
        </w:rPr>
        <w:t xml:space="preserve"> Long Short-Term Memory (LSTM) </w:t>
      </w:r>
      <w:r w:rsidRPr="00B8605D">
        <w:rPr>
          <w:rFonts w:eastAsia="Calibri"/>
          <w:kern w:val="32"/>
          <w:shd w:val="clear" w:color="auto" w:fill="FFFFFF"/>
          <w:lang w:val="en-GB"/>
        </w:rPr>
        <w:t>networks</w:t>
      </w:r>
      <w:r w:rsidR="00D36446">
        <w:rPr>
          <w:rFonts w:eastAsia="Calibri"/>
          <w:kern w:val="32"/>
          <w:shd w:val="clear" w:color="auto" w:fill="FFFFFF"/>
          <w:lang w:val="en-GB"/>
        </w:rPr>
        <w:t>.</w:t>
      </w:r>
      <w:r w:rsidRPr="00B8605D">
        <w:rPr>
          <w:rFonts w:eastAsia="Calibri"/>
          <w:kern w:val="32"/>
          <w:shd w:val="clear" w:color="auto" w:fill="FFFFFF"/>
          <w:lang w:val="en-GB"/>
        </w:rPr>
        <w:t xml:space="preserve"> </w:t>
      </w:r>
      <w:hyperlink r:id="rId25" w:tooltip="Go to Journal of Contaminant Hydrology on ScienceDirect" w:history="1">
        <w:r w:rsidRPr="00B8605D">
          <w:rPr>
            <w:rFonts w:eastAsia="Calibri"/>
            <w:i/>
            <w:kern w:val="32"/>
            <w:shd w:val="clear" w:color="auto" w:fill="FFFFFF"/>
            <w:lang w:val="en-GB"/>
          </w:rPr>
          <w:t>Journal of Contaminant Hydrology</w:t>
        </w:r>
      </w:hyperlink>
      <w:r w:rsidRPr="00D36446">
        <w:rPr>
          <w:rFonts w:eastAsia="Calibri"/>
          <w:iCs/>
          <w:kern w:val="32"/>
          <w:shd w:val="clear" w:color="auto" w:fill="FFFFFF"/>
          <w:lang w:val="en-GB"/>
        </w:rPr>
        <w:t xml:space="preserve">, </w:t>
      </w:r>
      <w:r w:rsidRPr="00D36446">
        <w:rPr>
          <w:rFonts w:eastAsia="Calibri"/>
          <w:i/>
          <w:iCs/>
          <w:kern w:val="32"/>
          <w:shd w:val="clear" w:color="auto" w:fill="FFFFFF"/>
          <w:lang w:val="en-GB"/>
        </w:rPr>
        <w:t>259</w:t>
      </w:r>
      <w:r w:rsidRPr="00B8605D">
        <w:rPr>
          <w:rFonts w:eastAsia="Calibri"/>
          <w:kern w:val="32"/>
          <w:shd w:val="clear" w:color="auto" w:fill="FFFFFF"/>
          <w:lang w:val="en-GB"/>
        </w:rPr>
        <w:t>, 104262</w:t>
      </w:r>
      <w:r w:rsidR="00D36446">
        <w:rPr>
          <w:rFonts w:eastAsia="Calibri"/>
          <w:kern w:val="32"/>
          <w:shd w:val="clear" w:color="auto" w:fill="FFFFFF"/>
          <w:lang w:val="en-GB"/>
        </w:rPr>
        <w:t>.</w:t>
      </w:r>
      <w:r w:rsidRPr="00B8605D">
        <w:rPr>
          <w:rFonts w:eastAsia="Calibri"/>
          <w:kern w:val="32"/>
          <w:shd w:val="clear" w:color="auto" w:fill="FFFFFF"/>
          <w:lang w:val="en-GB"/>
        </w:rPr>
        <w:t xml:space="preserve"> </w:t>
      </w:r>
      <w:r w:rsidR="00D36446" w:rsidRPr="00211721">
        <w:t>https://doi.org/</w:t>
      </w:r>
      <w:hyperlink r:id="rId26" w:tgtFrame="_blank" w:tooltip="Persistent link using digital object identifier" w:history="1">
        <w:r w:rsidRPr="00B8605D">
          <w:rPr>
            <w:lang w:val="en-GB" w:eastAsia="tr-TR"/>
          </w:rPr>
          <w:t>10.1016/j.jconhyd.2023.104262</w:t>
        </w:r>
      </w:hyperlink>
    </w:p>
    <w:p w14:paraId="7B364195" w14:textId="16642249" w:rsidR="006A27DC" w:rsidRPr="00B8605D" w:rsidRDefault="006A27DC" w:rsidP="003851DF">
      <w:pPr>
        <w:pStyle w:val="Rlit"/>
        <w:rPr>
          <w:noProof/>
          <w:lang w:val="en-GB"/>
        </w:rPr>
      </w:pPr>
      <w:r w:rsidRPr="00B8605D">
        <w:rPr>
          <w:noProof/>
          <w:lang w:val="en-GB"/>
        </w:rPr>
        <w:t>Gümüş</w:t>
      </w:r>
      <w:r w:rsidR="00D36446">
        <w:rPr>
          <w:noProof/>
          <w:lang w:val="en-GB"/>
        </w:rPr>
        <w:t>,</w:t>
      </w:r>
      <w:r w:rsidRPr="00B8605D">
        <w:rPr>
          <w:noProof/>
          <w:lang w:val="en-GB"/>
        </w:rPr>
        <w:t xml:space="preserve"> V. (2006). Fırat havzası akımlarının trend analizi ile değerlendirilmesi, Harran Üniversitesi Fen Bilimleri Enstitüsü Yüksek Lisans Tezi, Şanlıurfa</w:t>
      </w:r>
      <w:r w:rsidR="00D36446">
        <w:rPr>
          <w:noProof/>
          <w:lang w:val="en-GB"/>
        </w:rPr>
        <w:t>.</w:t>
      </w:r>
      <w:r w:rsidRPr="00B8605D">
        <w:rPr>
          <w:noProof/>
          <w:lang w:val="en-GB"/>
        </w:rPr>
        <w:t xml:space="preserve"> (in Turkish)</w:t>
      </w:r>
    </w:p>
    <w:p w14:paraId="6B7EDA8D" w14:textId="33E0813E" w:rsidR="006A27DC" w:rsidRPr="00B8605D" w:rsidRDefault="006A27DC" w:rsidP="00D36446">
      <w:pPr>
        <w:pStyle w:val="Rlit"/>
        <w:jc w:val="left"/>
        <w:rPr>
          <w:rStyle w:val="Hipercze"/>
          <w:rFonts w:eastAsiaTheme="majorEastAsia"/>
          <w:bCs/>
          <w:noProof/>
          <w:sz w:val="22"/>
          <w:szCs w:val="22"/>
          <w:u w:val="none"/>
          <w:lang w:val="en-GB"/>
        </w:rPr>
      </w:pPr>
      <w:r w:rsidRPr="00B8605D">
        <w:rPr>
          <w:rFonts w:eastAsiaTheme="minorEastAsia"/>
          <w:noProof/>
          <w:lang w:val="en-GB" w:eastAsia="tr-TR"/>
        </w:rPr>
        <w:t>Hemraj</w:t>
      </w:r>
      <w:r w:rsidR="00D36446">
        <w:rPr>
          <w:rFonts w:eastAsiaTheme="minorEastAsia"/>
          <w:noProof/>
          <w:lang w:val="en-GB" w:eastAsia="tr-TR"/>
        </w:rPr>
        <w:t>,</w:t>
      </w:r>
      <w:r w:rsidRPr="00B8605D">
        <w:rPr>
          <w:rFonts w:eastAsiaTheme="minorEastAsia"/>
          <w:noProof/>
          <w:lang w:val="en-GB" w:eastAsia="tr-TR"/>
        </w:rPr>
        <w:t xml:space="preserve"> </w:t>
      </w:r>
      <w:r w:rsidR="00D36446">
        <w:rPr>
          <w:rFonts w:eastAsiaTheme="minorEastAsia"/>
          <w:noProof/>
          <w:lang w:val="en-GB" w:eastAsia="tr-TR"/>
        </w:rPr>
        <w:t>&amp;</w:t>
      </w:r>
      <w:r w:rsidRPr="00B8605D">
        <w:rPr>
          <w:rFonts w:eastAsiaTheme="minorEastAsia"/>
          <w:noProof/>
          <w:lang w:val="en-GB" w:eastAsia="tr-TR"/>
        </w:rPr>
        <w:t xml:space="preserve"> Kumar M. (2022).</w:t>
      </w:r>
      <w:r w:rsidR="00B8605D" w:rsidRPr="00B8605D">
        <w:rPr>
          <w:rFonts w:eastAsiaTheme="minorEastAsia"/>
          <w:noProof/>
          <w:lang w:val="en-GB" w:eastAsia="tr-TR"/>
        </w:rPr>
        <w:t xml:space="preserve"> </w:t>
      </w:r>
      <w:r w:rsidRPr="00B8605D">
        <w:rPr>
          <w:rFonts w:eastAsiaTheme="minorEastAsia"/>
          <w:noProof/>
          <w:lang w:val="en-GB" w:eastAsia="tr-TR"/>
        </w:rPr>
        <w:t>GIS based surface elevation assessment of spring water quality of Shivalik Range of</w:t>
      </w:r>
      <w:r w:rsidR="00AC488F">
        <w:rPr>
          <w:rFonts w:eastAsiaTheme="minorEastAsia"/>
          <w:noProof/>
          <w:lang w:val="en-GB" w:eastAsia="tr-TR"/>
        </w:rPr>
        <w:t> </w:t>
      </w:r>
      <w:r w:rsidRPr="00B8605D">
        <w:rPr>
          <w:rFonts w:eastAsiaTheme="minorEastAsia"/>
          <w:noProof/>
          <w:lang w:val="en-GB" w:eastAsia="tr-TR"/>
        </w:rPr>
        <w:t>Jammu and Kashmir, India</w:t>
      </w:r>
      <w:r w:rsidR="00D36446">
        <w:rPr>
          <w:rFonts w:eastAsiaTheme="minorEastAsia"/>
          <w:noProof/>
          <w:lang w:val="en-GB" w:eastAsia="tr-TR"/>
        </w:rPr>
        <w:t>.</w:t>
      </w:r>
      <w:r w:rsidRPr="00B8605D">
        <w:rPr>
          <w:rFonts w:eastAsiaTheme="minorEastAsia"/>
          <w:noProof/>
          <w:lang w:val="en-GB" w:eastAsia="tr-TR"/>
        </w:rPr>
        <w:t xml:space="preserve"> </w:t>
      </w:r>
      <w:hyperlink r:id="rId27" w:tooltip="Go to Groundwater for Sustainable Development on ScienceDirect" w:history="1">
        <w:r w:rsidRPr="00B8605D">
          <w:rPr>
            <w:rFonts w:eastAsiaTheme="minorEastAsia"/>
            <w:i/>
            <w:noProof/>
            <w:lang w:val="en-GB" w:eastAsia="tr-TR"/>
          </w:rPr>
          <w:t>Groundwater for Sustainable Development</w:t>
        </w:r>
      </w:hyperlink>
      <w:r w:rsidRPr="00B8605D">
        <w:rPr>
          <w:rFonts w:eastAsiaTheme="minorEastAsia"/>
          <w:noProof/>
          <w:lang w:val="en-GB" w:eastAsia="tr-TR"/>
        </w:rPr>
        <w:t xml:space="preserve">, </w:t>
      </w:r>
      <w:r w:rsidRPr="00D36446">
        <w:rPr>
          <w:rFonts w:eastAsiaTheme="minorEastAsia"/>
          <w:i/>
          <w:iCs/>
          <w:noProof/>
          <w:lang w:val="en-GB" w:eastAsia="tr-TR"/>
        </w:rPr>
        <w:t>19</w:t>
      </w:r>
      <w:r w:rsidRPr="00B8605D">
        <w:rPr>
          <w:rFonts w:eastAsiaTheme="minorEastAsia"/>
          <w:noProof/>
          <w:lang w:val="en-GB" w:eastAsia="tr-TR"/>
        </w:rPr>
        <w:t>, 100851</w:t>
      </w:r>
      <w:r w:rsidR="00522558">
        <w:rPr>
          <w:rFonts w:eastAsiaTheme="minorEastAsia"/>
          <w:noProof/>
          <w:lang w:val="en-GB" w:eastAsia="tr-TR"/>
        </w:rPr>
        <w:t>.</w:t>
      </w:r>
      <w:r w:rsidRPr="00B8605D">
        <w:rPr>
          <w:rFonts w:eastAsiaTheme="minorEastAsia"/>
          <w:noProof/>
          <w:lang w:val="en-GB" w:eastAsia="tr-TR"/>
        </w:rPr>
        <w:t xml:space="preserve"> </w:t>
      </w:r>
      <w:r w:rsidR="00D36446" w:rsidRPr="00211721">
        <w:t>https://doi.org/</w:t>
      </w:r>
      <w:hyperlink r:id="rId28" w:tgtFrame="_blank" w:tooltip="Persistent link using digital object identifier" w:history="1">
        <w:r w:rsidRPr="00B8605D">
          <w:rPr>
            <w:rStyle w:val="Hipercze"/>
            <w:rFonts w:eastAsiaTheme="majorEastAsia"/>
            <w:bCs/>
            <w:noProof/>
            <w:sz w:val="22"/>
            <w:szCs w:val="22"/>
            <w:u w:val="none"/>
            <w:lang w:val="en-GB"/>
          </w:rPr>
          <w:t>10.1016/j.gsd.2022.100851</w:t>
        </w:r>
      </w:hyperlink>
    </w:p>
    <w:p w14:paraId="7C9342F0" w14:textId="7B0165BE" w:rsidR="006A27DC" w:rsidRPr="00B8605D" w:rsidRDefault="006A27DC" w:rsidP="003851DF">
      <w:pPr>
        <w:pStyle w:val="Rlit"/>
        <w:rPr>
          <w:rStyle w:val="Hipercze"/>
          <w:noProof/>
          <w:sz w:val="22"/>
          <w:szCs w:val="22"/>
          <w:u w:val="none"/>
          <w:lang w:val="en-GB"/>
        </w:rPr>
      </w:pPr>
      <w:r w:rsidRPr="00B8605D">
        <w:rPr>
          <w:noProof/>
          <w:lang w:val="en-GB"/>
        </w:rPr>
        <w:t>Karakuş, C.B. (2017). Trend Analysis Methods for Hydro-Meteorological Parameters</w:t>
      </w:r>
      <w:r w:rsidR="00D36446">
        <w:rPr>
          <w:noProof/>
          <w:lang w:val="en-GB"/>
        </w:rPr>
        <w:t>.</w:t>
      </w:r>
      <w:r w:rsidRPr="00B8605D">
        <w:rPr>
          <w:i/>
          <w:noProof/>
          <w:lang w:val="en-GB"/>
        </w:rPr>
        <w:t xml:space="preserve"> International Journal of Scientific and Technological Research</w:t>
      </w:r>
      <w:r w:rsidRPr="00B8605D">
        <w:rPr>
          <w:noProof/>
          <w:lang w:val="en-GB"/>
        </w:rPr>
        <w:t xml:space="preserve">, </w:t>
      </w:r>
      <w:r w:rsidRPr="00D36446">
        <w:rPr>
          <w:i/>
          <w:iCs/>
          <w:noProof/>
          <w:lang w:val="en-GB"/>
        </w:rPr>
        <w:t>3</w:t>
      </w:r>
      <w:r w:rsidRPr="00B8605D">
        <w:rPr>
          <w:noProof/>
          <w:lang w:val="en-GB"/>
        </w:rPr>
        <w:t>(2), 22-32</w:t>
      </w:r>
      <w:r w:rsidR="00D36446">
        <w:rPr>
          <w:noProof/>
          <w:lang w:val="en-GB"/>
        </w:rPr>
        <w:t>.</w:t>
      </w:r>
    </w:p>
    <w:p w14:paraId="387BEACC" w14:textId="13F75096" w:rsidR="006A27DC" w:rsidRPr="00B8605D" w:rsidRDefault="006A27DC" w:rsidP="003851DF">
      <w:pPr>
        <w:pStyle w:val="Rlit"/>
        <w:rPr>
          <w:rStyle w:val="Hipercze"/>
          <w:noProof/>
          <w:sz w:val="22"/>
          <w:szCs w:val="22"/>
          <w:u w:val="none"/>
          <w:lang w:val="en-GB"/>
        </w:rPr>
      </w:pPr>
      <w:r w:rsidRPr="00B8605D">
        <w:rPr>
          <w:noProof/>
          <w:lang w:val="en-GB"/>
        </w:rPr>
        <w:t>Kendall, M. G. (1975). Rank Correlation Methods. Charles Griffin, London, 135</w:t>
      </w:r>
      <w:r w:rsidR="00D36446">
        <w:rPr>
          <w:noProof/>
          <w:lang w:val="en-GB"/>
        </w:rPr>
        <w:t>.</w:t>
      </w:r>
    </w:p>
    <w:p w14:paraId="04EB6676" w14:textId="3781F8F2" w:rsidR="006A27DC" w:rsidRPr="00D36446" w:rsidRDefault="006A27DC" w:rsidP="003851DF">
      <w:pPr>
        <w:pStyle w:val="Rlit"/>
      </w:pPr>
      <w:r w:rsidRPr="00B8605D">
        <w:rPr>
          <w:noProof/>
          <w:shd w:val="clear" w:color="auto" w:fill="FFFFFF"/>
          <w:lang w:val="en-GB"/>
        </w:rPr>
        <w:t>Laaraj, M.,</w:t>
      </w:r>
      <w:r w:rsidR="00B8605D" w:rsidRPr="00B8605D">
        <w:rPr>
          <w:noProof/>
          <w:shd w:val="clear" w:color="auto" w:fill="FFFFFF"/>
          <w:lang w:val="en-GB"/>
        </w:rPr>
        <w:t xml:space="preserve"> </w:t>
      </w:r>
      <w:r w:rsidRPr="00B8605D">
        <w:rPr>
          <w:noProof/>
          <w:shd w:val="clear" w:color="auto" w:fill="FFFFFF"/>
          <w:lang w:val="en-GB"/>
        </w:rPr>
        <w:t>Benaabıdate, L., Mesnage, V.,</w:t>
      </w:r>
      <w:r w:rsidR="00B8605D" w:rsidRPr="00B8605D">
        <w:rPr>
          <w:noProof/>
          <w:shd w:val="clear" w:color="auto" w:fill="FFFFFF"/>
          <w:lang w:val="en-GB"/>
        </w:rPr>
        <w:t xml:space="preserve">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shd w:val="clear" w:color="auto" w:fill="FFFFFF"/>
          <w:lang w:val="en-GB"/>
        </w:rPr>
        <w:t>Lahmıdı, I. (2023).</w:t>
      </w:r>
      <w:r w:rsidR="00B8605D" w:rsidRPr="00B8605D">
        <w:rPr>
          <w:noProof/>
          <w:shd w:val="clear" w:color="auto" w:fill="FFFFFF"/>
          <w:lang w:val="en-GB"/>
        </w:rPr>
        <w:t xml:space="preserve"> </w:t>
      </w:r>
      <w:r w:rsidRPr="00B8605D">
        <w:rPr>
          <w:noProof/>
          <w:shd w:val="clear" w:color="auto" w:fill="FFFFFF"/>
          <w:lang w:val="en-GB"/>
        </w:rPr>
        <w:t>Assessment and modeling of surface water quality for drinking and irrigation purposes using water quality indices and GIS techniques in the Inaouene watershed, Morocco</w:t>
      </w:r>
      <w:r w:rsidR="00B25DC1">
        <w:rPr>
          <w:noProof/>
          <w:shd w:val="clear" w:color="auto" w:fill="FFFFFF"/>
          <w:lang w:val="en-GB"/>
        </w:rPr>
        <w:t>.</w:t>
      </w:r>
      <w:r w:rsidRPr="00B8605D">
        <w:rPr>
          <w:noProof/>
          <w:shd w:val="clear" w:color="auto" w:fill="FFFFFF"/>
          <w:lang w:val="en-GB"/>
        </w:rPr>
        <w:t xml:space="preserve"> </w:t>
      </w:r>
      <w:r w:rsidRPr="00B8605D">
        <w:rPr>
          <w:i/>
          <w:noProof/>
          <w:shd w:val="clear" w:color="auto" w:fill="FFFFFF"/>
          <w:lang w:val="en-GB"/>
        </w:rPr>
        <w:t>Modeling Earth Systems and Environment</w:t>
      </w:r>
      <w:r w:rsidRPr="00D36446">
        <w:rPr>
          <w:iCs/>
          <w:noProof/>
          <w:shd w:val="clear" w:color="auto" w:fill="FFFFFF"/>
          <w:lang w:val="en-GB"/>
        </w:rPr>
        <w:t>,</w:t>
      </w:r>
      <w:r w:rsidRPr="00B8605D">
        <w:rPr>
          <w:noProof/>
          <w:shd w:val="clear" w:color="auto" w:fill="FFFFFF"/>
          <w:lang w:val="en-GB"/>
        </w:rPr>
        <w:t xml:space="preserve"> </w:t>
      </w:r>
      <w:r w:rsidRPr="00D36446">
        <w:rPr>
          <w:i/>
          <w:iCs/>
        </w:rPr>
        <w:t>10</w:t>
      </w:r>
      <w:r w:rsidRPr="00D36446">
        <w:t>, 2349-2374</w:t>
      </w:r>
      <w:r w:rsidR="00D36446" w:rsidRPr="00D36446">
        <w:t>.</w:t>
      </w:r>
      <w:r w:rsidRPr="00D36446">
        <w:t xml:space="preserve"> </w:t>
      </w:r>
      <w:r w:rsidR="00D36446" w:rsidRPr="00D36446">
        <w:t>https://doi.org/</w:t>
      </w:r>
      <w:hyperlink r:id="rId29" w:history="1">
        <w:r w:rsidRPr="00D36446">
          <w:t>10.1007/s40808-023-01904-1</w:t>
        </w:r>
      </w:hyperlink>
    </w:p>
    <w:p w14:paraId="55C661E1" w14:textId="51E5782C" w:rsidR="006A27DC" w:rsidRPr="00D36446" w:rsidRDefault="006A27DC" w:rsidP="00D36446">
      <w:pPr>
        <w:pStyle w:val="Rlit"/>
        <w:rPr>
          <w:rStyle w:val="Hipercze"/>
          <w:u w:val="none"/>
        </w:rPr>
      </w:pPr>
      <w:r w:rsidRPr="00D36446">
        <w:t>Mann, H. B. (1945). Non-parametric Tests Against Trend</w:t>
      </w:r>
      <w:r w:rsidR="00D36446">
        <w:t>.</w:t>
      </w:r>
      <w:r w:rsidRPr="00D36446">
        <w:t xml:space="preserve"> </w:t>
      </w:r>
      <w:proofErr w:type="spellStart"/>
      <w:r w:rsidRPr="00D36446">
        <w:rPr>
          <w:i/>
          <w:iCs/>
        </w:rPr>
        <w:t>Econometrica</w:t>
      </w:r>
      <w:proofErr w:type="spellEnd"/>
      <w:r w:rsidRPr="00D36446">
        <w:t xml:space="preserve">, </w:t>
      </w:r>
      <w:r w:rsidRPr="00D36446">
        <w:rPr>
          <w:i/>
          <w:iCs/>
        </w:rPr>
        <w:t>13</w:t>
      </w:r>
      <w:r w:rsidRPr="00D36446">
        <w:t>, 245-259</w:t>
      </w:r>
      <w:r w:rsidR="00D36446">
        <w:t>.</w:t>
      </w:r>
    </w:p>
    <w:p w14:paraId="36A5EA9A" w14:textId="1F579BA9" w:rsidR="006A27DC" w:rsidRPr="00D36446" w:rsidRDefault="006A27DC" w:rsidP="00D36446">
      <w:pPr>
        <w:pStyle w:val="Rlit"/>
        <w:jc w:val="left"/>
      </w:pPr>
      <w:r w:rsidRPr="00B8605D">
        <w:rPr>
          <w:noProof/>
          <w:shd w:val="clear" w:color="auto" w:fill="FFFFFF"/>
          <w:lang w:val="en-GB"/>
        </w:rPr>
        <w:t>Naddeo, V.,</w:t>
      </w:r>
      <w:r w:rsidR="00B8605D" w:rsidRPr="00B8605D">
        <w:rPr>
          <w:noProof/>
          <w:shd w:val="clear" w:color="auto" w:fill="FFFFFF"/>
          <w:lang w:val="en-GB"/>
        </w:rPr>
        <w:t xml:space="preserve"> </w:t>
      </w:r>
      <w:r w:rsidRPr="00B8605D">
        <w:rPr>
          <w:noProof/>
          <w:shd w:val="clear" w:color="auto" w:fill="FFFFFF"/>
          <w:lang w:val="en-GB"/>
        </w:rPr>
        <w:t>Zarra, T.,</w:t>
      </w:r>
      <w:r w:rsidR="00B8605D" w:rsidRPr="00B8605D">
        <w:rPr>
          <w:noProof/>
          <w:shd w:val="clear" w:color="auto" w:fill="FFFFFF"/>
          <w:lang w:val="en-GB"/>
        </w:rPr>
        <w:t xml:space="preserve"> </w:t>
      </w:r>
      <w:r w:rsidRPr="00B8605D">
        <w:rPr>
          <w:noProof/>
          <w:shd w:val="clear" w:color="auto" w:fill="FFFFFF"/>
          <w:lang w:val="en-GB"/>
        </w:rPr>
        <w:t>Pervez, M. N., Papamıchael, I.,</w:t>
      </w:r>
      <w:r w:rsidR="00B8605D" w:rsidRPr="00B8605D">
        <w:rPr>
          <w:noProof/>
          <w:shd w:val="clear" w:color="auto" w:fill="FFFFFF"/>
          <w:lang w:val="en-GB"/>
        </w:rPr>
        <w:t xml:space="preserve"> </w:t>
      </w:r>
      <w:r w:rsidRPr="00B8605D">
        <w:rPr>
          <w:noProof/>
          <w:shd w:val="clear" w:color="auto" w:fill="FFFFFF"/>
          <w:lang w:val="en-GB"/>
        </w:rPr>
        <w:t>Zorpas, A. A.,</w:t>
      </w:r>
      <w:r w:rsidR="00B8605D" w:rsidRPr="00B8605D">
        <w:rPr>
          <w:noProof/>
          <w:shd w:val="clear" w:color="auto" w:fill="FFFFFF"/>
          <w:lang w:val="en-GB"/>
        </w:rPr>
        <w:t xml:space="preserve"> </w:t>
      </w:r>
      <w:r w:rsidRPr="00B8605D">
        <w:rPr>
          <w:noProof/>
          <w:shd w:val="clear" w:color="auto" w:fill="FFFFFF"/>
          <w:lang w:val="en-GB"/>
        </w:rPr>
        <w:t>Lı, C. W.,</w:t>
      </w:r>
      <w:r w:rsidR="00B8605D" w:rsidRPr="00B8605D">
        <w:rPr>
          <w:noProof/>
          <w:shd w:val="clear" w:color="auto" w:fill="FFFFFF"/>
          <w:lang w:val="en-GB"/>
        </w:rPr>
        <w:t xml:space="preserve"> </w:t>
      </w:r>
      <w:r w:rsidRPr="00B8605D">
        <w:rPr>
          <w:noProof/>
          <w:shd w:val="clear" w:color="auto" w:fill="FFFFFF"/>
          <w:lang w:val="en-GB"/>
        </w:rPr>
        <w:t>Klontza, E.,</w:t>
      </w:r>
      <w:r w:rsidR="00B8605D" w:rsidRPr="00B8605D">
        <w:rPr>
          <w:noProof/>
          <w:shd w:val="clear" w:color="auto" w:fill="FFFFFF"/>
          <w:lang w:val="en-GB"/>
        </w:rPr>
        <w:t xml:space="preserve"> </w:t>
      </w:r>
      <w:r w:rsidRPr="00B8605D">
        <w:rPr>
          <w:noProof/>
          <w:shd w:val="clear" w:color="auto" w:fill="FFFFFF"/>
          <w:lang w:val="en-GB"/>
        </w:rPr>
        <w:t>Lekkas, D.</w:t>
      </w:r>
      <w:r w:rsidR="00D36446">
        <w:rPr>
          <w:noProof/>
          <w:shd w:val="clear" w:color="auto" w:fill="FFFFFF"/>
          <w:lang w:val="en-GB"/>
        </w:rPr>
        <w:t xml:space="preserve"> </w:t>
      </w:r>
      <w:r w:rsidRPr="00B8605D">
        <w:rPr>
          <w:noProof/>
          <w:shd w:val="clear" w:color="auto" w:fill="FFFFFF"/>
          <w:lang w:val="en-GB"/>
        </w:rPr>
        <w:t>F.,</w:t>
      </w:r>
      <w:r w:rsidR="00B8605D" w:rsidRPr="00B8605D">
        <w:rPr>
          <w:noProof/>
          <w:shd w:val="clear" w:color="auto" w:fill="FFFFFF"/>
          <w:lang w:val="en-GB"/>
        </w:rPr>
        <w:t xml:space="preserve">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shd w:val="clear" w:color="auto" w:fill="FFFFFF"/>
          <w:lang w:val="en-GB"/>
        </w:rPr>
        <w:t>Belgıorno, V. (2023). A comparative analysis of ecological status assessment in river water quality under the European Water Framework Directive</w:t>
      </w:r>
      <w:r w:rsidR="00D36446">
        <w:rPr>
          <w:noProof/>
          <w:shd w:val="clear" w:color="auto" w:fill="FFFFFF"/>
          <w:lang w:val="en-GB"/>
        </w:rPr>
        <w:t>.</w:t>
      </w:r>
      <w:r w:rsidRPr="00B8605D">
        <w:rPr>
          <w:noProof/>
          <w:shd w:val="clear" w:color="auto" w:fill="FFFFFF"/>
          <w:lang w:val="en-GB"/>
        </w:rPr>
        <w:t xml:space="preserve"> </w:t>
      </w:r>
      <w:r w:rsidRPr="00B8605D">
        <w:rPr>
          <w:i/>
          <w:noProof/>
          <w:shd w:val="clear" w:color="auto" w:fill="FFFFFF"/>
          <w:lang w:val="en-GB"/>
        </w:rPr>
        <w:t>Case Studies in Chemical and Environmental Engineering</w:t>
      </w:r>
      <w:r w:rsidRPr="00D36446">
        <w:rPr>
          <w:iCs/>
          <w:noProof/>
          <w:shd w:val="clear" w:color="auto" w:fill="FFFFFF"/>
          <w:lang w:val="en-GB"/>
        </w:rPr>
        <w:t xml:space="preserve">, </w:t>
      </w:r>
      <w:r w:rsidRPr="00D36446">
        <w:rPr>
          <w:i/>
          <w:iCs/>
          <w:noProof/>
          <w:shd w:val="clear" w:color="auto" w:fill="FFFFFF"/>
          <w:lang w:val="en-GB"/>
        </w:rPr>
        <w:t>8</w:t>
      </w:r>
      <w:r w:rsidRPr="00B8605D">
        <w:rPr>
          <w:noProof/>
          <w:shd w:val="clear" w:color="auto" w:fill="FFFFFF"/>
          <w:lang w:val="en-GB"/>
        </w:rPr>
        <w:t xml:space="preserve">, 100477. </w:t>
      </w:r>
      <w:r w:rsidR="00D36446" w:rsidRPr="00D36446">
        <w:t>https://doi.org/</w:t>
      </w:r>
      <w:hyperlink r:id="rId30" w:history="1">
        <w:r w:rsidRPr="00D36446">
          <w:t>10.1016/j.cscee.2023.100477</w:t>
        </w:r>
      </w:hyperlink>
    </w:p>
    <w:p w14:paraId="1625E513" w14:textId="4518FFE3" w:rsidR="006A27DC" w:rsidRPr="00B8605D" w:rsidRDefault="006A27DC" w:rsidP="00D36446">
      <w:pPr>
        <w:pStyle w:val="Rlit"/>
        <w:jc w:val="left"/>
        <w:rPr>
          <w:rStyle w:val="Hipercze"/>
          <w:noProof/>
          <w:sz w:val="22"/>
          <w:szCs w:val="22"/>
          <w:u w:val="none"/>
          <w:lang w:val="en-GB"/>
        </w:rPr>
      </w:pPr>
      <w:r w:rsidRPr="00B8605D">
        <w:rPr>
          <w:noProof/>
          <w:shd w:val="clear" w:color="auto" w:fill="FFFFFF"/>
          <w:lang w:val="en-GB"/>
        </w:rPr>
        <w:t>Ram, A., Tıwarı, S.</w:t>
      </w:r>
      <w:r w:rsidR="00D36446">
        <w:rPr>
          <w:noProof/>
          <w:shd w:val="clear" w:color="auto" w:fill="FFFFFF"/>
          <w:lang w:val="en-GB"/>
        </w:rPr>
        <w:t xml:space="preserve"> </w:t>
      </w:r>
      <w:r w:rsidRPr="00B8605D">
        <w:rPr>
          <w:noProof/>
          <w:shd w:val="clear" w:color="auto" w:fill="FFFFFF"/>
          <w:lang w:val="en-GB"/>
        </w:rPr>
        <w:t>K., Pandey, H.</w:t>
      </w:r>
      <w:r w:rsidR="00D36446">
        <w:rPr>
          <w:noProof/>
          <w:shd w:val="clear" w:color="auto" w:fill="FFFFFF"/>
          <w:lang w:val="en-GB"/>
        </w:rPr>
        <w:t xml:space="preserve"> </w:t>
      </w:r>
      <w:r w:rsidRPr="00B8605D">
        <w:rPr>
          <w:noProof/>
          <w:shd w:val="clear" w:color="auto" w:fill="FFFFFF"/>
          <w:lang w:val="en-GB"/>
        </w:rPr>
        <w:t xml:space="preserve">K., Chaurasıa, A. K., Sıngh, S., </w:t>
      </w:r>
      <w:r w:rsidR="0095280A">
        <w:rPr>
          <w:rFonts w:eastAsiaTheme="minorEastAsia"/>
          <w:noProof/>
          <w:lang w:val="en-GB" w:eastAsia="tr-TR"/>
        </w:rPr>
        <w:t>&amp;</w:t>
      </w:r>
      <w:r w:rsidR="0095280A" w:rsidRPr="00B8605D">
        <w:rPr>
          <w:rFonts w:eastAsiaTheme="minorEastAsia"/>
          <w:noProof/>
          <w:lang w:val="en-GB" w:eastAsia="tr-TR"/>
        </w:rPr>
        <w:t xml:space="preserve"> </w:t>
      </w:r>
      <w:r w:rsidRPr="00B8605D">
        <w:rPr>
          <w:noProof/>
          <w:shd w:val="clear" w:color="auto" w:fill="FFFFFF"/>
          <w:lang w:val="en-GB"/>
        </w:rPr>
        <w:t>Sıngh, Y. V. (2021). Groundwater quality assessment using water quality index (WQI) under GIS framework</w:t>
      </w:r>
      <w:r w:rsidR="00D36446">
        <w:rPr>
          <w:noProof/>
          <w:shd w:val="clear" w:color="auto" w:fill="FFFFFF"/>
          <w:lang w:val="en-GB"/>
        </w:rPr>
        <w:t>.</w:t>
      </w:r>
      <w:r w:rsidRPr="00B8605D">
        <w:rPr>
          <w:noProof/>
          <w:shd w:val="clear" w:color="auto" w:fill="FFFFFF"/>
          <w:lang w:val="en-GB"/>
        </w:rPr>
        <w:t xml:space="preserve"> </w:t>
      </w:r>
      <w:r w:rsidRPr="00B8605D">
        <w:rPr>
          <w:i/>
          <w:noProof/>
          <w:shd w:val="clear" w:color="auto" w:fill="FFFFFF"/>
          <w:lang w:val="en-GB"/>
        </w:rPr>
        <w:t>Applied Water Science</w:t>
      </w:r>
      <w:r w:rsidRPr="00B8605D">
        <w:rPr>
          <w:noProof/>
          <w:shd w:val="clear" w:color="auto" w:fill="FFFFFF"/>
          <w:lang w:val="en-GB"/>
        </w:rPr>
        <w:t xml:space="preserve">, </w:t>
      </w:r>
      <w:r w:rsidRPr="00D36446">
        <w:rPr>
          <w:i/>
          <w:iCs/>
          <w:noProof/>
          <w:shd w:val="clear" w:color="auto" w:fill="FFFFFF"/>
          <w:lang w:val="en-GB"/>
        </w:rPr>
        <w:t>11</w:t>
      </w:r>
      <w:r w:rsidRPr="00B8605D">
        <w:rPr>
          <w:noProof/>
          <w:shd w:val="clear" w:color="auto" w:fill="FFFFFF"/>
          <w:lang w:val="en-GB"/>
        </w:rPr>
        <w:t xml:space="preserve">(46), 1-20. </w:t>
      </w:r>
      <w:r w:rsidR="00D36446" w:rsidRPr="00211721">
        <w:t>https://doi.org/</w:t>
      </w:r>
      <w:hyperlink r:id="rId31" w:history="1">
        <w:r w:rsidRPr="00B8605D">
          <w:rPr>
            <w:rStyle w:val="Hipercze"/>
            <w:noProof/>
            <w:sz w:val="22"/>
            <w:szCs w:val="22"/>
            <w:u w:val="none"/>
            <w:lang w:val="en-GB"/>
          </w:rPr>
          <w:t>10.1007/s13201-021-01376-7</w:t>
        </w:r>
      </w:hyperlink>
    </w:p>
    <w:p w14:paraId="46D1B62F" w14:textId="77CE1900" w:rsidR="006A27DC" w:rsidRPr="00B8605D" w:rsidRDefault="006A27DC" w:rsidP="003851DF">
      <w:pPr>
        <w:pStyle w:val="Rlit"/>
        <w:rPr>
          <w:noProof/>
          <w:lang w:val="en-GB"/>
        </w:rPr>
      </w:pPr>
      <w:r w:rsidRPr="00B8605D">
        <w:rPr>
          <w:noProof/>
          <w:lang w:val="en-GB"/>
        </w:rPr>
        <w:t>Sen, P</w:t>
      </w:r>
      <w:r w:rsidR="00D36446">
        <w:rPr>
          <w:noProof/>
          <w:lang w:val="en-GB"/>
        </w:rPr>
        <w:t>.</w:t>
      </w:r>
      <w:r w:rsidRPr="00B8605D">
        <w:rPr>
          <w:noProof/>
          <w:lang w:val="en-GB"/>
        </w:rPr>
        <w:t xml:space="preserve"> K. (1968). Estimates of the Regression Coefficient Based on Kendall's Tau</w:t>
      </w:r>
      <w:r w:rsidR="00D36446">
        <w:rPr>
          <w:noProof/>
          <w:lang w:val="en-GB"/>
        </w:rPr>
        <w:t>.</w:t>
      </w:r>
      <w:r w:rsidRPr="00B8605D">
        <w:rPr>
          <w:noProof/>
          <w:lang w:val="en-GB"/>
        </w:rPr>
        <w:t xml:space="preserve"> </w:t>
      </w:r>
      <w:r w:rsidRPr="00B8605D">
        <w:rPr>
          <w:i/>
          <w:noProof/>
          <w:lang w:val="en-GB"/>
        </w:rPr>
        <w:t>J. Am. Stat. Assoc.</w:t>
      </w:r>
      <w:r w:rsidRPr="00D36446">
        <w:rPr>
          <w:iCs/>
          <w:noProof/>
          <w:lang w:val="en-GB"/>
        </w:rPr>
        <w:t xml:space="preserve">, </w:t>
      </w:r>
      <w:r w:rsidRPr="00D36446">
        <w:rPr>
          <w:i/>
          <w:iCs/>
          <w:noProof/>
          <w:lang w:val="en-GB"/>
        </w:rPr>
        <w:t>63</w:t>
      </w:r>
      <w:r w:rsidRPr="00B8605D">
        <w:rPr>
          <w:noProof/>
          <w:lang w:val="en-GB"/>
        </w:rPr>
        <w:t xml:space="preserve">, 1379-1389, </w:t>
      </w:r>
      <w:r w:rsidR="00D36446" w:rsidRPr="00211721">
        <w:t>https://doi.org/</w:t>
      </w:r>
      <w:r w:rsidRPr="00B8605D">
        <w:rPr>
          <w:noProof/>
          <w:lang w:val="en-GB"/>
        </w:rPr>
        <w:t>10.1080/01621459.1968.10480934</w:t>
      </w:r>
    </w:p>
    <w:p w14:paraId="76471053" w14:textId="62CC1ACF" w:rsidR="006A27DC" w:rsidRPr="00B8605D" w:rsidRDefault="006A27DC" w:rsidP="003851DF">
      <w:pPr>
        <w:pStyle w:val="Rlit"/>
        <w:rPr>
          <w:noProof/>
          <w:lang w:val="en-GB"/>
        </w:rPr>
      </w:pPr>
      <w:r w:rsidRPr="00B8605D">
        <w:rPr>
          <w:noProof/>
          <w:lang w:val="en-GB"/>
        </w:rPr>
        <w:t xml:space="preserve">Şen, A. (2007). </w:t>
      </w:r>
      <w:r w:rsidRPr="00B25DC1">
        <w:rPr>
          <w:i/>
          <w:iCs/>
          <w:noProof/>
          <w:lang w:val="en-GB"/>
        </w:rPr>
        <w:t>Elektrik alan şiddetlerinin ölçümü ve Coğrafi Bilgi Sistemi ortamında yapay sinir ağları ile analizi</w:t>
      </w:r>
      <w:r w:rsidR="00B25DC1">
        <w:rPr>
          <w:noProof/>
          <w:lang w:val="en-GB"/>
        </w:rPr>
        <w:t>.</w:t>
      </w:r>
      <w:r w:rsidRPr="00B8605D">
        <w:rPr>
          <w:noProof/>
          <w:lang w:val="en-GB"/>
        </w:rPr>
        <w:t xml:space="preserve"> Yıldız Teknik Üniversitesi Fen Bilimleri Enstitüsü, Yüksek Lisans Tezi, 2007, İstanbul</w:t>
      </w:r>
      <w:r w:rsidR="00D36446">
        <w:rPr>
          <w:noProof/>
          <w:lang w:val="en-GB"/>
        </w:rPr>
        <w:t>.</w:t>
      </w:r>
      <w:r w:rsidRPr="00B8605D">
        <w:rPr>
          <w:noProof/>
          <w:lang w:val="en-GB"/>
        </w:rPr>
        <w:t xml:space="preserve"> (in Turkish)</w:t>
      </w:r>
    </w:p>
    <w:p w14:paraId="1F4A2588" w14:textId="2B11A469" w:rsidR="006A27DC" w:rsidRPr="00B8605D" w:rsidRDefault="006A27DC" w:rsidP="003851DF">
      <w:pPr>
        <w:pStyle w:val="Rlit"/>
        <w:rPr>
          <w:iCs/>
          <w:noProof/>
          <w:lang w:val="en-GB"/>
        </w:rPr>
      </w:pPr>
      <w:r w:rsidRPr="00B8605D">
        <w:rPr>
          <w:noProof/>
          <w:lang w:val="en-GB"/>
        </w:rPr>
        <w:t>Tanas, E.</w:t>
      </w:r>
      <w:r w:rsidR="00326C28">
        <w:rPr>
          <w:noProof/>
          <w:lang w:val="en-GB"/>
        </w:rPr>
        <w:t xml:space="preserve"> </w:t>
      </w:r>
      <w:r w:rsidRPr="00B8605D">
        <w:rPr>
          <w:noProof/>
          <w:lang w:val="en-GB"/>
        </w:rPr>
        <w:t xml:space="preserve">N. (2016). </w:t>
      </w:r>
      <w:r w:rsidRPr="00B25DC1">
        <w:rPr>
          <w:i/>
          <w:iCs/>
          <w:noProof/>
          <w:lang w:val="en-GB"/>
        </w:rPr>
        <w:t>Sakarya ili içme suyu şebekesinin su kalitesinin araştırılması</w:t>
      </w:r>
      <w:r w:rsidR="00B25DC1">
        <w:rPr>
          <w:noProof/>
          <w:lang w:val="en-GB"/>
        </w:rPr>
        <w:t>.</w:t>
      </w:r>
      <w:r w:rsidRPr="00B8605D">
        <w:rPr>
          <w:noProof/>
          <w:lang w:val="en-GB"/>
        </w:rPr>
        <w:t xml:space="preserve"> </w:t>
      </w:r>
      <w:r w:rsidRPr="00B8605D">
        <w:rPr>
          <w:iCs/>
          <w:noProof/>
          <w:lang w:val="en-GB"/>
        </w:rPr>
        <w:t>Sakarya Üniversitesi Fen Bilimleri Enstitüsü Yüksek Lisans Tezi,</w:t>
      </w:r>
      <w:r w:rsidRPr="00B8605D">
        <w:rPr>
          <w:noProof/>
          <w:lang w:val="en-GB"/>
        </w:rPr>
        <w:t xml:space="preserve"> </w:t>
      </w:r>
      <w:r w:rsidRPr="00B8605D">
        <w:rPr>
          <w:iCs/>
          <w:noProof/>
          <w:lang w:val="en-GB"/>
        </w:rPr>
        <w:t>Sakarya, Türkiye</w:t>
      </w:r>
      <w:r w:rsidR="00D36446">
        <w:rPr>
          <w:iCs/>
          <w:noProof/>
          <w:lang w:val="en-GB"/>
        </w:rPr>
        <w:t>.</w:t>
      </w:r>
      <w:r w:rsidRPr="00B8605D">
        <w:rPr>
          <w:iCs/>
          <w:noProof/>
          <w:lang w:val="en-GB"/>
        </w:rPr>
        <w:t xml:space="preserve"> (in Turkish)</w:t>
      </w:r>
    </w:p>
    <w:p w14:paraId="7A8EA31A" w14:textId="6E0ECB6C" w:rsidR="006A27DC" w:rsidRPr="00B8605D" w:rsidRDefault="006A27DC" w:rsidP="00522558">
      <w:pPr>
        <w:pStyle w:val="Rlit"/>
        <w:jc w:val="left"/>
        <w:rPr>
          <w:noProof/>
          <w:lang w:val="en-GB"/>
        </w:rPr>
      </w:pPr>
      <w:r w:rsidRPr="00B8605D">
        <w:rPr>
          <w:noProof/>
          <w:lang w:val="en-GB"/>
        </w:rPr>
        <w:t>TS (2005). Water intended for human consumption</w:t>
      </w:r>
      <w:r w:rsidR="00522558">
        <w:rPr>
          <w:noProof/>
          <w:lang w:val="en-GB"/>
        </w:rPr>
        <w:t>.</w:t>
      </w:r>
      <w:r w:rsidRPr="00B8605D">
        <w:rPr>
          <w:noProof/>
          <w:lang w:val="en-GB"/>
        </w:rPr>
        <w:t xml:space="preserve"> </w:t>
      </w:r>
      <w:r w:rsidR="00522558">
        <w:rPr>
          <w:noProof/>
          <w:lang w:val="en-GB"/>
        </w:rPr>
        <w:t>[</w:t>
      </w:r>
      <w:r w:rsidRPr="00B8605D">
        <w:rPr>
          <w:noProof/>
          <w:lang w:val="en-GB"/>
        </w:rPr>
        <w:t>In:</w:t>
      </w:r>
      <w:r w:rsidR="00522558">
        <w:rPr>
          <w:noProof/>
          <w:lang w:val="en-GB"/>
        </w:rPr>
        <w:t>]</w:t>
      </w:r>
      <w:r w:rsidRPr="00B8605D">
        <w:rPr>
          <w:noProof/>
          <w:lang w:val="en-GB"/>
        </w:rPr>
        <w:t xml:space="preserve"> Standards for Drinking Waters, TS266, Turkish Standards Institute, Turkiye</w:t>
      </w:r>
      <w:r w:rsidR="00522558">
        <w:rPr>
          <w:noProof/>
          <w:lang w:val="en-GB"/>
        </w:rPr>
        <w:t>.</w:t>
      </w:r>
    </w:p>
    <w:p w14:paraId="4D140E56" w14:textId="40C3D1F4" w:rsidR="006A27DC" w:rsidRPr="00B8605D" w:rsidRDefault="006A27DC" w:rsidP="003851DF">
      <w:pPr>
        <w:pStyle w:val="Rlit"/>
        <w:rPr>
          <w:noProof/>
          <w:lang w:val="en-GB" w:eastAsia="tr-TR"/>
        </w:rPr>
      </w:pPr>
      <w:r w:rsidRPr="00B8605D">
        <w:rPr>
          <w:noProof/>
          <w:lang w:val="en-GB" w:eastAsia="tr-TR"/>
        </w:rPr>
        <w:t>TÜİK (2022).</w:t>
      </w:r>
      <w:r w:rsidR="00B8605D" w:rsidRPr="00B8605D">
        <w:rPr>
          <w:noProof/>
          <w:lang w:val="en-GB" w:eastAsia="tr-TR"/>
        </w:rPr>
        <w:t xml:space="preserve"> </w:t>
      </w:r>
      <w:r w:rsidRPr="00B8605D">
        <w:rPr>
          <w:noProof/>
          <w:lang w:val="en-GB" w:eastAsia="tr-TR"/>
        </w:rPr>
        <w:t>Ankara ili Nüfus Verileri</w:t>
      </w:r>
      <w:r w:rsidR="00B25DC1">
        <w:rPr>
          <w:noProof/>
          <w:lang w:val="en-GB" w:eastAsia="tr-TR"/>
        </w:rPr>
        <w:t>.</w:t>
      </w:r>
      <w:r w:rsidRPr="00B8605D">
        <w:rPr>
          <w:noProof/>
          <w:lang w:val="en-GB" w:eastAsia="tr-TR"/>
        </w:rPr>
        <w:t xml:space="preserve"> Türkiye İstatistik Kurumu (TÜİK), (in Turkish)</w:t>
      </w:r>
    </w:p>
    <w:p w14:paraId="1576D6AE" w14:textId="47DC0EB6" w:rsidR="006A27DC" w:rsidRPr="00522558" w:rsidRDefault="006A27DC" w:rsidP="00522558">
      <w:pPr>
        <w:pStyle w:val="Rlit"/>
        <w:jc w:val="left"/>
      </w:pPr>
      <w:r w:rsidRPr="00522558">
        <w:t>WHO (2017). Guidelines for Drinking-water Quality</w:t>
      </w:r>
      <w:r w:rsidR="00B25DC1">
        <w:t>.</w:t>
      </w:r>
      <w:r w:rsidRPr="00522558">
        <w:t xml:space="preserve"> World Health Organization (WHO). </w:t>
      </w:r>
      <w:r w:rsidR="00522558">
        <w:br/>
      </w:r>
      <w:hyperlink r:id="rId32" w:history="1">
        <w:r w:rsidRPr="00522558">
          <w:rPr>
            <w:rStyle w:val="Hipercze"/>
            <w:u w:val="none"/>
          </w:rPr>
          <w:t>https://www.who.int/publications/i/item/9789241549950</w:t>
        </w:r>
      </w:hyperlink>
    </w:p>
    <w:p w14:paraId="0B169819" w14:textId="6B1D74F0" w:rsidR="006A27DC" w:rsidRPr="00522558" w:rsidRDefault="006A27DC" w:rsidP="00522558">
      <w:pPr>
        <w:pStyle w:val="Rlit"/>
      </w:pPr>
      <w:r w:rsidRPr="00522558">
        <w:t>Yu, Y.</w:t>
      </w:r>
      <w:r w:rsidR="00522558" w:rsidRPr="00522558">
        <w:t xml:space="preserve"> </w:t>
      </w:r>
      <w:r w:rsidRPr="00522558">
        <w:t>S., Zou,</w:t>
      </w:r>
      <w:r w:rsidR="00B8605D" w:rsidRPr="00522558">
        <w:t xml:space="preserve"> </w:t>
      </w:r>
      <w:r w:rsidRPr="00522558">
        <w:t>S.,</w:t>
      </w:r>
      <w:r w:rsidR="00B8605D" w:rsidRPr="00522558">
        <w:t xml:space="preserve"> </w:t>
      </w:r>
      <w:r w:rsidR="0095280A">
        <w:rPr>
          <w:rFonts w:eastAsiaTheme="minorEastAsia"/>
          <w:noProof/>
          <w:lang w:val="en-GB" w:eastAsia="tr-TR"/>
        </w:rPr>
        <w:t>&amp;</w:t>
      </w:r>
      <w:r w:rsidR="0095280A" w:rsidRPr="00B8605D">
        <w:rPr>
          <w:rFonts w:eastAsiaTheme="minorEastAsia"/>
          <w:noProof/>
          <w:lang w:val="en-GB" w:eastAsia="tr-TR"/>
        </w:rPr>
        <w:t xml:space="preserve"> </w:t>
      </w:r>
      <w:r w:rsidRPr="00522558">
        <w:t>Whittemore,</w:t>
      </w:r>
      <w:r w:rsidR="00B8605D" w:rsidRPr="00522558">
        <w:t xml:space="preserve"> </w:t>
      </w:r>
      <w:r w:rsidRPr="00522558">
        <w:t>D. (1993). Non-parametric trend analysis of water quality data of rivers in Kansas</w:t>
      </w:r>
      <w:r w:rsidR="00522558" w:rsidRPr="00522558">
        <w:t>.</w:t>
      </w:r>
      <w:r w:rsidRPr="00522558">
        <w:t xml:space="preserve"> </w:t>
      </w:r>
      <w:r w:rsidRPr="00522558">
        <w:rPr>
          <w:i/>
          <w:iCs/>
        </w:rPr>
        <w:t>Journal of Hydrology</w:t>
      </w:r>
      <w:r w:rsidRPr="00522558">
        <w:t xml:space="preserve">, </w:t>
      </w:r>
      <w:r w:rsidRPr="00522558">
        <w:rPr>
          <w:i/>
          <w:iCs/>
        </w:rPr>
        <w:t>150</w:t>
      </w:r>
      <w:r w:rsidRPr="00522558">
        <w:t>(1), 61-80.</w:t>
      </w:r>
      <w:r w:rsidR="00B8605D" w:rsidRPr="00522558">
        <w:t xml:space="preserve"> </w:t>
      </w:r>
      <w:r w:rsidR="00522558" w:rsidRPr="00522558">
        <w:t>https://doi.org/</w:t>
      </w:r>
      <w:hyperlink r:id="rId33" w:tgtFrame="_blank" w:tooltip="Persistent link using digital object identifier" w:history="1">
        <w:r w:rsidRPr="00522558">
          <w:rPr>
            <w:rStyle w:val="Hipercze"/>
            <w:rFonts w:eastAsiaTheme="majorEastAsia"/>
            <w:u w:val="none"/>
          </w:rPr>
          <w:t>10.1016/0022-1694(93)90156-4</w:t>
        </w:r>
      </w:hyperlink>
    </w:p>
    <w:p w14:paraId="7CD5A41C" w14:textId="5595D441" w:rsidR="006A27DC" w:rsidRPr="00B8605D" w:rsidRDefault="006A27DC" w:rsidP="003851DF">
      <w:pPr>
        <w:pStyle w:val="Rlit"/>
        <w:rPr>
          <w:noProof/>
          <w:lang w:val="en-GB"/>
        </w:rPr>
      </w:pPr>
      <w:r w:rsidRPr="00B8605D">
        <w:rPr>
          <w:iCs/>
          <w:noProof/>
          <w:lang w:val="en-GB"/>
        </w:rPr>
        <w:t xml:space="preserve">Zeydanlı, D. (2013). </w:t>
      </w:r>
      <w:r w:rsidRPr="00B25DC1">
        <w:rPr>
          <w:i/>
          <w:noProof/>
          <w:lang w:val="en-GB"/>
        </w:rPr>
        <w:t>İyon kromatografi kondüktivite dedektörü ile orotik asidürili hasta idrarında orotik asit tayini</w:t>
      </w:r>
      <w:r w:rsidR="00B25DC1">
        <w:rPr>
          <w:iCs/>
          <w:noProof/>
          <w:lang w:val="en-GB"/>
        </w:rPr>
        <w:t>.</w:t>
      </w:r>
      <w:r w:rsidRPr="00B8605D">
        <w:rPr>
          <w:iCs/>
          <w:noProof/>
          <w:lang w:val="en-GB"/>
        </w:rPr>
        <w:t xml:space="preserve"> İstanbul Üniversitesi Fen Bilimleri Enstitüsü, Yüksek Lisans Tezi</w:t>
      </w:r>
      <w:r w:rsidR="00522558">
        <w:rPr>
          <w:iCs/>
          <w:noProof/>
          <w:lang w:val="en-GB"/>
        </w:rPr>
        <w:t>.</w:t>
      </w:r>
      <w:r w:rsidRPr="00B8605D">
        <w:rPr>
          <w:iCs/>
          <w:noProof/>
          <w:lang w:val="en-GB"/>
        </w:rPr>
        <w:t xml:space="preserve"> </w:t>
      </w:r>
      <w:r w:rsidRPr="00B8605D">
        <w:rPr>
          <w:noProof/>
          <w:lang w:val="en-GB"/>
        </w:rPr>
        <w:t>(in Turkish)</w:t>
      </w:r>
    </w:p>
    <w:p w14:paraId="4AF278F7" w14:textId="77777777" w:rsidR="000D6514" w:rsidRPr="00B8605D" w:rsidRDefault="000D6514" w:rsidP="003851DF">
      <w:pPr>
        <w:pStyle w:val="Rlit"/>
        <w:rPr>
          <w:noProof/>
          <w:lang w:val="en-GB"/>
        </w:rPr>
      </w:pPr>
    </w:p>
    <w:sectPr w:rsidR="000D6514" w:rsidRPr="00B8605D" w:rsidSect="00326C28">
      <w:headerReference w:type="even" r:id="rId34"/>
      <w:headerReference w:type="default" r:id="rId35"/>
      <w:footerReference w:type="first" r:id="rId36"/>
      <w:pgSz w:w="11900" w:h="16840" w:code="9"/>
      <w:pgMar w:top="1134" w:right="1134" w:bottom="1134" w:left="1134" w:header="567" w:footer="567" w:gutter="0"/>
      <w:pgNumType w:start="229"/>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6BF46" w14:textId="77777777" w:rsidR="007B1DBC" w:rsidRDefault="007B1DBC">
      <w:r>
        <w:separator/>
      </w:r>
    </w:p>
  </w:endnote>
  <w:endnote w:type="continuationSeparator" w:id="0">
    <w:p w14:paraId="607DA6E9" w14:textId="77777777" w:rsidR="007B1DBC" w:rsidRDefault="007B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059DD" w:rsidRPr="002F5F59" w14:paraId="7E9ECCAA" w14:textId="77777777" w:rsidTr="009203D5">
      <w:trPr>
        <w:trHeight w:val="261"/>
      </w:trPr>
      <w:tc>
        <w:tcPr>
          <w:tcW w:w="1384" w:type="dxa"/>
          <w:vAlign w:val="center"/>
        </w:tcPr>
        <w:p w14:paraId="2D932EAE" w14:textId="77777777" w:rsidR="00F059DD" w:rsidRPr="002F5F59" w:rsidRDefault="00F059DD" w:rsidP="00EF2AFF">
          <w:pPr>
            <w:rPr>
              <w:rFonts w:cs="Times New Roman"/>
            </w:rPr>
          </w:pPr>
          <w:r w:rsidRPr="002F5F59">
            <w:rPr>
              <w:noProof/>
              <w:lang w:val="tr-TR" w:eastAsia="tr-TR"/>
            </w:rPr>
            <w:drawing>
              <wp:inline distT="0" distB="0" distL="0" distR="0" wp14:anchorId="5D964702" wp14:editId="692F081E">
                <wp:extent cx="682388" cy="239947"/>
                <wp:effectExtent l="0" t="0" r="0" b="0"/>
                <wp:docPr id="2"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02728682" w14:textId="14024ECE" w:rsidR="00F059DD" w:rsidRPr="002F5F59" w:rsidRDefault="00F059DD" w:rsidP="00EF2AFF">
          <w:pPr>
            <w:rPr>
              <w:rFonts w:cs="Times New Roman"/>
              <w:sz w:val="18"/>
              <w:szCs w:val="18"/>
            </w:rPr>
          </w:pPr>
          <w:r w:rsidRPr="002F5F59">
            <w:rPr>
              <w:rFonts w:cs="Times New Roman"/>
              <w:sz w:val="18"/>
              <w:szCs w:val="18"/>
            </w:rPr>
            <w:t>© 202</w:t>
          </w:r>
          <w:r w:rsidR="003851DF">
            <w:rPr>
              <w:rFonts w:cs="Times New Roman"/>
              <w:sz w:val="18"/>
              <w:szCs w:val="18"/>
            </w:rPr>
            <w:t>5</w:t>
          </w:r>
          <w:r w:rsidRPr="002F5F59">
            <w:rPr>
              <w:rFonts w:cs="Times New Roman"/>
              <w:sz w:val="18"/>
              <w:szCs w:val="18"/>
            </w:rPr>
            <w:t>. Author(s). This work is licensed under a Creative Commons Attribution 4.0 International License (CC BY-SA)</w:t>
          </w:r>
        </w:p>
      </w:tc>
    </w:tr>
  </w:tbl>
  <w:p w14:paraId="2D1E92BE" w14:textId="77777777" w:rsidR="00F059DD" w:rsidRPr="002F5F59" w:rsidRDefault="00F059DD" w:rsidP="00EF2AFF">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88022" w14:textId="77777777" w:rsidR="007B1DBC" w:rsidRDefault="007B1DBC">
      <w:r>
        <w:separator/>
      </w:r>
    </w:p>
  </w:footnote>
  <w:footnote w:type="continuationSeparator" w:id="0">
    <w:p w14:paraId="631607C3" w14:textId="77777777" w:rsidR="007B1DBC" w:rsidRDefault="007B1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9326DD" w:rsidRPr="00007E12" w14:paraId="1A0DC971" w14:textId="77777777" w:rsidTr="007D3B40">
      <w:trPr>
        <w:trHeight w:hRule="exact" w:val="284"/>
      </w:trPr>
      <w:tc>
        <w:tcPr>
          <w:tcW w:w="397" w:type="dxa"/>
          <w:shd w:val="clear" w:color="auto" w:fill="auto"/>
          <w:vAlign w:val="center"/>
        </w:tcPr>
        <w:p w14:paraId="3B1DA57F" w14:textId="77777777" w:rsidR="009326DD" w:rsidRPr="00007E12" w:rsidRDefault="009326DD" w:rsidP="009326DD">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7B62D838" w14:textId="6E6D335D" w:rsidR="009326DD" w:rsidRPr="00007E12" w:rsidRDefault="009326DD" w:rsidP="009326DD">
          <w:pPr>
            <w:pStyle w:val="Nagwek"/>
            <w:jc w:val="center"/>
            <w:rPr>
              <w:rFonts w:ascii="Arial" w:hAnsi="Arial" w:cs="Arial"/>
              <w:i/>
              <w:sz w:val="20"/>
              <w:lang w:val="en-GB"/>
            </w:rPr>
          </w:pPr>
          <w:r w:rsidRPr="009326DD">
            <w:rPr>
              <w:rFonts w:ascii="Arial" w:hAnsi="Arial" w:cs="Arial"/>
              <w:i/>
              <w:sz w:val="20"/>
              <w:lang w:val="en-GB"/>
            </w:rPr>
            <w:t>Oguzhan Arslan</w:t>
          </w:r>
          <w:r w:rsidRPr="00024C27">
            <w:rPr>
              <w:rFonts w:ascii="Arial" w:hAnsi="Arial" w:cs="Arial"/>
              <w:i/>
              <w:sz w:val="20"/>
              <w:lang w:val="en-GB"/>
            </w:rPr>
            <w:t>, M.</w:t>
          </w:r>
          <w:r>
            <w:rPr>
              <w:rFonts w:ascii="Arial" w:hAnsi="Arial" w:cs="Arial"/>
              <w:i/>
              <w:sz w:val="20"/>
              <w:lang w:val="en-GB"/>
            </w:rPr>
            <w:t xml:space="preserve"> </w:t>
          </w:r>
          <w:r w:rsidRPr="00024C27">
            <w:rPr>
              <w:rFonts w:ascii="Arial" w:hAnsi="Arial" w:cs="Arial"/>
              <w:i/>
              <w:sz w:val="20"/>
              <w:lang w:val="en-GB"/>
            </w:rPr>
            <w:t xml:space="preserve">Cuneyt </w:t>
          </w:r>
          <w:proofErr w:type="spellStart"/>
          <w:r w:rsidRPr="00024C27">
            <w:rPr>
              <w:rFonts w:ascii="Arial" w:hAnsi="Arial" w:cs="Arial"/>
              <w:i/>
              <w:sz w:val="20"/>
              <w:lang w:val="en-GB"/>
            </w:rPr>
            <w:t>Bagdatlı</w:t>
          </w:r>
          <w:proofErr w:type="spellEnd"/>
        </w:p>
      </w:tc>
    </w:tr>
  </w:tbl>
  <w:p w14:paraId="1DF5B983" w14:textId="77777777" w:rsidR="009326DD" w:rsidRPr="00007E12" w:rsidRDefault="009326DD" w:rsidP="009326DD">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9326DD" w:rsidRPr="00007E12" w14:paraId="42185401" w14:textId="77777777" w:rsidTr="007D3B40">
      <w:trPr>
        <w:trHeight w:hRule="exact" w:val="284"/>
        <w:jc w:val="right"/>
      </w:trPr>
      <w:tc>
        <w:tcPr>
          <w:tcW w:w="9243" w:type="dxa"/>
          <w:shd w:val="clear" w:color="auto" w:fill="auto"/>
          <w:vAlign w:val="center"/>
        </w:tcPr>
        <w:p w14:paraId="39BC45B7" w14:textId="060BFFA8" w:rsidR="009326DD" w:rsidRPr="00007E12" w:rsidRDefault="0095280A" w:rsidP="009326DD">
          <w:pPr>
            <w:pStyle w:val="Nagwek"/>
            <w:jc w:val="center"/>
            <w:rPr>
              <w:rFonts w:ascii="Arial" w:hAnsi="Arial" w:cs="Arial"/>
              <w:i/>
              <w:sz w:val="20"/>
              <w:szCs w:val="16"/>
              <w:lang w:val="en-GB"/>
            </w:rPr>
          </w:pPr>
          <w:r w:rsidRPr="0095280A">
            <w:rPr>
              <w:rFonts w:ascii="Arial" w:hAnsi="Arial" w:cs="Arial"/>
              <w:i/>
              <w:sz w:val="20"/>
              <w:szCs w:val="16"/>
              <w:lang w:val="en-GB"/>
            </w:rPr>
            <w:t xml:space="preserve">GIS-Based Mapping and Spatial </w:t>
          </w:r>
          <w:proofErr w:type="spellStart"/>
          <w:r w:rsidRPr="0095280A">
            <w:rPr>
              <w:rFonts w:ascii="Arial" w:hAnsi="Arial" w:cs="Arial"/>
              <w:i/>
              <w:sz w:val="20"/>
              <w:szCs w:val="16"/>
              <w:lang w:val="en-GB"/>
            </w:rPr>
            <w:t>Modeling</w:t>
          </w:r>
          <w:proofErr w:type="spellEnd"/>
          <w:r w:rsidRPr="0095280A">
            <w:rPr>
              <w:rFonts w:ascii="Arial" w:hAnsi="Arial" w:cs="Arial"/>
              <w:i/>
              <w:sz w:val="20"/>
              <w:szCs w:val="16"/>
              <w:lang w:val="en-GB"/>
            </w:rPr>
            <w:t xml:space="preserve"> of Drinking Water Quality</w:t>
          </w:r>
          <w:r w:rsidR="009326DD">
            <w:rPr>
              <w:rFonts w:ascii="Arial" w:hAnsi="Arial" w:cs="Arial"/>
              <w:i/>
              <w:sz w:val="20"/>
              <w:szCs w:val="16"/>
              <w:lang w:val="en-GB"/>
            </w:rPr>
            <w:t>…</w:t>
          </w:r>
        </w:p>
      </w:tc>
      <w:tc>
        <w:tcPr>
          <w:tcW w:w="397" w:type="dxa"/>
          <w:shd w:val="clear" w:color="auto" w:fill="auto"/>
          <w:vAlign w:val="center"/>
        </w:tcPr>
        <w:p w14:paraId="06CB58BF" w14:textId="77777777" w:rsidR="009326DD" w:rsidRPr="00007E12" w:rsidRDefault="009326DD" w:rsidP="009326DD">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3A5B822E" w14:textId="77777777" w:rsidR="009326DD" w:rsidRPr="00007E12" w:rsidRDefault="009326DD" w:rsidP="009326DD">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E45"/>
    <w:multiLevelType w:val="multilevel"/>
    <w:tmpl w:val="9ACC2B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202F48"/>
    <w:multiLevelType w:val="multilevel"/>
    <w:tmpl w:val="3E4E8B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B24274"/>
    <w:multiLevelType w:val="multilevel"/>
    <w:tmpl w:val="507CFCA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40A4081"/>
    <w:multiLevelType w:val="multilevel"/>
    <w:tmpl w:val="889AE82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945398"/>
    <w:multiLevelType w:val="multilevel"/>
    <w:tmpl w:val="D6446E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1C50DA"/>
    <w:multiLevelType w:val="hybridMultilevel"/>
    <w:tmpl w:val="6562FF4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8732E0"/>
    <w:multiLevelType w:val="multilevel"/>
    <w:tmpl w:val="6F0E0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60530D"/>
    <w:multiLevelType w:val="multilevel"/>
    <w:tmpl w:val="07F6C8F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8" w15:restartNumberingAfterBreak="0">
    <w:nsid w:val="4BDE5533"/>
    <w:multiLevelType w:val="multilevel"/>
    <w:tmpl w:val="9E00E4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370C43"/>
    <w:multiLevelType w:val="hybridMultilevel"/>
    <w:tmpl w:val="EBF4AA4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33261E2"/>
    <w:multiLevelType w:val="hybridMultilevel"/>
    <w:tmpl w:val="9F3C492E"/>
    <w:lvl w:ilvl="0" w:tplc="0CCC5F62">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C7657FB"/>
    <w:multiLevelType w:val="multilevel"/>
    <w:tmpl w:val="1548CCA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A03FA2"/>
    <w:multiLevelType w:val="hybridMultilevel"/>
    <w:tmpl w:val="1E305954"/>
    <w:lvl w:ilvl="0" w:tplc="584496EC">
      <w:start w:val="1"/>
      <w:numFmt w:val="decimal"/>
      <w:lvlText w:val="%1."/>
      <w:lvlJc w:val="left"/>
      <w:pPr>
        <w:ind w:left="360" w:hanging="360"/>
      </w:pPr>
      <w:rPr>
        <w:rFonts w:hint="default"/>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B5A2508"/>
    <w:multiLevelType w:val="hybridMultilevel"/>
    <w:tmpl w:val="05EEDBB6"/>
    <w:lvl w:ilvl="0" w:tplc="3E1E60B2">
      <w:start w:val="4"/>
      <w:numFmt w:val="decimal"/>
      <w:lvlText w:val="%1."/>
      <w:lvlJc w:val="left"/>
      <w:pPr>
        <w:ind w:left="720" w:hanging="360"/>
      </w:pPr>
      <w:rPr>
        <w:rFonts w:eastAsia="Times New Roman" w:hint="default"/>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C5672A2"/>
    <w:multiLevelType w:val="hybridMultilevel"/>
    <w:tmpl w:val="E09EACE0"/>
    <w:lvl w:ilvl="0" w:tplc="61324ED0">
      <w:start w:val="4"/>
      <w:numFmt w:val="decimal"/>
      <w:lvlText w:val="%1."/>
      <w:lvlJc w:val="left"/>
      <w:pPr>
        <w:ind w:left="720" w:hanging="360"/>
      </w:pPr>
      <w:rPr>
        <w:rFonts w:eastAsia="Times New Roman" w:hint="default"/>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52155526">
    <w:abstractNumId w:val="6"/>
  </w:num>
  <w:num w:numId="2" w16cid:durableId="1095521507">
    <w:abstractNumId w:val="2"/>
  </w:num>
  <w:num w:numId="3" w16cid:durableId="446855031">
    <w:abstractNumId w:val="8"/>
  </w:num>
  <w:num w:numId="4" w16cid:durableId="699235016">
    <w:abstractNumId w:val="12"/>
  </w:num>
  <w:num w:numId="5" w16cid:durableId="661472292">
    <w:abstractNumId w:val="10"/>
  </w:num>
  <w:num w:numId="6" w16cid:durableId="1869561873">
    <w:abstractNumId w:val="9"/>
  </w:num>
  <w:num w:numId="7" w16cid:durableId="319314777">
    <w:abstractNumId w:val="4"/>
  </w:num>
  <w:num w:numId="8" w16cid:durableId="196478569">
    <w:abstractNumId w:val="13"/>
  </w:num>
  <w:num w:numId="9" w16cid:durableId="1607424337">
    <w:abstractNumId w:val="7"/>
  </w:num>
  <w:num w:numId="10" w16cid:durableId="588540724">
    <w:abstractNumId w:val="14"/>
  </w:num>
  <w:num w:numId="11" w16cid:durableId="1057239819">
    <w:abstractNumId w:val="0"/>
  </w:num>
  <w:num w:numId="12" w16cid:durableId="1374306217">
    <w:abstractNumId w:val="1"/>
  </w:num>
  <w:num w:numId="13" w16cid:durableId="1134788310">
    <w:abstractNumId w:val="5"/>
  </w:num>
  <w:num w:numId="14" w16cid:durableId="440690622">
    <w:abstractNumId w:val="3"/>
  </w:num>
  <w:num w:numId="15" w16cid:durableId="229198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1MDIxNzM0NDMyNDdW0lEKTi0uzszPAykwqgUAaTuEMywAAAA="/>
  </w:docVars>
  <w:rsids>
    <w:rsidRoot w:val="009C63EF"/>
    <w:rsid w:val="00011C04"/>
    <w:rsid w:val="00016C11"/>
    <w:rsid w:val="00031EDC"/>
    <w:rsid w:val="00096CF3"/>
    <w:rsid w:val="000A57A3"/>
    <w:rsid w:val="000B141C"/>
    <w:rsid w:val="000B5509"/>
    <w:rsid w:val="000B6B33"/>
    <w:rsid w:val="000D6514"/>
    <w:rsid w:val="0010397B"/>
    <w:rsid w:val="00126BDD"/>
    <w:rsid w:val="00160B94"/>
    <w:rsid w:val="001A756E"/>
    <w:rsid w:val="001E0524"/>
    <w:rsid w:val="002004F2"/>
    <w:rsid w:val="0022741C"/>
    <w:rsid w:val="0025796B"/>
    <w:rsid w:val="00267D26"/>
    <w:rsid w:val="0027593E"/>
    <w:rsid w:val="00291333"/>
    <w:rsid w:val="002A5222"/>
    <w:rsid w:val="002B3151"/>
    <w:rsid w:val="002C4D06"/>
    <w:rsid w:val="002D22F7"/>
    <w:rsid w:val="00300952"/>
    <w:rsid w:val="00326C28"/>
    <w:rsid w:val="003515CA"/>
    <w:rsid w:val="003851DF"/>
    <w:rsid w:val="00392FF4"/>
    <w:rsid w:val="003A7784"/>
    <w:rsid w:val="003F2EC3"/>
    <w:rsid w:val="00415F7D"/>
    <w:rsid w:val="004D2B0A"/>
    <w:rsid w:val="004D7D45"/>
    <w:rsid w:val="004F641E"/>
    <w:rsid w:val="00522558"/>
    <w:rsid w:val="00526A07"/>
    <w:rsid w:val="00545439"/>
    <w:rsid w:val="00565880"/>
    <w:rsid w:val="005D0827"/>
    <w:rsid w:val="005F09E6"/>
    <w:rsid w:val="00603BA8"/>
    <w:rsid w:val="006160F5"/>
    <w:rsid w:val="006221B1"/>
    <w:rsid w:val="00646280"/>
    <w:rsid w:val="0068798C"/>
    <w:rsid w:val="006A27DC"/>
    <w:rsid w:val="006C2754"/>
    <w:rsid w:val="006D5863"/>
    <w:rsid w:val="006E3AF0"/>
    <w:rsid w:val="006F3AF2"/>
    <w:rsid w:val="007B1DBC"/>
    <w:rsid w:val="00806080"/>
    <w:rsid w:val="0081333C"/>
    <w:rsid w:val="00823B33"/>
    <w:rsid w:val="00833EB7"/>
    <w:rsid w:val="00837D71"/>
    <w:rsid w:val="0085539F"/>
    <w:rsid w:val="00872908"/>
    <w:rsid w:val="00872A8F"/>
    <w:rsid w:val="00890C57"/>
    <w:rsid w:val="00895AF6"/>
    <w:rsid w:val="008B7D15"/>
    <w:rsid w:val="00906B7B"/>
    <w:rsid w:val="009203D5"/>
    <w:rsid w:val="009326DD"/>
    <w:rsid w:val="00945B55"/>
    <w:rsid w:val="0095280A"/>
    <w:rsid w:val="0096289C"/>
    <w:rsid w:val="009740EF"/>
    <w:rsid w:val="009A1672"/>
    <w:rsid w:val="009C63EF"/>
    <w:rsid w:val="009E45D6"/>
    <w:rsid w:val="00A0106D"/>
    <w:rsid w:val="00A14FAB"/>
    <w:rsid w:val="00A1626F"/>
    <w:rsid w:val="00A23E06"/>
    <w:rsid w:val="00A3679D"/>
    <w:rsid w:val="00A71F81"/>
    <w:rsid w:val="00A72886"/>
    <w:rsid w:val="00A8484F"/>
    <w:rsid w:val="00AA7EF0"/>
    <w:rsid w:val="00AC1512"/>
    <w:rsid w:val="00AC488F"/>
    <w:rsid w:val="00AC5CFF"/>
    <w:rsid w:val="00AD51C6"/>
    <w:rsid w:val="00AE2C0E"/>
    <w:rsid w:val="00B25DC1"/>
    <w:rsid w:val="00B4100E"/>
    <w:rsid w:val="00B8605D"/>
    <w:rsid w:val="00BA50D1"/>
    <w:rsid w:val="00BD7021"/>
    <w:rsid w:val="00BF02DC"/>
    <w:rsid w:val="00C03B92"/>
    <w:rsid w:val="00C22BE3"/>
    <w:rsid w:val="00C53E6E"/>
    <w:rsid w:val="00C81FDA"/>
    <w:rsid w:val="00D03161"/>
    <w:rsid w:val="00D0499B"/>
    <w:rsid w:val="00D062CA"/>
    <w:rsid w:val="00D11920"/>
    <w:rsid w:val="00D1233E"/>
    <w:rsid w:val="00D36446"/>
    <w:rsid w:val="00D51E13"/>
    <w:rsid w:val="00D77AAA"/>
    <w:rsid w:val="00DB3039"/>
    <w:rsid w:val="00DF0D62"/>
    <w:rsid w:val="00DF551A"/>
    <w:rsid w:val="00E12DF3"/>
    <w:rsid w:val="00E164AD"/>
    <w:rsid w:val="00E20742"/>
    <w:rsid w:val="00E21858"/>
    <w:rsid w:val="00E316AC"/>
    <w:rsid w:val="00E6445F"/>
    <w:rsid w:val="00E7456A"/>
    <w:rsid w:val="00EE3BA6"/>
    <w:rsid w:val="00EE77C7"/>
    <w:rsid w:val="00EF2AFF"/>
    <w:rsid w:val="00F059DD"/>
    <w:rsid w:val="00F06B4E"/>
    <w:rsid w:val="00F26EBA"/>
    <w:rsid w:val="00F37EF7"/>
    <w:rsid w:val="00F56F46"/>
    <w:rsid w:val="00F93C0A"/>
    <w:rsid w:val="00F95CF3"/>
    <w:rsid w:val="00F97D0C"/>
    <w:rsid w:val="00FC3B6E"/>
    <w:rsid w:val="00FD1911"/>
    <w:rsid w:val="00FD3991"/>
    <w:rsid w:val="00FE22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1C5D0"/>
  <w15:docId w15:val="{7EBB0D68-0D13-4800-9A86-4FC16859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E20742"/>
    <w:rPr>
      <w:sz w:val="24"/>
      <w:szCs w:val="24"/>
      <w:lang w:val="en-US" w:eastAsia="en-US"/>
    </w:rPr>
  </w:style>
  <w:style w:type="paragraph" w:styleId="Nagwek1">
    <w:name w:val="heading 1"/>
    <w:basedOn w:val="Normalny"/>
    <w:next w:val="Normalny"/>
    <w:link w:val="Nagwek1Znak"/>
    <w:uiPriority w:val="9"/>
    <w:qFormat/>
    <w:rsid w:val="00AE2C0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360" w:lineRule="auto"/>
      <w:jc w:val="center"/>
      <w:outlineLvl w:val="0"/>
    </w:pPr>
    <w:rPr>
      <w:rFonts w:eastAsia="Calibri"/>
      <w:b/>
      <w:bCs/>
      <w:kern w:val="32"/>
      <w:szCs w:val="32"/>
      <w:bdr w:val="none" w:sz="0" w:space="0" w:color="auto"/>
    </w:rPr>
  </w:style>
  <w:style w:type="paragraph" w:styleId="Nagwek2">
    <w:name w:val="heading 2"/>
    <w:basedOn w:val="Normalny"/>
    <w:next w:val="Normalny"/>
    <w:link w:val="Nagwek2Znak"/>
    <w:uiPriority w:val="9"/>
    <w:unhideWhenUsed/>
    <w:qFormat/>
    <w:rsid w:val="006D58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59" w:lineRule="auto"/>
      <w:outlineLvl w:val="1"/>
    </w:pPr>
    <w:rPr>
      <w:rFonts w:asciiTheme="majorHAnsi" w:eastAsiaTheme="majorEastAsia" w:hAnsiTheme="majorHAnsi" w:cstheme="majorBidi"/>
      <w:b/>
      <w:bCs/>
      <w:color w:val="5B9BD5" w:themeColor="accent1"/>
      <w:sz w:val="26"/>
      <w:szCs w:val="26"/>
      <w:bdr w:val="none" w:sz="0" w:space="0" w:color="auto"/>
      <w:lang w:val="tr-TR"/>
    </w:rPr>
  </w:style>
  <w:style w:type="paragraph" w:styleId="Nagwek3">
    <w:name w:val="heading 3"/>
    <w:basedOn w:val="Normalny"/>
    <w:link w:val="Nagwek3Znak"/>
    <w:uiPriority w:val="9"/>
    <w:qFormat/>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tr-TR" w:eastAsia="tr-TR"/>
    </w:rPr>
  </w:style>
  <w:style w:type="paragraph" w:styleId="Nagwek4">
    <w:name w:val="heading 4"/>
    <w:basedOn w:val="Normalny"/>
    <w:next w:val="Normalny"/>
    <w:link w:val="Nagwek4Znak"/>
    <w:uiPriority w:val="9"/>
    <w:semiHidden/>
    <w:unhideWhenUsed/>
    <w:qFormat/>
    <w:rsid w:val="006D58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59" w:lineRule="auto"/>
      <w:outlineLvl w:val="3"/>
    </w:pPr>
    <w:rPr>
      <w:rFonts w:asciiTheme="majorHAnsi" w:eastAsiaTheme="majorEastAsia" w:hAnsiTheme="majorHAnsi" w:cstheme="majorBidi"/>
      <w:b/>
      <w:bCs/>
      <w:i/>
      <w:iCs/>
      <w:color w:val="5B9BD5" w:themeColor="accent1"/>
      <w:sz w:val="22"/>
      <w:szCs w:val="22"/>
      <w:bdr w:val="none" w:sz="0" w:space="0" w:color="auto"/>
      <w:lang w:val="tr-TR"/>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E20742"/>
    <w:rPr>
      <w:u w:val="single"/>
    </w:rPr>
  </w:style>
  <w:style w:type="table" w:customStyle="1" w:styleId="TableNormal">
    <w:name w:val="Table Normal"/>
    <w:rsid w:val="00E20742"/>
    <w:tblPr>
      <w:tblInd w:w="0" w:type="dxa"/>
      <w:tblCellMar>
        <w:top w:w="0" w:type="dxa"/>
        <w:left w:w="0" w:type="dxa"/>
        <w:bottom w:w="0" w:type="dxa"/>
        <w:right w:w="0" w:type="dxa"/>
      </w:tblCellMar>
    </w:tblPr>
  </w:style>
  <w:style w:type="paragraph" w:customStyle="1" w:styleId="BalkveAltlk">
    <w:name w:val="Başlık ve Altlık"/>
    <w:rsid w:val="00E20742"/>
    <w:pPr>
      <w:tabs>
        <w:tab w:val="right" w:pos="9020"/>
      </w:tabs>
    </w:pPr>
    <w:rPr>
      <w:rFonts w:ascii="Helvetica Neue" w:hAnsi="Helvetica Neue" w:cs="Arial Unicode MS"/>
      <w:color w:val="000000"/>
      <w:sz w:val="24"/>
      <w:szCs w:val="24"/>
    </w:rPr>
  </w:style>
  <w:style w:type="paragraph" w:customStyle="1" w:styleId="MDPI13authornames">
    <w:name w:val="MDPI_1.3_authornames"/>
    <w:next w:val="Gvde"/>
    <w:rsid w:val="00E20742"/>
    <w:pPr>
      <w:spacing w:after="360" w:line="260" w:lineRule="atLeast"/>
      <w:jc w:val="both"/>
    </w:pPr>
    <w:rPr>
      <w:rFonts w:ascii="Palatino Linotype" w:eastAsia="Palatino Linotype" w:hAnsi="Palatino Linotype" w:cs="Palatino Linotype"/>
      <w:b/>
      <w:bCs/>
      <w:color w:val="000000"/>
      <w:u w:color="000000"/>
      <w:lang w:val="en-US"/>
    </w:rPr>
  </w:style>
  <w:style w:type="paragraph" w:customStyle="1" w:styleId="Gvde">
    <w:name w:val="Gövde"/>
    <w:rsid w:val="00E20742"/>
    <w:pPr>
      <w:spacing w:line="260" w:lineRule="atLeast"/>
      <w:jc w:val="both"/>
    </w:pPr>
    <w:rPr>
      <w:rFonts w:ascii="Palatino Linotype" w:eastAsia="Palatino Linotype" w:hAnsi="Palatino Linotype" w:cs="Palatino Linotype"/>
      <w:color w:val="000000"/>
      <w:u w:color="000000"/>
      <w:lang w:val="en-US"/>
    </w:rPr>
  </w:style>
  <w:style w:type="paragraph" w:customStyle="1" w:styleId="MDPI16affiliation">
    <w:name w:val="MDPI_1.6_affiliation"/>
    <w:rsid w:val="00E20742"/>
    <w:pPr>
      <w:spacing w:line="200" w:lineRule="atLeast"/>
      <w:ind w:left="2806" w:hanging="198"/>
      <w:jc w:val="both"/>
    </w:pPr>
    <w:rPr>
      <w:rFonts w:ascii="Palatino Linotype" w:eastAsia="Palatino Linotype" w:hAnsi="Palatino Linotype" w:cs="Palatino Linotype"/>
      <w:color w:val="000000"/>
      <w:sz w:val="16"/>
      <w:szCs w:val="16"/>
      <w:u w:color="000000"/>
      <w:lang w:val="en-US"/>
    </w:rPr>
  </w:style>
  <w:style w:type="paragraph" w:styleId="Akapitzlist">
    <w:name w:val="List Paragraph"/>
    <w:uiPriority w:val="34"/>
    <w:qFormat/>
    <w:rsid w:val="00E20742"/>
    <w:pPr>
      <w:spacing w:line="260" w:lineRule="atLeast"/>
      <w:ind w:left="720"/>
      <w:jc w:val="both"/>
    </w:pPr>
    <w:rPr>
      <w:rFonts w:ascii="Palatino Linotype" w:eastAsia="Palatino Linotype" w:hAnsi="Palatino Linotype" w:cs="Palatino Linotype"/>
      <w:color w:val="000000"/>
      <w:u w:color="000000"/>
      <w:lang w:val="en-US"/>
    </w:rPr>
  </w:style>
  <w:style w:type="character" w:customStyle="1" w:styleId="Balant">
    <w:name w:val="Bağlantı"/>
    <w:rsid w:val="00E20742"/>
    <w:rPr>
      <w:color w:val="0000FF"/>
      <w:u w:val="single" w:color="0000FF"/>
    </w:rPr>
  </w:style>
  <w:style w:type="character" w:customStyle="1" w:styleId="Hyperlink0">
    <w:name w:val="Hyperlink.0"/>
    <w:basedOn w:val="Balant"/>
    <w:rsid w:val="00E20742"/>
    <w:rPr>
      <w:color w:val="0000FF"/>
      <w:sz w:val="22"/>
      <w:szCs w:val="22"/>
      <w:u w:val="single" w:color="0000FF"/>
    </w:rPr>
  </w:style>
  <w:style w:type="paragraph" w:customStyle="1" w:styleId="Rab1">
    <w:name w:val="R_ab1"/>
    <w:next w:val="Normalny"/>
    <w:autoRedefine/>
    <w:qFormat/>
    <w:rsid w:val="003851D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ind w:left="567" w:right="567"/>
      <w:jc w:val="both"/>
    </w:pPr>
    <w:rPr>
      <w:rFonts w:eastAsia="SimSun"/>
      <w:kern w:val="2"/>
      <w:sz w:val="18"/>
      <w:bdr w:val="none" w:sz="0" w:space="0" w:color="auto"/>
      <w:lang w:val="en-GB" w:eastAsia="pl-PL"/>
      <w14:ligatures w14:val="standardContextual"/>
    </w:rPr>
  </w:style>
  <w:style w:type="paragraph" w:customStyle="1" w:styleId="Rab2">
    <w:name w:val="R_ab2"/>
    <w:basedOn w:val="Rab1"/>
    <w:next w:val="Normalny"/>
    <w:autoRedefine/>
    <w:qFormat/>
    <w:rsid w:val="003851DF"/>
    <w:pPr>
      <w:spacing w:before="60"/>
    </w:pPr>
  </w:style>
  <w:style w:type="paragraph" w:customStyle="1" w:styleId="Rafiliacja">
    <w:name w:val="R_afiliacja"/>
    <w:basedOn w:val="Normalny"/>
    <w:link w:val="RafiliacjaZnak"/>
    <w:qFormat/>
    <w:rsid w:val="003851DF"/>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eastAsiaTheme="minorHAnsi"/>
      <w:i/>
      <w:kern w:val="2"/>
      <w:sz w:val="20"/>
      <w:szCs w:val="28"/>
      <w:bdr w:val="none" w:sz="0" w:space="0" w:color="auto"/>
      <w:lang w:val="pl-PL"/>
      <w14:ligatures w14:val="standardContextual"/>
    </w:rPr>
  </w:style>
  <w:style w:type="character" w:customStyle="1" w:styleId="RafiliacjaZnak">
    <w:name w:val="R_afiliacja Znak"/>
    <w:basedOn w:val="Domylnaczcionkaakapitu"/>
    <w:link w:val="Rafiliacja"/>
    <w:rsid w:val="003851DF"/>
    <w:rPr>
      <w:rFonts w:eastAsiaTheme="minorHAnsi"/>
      <w:i/>
      <w:kern w:val="2"/>
      <w:szCs w:val="28"/>
      <w:bdr w:val="none" w:sz="0" w:space="0" w:color="auto"/>
      <w:lang w:val="pl-PL" w:eastAsia="en-US"/>
      <w14:ligatures w14:val="standardContextual"/>
    </w:rPr>
  </w:style>
  <w:style w:type="paragraph" w:customStyle="1" w:styleId="Rauco">
    <w:name w:val="R_au_co"/>
    <w:basedOn w:val="Rafiliacja"/>
    <w:autoRedefine/>
    <w:qFormat/>
    <w:rsid w:val="00A1626F"/>
    <w:pPr>
      <w:spacing w:before="120"/>
    </w:pPr>
    <w:rPr>
      <w:szCs w:val="20"/>
      <w:lang w:val="en-GB"/>
    </w:rPr>
  </w:style>
  <w:style w:type="paragraph" w:customStyle="1" w:styleId="Rn1">
    <w:name w:val="R_n1"/>
    <w:basedOn w:val="Normalny"/>
    <w:link w:val="Rn1Znak"/>
    <w:qFormat/>
    <w:rsid w:val="003851D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jc w:val="both"/>
    </w:pPr>
    <w:rPr>
      <w:rFonts w:eastAsiaTheme="minorHAnsi" w:cstheme="minorBidi"/>
      <w:b/>
      <w:kern w:val="2"/>
      <w:szCs w:val="22"/>
      <w:bdr w:val="none" w:sz="0" w:space="0" w:color="auto"/>
      <w:lang w:val="pl-PL"/>
      <w14:ligatures w14:val="standardContextual"/>
    </w:rPr>
  </w:style>
  <w:style w:type="character" w:customStyle="1" w:styleId="Rn1Znak">
    <w:name w:val="R_n1 Znak"/>
    <w:basedOn w:val="Domylnaczcionkaakapitu"/>
    <w:link w:val="Rn1"/>
    <w:rsid w:val="003851DF"/>
    <w:rPr>
      <w:rFonts w:eastAsiaTheme="minorHAnsi" w:cstheme="minorBidi"/>
      <w:b/>
      <w:kern w:val="2"/>
      <w:sz w:val="24"/>
      <w:szCs w:val="22"/>
      <w:bdr w:val="none" w:sz="0" w:space="0" w:color="auto"/>
      <w:lang w:val="pl-PL" w:eastAsia="en-US"/>
      <w14:ligatures w14:val="standardContextual"/>
    </w:rPr>
  </w:style>
  <w:style w:type="paragraph" w:customStyle="1" w:styleId="Rn2">
    <w:name w:val="R_n2"/>
    <w:basedOn w:val="Rn1"/>
    <w:link w:val="Rn2Znak"/>
    <w:qFormat/>
    <w:rsid w:val="003851DF"/>
    <w:pPr>
      <w:spacing w:before="120"/>
      <w:jc w:val="left"/>
    </w:pPr>
    <w:rPr>
      <w:sz w:val="22"/>
    </w:rPr>
  </w:style>
  <w:style w:type="character" w:customStyle="1" w:styleId="Rn2Znak">
    <w:name w:val="R_n2 Znak"/>
    <w:link w:val="Rn2"/>
    <w:rsid w:val="003851DF"/>
    <w:rPr>
      <w:rFonts w:eastAsiaTheme="minorHAnsi" w:cstheme="minorBidi"/>
      <w:b/>
      <w:kern w:val="2"/>
      <w:sz w:val="22"/>
      <w:szCs w:val="22"/>
      <w:bdr w:val="none" w:sz="0" w:space="0" w:color="auto"/>
      <w:lang w:val="pl-PL" w:eastAsia="en-US"/>
      <w14:ligatures w14:val="standardContextual"/>
    </w:rPr>
  </w:style>
  <w:style w:type="paragraph" w:customStyle="1" w:styleId="Rtytu">
    <w:name w:val="R_tytuł"/>
    <w:basedOn w:val="Rn2"/>
    <w:link w:val="RtytuZnak"/>
    <w:autoRedefine/>
    <w:qFormat/>
    <w:rsid w:val="003851DF"/>
    <w:pPr>
      <w:spacing w:before="240" w:after="0"/>
      <w:jc w:val="center"/>
    </w:pPr>
    <w:rPr>
      <w:sz w:val="24"/>
      <w:szCs w:val="28"/>
    </w:rPr>
  </w:style>
  <w:style w:type="character" w:customStyle="1" w:styleId="RtytuZnak">
    <w:name w:val="R_tytuł Znak"/>
    <w:basedOn w:val="Rn2Znak"/>
    <w:link w:val="Rtytu"/>
    <w:rsid w:val="003851DF"/>
    <w:rPr>
      <w:rFonts w:eastAsiaTheme="minorHAnsi" w:cstheme="minorBidi"/>
      <w:b/>
      <w:kern w:val="2"/>
      <w:sz w:val="24"/>
      <w:szCs w:val="28"/>
      <w:bdr w:val="none" w:sz="0" w:space="0" w:color="auto"/>
      <w:lang w:val="pl-PL" w:eastAsia="en-US"/>
      <w14:ligatures w14:val="standardContextual"/>
    </w:rPr>
  </w:style>
  <w:style w:type="paragraph" w:customStyle="1" w:styleId="Rautor">
    <w:name w:val="R_autor"/>
    <w:basedOn w:val="Rtytu"/>
    <w:link w:val="RautorZnak"/>
    <w:autoRedefine/>
    <w:qFormat/>
    <w:rsid w:val="00A1626F"/>
    <w:pPr>
      <w:spacing w:before="120"/>
    </w:pPr>
    <w:rPr>
      <w:rFonts w:eastAsia="Calibri" w:cs="Times New Roman"/>
      <w:b w:val="0"/>
      <w:i/>
      <w:szCs w:val="24"/>
      <w:lang w:val="en-GB"/>
    </w:rPr>
  </w:style>
  <w:style w:type="character" w:customStyle="1" w:styleId="RautorZnak">
    <w:name w:val="R_autor Znak"/>
    <w:link w:val="Rautor"/>
    <w:rsid w:val="00A1626F"/>
    <w:rPr>
      <w:rFonts w:eastAsia="Calibri"/>
      <w:i/>
      <w:kern w:val="2"/>
      <w:sz w:val="24"/>
      <w:szCs w:val="24"/>
      <w:bdr w:val="none" w:sz="0" w:space="0" w:color="auto"/>
      <w:lang w:val="en-GB" w:eastAsia="en-US"/>
      <w14:ligatures w14:val="standardContextual"/>
    </w:rPr>
  </w:style>
  <w:style w:type="paragraph" w:customStyle="1" w:styleId="Rlit">
    <w:name w:val="R_lit"/>
    <w:basedOn w:val="Normalny"/>
    <w:link w:val="RlitZnak"/>
    <w:qFormat/>
    <w:rsid w:val="003851DF"/>
    <w:pPr>
      <w:pBdr>
        <w:top w:val="none" w:sz="0" w:space="0" w:color="auto"/>
        <w:left w:val="none" w:sz="0" w:space="0" w:color="auto"/>
        <w:bottom w:val="none" w:sz="0" w:space="0" w:color="auto"/>
        <w:right w:val="none" w:sz="0" w:space="0" w:color="auto"/>
        <w:between w:val="none" w:sz="0" w:space="0" w:color="auto"/>
        <w:bar w:val="none" w:sz="0" w:color="auto"/>
      </w:pBdr>
      <w:ind w:left="425" w:hanging="425"/>
      <w:jc w:val="both"/>
    </w:pPr>
    <w:rPr>
      <w:rFonts w:eastAsia="Times New Roman"/>
      <w:kern w:val="2"/>
      <w:sz w:val="20"/>
      <w:szCs w:val="20"/>
      <w:bdr w:val="none" w:sz="0" w:space="0" w:color="auto"/>
      <w:lang w:eastAsia="pl-PL"/>
      <w14:ligatures w14:val="standardContextual"/>
    </w:rPr>
  </w:style>
  <w:style w:type="character" w:customStyle="1" w:styleId="RlitZnak">
    <w:name w:val="R_lit Znak"/>
    <w:basedOn w:val="Domylnaczcionkaakapitu"/>
    <w:link w:val="Rlit"/>
    <w:rsid w:val="003851DF"/>
    <w:rPr>
      <w:rFonts w:eastAsia="Times New Roman"/>
      <w:kern w:val="2"/>
      <w:bdr w:val="none" w:sz="0" w:space="0" w:color="auto"/>
      <w:lang w:val="en-US" w:eastAsia="pl-PL"/>
      <w14:ligatures w14:val="standardContextual"/>
    </w:rPr>
  </w:style>
  <w:style w:type="paragraph" w:customStyle="1" w:styleId="Rtab">
    <w:name w:val="R_tab"/>
    <w:basedOn w:val="Normalny"/>
    <w:link w:val="RtabZnak"/>
    <w:qFormat/>
    <w:rsid w:val="003851D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heme="minorHAnsi" w:cstheme="minorBidi"/>
      <w:kern w:val="2"/>
      <w:sz w:val="20"/>
      <w:szCs w:val="22"/>
      <w:bdr w:val="none" w:sz="0" w:space="0" w:color="auto"/>
      <w:lang w:val="pl-PL"/>
      <w14:ligatures w14:val="standardContextual"/>
    </w:rPr>
  </w:style>
  <w:style w:type="character" w:customStyle="1" w:styleId="RtabZnak">
    <w:name w:val="R_tab Znak"/>
    <w:basedOn w:val="Domylnaczcionkaakapitu"/>
    <w:link w:val="Rtab"/>
    <w:rsid w:val="003851DF"/>
    <w:rPr>
      <w:rFonts w:eastAsiaTheme="minorHAnsi" w:cstheme="minorBidi"/>
      <w:kern w:val="2"/>
      <w:szCs w:val="22"/>
      <w:bdr w:val="none" w:sz="0" w:space="0" w:color="auto"/>
      <w:lang w:val="pl-PL" w:eastAsia="en-US"/>
      <w14:ligatures w14:val="standardContextual"/>
    </w:rPr>
  </w:style>
  <w:style w:type="paragraph" w:customStyle="1" w:styleId="Rn3">
    <w:name w:val="R_n3"/>
    <w:basedOn w:val="Rtab"/>
    <w:link w:val="Rn3Znak"/>
    <w:autoRedefine/>
    <w:qFormat/>
    <w:rsid w:val="003851DF"/>
    <w:pPr>
      <w:spacing w:before="120"/>
      <w:jc w:val="both"/>
    </w:pPr>
    <w:rPr>
      <w:i/>
    </w:rPr>
  </w:style>
  <w:style w:type="character" w:customStyle="1" w:styleId="Rn3Znak">
    <w:name w:val="R_n3 Znak"/>
    <w:basedOn w:val="RtabZnak"/>
    <w:link w:val="Rn3"/>
    <w:rsid w:val="003851DF"/>
    <w:rPr>
      <w:rFonts w:eastAsiaTheme="minorHAnsi" w:cstheme="minorBidi"/>
      <w:i/>
      <w:kern w:val="2"/>
      <w:szCs w:val="22"/>
      <w:bdr w:val="none" w:sz="0" w:space="0" w:color="auto"/>
      <w:lang w:val="pl-PL" w:eastAsia="en-US"/>
      <w14:ligatures w14:val="standardContextual"/>
    </w:rPr>
  </w:style>
  <w:style w:type="paragraph" w:customStyle="1" w:styleId="Rrys">
    <w:name w:val="R_rys"/>
    <w:basedOn w:val="Rafiliacja"/>
    <w:link w:val="RrysZnak"/>
    <w:qFormat/>
    <w:rsid w:val="003851DF"/>
    <w:pPr>
      <w:spacing w:before="120"/>
      <w:jc w:val="left"/>
    </w:pPr>
    <w:rPr>
      <w:i w:val="0"/>
    </w:rPr>
  </w:style>
  <w:style w:type="character" w:customStyle="1" w:styleId="RrysZnak">
    <w:name w:val="R_rys Znak"/>
    <w:basedOn w:val="RafiliacjaZnak"/>
    <w:link w:val="Rrys"/>
    <w:rsid w:val="003851DF"/>
    <w:rPr>
      <w:rFonts w:eastAsiaTheme="minorHAnsi"/>
      <w:i w:val="0"/>
      <w:kern w:val="2"/>
      <w:szCs w:val="28"/>
      <w:bdr w:val="none" w:sz="0" w:space="0" w:color="auto"/>
      <w:lang w:val="pl-PL" w:eastAsia="en-US"/>
      <w14:ligatures w14:val="standardContextual"/>
    </w:rPr>
  </w:style>
  <w:style w:type="paragraph" w:styleId="Nagwek">
    <w:name w:val="header"/>
    <w:basedOn w:val="Normalny"/>
    <w:link w:val="NagwekZnak"/>
    <w:uiPriority w:val="99"/>
    <w:unhideWhenUsed/>
    <w:rsid w:val="00EF2AFF"/>
    <w:pPr>
      <w:tabs>
        <w:tab w:val="center" w:pos="4536"/>
        <w:tab w:val="right" w:pos="9072"/>
      </w:tabs>
    </w:pPr>
  </w:style>
  <w:style w:type="character" w:customStyle="1" w:styleId="NagwekZnak">
    <w:name w:val="Nagłówek Znak"/>
    <w:basedOn w:val="Domylnaczcionkaakapitu"/>
    <w:link w:val="Nagwek"/>
    <w:uiPriority w:val="99"/>
    <w:rsid w:val="00EF2AFF"/>
    <w:rPr>
      <w:sz w:val="24"/>
      <w:szCs w:val="24"/>
      <w:lang w:val="en-US" w:eastAsia="en-US"/>
    </w:rPr>
  </w:style>
  <w:style w:type="paragraph" w:styleId="Stopka">
    <w:name w:val="footer"/>
    <w:basedOn w:val="Normalny"/>
    <w:link w:val="StopkaZnak"/>
    <w:uiPriority w:val="99"/>
    <w:unhideWhenUsed/>
    <w:rsid w:val="00EF2AFF"/>
    <w:pPr>
      <w:tabs>
        <w:tab w:val="center" w:pos="4536"/>
        <w:tab w:val="right" w:pos="9072"/>
      </w:tabs>
    </w:pPr>
  </w:style>
  <w:style w:type="character" w:customStyle="1" w:styleId="StopkaZnak">
    <w:name w:val="Stopka Znak"/>
    <w:basedOn w:val="Domylnaczcionkaakapitu"/>
    <w:link w:val="Stopka"/>
    <w:uiPriority w:val="99"/>
    <w:rsid w:val="00EF2AFF"/>
    <w:rPr>
      <w:sz w:val="24"/>
      <w:szCs w:val="24"/>
      <w:lang w:val="en-US" w:eastAsia="en-US"/>
    </w:rPr>
  </w:style>
  <w:style w:type="table" w:styleId="Tabela-Siatka">
    <w:name w:val="Table Grid"/>
    <w:basedOn w:val="Standardowy"/>
    <w:uiPriority w:val="59"/>
    <w:rsid w:val="00EF2A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2AFF"/>
    <w:rPr>
      <w:color w:val="808080"/>
    </w:rPr>
  </w:style>
  <w:style w:type="character" w:customStyle="1" w:styleId="Nierozpoznanawzmianka1">
    <w:name w:val="Nierozpoznana wzmianka1"/>
    <w:basedOn w:val="Domylnaczcionkaakapitu"/>
    <w:uiPriority w:val="99"/>
    <w:semiHidden/>
    <w:unhideWhenUsed/>
    <w:rsid w:val="00FC3B6E"/>
    <w:rPr>
      <w:color w:val="605E5C"/>
      <w:shd w:val="clear" w:color="auto" w:fill="E1DFDD"/>
    </w:rPr>
  </w:style>
  <w:style w:type="paragraph" w:styleId="Tekstdymka">
    <w:name w:val="Balloon Text"/>
    <w:basedOn w:val="Normalny"/>
    <w:link w:val="TekstdymkaZnak"/>
    <w:uiPriority w:val="99"/>
    <w:semiHidden/>
    <w:unhideWhenUsed/>
    <w:rsid w:val="009203D5"/>
    <w:rPr>
      <w:rFonts w:ascii="Tahoma" w:hAnsi="Tahoma" w:cs="Tahoma"/>
      <w:sz w:val="16"/>
      <w:szCs w:val="16"/>
    </w:rPr>
  </w:style>
  <w:style w:type="character" w:customStyle="1" w:styleId="TekstdymkaZnak">
    <w:name w:val="Tekst dymka Znak"/>
    <w:basedOn w:val="Domylnaczcionkaakapitu"/>
    <w:link w:val="Tekstdymka"/>
    <w:uiPriority w:val="99"/>
    <w:semiHidden/>
    <w:rsid w:val="009203D5"/>
    <w:rPr>
      <w:rFonts w:ascii="Tahoma" w:hAnsi="Tahoma" w:cs="Tahoma"/>
      <w:sz w:val="16"/>
      <w:szCs w:val="16"/>
      <w:lang w:val="en-US" w:eastAsia="en-US"/>
    </w:rPr>
  </w:style>
  <w:style w:type="character" w:customStyle="1" w:styleId="Nierozpoznanawzmianka2">
    <w:name w:val="Nierozpoznana wzmianka2"/>
    <w:basedOn w:val="Domylnaczcionkaakapitu"/>
    <w:uiPriority w:val="99"/>
    <w:semiHidden/>
    <w:unhideWhenUsed/>
    <w:rsid w:val="002D22F7"/>
    <w:rPr>
      <w:color w:val="605E5C"/>
      <w:shd w:val="clear" w:color="auto" w:fill="E1DFDD"/>
    </w:rPr>
  </w:style>
  <w:style w:type="paragraph" w:customStyle="1" w:styleId="Default">
    <w:name w:val="Default"/>
    <w:rsid w:val="00126B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table" w:styleId="Jasnecieniowanieakcent5">
    <w:name w:val="Light Shading Accent 5"/>
    <w:basedOn w:val="Standardowy"/>
    <w:uiPriority w:val="60"/>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KlavuzTablo2-Vurgu51">
    <w:name w:val="Kılavuz Tablo 2 - Vurgu 51"/>
    <w:basedOn w:val="Standardowy"/>
    <w:uiPriority w:val="47"/>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Jasnecieniowanieakcent2">
    <w:name w:val="Light Shading Accent 2"/>
    <w:basedOn w:val="Standardowy"/>
    <w:uiPriority w:val="60"/>
    <w:rsid w:val="00F059D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C45911" w:themeColor="accent2" w:themeShade="BF"/>
      <w:sz w:val="22"/>
      <w:szCs w:val="22"/>
      <w:bdr w:val="none" w:sz="0" w:space="0" w:color="auto"/>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KlavuzTablo3-Vurgu31">
    <w:name w:val="Kılavuz Tablo 3 - Vurgu 31"/>
    <w:basedOn w:val="Standardowy"/>
    <w:uiPriority w:val="48"/>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Jasnecieniowanieakcent1">
    <w:name w:val="Light Shading Accent 1"/>
    <w:basedOn w:val="Standardowy"/>
    <w:uiPriority w:val="60"/>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E74B5" w:themeColor="accent1" w:themeShade="BF"/>
      <w:sz w:val="22"/>
      <w:szCs w:val="22"/>
      <w:bdr w:val="none" w:sz="0" w:space="0" w:color="auto"/>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agwek1Znak">
    <w:name w:val="Nagłówek 1 Znak"/>
    <w:basedOn w:val="Domylnaczcionkaakapitu"/>
    <w:link w:val="Nagwek1"/>
    <w:uiPriority w:val="9"/>
    <w:rsid w:val="00AE2C0E"/>
    <w:rPr>
      <w:rFonts w:eastAsia="Calibri"/>
      <w:b/>
      <w:bCs/>
      <w:kern w:val="32"/>
      <w:sz w:val="24"/>
      <w:szCs w:val="32"/>
      <w:bdr w:val="none" w:sz="0" w:space="0" w:color="auto"/>
      <w:lang w:val="en-US" w:eastAsia="en-US"/>
    </w:rPr>
  </w:style>
  <w:style w:type="character" w:customStyle="1" w:styleId="title-text">
    <w:name w:val="title-text"/>
    <w:basedOn w:val="Domylnaczcionkaakapitu"/>
    <w:rsid w:val="00895AF6"/>
  </w:style>
  <w:style w:type="character" w:customStyle="1" w:styleId="react-xocs-alternative-link">
    <w:name w:val="react-xocs-alternative-link"/>
    <w:basedOn w:val="Domylnaczcionkaakapitu"/>
    <w:rsid w:val="00895AF6"/>
  </w:style>
  <w:style w:type="character" w:customStyle="1" w:styleId="text">
    <w:name w:val="text"/>
    <w:basedOn w:val="Domylnaczcionkaakapitu"/>
    <w:rsid w:val="00895AF6"/>
  </w:style>
  <w:style w:type="character" w:customStyle="1" w:styleId="anchor-text">
    <w:name w:val="anchor-text"/>
    <w:basedOn w:val="Domylnaczcionkaakapitu"/>
    <w:rsid w:val="00895AF6"/>
  </w:style>
  <w:style w:type="character" w:customStyle="1" w:styleId="Nagwek2Znak">
    <w:name w:val="Nagłówek 2 Znak"/>
    <w:basedOn w:val="Domylnaczcionkaakapitu"/>
    <w:link w:val="Nagwek2"/>
    <w:uiPriority w:val="9"/>
    <w:rsid w:val="006D5863"/>
    <w:rPr>
      <w:rFonts w:asciiTheme="majorHAnsi" w:eastAsiaTheme="majorEastAsia" w:hAnsiTheme="majorHAnsi" w:cstheme="majorBidi"/>
      <w:b/>
      <w:bCs/>
      <w:color w:val="5B9BD5" w:themeColor="accent1"/>
      <w:sz w:val="26"/>
      <w:szCs w:val="26"/>
      <w:bdr w:val="none" w:sz="0" w:space="0" w:color="auto"/>
      <w:lang w:eastAsia="en-US"/>
    </w:rPr>
  </w:style>
  <w:style w:type="character" w:customStyle="1" w:styleId="Nagwek3Znak">
    <w:name w:val="Nagłówek 3 Znak"/>
    <w:basedOn w:val="Domylnaczcionkaakapitu"/>
    <w:link w:val="Nagwek3"/>
    <w:uiPriority w:val="9"/>
    <w:rsid w:val="006D5863"/>
    <w:rPr>
      <w:rFonts w:eastAsia="Times New Roman"/>
      <w:b/>
      <w:bCs/>
      <w:sz w:val="27"/>
      <w:szCs w:val="27"/>
      <w:bdr w:val="none" w:sz="0" w:space="0" w:color="auto"/>
    </w:rPr>
  </w:style>
  <w:style w:type="character" w:customStyle="1" w:styleId="Nagwek4Znak">
    <w:name w:val="Nagłówek 4 Znak"/>
    <w:basedOn w:val="Domylnaczcionkaakapitu"/>
    <w:link w:val="Nagwek4"/>
    <w:uiPriority w:val="9"/>
    <w:semiHidden/>
    <w:rsid w:val="006D5863"/>
    <w:rPr>
      <w:rFonts w:asciiTheme="majorHAnsi" w:eastAsiaTheme="majorEastAsia" w:hAnsiTheme="majorHAnsi" w:cstheme="majorBidi"/>
      <w:b/>
      <w:bCs/>
      <w:i/>
      <w:iCs/>
      <w:color w:val="5B9BD5" w:themeColor="accent1"/>
      <w:sz w:val="22"/>
      <w:szCs w:val="22"/>
      <w:bdr w:val="none" w:sz="0" w:space="0" w:color="auto"/>
      <w:lang w:eastAsia="en-US"/>
    </w:rPr>
  </w:style>
  <w:style w:type="table" w:customStyle="1" w:styleId="KlavuzTablo6Renkli-Vurgu61">
    <w:name w:val="Kılavuz Tablo 6 Renkli - Vurgu 6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38135" w:themeColor="accent6" w:themeShade="BF"/>
      <w:sz w:val="22"/>
      <w:szCs w:val="22"/>
      <w:bdr w:val="none" w:sz="0" w:space="0" w:color="auto"/>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41">
    <w:name w:val="Kılavuz Tablo 6 - Renkli - Vurgu 4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31">
    <w:name w:val="Kılavuz Tablo 6 - Renkli - Vurgu 3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51">
    <w:name w:val="Kılavuz Tablo 6 - Renkli - Vurgu 5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6gkk">
    <w:name w:val="s6gkk"/>
    <w:basedOn w:val="Domylnaczcionkaakapitu"/>
    <w:rsid w:val="006D5863"/>
  </w:style>
  <w:style w:type="table" w:customStyle="1" w:styleId="ListeTablo6Renkli-Vurgu41">
    <w:name w:val="Liste Tablo 6 Renkli - Vurgu 4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31">
    <w:name w:val="Liste Tablo 2 - Vurgu 31"/>
    <w:basedOn w:val="Standardowy"/>
    <w:uiPriority w:val="47"/>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wstpniesformatowany">
    <w:name w:val="HTML Preformatted"/>
    <w:basedOn w:val="Normalny"/>
    <w:link w:val="HTML-wstpniesformatowanyZnak"/>
    <w:uiPriority w:val="99"/>
    <w:semiHidden/>
    <w:unhideWhenUsed/>
    <w:rsid w:val="006D586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tr-TR" w:eastAsia="tr-TR"/>
    </w:rPr>
  </w:style>
  <w:style w:type="character" w:customStyle="1" w:styleId="HTML-wstpniesformatowanyZnak">
    <w:name w:val="HTML - wstępnie sformatowany Znak"/>
    <w:basedOn w:val="Domylnaczcionkaakapitu"/>
    <w:link w:val="HTML-wstpniesformatowany"/>
    <w:uiPriority w:val="99"/>
    <w:semiHidden/>
    <w:rsid w:val="006D5863"/>
    <w:rPr>
      <w:rFonts w:ascii="Courier New" w:eastAsia="Times New Roman" w:hAnsi="Courier New" w:cs="Courier New"/>
      <w:bdr w:val="none" w:sz="0" w:space="0" w:color="auto"/>
    </w:rPr>
  </w:style>
  <w:style w:type="character" w:customStyle="1" w:styleId="y2iqfc">
    <w:name w:val="y2iqfc"/>
    <w:basedOn w:val="Domylnaczcionkaakapitu"/>
    <w:rsid w:val="006D5863"/>
  </w:style>
  <w:style w:type="table" w:customStyle="1" w:styleId="ListeTablo6Renkli-Vurgu31">
    <w:name w:val="Liste Tablo 6 Renkli - Vurgu 3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WW-NormalWeb1">
    <w:name w:val="WW-Normal (Web)1"/>
    <w:basedOn w:val="Normalny"/>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280" w:after="119"/>
    </w:pPr>
    <w:rPr>
      <w:rFonts w:eastAsia="Times New Roman"/>
      <w:bdr w:val="none" w:sz="0" w:space="0" w:color="auto"/>
      <w:lang w:val="tr-TR" w:eastAsia="ar-SA"/>
    </w:rPr>
  </w:style>
  <w:style w:type="paragraph" w:customStyle="1" w:styleId="heading1">
    <w:name w:val="heading1"/>
    <w:basedOn w:val="Normalny"/>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character" w:styleId="UyteHipercze">
    <w:name w:val="FollowedHyperlink"/>
    <w:basedOn w:val="Domylnaczcionkaakapitu"/>
    <w:uiPriority w:val="99"/>
    <w:semiHidden/>
    <w:unhideWhenUsed/>
    <w:rsid w:val="006D5863"/>
    <w:rPr>
      <w:color w:val="FF00FF" w:themeColor="followedHyperlink"/>
      <w:u w:val="single"/>
    </w:rPr>
  </w:style>
  <w:style w:type="table" w:styleId="Jasnecieniowanieakcent6">
    <w:name w:val="Light Shading Accent 6"/>
    <w:basedOn w:val="Standardowy"/>
    <w:uiPriority w:val="60"/>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38135" w:themeColor="accent6" w:themeShade="BF"/>
      <w:sz w:val="22"/>
      <w:szCs w:val="22"/>
      <w:bdr w:val="none" w:sz="0" w:space="0" w:color="auto"/>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NormalnyWeb">
    <w:name w:val="Normal (Web)"/>
    <w:basedOn w:val="Normalny"/>
    <w:uiPriority w:val="99"/>
    <w:unhideWhenUsed/>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table" w:customStyle="1" w:styleId="KlavuzTablo6Renkli1">
    <w:name w:val="Kılavuz Tablo 6 Renkli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000000" w:themeColor="text1"/>
      <w:sz w:val="22"/>
      <w:szCs w:val="22"/>
      <w:bdr w:val="none" w:sz="0" w:space="0" w:color="auto"/>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Standardowy"/>
    <w:uiPriority w:val="49"/>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umerwiersza">
    <w:name w:val="line number"/>
    <w:basedOn w:val="Domylnaczcionkaakapitu"/>
    <w:uiPriority w:val="99"/>
    <w:semiHidden/>
    <w:unhideWhenUsed/>
    <w:rsid w:val="006D5863"/>
  </w:style>
  <w:style w:type="table" w:customStyle="1" w:styleId="GridTable6Colorful-Accent61">
    <w:name w:val="Grid Table 6 Colorful - Accent 6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38135" w:themeColor="accent6" w:themeShade="BF"/>
      <w:sz w:val="22"/>
      <w:szCs w:val="22"/>
      <w:bdr w:val="none" w:sz="0" w:space="0" w:color="auto"/>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41">
    <w:name w:val="Grid Table 6 Colorful - Accent 4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1">
    <w:name w:val="Grid Table 6 Colorful - Accent 3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51">
    <w:name w:val="Grid Table 6 Colorful - Accent 5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41">
    <w:name w:val="List Table 6 Colorful - Accent 4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31">
    <w:name w:val="List Table 2 - Accent 31"/>
    <w:basedOn w:val="Standardowy"/>
    <w:uiPriority w:val="47"/>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Standardowy"/>
    <w:uiPriority w:val="5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Jasnalista">
    <w:name w:val="Light List"/>
    <w:basedOn w:val="Standardowy"/>
    <w:uiPriority w:val="61"/>
    <w:rsid w:val="006A27D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tml-italic">
    <w:name w:val="html-italic"/>
    <w:basedOn w:val="Domylnaczcionkaakapitu"/>
    <w:rsid w:val="006A27DC"/>
  </w:style>
  <w:style w:type="character" w:styleId="Nierozpoznanawzmianka">
    <w:name w:val="Unresolved Mention"/>
    <w:basedOn w:val="Domylnaczcionkaakapitu"/>
    <w:uiPriority w:val="99"/>
    <w:semiHidden/>
    <w:unhideWhenUsed/>
    <w:rsid w:val="000D6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42138">
      <w:bodyDiv w:val="1"/>
      <w:marLeft w:val="0"/>
      <w:marRight w:val="0"/>
      <w:marTop w:val="0"/>
      <w:marBottom w:val="0"/>
      <w:divBdr>
        <w:top w:val="none" w:sz="0" w:space="0" w:color="auto"/>
        <w:left w:val="none" w:sz="0" w:space="0" w:color="auto"/>
        <w:bottom w:val="none" w:sz="0" w:space="0" w:color="auto"/>
        <w:right w:val="none" w:sz="0" w:space="0" w:color="auto"/>
      </w:divBdr>
    </w:div>
    <w:div w:id="752354339">
      <w:bodyDiv w:val="1"/>
      <w:marLeft w:val="0"/>
      <w:marRight w:val="0"/>
      <w:marTop w:val="0"/>
      <w:marBottom w:val="0"/>
      <w:divBdr>
        <w:top w:val="none" w:sz="0" w:space="0" w:color="auto"/>
        <w:left w:val="none" w:sz="0" w:space="0" w:color="auto"/>
        <w:bottom w:val="none" w:sz="0" w:space="0" w:color="auto"/>
        <w:right w:val="none" w:sz="0" w:space="0" w:color="auto"/>
      </w:divBdr>
    </w:div>
    <w:div w:id="1478720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2911/22998993/166396" TargetMode="External"/><Relationship Id="rId26" Type="http://schemas.openxmlformats.org/officeDocument/2006/relationships/hyperlink" Target="https://doi.org/10.1016/j.jconhyd.2023.104262" TargetMode="External"/><Relationship Id="rId3" Type="http://schemas.openxmlformats.org/officeDocument/2006/relationships/styles" Target="styles.xml"/><Relationship Id="rId21" Type="http://schemas.openxmlformats.org/officeDocument/2006/relationships/hyperlink" Target="https://doi.org/10.1016/j.jhydrol.2022.128512"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ski.gov.tr/TR/SuAnalizSonuclari.aspx" TargetMode="External"/><Relationship Id="rId25" Type="http://schemas.openxmlformats.org/officeDocument/2006/relationships/hyperlink" Target="https://www.sciencedirect.com/journal/journal-of-contaminant-hydrology" TargetMode="External"/><Relationship Id="rId33" Type="http://schemas.openxmlformats.org/officeDocument/2006/relationships/hyperlink" Target="https://doi.org/10.1016/0022-1694(93)90156-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ciencedirect.com/journal/journal-of-hydrology/vol/614/part/PA" TargetMode="External"/><Relationship Id="rId29" Type="http://schemas.openxmlformats.org/officeDocument/2006/relationships/hyperlink" Target="https://doi.org/10.1007/s40808-023-019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pa.gov/sites/production/files/201606/documents/npwdr_complete_table.pdf" TargetMode="External"/><Relationship Id="rId32" Type="http://schemas.openxmlformats.org/officeDocument/2006/relationships/hyperlink" Target="https://www.who.int/publications/i/item/978924154995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pce.2023.103399" TargetMode="External"/><Relationship Id="rId28" Type="http://schemas.openxmlformats.org/officeDocument/2006/relationships/hyperlink" Target="https://doi.org/10.1016/j.gsd.2022.100851"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sciencedirect.com/journal/journal-of-hydrology" TargetMode="External"/><Relationship Id="rId31" Type="http://schemas.openxmlformats.org/officeDocument/2006/relationships/hyperlink" Target="https://doi.org/10.1007/s13201-021-01376-7" TargetMode="External"/><Relationship Id="rId4" Type="http://schemas.openxmlformats.org/officeDocument/2006/relationships/settings" Target="settings.xml"/><Relationship Id="rId9" Type="http://schemas.openxmlformats.org/officeDocument/2006/relationships/hyperlink" Target="mailto:cuneytbagdatli@gmail.com" TargetMode="External"/><Relationship Id="rId14" Type="http://schemas.openxmlformats.org/officeDocument/2006/relationships/image" Target="media/image6.png"/><Relationship Id="rId22" Type="http://schemas.openxmlformats.org/officeDocument/2006/relationships/hyperlink" Target="https://doi.org/10.1016/j.pce.2023.103399" TargetMode="External"/><Relationship Id="rId27" Type="http://schemas.openxmlformats.org/officeDocument/2006/relationships/hyperlink" Target="https://www.sciencedirect.com/journal/groundwater-for-sustainable-development" TargetMode="External"/><Relationship Id="rId30" Type="http://schemas.openxmlformats.org/officeDocument/2006/relationships/hyperlink" Target="https://doi.org/10.1016/j.cscee.2023.100477"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E5356-A71B-4B92-8433-148D6448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5552</Words>
  <Characters>33313</Characters>
  <Application>Microsoft Office Word</Application>
  <DocSecurity>0</DocSecurity>
  <Lines>277</Lines>
  <Paragraphs>77</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Janusz Dabrowski NA</cp:lastModifiedBy>
  <cp:revision>21</cp:revision>
  <cp:lastPrinted>2025-04-15T08:32:00Z</cp:lastPrinted>
  <dcterms:created xsi:type="dcterms:W3CDTF">2025-04-07T12:42:00Z</dcterms:created>
  <dcterms:modified xsi:type="dcterms:W3CDTF">2025-04-15T13:09:00Z</dcterms:modified>
</cp:coreProperties>
</file>