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1A3426" w:rsidRPr="001D6DA8" w14:paraId="7ABB9FE4" w14:textId="77777777" w:rsidTr="00766D5A">
        <w:trPr>
          <w:trHeight w:hRule="exact" w:val="142"/>
        </w:trPr>
        <w:tc>
          <w:tcPr>
            <w:tcW w:w="709" w:type="dxa"/>
            <w:vMerge w:val="restart"/>
            <w:shd w:val="clear" w:color="auto" w:fill="auto"/>
            <w:vAlign w:val="center"/>
          </w:tcPr>
          <w:p w14:paraId="41DF2746" w14:textId="77777777" w:rsidR="001A3426" w:rsidRPr="001D6DA8" w:rsidRDefault="001A3426" w:rsidP="001A3426">
            <w:pPr>
              <w:ind w:firstLine="0"/>
              <w:rPr>
                <w:lang w:val="en-GB"/>
              </w:rPr>
            </w:pPr>
            <w:bookmarkStart w:id="0" w:name="_Hlk191369917"/>
            <w:bookmarkStart w:id="1" w:name="_Hlk145412337"/>
            <w:bookmarkStart w:id="2" w:name="_Hlk103340665"/>
            <w:bookmarkStart w:id="3" w:name="_Hlk24804592"/>
            <w:bookmarkEnd w:id="0"/>
            <w:bookmarkEnd w:id="1"/>
            <w:bookmarkEnd w:id="2"/>
            <w:r w:rsidRPr="001D6DA8">
              <w:rPr>
                <w:noProof/>
                <w:lang w:val="en-GB"/>
              </w:rPr>
              <w:drawing>
                <wp:anchor distT="0" distB="0" distL="114300" distR="114300" simplePos="0" relativeHeight="251660288" behindDoc="0" locked="0" layoutInCell="1" allowOverlap="1" wp14:anchorId="2B2659A7" wp14:editId="794A1A14">
                  <wp:simplePos x="0" y="0"/>
                  <wp:positionH relativeFrom="column">
                    <wp:posOffset>-635</wp:posOffset>
                  </wp:positionH>
                  <wp:positionV relativeFrom="paragraph">
                    <wp:posOffset>348615</wp:posOffset>
                  </wp:positionV>
                  <wp:extent cx="432000" cy="426000"/>
                  <wp:effectExtent l="0" t="0" r="6350" b="0"/>
                  <wp:wrapNone/>
                  <wp:docPr id="20349907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28F283EB" w14:textId="77777777" w:rsidR="001A3426" w:rsidRPr="001D6DA8" w:rsidRDefault="001A3426" w:rsidP="001A3426">
            <w:pPr>
              <w:ind w:firstLine="0"/>
              <w:jc w:val="center"/>
              <w:rPr>
                <w:lang w:val="en-GB"/>
              </w:rPr>
            </w:pPr>
          </w:p>
        </w:tc>
      </w:tr>
      <w:tr w:rsidR="001A3426" w:rsidRPr="001D6DA8" w14:paraId="15AFCE05" w14:textId="77777777" w:rsidTr="00766D5A">
        <w:trPr>
          <w:trHeight w:hRule="exact" w:val="283"/>
        </w:trPr>
        <w:tc>
          <w:tcPr>
            <w:tcW w:w="709" w:type="dxa"/>
            <w:vMerge/>
            <w:shd w:val="clear" w:color="auto" w:fill="auto"/>
          </w:tcPr>
          <w:p w14:paraId="0AF1DFA6" w14:textId="77777777" w:rsidR="001A3426" w:rsidRPr="001D6DA8" w:rsidRDefault="001A3426" w:rsidP="001A3426">
            <w:pPr>
              <w:ind w:firstLine="0"/>
              <w:jc w:val="center"/>
              <w:rPr>
                <w:lang w:val="en-GB"/>
              </w:rPr>
            </w:pPr>
          </w:p>
        </w:tc>
        <w:tc>
          <w:tcPr>
            <w:tcW w:w="8930" w:type="dxa"/>
            <w:gridSpan w:val="3"/>
            <w:tcBorders>
              <w:bottom w:val="single" w:sz="2" w:space="0" w:color="auto"/>
            </w:tcBorders>
            <w:shd w:val="clear" w:color="auto" w:fill="auto"/>
            <w:vAlign w:val="center"/>
          </w:tcPr>
          <w:p w14:paraId="7C1D937B" w14:textId="77777777" w:rsidR="001A3426" w:rsidRPr="001D6DA8" w:rsidRDefault="001A3426" w:rsidP="001A3426">
            <w:pPr>
              <w:ind w:firstLine="0"/>
              <w:jc w:val="center"/>
              <w:rPr>
                <w:lang w:val="en-GB"/>
              </w:rPr>
            </w:pPr>
            <w:proofErr w:type="spellStart"/>
            <w:r w:rsidRPr="001D6DA8">
              <w:rPr>
                <w:b/>
                <w:sz w:val="20"/>
                <w:szCs w:val="20"/>
                <w:lang w:val="en-GB"/>
              </w:rPr>
              <w:t>Rocznik</w:t>
            </w:r>
            <w:proofErr w:type="spellEnd"/>
            <w:r w:rsidRPr="001D6DA8">
              <w:rPr>
                <w:b/>
                <w:sz w:val="20"/>
                <w:szCs w:val="20"/>
                <w:lang w:val="en-GB"/>
              </w:rPr>
              <w:t xml:space="preserve"> </w:t>
            </w:r>
            <w:proofErr w:type="spellStart"/>
            <w:r w:rsidRPr="001D6DA8">
              <w:rPr>
                <w:b/>
                <w:sz w:val="20"/>
                <w:szCs w:val="20"/>
                <w:lang w:val="en-GB"/>
              </w:rPr>
              <w:t>Ochrona</w:t>
            </w:r>
            <w:proofErr w:type="spellEnd"/>
            <w:r w:rsidRPr="001D6DA8">
              <w:rPr>
                <w:b/>
                <w:sz w:val="20"/>
                <w:szCs w:val="20"/>
                <w:lang w:val="en-GB"/>
              </w:rPr>
              <w:t xml:space="preserve"> </w:t>
            </w:r>
            <w:proofErr w:type="spellStart"/>
            <w:r w:rsidRPr="001D6DA8">
              <w:rPr>
                <w:b/>
                <w:sz w:val="20"/>
                <w:szCs w:val="20"/>
                <w:lang w:val="en-GB"/>
              </w:rPr>
              <w:t>Środowiska</w:t>
            </w:r>
            <w:proofErr w:type="spellEnd"/>
          </w:p>
        </w:tc>
      </w:tr>
      <w:tr w:rsidR="001A3426" w:rsidRPr="001D6DA8" w14:paraId="70D4C996" w14:textId="77777777" w:rsidTr="00766D5A">
        <w:trPr>
          <w:trHeight w:hRule="exact" w:val="283"/>
        </w:trPr>
        <w:tc>
          <w:tcPr>
            <w:tcW w:w="709" w:type="dxa"/>
            <w:vMerge/>
            <w:shd w:val="clear" w:color="auto" w:fill="auto"/>
          </w:tcPr>
          <w:p w14:paraId="147F64DE" w14:textId="77777777" w:rsidR="001A3426" w:rsidRPr="001D6DA8" w:rsidRDefault="001A3426" w:rsidP="001A3426">
            <w:pPr>
              <w:ind w:firstLine="0"/>
              <w:jc w:val="center"/>
              <w:rPr>
                <w:lang w:val="en-GB"/>
              </w:rPr>
            </w:pPr>
          </w:p>
        </w:tc>
        <w:tc>
          <w:tcPr>
            <w:tcW w:w="992" w:type="dxa"/>
            <w:tcBorders>
              <w:top w:val="single" w:sz="2" w:space="0" w:color="auto"/>
              <w:bottom w:val="single" w:sz="2" w:space="0" w:color="auto"/>
            </w:tcBorders>
            <w:shd w:val="clear" w:color="auto" w:fill="auto"/>
            <w:vAlign w:val="center"/>
          </w:tcPr>
          <w:p w14:paraId="764D6453" w14:textId="77777777" w:rsidR="001A3426" w:rsidRPr="001D6DA8" w:rsidRDefault="001A3426" w:rsidP="001A3426">
            <w:pPr>
              <w:ind w:firstLine="0"/>
              <w:rPr>
                <w:sz w:val="18"/>
                <w:szCs w:val="18"/>
                <w:lang w:val="en-GB"/>
              </w:rPr>
            </w:pPr>
            <w:r w:rsidRPr="001D6DA8">
              <w:rPr>
                <w:sz w:val="18"/>
                <w:szCs w:val="18"/>
                <w:lang w:val="en-GB"/>
              </w:rPr>
              <w:t>Volume 27</w:t>
            </w:r>
          </w:p>
        </w:tc>
        <w:tc>
          <w:tcPr>
            <w:tcW w:w="6304" w:type="dxa"/>
            <w:tcBorders>
              <w:top w:val="single" w:sz="2" w:space="0" w:color="auto"/>
              <w:bottom w:val="single" w:sz="2" w:space="0" w:color="auto"/>
            </w:tcBorders>
            <w:shd w:val="clear" w:color="auto" w:fill="auto"/>
            <w:vAlign w:val="center"/>
          </w:tcPr>
          <w:p w14:paraId="120EAF87" w14:textId="77777777" w:rsidR="001A3426" w:rsidRPr="001D6DA8" w:rsidRDefault="001A3426" w:rsidP="001A3426">
            <w:pPr>
              <w:tabs>
                <w:tab w:val="left" w:pos="3057"/>
              </w:tabs>
              <w:ind w:left="141" w:firstLine="0"/>
              <w:rPr>
                <w:sz w:val="18"/>
                <w:szCs w:val="18"/>
                <w:lang w:val="en-GB"/>
              </w:rPr>
            </w:pPr>
            <w:r w:rsidRPr="001D6DA8">
              <w:rPr>
                <w:sz w:val="18"/>
                <w:szCs w:val="18"/>
                <w:lang w:val="en-GB"/>
              </w:rPr>
              <w:t>Year 2025</w:t>
            </w:r>
            <w:r w:rsidRPr="001D6DA8">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58708CC2" w14:textId="790221C2" w:rsidR="001A3426" w:rsidRPr="001D6DA8" w:rsidRDefault="001A3426" w:rsidP="001A3426">
            <w:pPr>
              <w:ind w:firstLine="0"/>
              <w:jc w:val="right"/>
              <w:rPr>
                <w:sz w:val="18"/>
                <w:szCs w:val="18"/>
                <w:lang w:val="en-GB"/>
              </w:rPr>
            </w:pPr>
            <w:r w:rsidRPr="001D6DA8">
              <w:rPr>
                <w:sz w:val="18"/>
                <w:szCs w:val="18"/>
                <w:lang w:val="en-GB"/>
              </w:rPr>
              <w:t xml:space="preserve">pp. </w:t>
            </w:r>
            <w:r w:rsidR="0007421E">
              <w:rPr>
                <w:sz w:val="18"/>
                <w:szCs w:val="18"/>
                <w:lang w:val="en-GB"/>
              </w:rPr>
              <w:t>110</w:t>
            </w:r>
            <w:r w:rsidRPr="001D6DA8">
              <w:rPr>
                <w:sz w:val="18"/>
                <w:szCs w:val="18"/>
                <w:lang w:val="en-GB"/>
              </w:rPr>
              <w:t>-</w:t>
            </w:r>
            <w:r w:rsidR="0007421E">
              <w:rPr>
                <w:sz w:val="18"/>
                <w:szCs w:val="18"/>
                <w:lang w:val="en-GB"/>
              </w:rPr>
              <w:t>120</w:t>
            </w:r>
          </w:p>
        </w:tc>
      </w:tr>
      <w:tr w:rsidR="001A3426" w:rsidRPr="001D6DA8" w14:paraId="65ABA07F" w14:textId="77777777" w:rsidTr="00766D5A">
        <w:trPr>
          <w:trHeight w:hRule="exact" w:val="283"/>
        </w:trPr>
        <w:tc>
          <w:tcPr>
            <w:tcW w:w="709" w:type="dxa"/>
            <w:shd w:val="clear" w:color="auto" w:fill="auto"/>
          </w:tcPr>
          <w:p w14:paraId="2E467AE7" w14:textId="77777777" w:rsidR="001A3426" w:rsidRPr="001D6DA8" w:rsidRDefault="001A3426" w:rsidP="001A3426">
            <w:pPr>
              <w:ind w:firstLine="0"/>
              <w:jc w:val="center"/>
              <w:rPr>
                <w:lang w:val="en-GB"/>
              </w:rPr>
            </w:pPr>
          </w:p>
        </w:tc>
        <w:tc>
          <w:tcPr>
            <w:tcW w:w="8930" w:type="dxa"/>
            <w:gridSpan w:val="3"/>
            <w:tcBorders>
              <w:top w:val="single" w:sz="2" w:space="0" w:color="auto"/>
              <w:bottom w:val="single" w:sz="2" w:space="0" w:color="auto"/>
            </w:tcBorders>
            <w:shd w:val="clear" w:color="auto" w:fill="auto"/>
            <w:vAlign w:val="center"/>
          </w:tcPr>
          <w:p w14:paraId="60E5A9B0" w14:textId="34252B72" w:rsidR="001A3426" w:rsidRPr="001D6DA8" w:rsidRDefault="001A3426" w:rsidP="001A3426">
            <w:pPr>
              <w:tabs>
                <w:tab w:val="right" w:pos="8928"/>
              </w:tabs>
              <w:ind w:firstLine="0"/>
              <w:rPr>
                <w:sz w:val="18"/>
                <w:szCs w:val="18"/>
                <w:lang w:val="en-GB"/>
              </w:rPr>
            </w:pPr>
            <w:r w:rsidRPr="001D6DA8">
              <w:rPr>
                <w:sz w:val="18"/>
                <w:szCs w:val="18"/>
                <w:lang w:val="en-GB"/>
              </w:rPr>
              <w:t>https://doi.org/10.54740/ros.2025.0</w:t>
            </w:r>
            <w:r w:rsidR="0007421E">
              <w:rPr>
                <w:sz w:val="18"/>
                <w:szCs w:val="18"/>
                <w:lang w:val="en-GB"/>
              </w:rPr>
              <w:t>10</w:t>
            </w:r>
            <w:r w:rsidRPr="001D6DA8">
              <w:rPr>
                <w:sz w:val="18"/>
                <w:szCs w:val="18"/>
                <w:lang w:val="en-GB"/>
              </w:rPr>
              <w:tab/>
              <w:t>open access</w:t>
            </w:r>
          </w:p>
        </w:tc>
      </w:tr>
      <w:tr w:rsidR="001A3426" w:rsidRPr="001D6DA8" w14:paraId="64730226" w14:textId="77777777" w:rsidTr="00766D5A">
        <w:trPr>
          <w:trHeight w:hRule="exact" w:val="283"/>
        </w:trPr>
        <w:tc>
          <w:tcPr>
            <w:tcW w:w="709" w:type="dxa"/>
            <w:shd w:val="clear" w:color="auto" w:fill="auto"/>
          </w:tcPr>
          <w:p w14:paraId="043926FF" w14:textId="77777777" w:rsidR="001A3426" w:rsidRPr="001D6DA8" w:rsidRDefault="001A3426" w:rsidP="001A3426">
            <w:pPr>
              <w:ind w:firstLine="0"/>
              <w:jc w:val="center"/>
              <w:rPr>
                <w:lang w:val="en-GB"/>
              </w:rPr>
            </w:pPr>
          </w:p>
        </w:tc>
        <w:tc>
          <w:tcPr>
            <w:tcW w:w="8930" w:type="dxa"/>
            <w:gridSpan w:val="3"/>
            <w:tcBorders>
              <w:top w:val="single" w:sz="2" w:space="0" w:color="auto"/>
            </w:tcBorders>
            <w:shd w:val="clear" w:color="auto" w:fill="auto"/>
            <w:vAlign w:val="center"/>
          </w:tcPr>
          <w:p w14:paraId="1F99A59C" w14:textId="000F860B" w:rsidR="001A3426" w:rsidRPr="001D6DA8" w:rsidRDefault="001A3426" w:rsidP="001A3426">
            <w:pPr>
              <w:tabs>
                <w:tab w:val="left" w:pos="3688"/>
                <w:tab w:val="right" w:pos="8928"/>
              </w:tabs>
              <w:ind w:firstLine="0"/>
              <w:rPr>
                <w:sz w:val="18"/>
                <w:szCs w:val="18"/>
                <w:lang w:val="en-GB"/>
              </w:rPr>
            </w:pPr>
            <w:r w:rsidRPr="001D6DA8">
              <w:rPr>
                <w:sz w:val="18"/>
                <w:szCs w:val="18"/>
                <w:lang w:val="en-GB"/>
              </w:rPr>
              <w:t xml:space="preserve">Received: </w:t>
            </w:r>
            <w:r w:rsidR="0007421E">
              <w:rPr>
                <w:sz w:val="18"/>
                <w:szCs w:val="18"/>
                <w:lang w:val="en-GB"/>
              </w:rPr>
              <w:t>February</w:t>
            </w:r>
            <w:r w:rsidR="0007421E" w:rsidRPr="001D6DA8">
              <w:rPr>
                <w:sz w:val="18"/>
                <w:szCs w:val="18"/>
                <w:lang w:val="en-GB"/>
              </w:rPr>
              <w:t xml:space="preserve"> 2025</w:t>
            </w:r>
            <w:r w:rsidRPr="001D6DA8">
              <w:rPr>
                <w:sz w:val="18"/>
                <w:szCs w:val="18"/>
                <w:lang w:val="en-GB"/>
              </w:rPr>
              <w:tab/>
              <w:t xml:space="preserve">Accepted: </w:t>
            </w:r>
            <w:r w:rsidR="008461DE">
              <w:rPr>
                <w:sz w:val="18"/>
                <w:szCs w:val="18"/>
                <w:lang w:val="en-GB"/>
              </w:rPr>
              <w:t>February</w:t>
            </w:r>
            <w:r w:rsidRPr="001D6DA8">
              <w:rPr>
                <w:sz w:val="18"/>
                <w:szCs w:val="18"/>
                <w:lang w:val="en-GB"/>
              </w:rPr>
              <w:t xml:space="preserve"> 2025</w:t>
            </w:r>
            <w:r w:rsidRPr="001D6DA8">
              <w:rPr>
                <w:sz w:val="18"/>
                <w:szCs w:val="18"/>
                <w:lang w:val="en-GB"/>
              </w:rPr>
              <w:tab/>
              <w:t xml:space="preserve">Published: </w:t>
            </w:r>
            <w:r w:rsidR="008461DE">
              <w:rPr>
                <w:sz w:val="18"/>
                <w:szCs w:val="18"/>
                <w:lang w:val="en-GB"/>
              </w:rPr>
              <w:t>March</w:t>
            </w:r>
            <w:r w:rsidRPr="001D6DA8">
              <w:rPr>
                <w:sz w:val="18"/>
                <w:szCs w:val="18"/>
                <w:lang w:val="en-GB"/>
              </w:rPr>
              <w:t xml:space="preserve"> 2025</w:t>
            </w:r>
          </w:p>
        </w:tc>
      </w:tr>
    </w:tbl>
    <w:bookmarkEnd w:id="3"/>
    <w:p w14:paraId="05D52FA0" w14:textId="5E1140AA" w:rsidR="00691AFF" w:rsidRPr="001D6DA8" w:rsidRDefault="00C76A10" w:rsidP="00895A9F">
      <w:pPr>
        <w:pStyle w:val="Rtytu"/>
        <w:rPr>
          <w:lang w:val="en-GB"/>
        </w:rPr>
      </w:pPr>
      <w:r w:rsidRPr="001D6DA8">
        <w:rPr>
          <w:rFonts w:cs="Times New Roman"/>
          <w:noProof/>
          <w:lang w:val="en-GB" w:eastAsia="ru-RU"/>
        </w:rPr>
        <w:drawing>
          <wp:anchor distT="0" distB="0" distL="114300" distR="114300" simplePos="0" relativeHeight="251655168" behindDoc="0" locked="0" layoutInCell="1" allowOverlap="1" wp14:anchorId="6821519C" wp14:editId="6144C541">
            <wp:simplePos x="0" y="0"/>
            <wp:positionH relativeFrom="column">
              <wp:posOffset>-2047800</wp:posOffset>
            </wp:positionH>
            <wp:positionV relativeFrom="paragraph">
              <wp:posOffset>-938047</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anchor>
        </w:drawing>
      </w:r>
      <w:r w:rsidR="00895A9F" w:rsidRPr="001D6DA8">
        <w:rPr>
          <w:lang w:val="en-GB"/>
        </w:rPr>
        <w:t xml:space="preserve">Parametric </w:t>
      </w:r>
      <w:r w:rsidR="007825E5" w:rsidRPr="001D6DA8">
        <w:rPr>
          <w:lang w:val="en-GB"/>
        </w:rPr>
        <w:t>A</w:t>
      </w:r>
      <w:r w:rsidR="00895A9F" w:rsidRPr="001D6DA8">
        <w:rPr>
          <w:lang w:val="en-GB"/>
        </w:rPr>
        <w:t xml:space="preserve">nalysis of </w:t>
      </w:r>
      <w:r w:rsidR="007825E5" w:rsidRPr="001D6DA8">
        <w:rPr>
          <w:lang w:val="en-GB"/>
        </w:rPr>
        <w:t>H</w:t>
      </w:r>
      <w:r w:rsidR="00895A9F" w:rsidRPr="001D6DA8">
        <w:rPr>
          <w:lang w:val="en-GB"/>
        </w:rPr>
        <w:t xml:space="preserve">eat </w:t>
      </w:r>
      <w:r w:rsidR="007825E5" w:rsidRPr="001D6DA8">
        <w:rPr>
          <w:lang w:val="en-GB"/>
        </w:rPr>
        <w:t>F</w:t>
      </w:r>
      <w:r w:rsidR="00895A9F" w:rsidRPr="001D6DA8">
        <w:rPr>
          <w:lang w:val="en-GB"/>
        </w:rPr>
        <w:t xml:space="preserve">lows </w:t>
      </w:r>
      <w:r w:rsidR="007825E5" w:rsidRPr="001D6DA8">
        <w:rPr>
          <w:lang w:val="en-GB"/>
        </w:rPr>
        <w:t>T</w:t>
      </w:r>
      <w:r w:rsidR="00895A9F" w:rsidRPr="001D6DA8">
        <w:rPr>
          <w:lang w:val="en-GB"/>
        </w:rPr>
        <w:t xml:space="preserve">hrough </w:t>
      </w:r>
      <w:r w:rsidR="007825E5" w:rsidRPr="001D6DA8">
        <w:rPr>
          <w:lang w:val="en-GB"/>
        </w:rPr>
        <w:t>B</w:t>
      </w:r>
      <w:r w:rsidR="00895A9F" w:rsidRPr="001D6DA8">
        <w:rPr>
          <w:lang w:val="en-GB"/>
        </w:rPr>
        <w:t xml:space="preserve">uilding </w:t>
      </w:r>
      <w:r w:rsidR="007825E5" w:rsidRPr="001D6DA8">
        <w:rPr>
          <w:lang w:val="en-GB"/>
        </w:rPr>
        <w:t>E</w:t>
      </w:r>
      <w:r w:rsidR="00895A9F" w:rsidRPr="001D6DA8">
        <w:rPr>
          <w:lang w:val="en-GB"/>
        </w:rPr>
        <w:t xml:space="preserve">nvelope </w:t>
      </w:r>
      <w:r w:rsidR="007825E5" w:rsidRPr="001D6DA8">
        <w:rPr>
          <w:lang w:val="en-GB"/>
        </w:rPr>
        <w:t>C</w:t>
      </w:r>
      <w:r w:rsidR="00895A9F" w:rsidRPr="001D6DA8">
        <w:rPr>
          <w:lang w:val="en-GB"/>
        </w:rPr>
        <w:t xml:space="preserve">onsidering </w:t>
      </w:r>
      <w:r w:rsidR="007825E5" w:rsidRPr="001D6DA8">
        <w:rPr>
          <w:lang w:val="en-GB"/>
        </w:rPr>
        <w:t>O</w:t>
      </w:r>
      <w:r w:rsidR="00895A9F" w:rsidRPr="001D6DA8">
        <w:rPr>
          <w:lang w:val="en-GB"/>
        </w:rPr>
        <w:t xml:space="preserve">rientation, </w:t>
      </w:r>
      <w:r w:rsidR="007825E5" w:rsidRPr="001D6DA8">
        <w:rPr>
          <w:lang w:val="en-GB"/>
        </w:rPr>
        <w:t>M</w:t>
      </w:r>
      <w:r w:rsidR="00895A9F" w:rsidRPr="001D6DA8">
        <w:rPr>
          <w:lang w:val="en-GB"/>
        </w:rPr>
        <w:t xml:space="preserve">assiveness, and </w:t>
      </w:r>
      <w:r w:rsidR="007825E5" w:rsidRPr="001D6DA8">
        <w:rPr>
          <w:lang w:val="en-GB"/>
        </w:rPr>
        <w:t>I</w:t>
      </w:r>
      <w:r w:rsidR="00895A9F" w:rsidRPr="001D6DA8">
        <w:rPr>
          <w:lang w:val="en-GB"/>
        </w:rPr>
        <w:t xml:space="preserve">ntermittent </w:t>
      </w:r>
      <w:r w:rsidR="007825E5" w:rsidRPr="001D6DA8">
        <w:rPr>
          <w:lang w:val="en-GB"/>
        </w:rPr>
        <w:t>H</w:t>
      </w:r>
      <w:r w:rsidR="00895A9F" w:rsidRPr="001D6DA8">
        <w:rPr>
          <w:lang w:val="en-GB"/>
        </w:rPr>
        <w:t xml:space="preserve">eating </w:t>
      </w:r>
      <w:r w:rsidR="007825E5" w:rsidRPr="001D6DA8">
        <w:rPr>
          <w:lang w:val="en-GB"/>
        </w:rPr>
        <w:t>M</w:t>
      </w:r>
      <w:r w:rsidR="00895A9F" w:rsidRPr="001D6DA8">
        <w:rPr>
          <w:lang w:val="en-GB"/>
        </w:rPr>
        <w:t>odes</w:t>
      </w:r>
    </w:p>
    <w:p w14:paraId="5E90BD87" w14:textId="425FFFB9" w:rsidR="003B521A" w:rsidRPr="001D6DA8" w:rsidRDefault="00895A9F" w:rsidP="00F500BE">
      <w:pPr>
        <w:pStyle w:val="Rautor"/>
        <w:rPr>
          <w:szCs w:val="24"/>
          <w:lang w:val="en-GB"/>
        </w:rPr>
      </w:pPr>
      <w:r w:rsidRPr="001D6DA8">
        <w:rPr>
          <w:lang w:val="en-GB"/>
        </w:rPr>
        <w:t>Valerii Deshko</w:t>
      </w:r>
      <w:r w:rsidR="000767F7" w:rsidRPr="001D6DA8">
        <w:rPr>
          <w:vertAlign w:val="superscript"/>
          <w:lang w:val="en-GB"/>
        </w:rPr>
        <w:t>1</w:t>
      </w:r>
      <w:r w:rsidRPr="001D6DA8">
        <w:rPr>
          <w:lang w:val="en-GB"/>
        </w:rPr>
        <w:t>, Inna Bilous</w:t>
      </w:r>
      <w:r w:rsidR="000767F7" w:rsidRPr="001D6DA8">
        <w:rPr>
          <w:vertAlign w:val="superscript"/>
          <w:lang w:val="en-GB"/>
        </w:rPr>
        <w:t>2</w:t>
      </w:r>
      <w:r w:rsidRPr="001D6DA8">
        <w:rPr>
          <w:lang w:val="en-GB"/>
        </w:rPr>
        <w:t>,</w:t>
      </w:r>
      <w:r w:rsidR="000767F7" w:rsidRPr="001D6DA8">
        <w:rPr>
          <w:lang w:val="en-GB"/>
        </w:rPr>
        <w:t xml:space="preserve"> Nadia Buyak</w:t>
      </w:r>
      <w:r w:rsidR="000767F7" w:rsidRPr="001D6DA8">
        <w:rPr>
          <w:vertAlign w:val="superscript"/>
          <w:lang w:val="en-GB"/>
        </w:rPr>
        <w:t>3</w:t>
      </w:r>
      <w:r w:rsidR="000767F7" w:rsidRPr="001D6DA8">
        <w:rPr>
          <w:lang w:val="en-GB"/>
        </w:rPr>
        <w:t>,</w:t>
      </w:r>
      <w:r w:rsidRPr="001D6DA8">
        <w:rPr>
          <w:lang w:val="en-GB"/>
        </w:rPr>
        <w:t xml:space="preserve"> Hanna Hetmanchuk</w:t>
      </w:r>
      <w:r w:rsidRPr="001D6DA8">
        <w:rPr>
          <w:vertAlign w:val="superscript"/>
          <w:lang w:val="en-GB"/>
        </w:rPr>
        <w:t>4*</w:t>
      </w:r>
      <w:r w:rsidRPr="001D6DA8">
        <w:rPr>
          <w:lang w:val="en-GB"/>
        </w:rPr>
        <w:t xml:space="preserve">, </w:t>
      </w:r>
      <w:r w:rsidR="007825E5" w:rsidRPr="001D6DA8">
        <w:rPr>
          <w:lang w:val="en-GB"/>
        </w:rPr>
        <w:br/>
      </w:r>
      <w:r w:rsidRPr="001D6DA8">
        <w:rPr>
          <w:lang w:val="en-GB"/>
        </w:rPr>
        <w:t>Maksym Hurieiev</w:t>
      </w:r>
      <w:r w:rsidRPr="001D6DA8">
        <w:rPr>
          <w:vertAlign w:val="superscript"/>
          <w:lang w:val="en-GB"/>
        </w:rPr>
        <w:t>5</w:t>
      </w:r>
      <w:r w:rsidRPr="001D6DA8">
        <w:rPr>
          <w:lang w:val="en-GB"/>
        </w:rPr>
        <w:t>, Tatjana Odineca</w:t>
      </w:r>
      <w:r w:rsidRPr="001D6DA8">
        <w:rPr>
          <w:vertAlign w:val="superscript"/>
          <w:lang w:val="en-GB"/>
        </w:rPr>
        <w:t>6</w:t>
      </w:r>
    </w:p>
    <w:p w14:paraId="352E764C" w14:textId="1F6F1FF0" w:rsidR="00C214C4" w:rsidRPr="001D6DA8" w:rsidRDefault="000767F7" w:rsidP="00895A9F">
      <w:pPr>
        <w:pStyle w:val="Rafiliacja"/>
        <w:rPr>
          <w:lang w:val="en-GB"/>
        </w:rPr>
      </w:pPr>
      <w:r w:rsidRPr="001D6DA8">
        <w:rPr>
          <w:vertAlign w:val="superscript"/>
          <w:lang w:val="en-GB"/>
        </w:rPr>
        <w:t>1</w:t>
      </w:r>
      <w:hyperlink r:id="rId9" w:history="1">
        <w:r w:rsidR="00895A9F" w:rsidRPr="001D6DA8">
          <w:rPr>
            <w:szCs w:val="20"/>
            <w:lang w:val="en-GB"/>
          </w:rPr>
          <w:t>Educational and Research Institute of Nuclear and Heat Power Engineering</w:t>
        </w:r>
      </w:hyperlink>
      <w:r w:rsidR="00895A9F" w:rsidRPr="001D6DA8">
        <w:rPr>
          <w:szCs w:val="20"/>
          <w:shd w:val="clear" w:color="auto" w:fill="FFFFFF"/>
          <w:lang w:val="en-GB"/>
        </w:rPr>
        <w:t xml:space="preserve">, </w:t>
      </w:r>
      <w:r w:rsidR="007825E5" w:rsidRPr="001D6DA8">
        <w:rPr>
          <w:szCs w:val="20"/>
          <w:shd w:val="clear" w:color="auto" w:fill="FFFFFF"/>
          <w:lang w:val="en-GB"/>
        </w:rPr>
        <w:br/>
      </w:r>
      <w:r w:rsidR="00895A9F" w:rsidRPr="001D6DA8">
        <w:rPr>
          <w:szCs w:val="20"/>
          <w:lang w:val="en-GB"/>
        </w:rPr>
        <w:t xml:space="preserve">National </w:t>
      </w:r>
      <w:r w:rsidR="004360B0">
        <w:rPr>
          <w:szCs w:val="20"/>
          <w:lang w:val="en-GB"/>
        </w:rPr>
        <w:t>Technical U</w:t>
      </w:r>
      <w:r w:rsidR="00895A9F" w:rsidRPr="001D6DA8">
        <w:rPr>
          <w:szCs w:val="20"/>
          <w:lang w:val="en-GB"/>
        </w:rPr>
        <w:t>niversity of Ukraine "Igor Sikorsky Kyiv Polytechnic Institute", Ukraine</w:t>
      </w:r>
      <w:r w:rsidR="007825E5" w:rsidRPr="001D6DA8">
        <w:rPr>
          <w:szCs w:val="20"/>
          <w:lang w:val="en-GB"/>
        </w:rPr>
        <w:t xml:space="preserve"> </w:t>
      </w:r>
      <w:r w:rsidR="007825E5" w:rsidRPr="001D6DA8">
        <w:rPr>
          <w:szCs w:val="20"/>
          <w:lang w:val="en-GB"/>
        </w:rPr>
        <w:br/>
      </w:r>
      <w:r w:rsidR="00895A9F" w:rsidRPr="001D6DA8">
        <w:rPr>
          <w:szCs w:val="20"/>
          <w:lang w:val="en-GB"/>
        </w:rPr>
        <w:t xml:space="preserve">Institute of Engineering </w:t>
      </w:r>
      <w:proofErr w:type="spellStart"/>
      <w:r w:rsidR="00895A9F" w:rsidRPr="001D6DA8">
        <w:rPr>
          <w:szCs w:val="20"/>
          <w:lang w:val="en-GB"/>
        </w:rPr>
        <w:t>Thermophysics</w:t>
      </w:r>
      <w:proofErr w:type="spellEnd"/>
      <w:r w:rsidR="00895A9F" w:rsidRPr="001D6DA8">
        <w:rPr>
          <w:szCs w:val="20"/>
          <w:lang w:val="en-GB"/>
        </w:rPr>
        <w:t xml:space="preserve"> of NAS of Ukraine</w:t>
      </w:r>
      <w:r w:rsidR="00235CE3" w:rsidRPr="001D6DA8">
        <w:rPr>
          <w:szCs w:val="20"/>
          <w:lang w:val="en-GB"/>
        </w:rPr>
        <w:t>, Ukraine</w:t>
      </w:r>
      <w:r w:rsidR="00292A95" w:rsidRPr="001D6DA8">
        <w:rPr>
          <w:lang w:val="en-GB"/>
        </w:rPr>
        <w:br/>
      </w:r>
      <w:r w:rsidR="00DC3198" w:rsidRPr="001D6DA8">
        <w:rPr>
          <w:lang w:val="en-GB"/>
        </w:rPr>
        <w:t>https://orcid.org/0000-0002-8218-3933</w:t>
      </w:r>
    </w:p>
    <w:p w14:paraId="211D8449" w14:textId="2F507F41" w:rsidR="00DC3198" w:rsidRPr="001D6DA8" w:rsidRDefault="000767F7" w:rsidP="00DC3198">
      <w:pPr>
        <w:pStyle w:val="Rafiliacja"/>
        <w:rPr>
          <w:lang w:val="en-GB"/>
        </w:rPr>
      </w:pPr>
      <w:r w:rsidRPr="001D6DA8">
        <w:rPr>
          <w:vertAlign w:val="superscript"/>
          <w:lang w:val="en-GB"/>
        </w:rPr>
        <w:t>2</w:t>
      </w:r>
      <w:hyperlink r:id="rId10" w:history="1">
        <w:r w:rsidR="00895A9F" w:rsidRPr="001D6DA8">
          <w:rPr>
            <w:szCs w:val="20"/>
            <w:lang w:val="en-GB"/>
          </w:rPr>
          <w:t>Educational and Research Institute of Nuclear and Heat Power Engineering</w:t>
        </w:r>
      </w:hyperlink>
      <w:r w:rsidR="00895A9F" w:rsidRPr="001D6DA8">
        <w:rPr>
          <w:szCs w:val="20"/>
          <w:shd w:val="clear" w:color="auto" w:fill="FFFFFF"/>
          <w:lang w:val="en-GB"/>
        </w:rPr>
        <w:t xml:space="preserve">, </w:t>
      </w:r>
      <w:r w:rsidR="007825E5" w:rsidRPr="001D6DA8">
        <w:rPr>
          <w:szCs w:val="20"/>
          <w:shd w:val="clear" w:color="auto" w:fill="FFFFFF"/>
          <w:lang w:val="en-GB"/>
        </w:rPr>
        <w:br/>
      </w:r>
      <w:r w:rsidR="00895A9F" w:rsidRPr="001D6DA8">
        <w:rPr>
          <w:szCs w:val="20"/>
          <w:lang w:val="en-GB"/>
        </w:rPr>
        <w:t xml:space="preserve">National </w:t>
      </w:r>
      <w:r w:rsidR="004360B0">
        <w:rPr>
          <w:szCs w:val="20"/>
          <w:lang w:val="en-GB"/>
        </w:rPr>
        <w:t>Technical U</w:t>
      </w:r>
      <w:r w:rsidR="00895A9F" w:rsidRPr="001D6DA8">
        <w:rPr>
          <w:szCs w:val="20"/>
          <w:lang w:val="en-GB"/>
        </w:rPr>
        <w:t>niversity of Ukraine "Igor Sikorsky Kyiv Polytechnic Institute", Ukraine</w:t>
      </w:r>
      <w:r w:rsidR="007825E5" w:rsidRPr="001D6DA8">
        <w:rPr>
          <w:szCs w:val="20"/>
          <w:lang w:val="en-GB"/>
        </w:rPr>
        <w:t xml:space="preserve"> </w:t>
      </w:r>
      <w:r w:rsidR="007825E5" w:rsidRPr="001D6DA8">
        <w:rPr>
          <w:szCs w:val="20"/>
          <w:lang w:val="en-GB"/>
        </w:rPr>
        <w:br/>
      </w:r>
      <w:hyperlink r:id="rId11" w:history="1">
        <w:r w:rsidRPr="001D6DA8">
          <w:rPr>
            <w:rStyle w:val="Hipercze"/>
            <w:color w:val="auto"/>
            <w:u w:val="none"/>
            <w:lang w:val="en-GB"/>
          </w:rPr>
          <w:t>https://orcid.org/0000-0002-6640-103X</w:t>
        </w:r>
      </w:hyperlink>
    </w:p>
    <w:p w14:paraId="74B6A63F" w14:textId="199A0324" w:rsidR="000767F7" w:rsidRPr="001D6DA8" w:rsidRDefault="000767F7" w:rsidP="000767F7">
      <w:pPr>
        <w:pStyle w:val="Rafiliacja"/>
        <w:rPr>
          <w:lang w:val="en-GB"/>
        </w:rPr>
      </w:pPr>
      <w:r w:rsidRPr="001D6DA8">
        <w:rPr>
          <w:vertAlign w:val="superscript"/>
          <w:lang w:val="en-GB"/>
        </w:rPr>
        <w:t>3</w:t>
      </w:r>
      <w:hyperlink r:id="rId12" w:history="1">
        <w:r w:rsidRPr="001D6DA8">
          <w:rPr>
            <w:szCs w:val="20"/>
            <w:lang w:val="en-GB"/>
          </w:rPr>
          <w:t>Educational and Research Institute of Nuclear and Heat Power Engineering</w:t>
        </w:r>
      </w:hyperlink>
      <w:r w:rsidRPr="001D6DA8">
        <w:rPr>
          <w:szCs w:val="20"/>
          <w:shd w:val="clear" w:color="auto" w:fill="FFFFFF"/>
          <w:lang w:val="en-GB"/>
        </w:rPr>
        <w:t xml:space="preserve">, </w:t>
      </w:r>
      <w:r w:rsidR="007825E5" w:rsidRPr="001D6DA8">
        <w:rPr>
          <w:szCs w:val="20"/>
          <w:shd w:val="clear" w:color="auto" w:fill="FFFFFF"/>
          <w:lang w:val="en-GB"/>
        </w:rPr>
        <w:br/>
      </w:r>
      <w:r w:rsidRPr="001D6DA8">
        <w:rPr>
          <w:szCs w:val="20"/>
          <w:lang w:val="en-GB"/>
        </w:rPr>
        <w:t xml:space="preserve">National </w:t>
      </w:r>
      <w:r w:rsidR="004360B0">
        <w:rPr>
          <w:szCs w:val="20"/>
          <w:lang w:val="en-GB"/>
        </w:rPr>
        <w:t>Technical U</w:t>
      </w:r>
      <w:r w:rsidRPr="001D6DA8">
        <w:rPr>
          <w:szCs w:val="20"/>
          <w:lang w:val="en-GB"/>
        </w:rPr>
        <w:t>niversity of Ukraine "Igor Sikorsky Kyiv Polytechnic Institute", Ukraine</w:t>
      </w:r>
      <w:r w:rsidRPr="001D6DA8">
        <w:rPr>
          <w:lang w:val="en-GB"/>
        </w:rPr>
        <w:br/>
        <w:t>https://orcid.org/0000-0003-0597-6945</w:t>
      </w:r>
    </w:p>
    <w:p w14:paraId="04689AD9" w14:textId="14C39CFC" w:rsidR="00895A9F" w:rsidRPr="001D6DA8" w:rsidRDefault="00C214C4" w:rsidP="00C214C4">
      <w:pPr>
        <w:pStyle w:val="Rafiliacja"/>
        <w:rPr>
          <w:lang w:val="en-GB"/>
        </w:rPr>
      </w:pPr>
      <w:r w:rsidRPr="001D6DA8">
        <w:rPr>
          <w:vertAlign w:val="superscript"/>
          <w:lang w:val="en-GB"/>
        </w:rPr>
        <w:t>4</w:t>
      </w:r>
      <w:hyperlink r:id="rId13" w:history="1">
        <w:r w:rsidR="00884FCB" w:rsidRPr="001D6DA8">
          <w:rPr>
            <w:szCs w:val="20"/>
            <w:lang w:val="en-GB"/>
          </w:rPr>
          <w:t>Educational and Research Institute of Nuclear and Heat Power Engineering</w:t>
        </w:r>
      </w:hyperlink>
      <w:hyperlink r:id="rId14" w:history="1"/>
      <w:r w:rsidR="00895A9F" w:rsidRPr="001D6DA8">
        <w:rPr>
          <w:szCs w:val="20"/>
          <w:shd w:val="clear" w:color="auto" w:fill="FFFFFF"/>
          <w:lang w:val="en-GB"/>
        </w:rPr>
        <w:t xml:space="preserve">, </w:t>
      </w:r>
      <w:r w:rsidR="007825E5" w:rsidRPr="001D6DA8">
        <w:rPr>
          <w:szCs w:val="20"/>
          <w:shd w:val="clear" w:color="auto" w:fill="FFFFFF"/>
          <w:lang w:val="en-GB"/>
        </w:rPr>
        <w:br/>
      </w:r>
      <w:r w:rsidR="00895A9F" w:rsidRPr="001D6DA8">
        <w:rPr>
          <w:szCs w:val="20"/>
          <w:lang w:val="en-GB"/>
        </w:rPr>
        <w:t xml:space="preserve">National </w:t>
      </w:r>
      <w:r w:rsidR="004360B0">
        <w:rPr>
          <w:szCs w:val="20"/>
          <w:lang w:val="en-GB"/>
        </w:rPr>
        <w:t>Technical U</w:t>
      </w:r>
      <w:r w:rsidR="00895A9F" w:rsidRPr="001D6DA8">
        <w:rPr>
          <w:szCs w:val="20"/>
          <w:lang w:val="en-GB"/>
        </w:rPr>
        <w:t>niversity of Ukraine "Igor Sikorsky Kyiv Polytechnic Institute", Ukraine</w:t>
      </w:r>
      <w:r w:rsidR="00895A9F" w:rsidRPr="001D6DA8">
        <w:rPr>
          <w:lang w:val="en-GB"/>
        </w:rPr>
        <w:br/>
      </w:r>
      <w:r w:rsidR="00DC3198" w:rsidRPr="001D6DA8">
        <w:rPr>
          <w:lang w:val="en-GB"/>
        </w:rPr>
        <w:t>https://orcid.org/0000-0003-1655-8642</w:t>
      </w:r>
    </w:p>
    <w:p w14:paraId="3C091E65" w14:textId="394CED75" w:rsidR="00895A9F" w:rsidRPr="001D6DA8" w:rsidRDefault="00895A9F" w:rsidP="00DC3198">
      <w:pPr>
        <w:pStyle w:val="Rafiliacja"/>
        <w:rPr>
          <w:highlight w:val="yellow"/>
          <w:lang w:val="en-GB"/>
        </w:rPr>
      </w:pPr>
      <w:r w:rsidRPr="001D6DA8">
        <w:rPr>
          <w:vertAlign w:val="superscript"/>
          <w:lang w:val="en-GB"/>
        </w:rPr>
        <w:t>5</w:t>
      </w:r>
      <w:hyperlink r:id="rId15" w:history="1">
        <w:r w:rsidRPr="001D6DA8">
          <w:rPr>
            <w:szCs w:val="20"/>
            <w:lang w:val="en-GB"/>
          </w:rPr>
          <w:t>Educational and Research Institute of Nuclear and Heat Power Engineering</w:t>
        </w:r>
      </w:hyperlink>
      <w:r w:rsidRPr="001D6DA8">
        <w:rPr>
          <w:szCs w:val="20"/>
          <w:shd w:val="clear" w:color="auto" w:fill="FFFFFF"/>
          <w:lang w:val="en-GB"/>
        </w:rPr>
        <w:t xml:space="preserve">, </w:t>
      </w:r>
      <w:r w:rsidR="007825E5" w:rsidRPr="001D6DA8">
        <w:rPr>
          <w:szCs w:val="20"/>
          <w:shd w:val="clear" w:color="auto" w:fill="FFFFFF"/>
          <w:lang w:val="en-GB"/>
        </w:rPr>
        <w:br/>
      </w:r>
      <w:r w:rsidRPr="001D6DA8">
        <w:rPr>
          <w:szCs w:val="20"/>
          <w:lang w:val="en-GB"/>
        </w:rPr>
        <w:t xml:space="preserve">National </w:t>
      </w:r>
      <w:r w:rsidR="004360B0">
        <w:rPr>
          <w:szCs w:val="20"/>
          <w:lang w:val="en-GB"/>
        </w:rPr>
        <w:t>Technical U</w:t>
      </w:r>
      <w:r w:rsidRPr="001D6DA8">
        <w:rPr>
          <w:szCs w:val="20"/>
          <w:lang w:val="en-GB"/>
        </w:rPr>
        <w:t>niversity of Ukraine "Igor Sikorsky Kyiv Polytechnic Institute", Ukraine</w:t>
      </w:r>
      <w:r w:rsidRPr="001D6DA8">
        <w:rPr>
          <w:lang w:val="en-GB"/>
        </w:rPr>
        <w:br/>
      </w:r>
      <w:r w:rsidR="00DC3198" w:rsidRPr="001D6DA8">
        <w:rPr>
          <w:lang w:val="en-GB"/>
        </w:rPr>
        <w:t>https://orcid.org/0000-0003-0420-3609</w:t>
      </w:r>
    </w:p>
    <w:p w14:paraId="44DFDEEF" w14:textId="122636E9" w:rsidR="00C214C4" w:rsidRPr="001D6DA8" w:rsidRDefault="00235CE3" w:rsidP="00235CE3">
      <w:pPr>
        <w:pStyle w:val="Rafiliacja"/>
        <w:rPr>
          <w:lang w:val="en-GB"/>
        </w:rPr>
      </w:pPr>
      <w:r w:rsidRPr="001D6DA8">
        <w:rPr>
          <w:vertAlign w:val="superscript"/>
          <w:lang w:val="en-GB"/>
        </w:rPr>
        <w:t>6</w:t>
      </w:r>
      <w:r w:rsidR="0076670A" w:rsidRPr="001D6DA8">
        <w:rPr>
          <w:lang w:val="en-GB"/>
        </w:rPr>
        <w:t>Institute of Heat, Gas, and Water Technology</w:t>
      </w:r>
      <w:r w:rsidR="00C214C4" w:rsidRPr="001D6DA8">
        <w:rPr>
          <w:lang w:val="en-GB"/>
        </w:rPr>
        <w:t xml:space="preserve">, </w:t>
      </w:r>
      <w:r w:rsidRPr="001D6DA8">
        <w:rPr>
          <w:lang w:val="en-GB"/>
        </w:rPr>
        <w:t xml:space="preserve">Riga Technical </w:t>
      </w:r>
      <w:r w:rsidR="004360B0">
        <w:rPr>
          <w:lang w:val="en-GB"/>
        </w:rPr>
        <w:t>U</w:t>
      </w:r>
      <w:r w:rsidRPr="001D6DA8">
        <w:rPr>
          <w:lang w:val="en-GB"/>
        </w:rPr>
        <w:t xml:space="preserve">niversity, </w:t>
      </w:r>
      <w:proofErr w:type="spellStart"/>
      <w:r w:rsidRPr="001D6DA8">
        <w:rPr>
          <w:lang w:val="en-GB"/>
        </w:rPr>
        <w:t>Latvija</w:t>
      </w:r>
      <w:proofErr w:type="spellEnd"/>
      <w:r w:rsidR="00292A95" w:rsidRPr="001D6DA8">
        <w:rPr>
          <w:lang w:val="en-GB"/>
        </w:rPr>
        <w:br/>
      </w:r>
      <w:r w:rsidR="002865FA" w:rsidRPr="001D6DA8">
        <w:rPr>
          <w:lang w:val="en-GB"/>
        </w:rPr>
        <w:t>https://orcid.org/0000-0002-7533-3139</w:t>
      </w:r>
    </w:p>
    <w:p w14:paraId="5B785349" w14:textId="77777777" w:rsidR="003B521A" w:rsidRPr="001D6DA8" w:rsidRDefault="003B521A" w:rsidP="00C214C4">
      <w:pPr>
        <w:pStyle w:val="Rauco"/>
        <w:spacing w:before="0"/>
      </w:pPr>
      <w:r w:rsidRPr="001D6DA8">
        <w:rPr>
          <w:vertAlign w:val="superscript"/>
        </w:rPr>
        <w:t>*</w:t>
      </w:r>
      <w:bookmarkStart w:id="4" w:name="_Hlk156983793"/>
      <w:r w:rsidR="00D11ED9" w:rsidRPr="001D6DA8">
        <w:t>corresponding author e-mail:</w:t>
      </w:r>
      <w:bookmarkEnd w:id="4"/>
      <w:r w:rsidR="00B308A4" w:rsidRPr="001D6DA8">
        <w:t xml:space="preserve"> </w:t>
      </w:r>
      <w:r w:rsidR="00235CE3" w:rsidRPr="001D6DA8">
        <w:t>hetmanchuk.anna@gmail.com</w:t>
      </w:r>
    </w:p>
    <w:p w14:paraId="321FF6E8" w14:textId="7D83F68B" w:rsidR="007B5847" w:rsidRPr="001D6DA8" w:rsidRDefault="003B521A" w:rsidP="007B5847">
      <w:pPr>
        <w:pStyle w:val="Rab1"/>
      </w:pPr>
      <w:r w:rsidRPr="001D6DA8">
        <w:rPr>
          <w:b/>
          <w:bCs/>
        </w:rPr>
        <w:t>Abstract:</w:t>
      </w:r>
      <w:r w:rsidR="00B34286" w:rsidRPr="001D6DA8">
        <w:t xml:space="preserve"> </w:t>
      </w:r>
      <w:r w:rsidR="007B5847" w:rsidRPr="001D6DA8">
        <w:t xml:space="preserve">The </w:t>
      </w:r>
      <w:r w:rsidR="004360B0">
        <w:t>study's objective is to conduct a parametric analysis of the components of the building's heat balance, and</w:t>
      </w:r>
      <w:r w:rsidR="007B5847" w:rsidRPr="001D6DA8">
        <w:t xml:space="preserve"> a parametric analysis of heat flows in buildings with different thermal and physical properties. To this end, a non-stationary multi-zone energy model of a multi-story building was developed, which was then utilized to ascertain the components of the energy balance of a pilot room under various temperature control regimes of the heating system, the massiveness of internal and exterior walls, the insulation of the exterior wall, and contingent on the purpose of the room. Two distinct types of building premises are distinguished: residential and commercial. The analysis revealed that representative rooms oriented towards the north exhibited a 34.8% higher energy consumption for heating needs when compared to rooms oriented towards the south for walls comprising a single brick and a 38.3% higher energy consumption for walls composed of three bricks. </w:t>
      </w:r>
      <w:r w:rsidR="004360B0">
        <w:t>Implementing</w:t>
      </w:r>
      <w:r w:rsidR="007B5847" w:rsidRPr="001D6DA8">
        <w:t xml:space="preserve"> intermittent heating modes has been shown to reduce heat energy consumption by 13.8% and 14.6% for a one-brick exterior wall and </w:t>
      </w:r>
      <w:r w:rsidR="004360B0">
        <w:t>18.2% and 19.9% for a three-brick exterior wall, respectively, for</w:t>
      </w:r>
      <w:r w:rsidR="007B5847" w:rsidRPr="001D6DA8">
        <w:t xml:space="preserve"> residential and public buildings. The impact of altering the massiveness of internal walls on overall energy consumption is negligible</w:t>
      </w:r>
      <w:r w:rsidR="004360B0">
        <w:t>. In contrast,</w:t>
      </w:r>
      <w:r w:rsidR="007B5847" w:rsidRPr="001D6DA8">
        <w:t xml:space="preserve"> the insulation of exterior walls and </w:t>
      </w:r>
      <w:r w:rsidR="004360B0">
        <w:t>replacing</w:t>
      </w:r>
      <w:r w:rsidR="007B5847" w:rsidRPr="001D6DA8">
        <w:t xml:space="preserve"> windows with more energy-efficient ones exhibit a greater potential for reducing energy consumption in a building. A south-facing model with a constant heating mode in January demonstrated a 39.2% reduction in energy consumption for heating compared to a model lacking exterior wall insulation. </w:t>
      </w:r>
      <w:r w:rsidR="004360B0">
        <w:t>Implementing</w:t>
      </w:r>
      <w:r w:rsidR="007B5847" w:rsidRPr="001D6DA8">
        <w:t xml:space="preserve"> additional intermittent heating modes </w:t>
      </w:r>
      <w:r w:rsidR="004360B0">
        <w:t>can</w:t>
      </w:r>
      <w:r w:rsidR="007B5847" w:rsidRPr="001D6DA8">
        <w:t xml:space="preserve"> achieve energy savings of up to 22.3% for south-facing rooms and up to 21.4% for north-facing rooms. The findings of this study offer valuable insights into the regulation of heating modes in buildings with distinct characteristics in terms of exterior and internal wall composition.</w:t>
      </w:r>
    </w:p>
    <w:p w14:paraId="0F4FDE87" w14:textId="0E717C1B" w:rsidR="003B521A" w:rsidRPr="001D6DA8" w:rsidRDefault="003B521A" w:rsidP="008461DE">
      <w:pPr>
        <w:pStyle w:val="Rab2"/>
      </w:pPr>
      <w:r w:rsidRPr="001D6DA8">
        <w:rPr>
          <w:b/>
          <w:bCs/>
        </w:rPr>
        <w:t>Keywords:</w:t>
      </w:r>
      <w:r w:rsidR="00B34286" w:rsidRPr="001D6DA8">
        <w:t xml:space="preserve"> </w:t>
      </w:r>
      <w:r w:rsidR="00C214C4" w:rsidRPr="001D6DA8">
        <w:t>b</w:t>
      </w:r>
      <w:r w:rsidR="007B5847" w:rsidRPr="001D6DA8">
        <w:t xml:space="preserve">uilding energy </w:t>
      </w:r>
      <w:proofErr w:type="spellStart"/>
      <w:r w:rsidR="007B5847" w:rsidRPr="001D6DA8">
        <w:t>modeling</w:t>
      </w:r>
      <w:proofErr w:type="spellEnd"/>
      <w:r w:rsidR="007B5847" w:rsidRPr="001D6DA8">
        <w:t xml:space="preserve">, energy balances, </w:t>
      </w:r>
      <w:proofErr w:type="spellStart"/>
      <w:r w:rsidR="007B5847" w:rsidRPr="001D6DA8">
        <w:t>massivity</w:t>
      </w:r>
      <w:proofErr w:type="spellEnd"/>
      <w:r w:rsidR="007B5847" w:rsidRPr="001D6DA8">
        <w:t xml:space="preserve">, heating system operation mode, building, </w:t>
      </w:r>
      <w:r w:rsidR="008461DE">
        <w:br/>
      </w:r>
      <w:r w:rsidR="007B5847" w:rsidRPr="001D6DA8">
        <w:t>heating system</w:t>
      </w:r>
    </w:p>
    <w:p w14:paraId="06189605" w14:textId="77777777" w:rsidR="00FA42C4" w:rsidRPr="001D6DA8" w:rsidRDefault="00FA42C4" w:rsidP="00F500BE">
      <w:pPr>
        <w:pStyle w:val="Rn1"/>
        <w:rPr>
          <w:lang w:val="en-GB"/>
        </w:rPr>
      </w:pPr>
      <w:r w:rsidRPr="001D6DA8">
        <w:rPr>
          <w:lang w:val="en-GB"/>
        </w:rPr>
        <w:t>1. Introduction</w:t>
      </w:r>
    </w:p>
    <w:p w14:paraId="78400166" w14:textId="1FC6BB90" w:rsidR="007B5847" w:rsidRPr="001D6DA8" w:rsidRDefault="007B5847" w:rsidP="007B5847">
      <w:pPr>
        <w:rPr>
          <w:lang w:val="en-GB"/>
        </w:rPr>
      </w:pPr>
      <w:r w:rsidRPr="001D6DA8">
        <w:rPr>
          <w:lang w:val="en-GB"/>
        </w:rPr>
        <w:t xml:space="preserve">Energy saving is one of the most important tasks of our time. Rising energy prices and the need to reduce greenhouse gas emissions require the search for new ways to improve the energy efficiency of buildings. </w:t>
      </w:r>
      <w:r w:rsidR="004360B0">
        <w:rPr>
          <w:lang w:val="en-GB"/>
        </w:rPr>
        <w:t>E</w:t>
      </w:r>
      <w:r w:rsidRPr="001D6DA8">
        <w:rPr>
          <w:lang w:val="en-GB"/>
        </w:rPr>
        <w:t>nergy savings, which can be achieved through accurate energy design of buildings, are very relevant for new buildings and renovations</w:t>
      </w:r>
      <w:r w:rsidR="004330CC" w:rsidRPr="001D6DA8">
        <w:rPr>
          <w:lang w:val="en-GB"/>
        </w:rPr>
        <w:t xml:space="preserve"> (Hafez et al. 2023, Leccese et al. 2024, Belaïd &amp; </w:t>
      </w:r>
      <w:proofErr w:type="spellStart"/>
      <w:r w:rsidR="004330CC" w:rsidRPr="001D6DA8">
        <w:rPr>
          <w:lang w:val="en-GB"/>
        </w:rPr>
        <w:t>Massié</w:t>
      </w:r>
      <w:proofErr w:type="spellEnd"/>
      <w:r w:rsidR="004330CC" w:rsidRPr="001D6DA8">
        <w:rPr>
          <w:lang w:val="en-GB"/>
        </w:rPr>
        <w:t xml:space="preserve"> 2023)</w:t>
      </w:r>
      <w:r w:rsidRPr="001D6DA8">
        <w:rPr>
          <w:lang w:val="en-GB"/>
        </w:rPr>
        <w:t>.</w:t>
      </w:r>
    </w:p>
    <w:p w14:paraId="4A82A01D" w14:textId="3E128B9D" w:rsidR="007B5847" w:rsidRPr="001D6DA8" w:rsidRDefault="007B5847" w:rsidP="007B5847">
      <w:pPr>
        <w:rPr>
          <w:lang w:val="en-GB"/>
        </w:rPr>
      </w:pPr>
      <w:r w:rsidRPr="001D6DA8">
        <w:rPr>
          <w:lang w:val="en-GB"/>
        </w:rPr>
        <w:t xml:space="preserve">The construction sector accounts for about 40% of final energy consumption and 36% of greenhouse gas emissions in Europe </w:t>
      </w:r>
      <w:r w:rsidR="004330CC" w:rsidRPr="001D6DA8">
        <w:rPr>
          <w:lang w:val="en-GB"/>
        </w:rPr>
        <w:t>(</w:t>
      </w:r>
      <w:proofErr w:type="spellStart"/>
      <w:r w:rsidR="004330CC" w:rsidRPr="001D6DA8">
        <w:rPr>
          <w:lang w:val="en-GB"/>
        </w:rPr>
        <w:t>Asdrubali</w:t>
      </w:r>
      <w:proofErr w:type="spellEnd"/>
      <w:r w:rsidR="004330CC" w:rsidRPr="001D6DA8">
        <w:rPr>
          <w:lang w:val="en-GB"/>
        </w:rPr>
        <w:t xml:space="preserve"> et al. 2020)</w:t>
      </w:r>
      <w:r w:rsidRPr="001D6DA8">
        <w:rPr>
          <w:lang w:val="en-GB"/>
        </w:rPr>
        <w:t xml:space="preserve">. This is </w:t>
      </w:r>
      <w:r w:rsidR="004360B0">
        <w:rPr>
          <w:lang w:val="en-GB"/>
        </w:rPr>
        <w:t>because</w:t>
      </w:r>
      <w:r w:rsidRPr="001D6DA8">
        <w:rPr>
          <w:lang w:val="en-GB"/>
        </w:rPr>
        <w:t xml:space="preserve"> buildings require energy for heating, cooling, lighting, and other energy-consuming processes throughout their life cycle, and the total operating energy consumption reaches 60% </w:t>
      </w:r>
      <w:r w:rsidR="004330CC" w:rsidRPr="001D6DA8">
        <w:rPr>
          <w:lang w:val="en-GB"/>
        </w:rPr>
        <w:t>(Buyak et al. 2023)</w:t>
      </w:r>
      <w:r w:rsidRPr="001D6DA8">
        <w:rPr>
          <w:lang w:val="en-GB"/>
        </w:rPr>
        <w:t xml:space="preserve">. </w:t>
      </w:r>
    </w:p>
    <w:p w14:paraId="10454E55" w14:textId="77777777" w:rsidR="007B5847" w:rsidRPr="001D6DA8" w:rsidRDefault="007B5847" w:rsidP="007B5847">
      <w:pPr>
        <w:rPr>
          <w:lang w:val="en-GB"/>
        </w:rPr>
      </w:pPr>
      <w:r w:rsidRPr="001D6DA8">
        <w:rPr>
          <w:lang w:val="en-GB"/>
        </w:rPr>
        <w:lastRenderedPageBreak/>
        <w:t xml:space="preserve">One of the most important factors affecting the energy efficiency of buildings is heat flow through the exterior envelope, which is one of the main sources of heat loss in buildings </w:t>
      </w:r>
      <w:r w:rsidR="004330CC" w:rsidRPr="001D6DA8">
        <w:rPr>
          <w:lang w:val="en-GB"/>
        </w:rPr>
        <w:t>(Leccese et al. 2018)</w:t>
      </w:r>
      <w:r w:rsidRPr="001D6DA8">
        <w:rPr>
          <w:lang w:val="en-GB"/>
        </w:rPr>
        <w:t>. The main factors affecting heat loss through exterior walls are the orientation of the exterior walls, the massiveness of the exterior walls, thermal insulation, and the mode of operation of the heating system.</w:t>
      </w:r>
    </w:p>
    <w:p w14:paraId="4DDAC588" w14:textId="785F58B5" w:rsidR="007B5847" w:rsidRPr="001D6DA8" w:rsidRDefault="007B5847" w:rsidP="007B5847">
      <w:pPr>
        <w:rPr>
          <w:lang w:val="en-GB"/>
        </w:rPr>
      </w:pPr>
      <w:r w:rsidRPr="008461DE">
        <w:rPr>
          <w:spacing w:val="-2"/>
          <w:lang w:val="en-GB"/>
        </w:rPr>
        <w:t>Study notes</w:t>
      </w:r>
      <w:r w:rsidR="006B05C2" w:rsidRPr="008461DE">
        <w:rPr>
          <w:spacing w:val="-2"/>
          <w:lang w:val="en-GB"/>
        </w:rPr>
        <w:t xml:space="preserve"> (Habibi 2024) </w:t>
      </w:r>
      <w:r w:rsidRPr="008461DE">
        <w:rPr>
          <w:spacing w:val="-2"/>
          <w:lang w:val="en-GB"/>
        </w:rPr>
        <w:t>that building orientation is one of the main factors affecting building efficiency. After all, heat loss through the building envelope is significantly influenced by climatic parameters.</w:t>
      </w:r>
      <w:r w:rsidRPr="001D6DA8">
        <w:rPr>
          <w:lang w:val="en-GB"/>
        </w:rPr>
        <w:t xml:space="preserve"> In addition to the ambient temperature, the heat loss of buildings largely depends on the direction and strength of the wind </w:t>
      </w:r>
      <w:r w:rsidR="006B05C2" w:rsidRPr="001D6DA8">
        <w:rPr>
          <w:lang w:val="en-GB"/>
        </w:rPr>
        <w:t xml:space="preserve">(Ding et al. 2024) </w:t>
      </w:r>
      <w:r w:rsidRPr="001D6DA8">
        <w:rPr>
          <w:lang w:val="en-GB"/>
        </w:rPr>
        <w:t xml:space="preserve">and the intensity of solar radiation. The amount of solar heat gain into the room affects the process of thermal convection, which in turn affects the energy demand for heating and the level of thermal comfort of the occupants. </w:t>
      </w:r>
      <w:r w:rsidR="004360B0">
        <w:rPr>
          <w:lang w:val="en-GB"/>
        </w:rPr>
        <w:t>A s</w:t>
      </w:r>
      <w:r w:rsidRPr="001D6DA8">
        <w:rPr>
          <w:lang w:val="en-GB"/>
        </w:rPr>
        <w:t xml:space="preserve">tudy </w:t>
      </w:r>
      <w:r w:rsidR="006B05C2" w:rsidRPr="001D6DA8">
        <w:rPr>
          <w:lang w:val="en-GB"/>
        </w:rPr>
        <w:t xml:space="preserve">(Deka &amp; </w:t>
      </w:r>
      <w:proofErr w:type="spellStart"/>
      <w:r w:rsidR="006B05C2" w:rsidRPr="001D6DA8">
        <w:rPr>
          <w:lang w:val="en-GB"/>
        </w:rPr>
        <w:t>Szlęk</w:t>
      </w:r>
      <w:proofErr w:type="spellEnd"/>
      <w:r w:rsidR="006B05C2" w:rsidRPr="001D6DA8">
        <w:rPr>
          <w:lang w:val="en-GB"/>
        </w:rPr>
        <w:t xml:space="preserve"> 2022)</w:t>
      </w:r>
      <w:r w:rsidRPr="001D6DA8">
        <w:rPr>
          <w:lang w:val="en-GB"/>
        </w:rPr>
        <w:t xml:space="preserve"> substantiates the feasibility of using thermal energy storage from solar radiation and its release </w:t>
      </w:r>
      <w:r w:rsidR="004360B0">
        <w:rPr>
          <w:lang w:val="en-GB"/>
        </w:rPr>
        <w:t>following</w:t>
      </w:r>
      <w:r w:rsidRPr="001D6DA8">
        <w:rPr>
          <w:lang w:val="en-GB"/>
        </w:rPr>
        <w:t xml:space="preserve"> the needs of buildings.</w:t>
      </w:r>
    </w:p>
    <w:p w14:paraId="5CD8C427" w14:textId="4FD70180" w:rsidR="007B5847" w:rsidRPr="001D6DA8" w:rsidRDefault="007B5847" w:rsidP="007B5847">
      <w:pPr>
        <w:rPr>
          <w:lang w:val="en-GB"/>
        </w:rPr>
      </w:pPr>
      <w:r w:rsidRPr="001D6DA8">
        <w:rPr>
          <w:lang w:val="en-GB"/>
        </w:rPr>
        <w:t xml:space="preserve">Since climatic parameters affect the thermal performance of buildings and the amount of energy consumption of buildings, it is important to develop effective strategies for regulating and adapting heating systems </w:t>
      </w:r>
      <w:r w:rsidR="006B05C2" w:rsidRPr="001D6DA8">
        <w:rPr>
          <w:lang w:val="en-GB"/>
        </w:rPr>
        <w:t>(Dodoo &amp; Gustavsson 2016, Hea &amp; Huang 2024)</w:t>
      </w:r>
      <w:r w:rsidRPr="001D6DA8">
        <w:rPr>
          <w:lang w:val="en-GB"/>
        </w:rPr>
        <w:t>.</w:t>
      </w:r>
    </w:p>
    <w:p w14:paraId="02E9EC88" w14:textId="7D0A7A1F" w:rsidR="007B5847" w:rsidRPr="001D6DA8" w:rsidRDefault="007B5847" w:rsidP="007B5847">
      <w:pPr>
        <w:rPr>
          <w:lang w:val="en-GB"/>
        </w:rPr>
      </w:pPr>
      <w:r w:rsidRPr="001D6DA8">
        <w:rPr>
          <w:lang w:val="en-GB"/>
        </w:rPr>
        <w:t xml:space="preserve">Paper </w:t>
      </w:r>
      <w:r w:rsidR="006B05C2" w:rsidRPr="001D6DA8">
        <w:rPr>
          <w:lang w:val="en-GB"/>
        </w:rPr>
        <w:t xml:space="preserve">(Buyak et al. 2022) </w:t>
      </w:r>
      <w:r w:rsidRPr="001D6DA8">
        <w:rPr>
          <w:lang w:val="en-GB"/>
        </w:rPr>
        <w:t xml:space="preserve">presents the results of studies that include forecasting conditions based on solar heat gain in the building zone on the example of a typical 5-story residential building in Kyiv. According to the article, </w:t>
      </w:r>
      <w:r w:rsidR="004360B0">
        <w:rPr>
          <w:lang w:val="en-GB"/>
        </w:rPr>
        <w:t>using a heat load schedule that considers solar heat gain can reduce energy consumption for heating by 37% for the North-South window orientation and</w:t>
      </w:r>
      <w:r w:rsidRPr="001D6DA8">
        <w:rPr>
          <w:lang w:val="en-GB"/>
        </w:rPr>
        <w:t xml:space="preserve"> 28% for the East-West window orientation.</w:t>
      </w:r>
    </w:p>
    <w:p w14:paraId="6323C125" w14:textId="00064E53" w:rsidR="007B5847" w:rsidRPr="001D6DA8" w:rsidRDefault="007B5847" w:rsidP="007B5847">
      <w:pPr>
        <w:rPr>
          <w:lang w:val="en-GB"/>
        </w:rPr>
      </w:pPr>
      <w:r w:rsidRPr="001D6DA8">
        <w:rPr>
          <w:lang w:val="en-GB"/>
        </w:rPr>
        <w:t xml:space="preserve">The researchers also conducted an experimental comparison of the impact of solar heat gain on energy consumption between two equivalent rooms with different orientations for Chinese conditions </w:t>
      </w:r>
      <w:r w:rsidR="006B05C2" w:rsidRPr="001D6DA8">
        <w:rPr>
          <w:lang w:val="en-GB"/>
        </w:rPr>
        <w:t>(Hajji et al. 2022)</w:t>
      </w:r>
      <w:r w:rsidRPr="001D6DA8">
        <w:rPr>
          <w:lang w:val="en-GB"/>
        </w:rPr>
        <w:t xml:space="preserve">. The results </w:t>
      </w:r>
      <w:r w:rsidR="004360B0">
        <w:rPr>
          <w:lang w:val="en-GB"/>
        </w:rPr>
        <w:t>show tha</w:t>
      </w:r>
      <w:r w:rsidRPr="001D6DA8">
        <w:rPr>
          <w:lang w:val="en-GB"/>
        </w:rPr>
        <w:t>t solar heat gain in south-facing rooms can save up to 8.5% of thermal energy.</w:t>
      </w:r>
    </w:p>
    <w:p w14:paraId="6DB59AEF" w14:textId="06615C20" w:rsidR="007B5847" w:rsidRPr="001D6DA8" w:rsidRDefault="007B5847" w:rsidP="007B5847">
      <w:pPr>
        <w:rPr>
          <w:lang w:val="en-GB"/>
        </w:rPr>
      </w:pPr>
      <w:r w:rsidRPr="001D6DA8">
        <w:rPr>
          <w:lang w:val="en-GB"/>
        </w:rPr>
        <w:t xml:space="preserve">The results of a study of the impact of solar heat gain on unheated sunny and cloudy winter days on the thermal environment in passive houses </w:t>
      </w:r>
      <w:r w:rsidR="00C677E6" w:rsidRPr="001D6DA8">
        <w:rPr>
          <w:lang w:val="en-GB"/>
        </w:rPr>
        <w:t>(Zhao</w:t>
      </w:r>
      <w:r w:rsidRPr="001D6DA8">
        <w:rPr>
          <w:lang w:val="en-GB"/>
        </w:rPr>
        <w:t xml:space="preserve"> </w:t>
      </w:r>
      <w:r w:rsidR="00C677E6" w:rsidRPr="001D6DA8">
        <w:rPr>
          <w:lang w:val="en-GB"/>
        </w:rPr>
        <w:t xml:space="preserve">et al. 2020) </w:t>
      </w:r>
      <w:r w:rsidRPr="001D6DA8">
        <w:rPr>
          <w:lang w:val="en-GB"/>
        </w:rPr>
        <w:t xml:space="preserve">shows that a house with weaker thermal insulation but more solar heat gain has better performance than a house with a stronger building envelope but less solar heat gain. </w:t>
      </w:r>
      <w:r w:rsidRPr="008461DE">
        <w:rPr>
          <w:spacing w:val="-2"/>
          <w:lang w:val="en-GB"/>
        </w:rPr>
        <w:t>Two independent passive houses in cold regions of China were chosen as the objects of the study, which had almost the same geographical location, building shape, and floor plans. This indicates that in a passive house system, solar heat gain is of great importance and has a competitive status with the thermal insulation characteristics of the building envelope.</w:t>
      </w:r>
    </w:p>
    <w:p w14:paraId="6B05A248" w14:textId="2B3CBBF9" w:rsidR="007B5847" w:rsidRPr="008461DE" w:rsidRDefault="004360B0" w:rsidP="007B5847">
      <w:pPr>
        <w:rPr>
          <w:rFonts w:cs="Times New Roman"/>
          <w:lang w:val="en-GB"/>
        </w:rPr>
      </w:pPr>
      <w:r w:rsidRPr="008461DE">
        <w:rPr>
          <w:rFonts w:cs="Times New Roman"/>
          <w:lang w:val="en-GB"/>
        </w:rPr>
        <w:t>Massive exterior walls characterize buildings in Central and Eastern Europe (which includes Ukraine)</w:t>
      </w:r>
      <w:r w:rsidR="007B5847" w:rsidRPr="008461DE">
        <w:rPr>
          <w:rFonts w:cs="Times New Roman"/>
          <w:lang w:val="en-GB"/>
        </w:rPr>
        <w:t>. According to the national standard of Ukraine</w:t>
      </w:r>
      <w:r w:rsidRPr="008461DE">
        <w:rPr>
          <w:rFonts w:cs="Times New Roman"/>
          <w:lang w:val="en-GB"/>
        </w:rPr>
        <w:t>,</w:t>
      </w:r>
      <w:r w:rsidR="007B5847" w:rsidRPr="008461DE">
        <w:rPr>
          <w:rFonts w:cs="Times New Roman"/>
          <w:lang w:val="en-GB"/>
        </w:rPr>
        <w:t xml:space="preserve"> "Thermal insulation and energy efficiency of buildings" </w:t>
      </w:r>
      <w:r w:rsidR="00C677E6" w:rsidRPr="008461DE">
        <w:rPr>
          <w:rFonts w:cs="Times New Roman"/>
          <w:lang w:val="en-GB"/>
        </w:rPr>
        <w:t>(DBN V.2.6-31:2021)</w:t>
      </w:r>
      <w:r w:rsidRPr="008461DE">
        <w:rPr>
          <w:rFonts w:cs="Times New Roman"/>
          <w:lang w:val="en-GB"/>
        </w:rPr>
        <w:t>,</w:t>
      </w:r>
      <w:r w:rsidR="007B5847" w:rsidRPr="008461DE">
        <w:rPr>
          <w:rFonts w:cs="Times New Roman"/>
          <w:lang w:val="en-GB"/>
        </w:rPr>
        <w:t xml:space="preserve"> </w:t>
      </w:r>
      <w:r w:rsidR="007B5847" w:rsidRPr="008461DE">
        <w:rPr>
          <w:rFonts w:cs="Times New Roman"/>
          <w:spacing w:val="-2"/>
          <w:lang w:val="en-GB"/>
        </w:rPr>
        <w:t>the requirements for the minimum permissible value of the reduced heat transfer resistance for exterior wall envelope structures for the conditions of the city of Kyiv</w:t>
      </w:r>
      <w:r w:rsidR="007B5847" w:rsidRPr="008461DE">
        <w:rPr>
          <w:rFonts w:cs="Times New Roman"/>
          <w:lang w:val="en-GB"/>
        </w:rPr>
        <w:t xml:space="preserve"> are 4.00 m</w:t>
      </w:r>
      <w:r w:rsidR="007B5847" w:rsidRPr="008461DE">
        <w:rPr>
          <w:rFonts w:cs="Times New Roman"/>
          <w:vertAlign w:val="superscript"/>
          <w:lang w:val="en-GB"/>
        </w:rPr>
        <w:t>2</w:t>
      </w:r>
      <w:r w:rsidR="00564660" w:rsidRPr="008461DE">
        <w:rPr>
          <w:rFonts w:cs="Times New Roman"/>
          <w:lang w:val="en-GB"/>
        </w:rPr>
        <w:t>·</w:t>
      </w:r>
      <w:r w:rsidR="007B5847" w:rsidRPr="008461DE">
        <w:rPr>
          <w:rFonts w:cs="Times New Roman"/>
          <w:lang w:val="en-GB"/>
        </w:rPr>
        <w:t>K/W. It is possible to achieve the appropriate U-value for exterior walls by using new materials with better heat transfer resistance</w:t>
      </w:r>
      <w:r w:rsidRPr="008461DE">
        <w:rPr>
          <w:rFonts w:cs="Times New Roman"/>
          <w:lang w:val="en-GB"/>
        </w:rPr>
        <w:t xml:space="preserve"> and</w:t>
      </w:r>
      <w:r w:rsidR="007B5847" w:rsidRPr="008461DE">
        <w:rPr>
          <w:rFonts w:cs="Times New Roman"/>
          <w:lang w:val="en-GB"/>
        </w:rPr>
        <w:t xml:space="preserve"> increasing the thickness of exterior walls during construction. However, thicker walls are also more expensive and difficult to construct.</w:t>
      </w:r>
    </w:p>
    <w:p w14:paraId="522F8DE1" w14:textId="774E3FFD" w:rsidR="007B5847" w:rsidRPr="001D6DA8" w:rsidRDefault="007B5847" w:rsidP="007B5847">
      <w:pPr>
        <w:rPr>
          <w:lang w:val="en-GB"/>
        </w:rPr>
      </w:pPr>
      <w:r w:rsidRPr="001D6DA8">
        <w:rPr>
          <w:lang w:val="en-GB"/>
        </w:rPr>
        <w:t xml:space="preserve">Also, according to the national standard </w:t>
      </w:r>
      <w:r w:rsidR="00C677E6" w:rsidRPr="001D6DA8">
        <w:rPr>
          <w:lang w:val="en-GB"/>
        </w:rPr>
        <w:t xml:space="preserve">(DBN V.2.6-31:2021) </w:t>
      </w:r>
      <w:r w:rsidRPr="001D6DA8">
        <w:rPr>
          <w:lang w:val="en-GB"/>
        </w:rPr>
        <w:t>in new construction, it is allowed to reduce the reduced heat transfer resistance to 80%, provided that other indicators of energy efficiency of buildings, including the specific energy consumption of the building for heating and cooling, are met. The minimum permissible requirements for the energy efficiency of buildings are becoming higher over time</w:t>
      </w:r>
      <w:r w:rsidR="004360B0">
        <w:rPr>
          <w:lang w:val="en-GB"/>
        </w:rPr>
        <w:t>. T</w:t>
      </w:r>
      <w:r w:rsidRPr="001D6DA8">
        <w:rPr>
          <w:lang w:val="en-GB"/>
        </w:rPr>
        <w:t xml:space="preserve">herefore, their </w:t>
      </w:r>
      <w:proofErr w:type="spellStart"/>
      <w:r w:rsidRPr="001D6DA8">
        <w:rPr>
          <w:lang w:val="en-GB"/>
        </w:rPr>
        <w:t>fulfillment</w:t>
      </w:r>
      <w:proofErr w:type="spellEnd"/>
      <w:r w:rsidRPr="001D6DA8">
        <w:rPr>
          <w:lang w:val="en-GB"/>
        </w:rPr>
        <w:t xml:space="preserve"> requires not only the implementation of measures to reduce the transmission component of building heat loss but also the consideration of the possibility of regulating the heating system with a decrease in the temperature </w:t>
      </w:r>
      <w:r w:rsidR="004360B0">
        <w:rPr>
          <w:lang w:val="en-GB"/>
        </w:rPr>
        <w:t>o</w:t>
      </w:r>
      <w:r w:rsidRPr="001D6DA8">
        <w:rPr>
          <w:lang w:val="en-GB"/>
        </w:rPr>
        <w:t xml:space="preserve">n the premises of the building during the day or at night, depending on the purpose of the building, as this will reduce the overall energy consumption of the heating system. </w:t>
      </w:r>
    </w:p>
    <w:p w14:paraId="0562D5F8" w14:textId="3B3DBE38" w:rsidR="007B5847" w:rsidRPr="001D6DA8" w:rsidRDefault="007B5847" w:rsidP="007B5847">
      <w:pPr>
        <w:rPr>
          <w:lang w:val="en-GB"/>
        </w:rPr>
      </w:pPr>
      <w:r w:rsidRPr="001D6DA8">
        <w:rPr>
          <w:lang w:val="en-GB"/>
        </w:rPr>
        <w:t>Particular attention is paid to the study and implementation of intermittent heating modes, as this method is one of the low-cost and energy-efficient measures to improve the energy efficiency of buildings. Researchers</w:t>
      </w:r>
      <w:r w:rsidR="00C677E6" w:rsidRPr="001D6DA8">
        <w:rPr>
          <w:lang w:val="en-GB"/>
        </w:rPr>
        <w:t xml:space="preserve"> (Buyak et al. 2021)</w:t>
      </w:r>
      <w:r w:rsidRPr="001D6DA8">
        <w:rPr>
          <w:lang w:val="en-GB"/>
        </w:rPr>
        <w:t xml:space="preserve"> found that the implementation of intermittent heating modes in typical Ukrainian buildings can achieve heat energy savings of about 16-25%, depending on the orientation, the depth of the dip in the indoor air temperature graph, and the thermal properties of the envelope. This study also supported an increase in the range of fluctuations in the load on the heating system for the southern orientation due to additional solar heat gain in the room area. Another study </w:t>
      </w:r>
      <w:r w:rsidR="00C677E6" w:rsidRPr="001D6DA8">
        <w:rPr>
          <w:lang w:val="en-GB"/>
        </w:rPr>
        <w:t>(</w:t>
      </w:r>
      <w:proofErr w:type="spellStart"/>
      <w:r w:rsidR="00C677E6" w:rsidRPr="001D6DA8">
        <w:rPr>
          <w:lang w:val="en-GB"/>
        </w:rPr>
        <w:t>Deshko</w:t>
      </w:r>
      <w:proofErr w:type="spellEnd"/>
      <w:r w:rsidR="00C677E6" w:rsidRPr="001D6DA8">
        <w:rPr>
          <w:lang w:val="en-GB"/>
        </w:rPr>
        <w:t xml:space="preserve"> et al. 2020) </w:t>
      </w:r>
      <w:r w:rsidRPr="001D6DA8">
        <w:rPr>
          <w:lang w:val="en-GB"/>
        </w:rPr>
        <w:t xml:space="preserve">has shown that </w:t>
      </w:r>
      <w:r w:rsidR="004360B0">
        <w:rPr>
          <w:lang w:val="en-GB"/>
        </w:rPr>
        <w:t>implementing</w:t>
      </w:r>
      <w:r w:rsidRPr="001D6DA8">
        <w:rPr>
          <w:lang w:val="en-GB"/>
        </w:rPr>
        <w:t xml:space="preserve"> intermittent heating modes leads to a reduction in heat consumption of up to 13% over the entire heating period. For the winter period, the savings are 8-10%, </w:t>
      </w:r>
      <w:r w:rsidR="004360B0">
        <w:rPr>
          <w:lang w:val="en-GB"/>
        </w:rPr>
        <w:t>and for the off-season, they are</w:t>
      </w:r>
      <w:r w:rsidRPr="001D6DA8">
        <w:rPr>
          <w:lang w:val="en-GB"/>
        </w:rPr>
        <w:t xml:space="preserve"> up to 25%.</w:t>
      </w:r>
    </w:p>
    <w:p w14:paraId="3BB74DC8" w14:textId="7291BE53" w:rsidR="007B5847" w:rsidRPr="001D6DA8" w:rsidRDefault="007B5847" w:rsidP="007B5847">
      <w:pPr>
        <w:rPr>
          <w:lang w:val="en-GB"/>
        </w:rPr>
      </w:pPr>
      <w:r w:rsidRPr="001D6DA8">
        <w:rPr>
          <w:lang w:val="en-GB"/>
        </w:rPr>
        <w:t xml:space="preserve">The study of heat flows through exterior walls using the </w:t>
      </w:r>
      <w:proofErr w:type="spellStart"/>
      <w:r w:rsidRPr="001D6DA8">
        <w:rPr>
          <w:lang w:val="en-GB"/>
        </w:rPr>
        <w:t>EnergyPlus</w:t>
      </w:r>
      <w:proofErr w:type="spellEnd"/>
      <w:r w:rsidRPr="001D6DA8">
        <w:rPr>
          <w:lang w:val="en-GB"/>
        </w:rPr>
        <w:t xml:space="preserve"> software allows for dynamic energy </w:t>
      </w:r>
      <w:proofErr w:type="spellStart"/>
      <w:r w:rsidRPr="001D6DA8">
        <w:rPr>
          <w:lang w:val="en-GB"/>
        </w:rPr>
        <w:t>modeling</w:t>
      </w:r>
      <w:proofErr w:type="spellEnd"/>
      <w:r w:rsidRPr="001D6DA8">
        <w:rPr>
          <w:lang w:val="en-GB"/>
        </w:rPr>
        <w:t xml:space="preserve">, </w:t>
      </w:r>
      <w:r w:rsidR="004360B0">
        <w:rPr>
          <w:lang w:val="en-GB"/>
        </w:rPr>
        <w:t>considering</w:t>
      </w:r>
      <w:r w:rsidRPr="001D6DA8">
        <w:rPr>
          <w:lang w:val="en-GB"/>
        </w:rPr>
        <w:t xml:space="preserve"> hourly climate data and intermittent heating schedules. The results of such </w:t>
      </w:r>
      <w:proofErr w:type="spellStart"/>
      <w:r w:rsidRPr="001D6DA8">
        <w:rPr>
          <w:lang w:val="en-GB"/>
        </w:rPr>
        <w:t>modeling</w:t>
      </w:r>
      <w:proofErr w:type="spellEnd"/>
      <w:r w:rsidRPr="001D6DA8">
        <w:rPr>
          <w:lang w:val="en-GB"/>
        </w:rPr>
        <w:t xml:space="preserve"> can show changes in the ratio of components of the energy balance of premises and their impact on the heating schedule.</w:t>
      </w:r>
    </w:p>
    <w:p w14:paraId="022FBE76" w14:textId="77777777" w:rsidR="00F72855" w:rsidRPr="001D6DA8" w:rsidRDefault="007B5847" w:rsidP="007B5847">
      <w:pPr>
        <w:rPr>
          <w:lang w:val="en-GB"/>
        </w:rPr>
      </w:pPr>
      <w:r w:rsidRPr="001D6DA8">
        <w:rPr>
          <w:lang w:val="en-GB"/>
        </w:rPr>
        <w:lastRenderedPageBreak/>
        <w:t xml:space="preserve">In general, the results of studies </w:t>
      </w:r>
      <w:r w:rsidR="00B1319D" w:rsidRPr="001D6DA8">
        <w:rPr>
          <w:lang w:val="en-GB"/>
        </w:rPr>
        <w:t xml:space="preserve">(Buyak et al. 2021, </w:t>
      </w:r>
      <w:proofErr w:type="spellStart"/>
      <w:r w:rsidR="00B1319D" w:rsidRPr="001D6DA8">
        <w:rPr>
          <w:lang w:val="en-GB"/>
        </w:rPr>
        <w:t>Deshko</w:t>
      </w:r>
      <w:proofErr w:type="spellEnd"/>
      <w:r w:rsidR="00B1319D" w:rsidRPr="001D6DA8">
        <w:rPr>
          <w:lang w:val="en-GB"/>
        </w:rPr>
        <w:t xml:space="preserve"> et al. 2020, </w:t>
      </w:r>
      <w:proofErr w:type="spellStart"/>
      <w:r w:rsidR="00B1319D" w:rsidRPr="001D6DA8">
        <w:rPr>
          <w:lang w:val="en-GB"/>
        </w:rPr>
        <w:t>Deshko</w:t>
      </w:r>
      <w:proofErr w:type="spellEnd"/>
      <w:r w:rsidR="00B1319D" w:rsidRPr="001D6DA8">
        <w:rPr>
          <w:lang w:val="en-GB"/>
        </w:rPr>
        <w:t xml:space="preserve"> et al. 2024, Zhao et al. 2020)</w:t>
      </w:r>
      <w:r w:rsidRPr="001D6DA8">
        <w:rPr>
          <w:lang w:val="en-GB"/>
        </w:rPr>
        <w:t xml:space="preserve"> have shown that all the factors considered have a significant impact on heat flows through exterior walls, and the results of a comprehensive study will allow the developing of strategies to reduce heat loss and energy consumption in buildings.</w:t>
      </w:r>
    </w:p>
    <w:p w14:paraId="7CAA6F4F" w14:textId="77777777" w:rsidR="00AC7833" w:rsidRPr="001D6DA8" w:rsidRDefault="00AC7833" w:rsidP="00F500BE">
      <w:pPr>
        <w:pStyle w:val="Rn1"/>
        <w:rPr>
          <w:lang w:val="en-GB"/>
        </w:rPr>
      </w:pPr>
      <w:r w:rsidRPr="001D6DA8">
        <w:rPr>
          <w:lang w:val="en-GB"/>
        </w:rPr>
        <w:t>2. Methodology</w:t>
      </w:r>
    </w:p>
    <w:p w14:paraId="317D1D9E" w14:textId="54B69156" w:rsidR="007B5847" w:rsidRPr="001D6DA8" w:rsidRDefault="007B5847" w:rsidP="007B5847">
      <w:pPr>
        <w:rPr>
          <w:lang w:val="en-GB"/>
        </w:rPr>
      </w:pPr>
      <w:r w:rsidRPr="001D6DA8">
        <w:rPr>
          <w:lang w:val="en-GB"/>
        </w:rPr>
        <w:t xml:space="preserve">This study permits the evaluation of the impact of various factors on heat flows through the outer walls of buildings. This can be employed to enhance the energy efficiency of buildings by optimizing the characteristics of exterior envelope structures and the operation mode of the heating system, which is of particular relevance in the context of implementing buildings with close to zero energy consumption. </w:t>
      </w:r>
    </w:p>
    <w:p w14:paraId="27E600CE" w14:textId="0576633B" w:rsidR="007B5847" w:rsidRPr="001D6DA8" w:rsidRDefault="007B5847" w:rsidP="007B5847">
      <w:pPr>
        <w:rPr>
          <w:lang w:val="en-GB"/>
        </w:rPr>
      </w:pPr>
      <w:r w:rsidRPr="001D6DA8">
        <w:rPr>
          <w:lang w:val="en-GB"/>
        </w:rPr>
        <w:t>Th</w:t>
      </w:r>
      <w:r w:rsidR="004360B0">
        <w:rPr>
          <w:lang w:val="en-GB"/>
        </w:rPr>
        <w:t>is study aim</w:t>
      </w:r>
      <w:r w:rsidRPr="001D6DA8">
        <w:rPr>
          <w:lang w:val="en-GB"/>
        </w:rPr>
        <w:t>s to conduct a parametric analysis of the factors influencing heat flows through the exterior and interior walls of buildings under the influence of changes in the massiveness of interior and exterior walls, the level of thermal protection, and operating conditions.</w:t>
      </w:r>
    </w:p>
    <w:p w14:paraId="3DB9A079" w14:textId="5E155955" w:rsidR="007B5847" w:rsidRPr="001D6DA8" w:rsidRDefault="004360B0" w:rsidP="007B5847">
      <w:pPr>
        <w:rPr>
          <w:lang w:val="en-GB"/>
        </w:rPr>
      </w:pPr>
      <w:r>
        <w:rPr>
          <w:lang w:val="en-GB"/>
        </w:rPr>
        <w:t>Following</w:t>
      </w:r>
      <w:r w:rsidR="007B5847" w:rsidRPr="001D6DA8">
        <w:rPr>
          <w:lang w:val="en-GB"/>
        </w:rPr>
        <w:t xml:space="preserve"> the </w:t>
      </w:r>
      <w:r>
        <w:rPr>
          <w:lang w:val="en-GB"/>
        </w:rPr>
        <w:t>goal as mentioned above</w:t>
      </w:r>
      <w:r w:rsidR="007B5847" w:rsidRPr="001D6DA8">
        <w:rPr>
          <w:lang w:val="en-GB"/>
        </w:rPr>
        <w:t>, the following tasks were successfully completed:</w:t>
      </w:r>
    </w:p>
    <w:p w14:paraId="154E204B" w14:textId="0AB3DD36" w:rsidR="007B5847" w:rsidRPr="001D6DA8" w:rsidRDefault="007B5847" w:rsidP="001A3426">
      <w:pPr>
        <w:ind w:left="284" w:hanging="284"/>
        <w:rPr>
          <w:lang w:val="en-GB"/>
        </w:rPr>
      </w:pPr>
      <w:r w:rsidRPr="001D6DA8">
        <w:rPr>
          <w:lang w:val="en-GB"/>
        </w:rPr>
        <w:t>1.</w:t>
      </w:r>
      <w:r w:rsidRPr="001D6DA8">
        <w:rPr>
          <w:lang w:val="en-GB"/>
        </w:rPr>
        <w:tab/>
        <w:t>Create an energy-dynamic 3D model of the building.</w:t>
      </w:r>
    </w:p>
    <w:p w14:paraId="7139AB05" w14:textId="77777777" w:rsidR="007B5847" w:rsidRPr="001D6DA8" w:rsidRDefault="007B5847" w:rsidP="001A3426">
      <w:pPr>
        <w:ind w:left="284" w:hanging="284"/>
        <w:rPr>
          <w:lang w:val="en-GB"/>
        </w:rPr>
      </w:pPr>
      <w:r w:rsidRPr="001D6DA8">
        <w:rPr>
          <w:lang w:val="en-GB"/>
        </w:rPr>
        <w:t>2.</w:t>
      </w:r>
      <w:r w:rsidRPr="001D6DA8">
        <w:rPr>
          <w:lang w:val="en-GB"/>
        </w:rPr>
        <w:tab/>
        <w:t>Study of the effect of the massiveness of interior and exterior walls and the level of thermal protection on the building's energy consumption for heating and heat flows.</w:t>
      </w:r>
    </w:p>
    <w:p w14:paraId="4C62CD7C" w14:textId="77777777" w:rsidR="007B5847" w:rsidRPr="001D6DA8" w:rsidRDefault="007B5847" w:rsidP="001A3426">
      <w:pPr>
        <w:ind w:left="284" w:hanging="284"/>
        <w:rPr>
          <w:lang w:val="en-GB"/>
        </w:rPr>
      </w:pPr>
      <w:r w:rsidRPr="001D6DA8">
        <w:rPr>
          <w:lang w:val="en-GB"/>
        </w:rPr>
        <w:t>3.</w:t>
      </w:r>
      <w:r w:rsidRPr="001D6DA8">
        <w:rPr>
          <w:lang w:val="en-GB"/>
        </w:rPr>
        <w:tab/>
        <w:t>Investigation of the influence of building envelope orientation on energy consumption and heat flows.</w:t>
      </w:r>
    </w:p>
    <w:p w14:paraId="0571F2D4" w14:textId="313A197D" w:rsidR="007B5847" w:rsidRPr="001D6DA8" w:rsidRDefault="007B5847" w:rsidP="001A3426">
      <w:pPr>
        <w:ind w:left="284" w:hanging="284"/>
        <w:rPr>
          <w:lang w:val="en-GB"/>
        </w:rPr>
      </w:pPr>
      <w:r w:rsidRPr="001D6DA8">
        <w:rPr>
          <w:lang w:val="en-GB"/>
        </w:rPr>
        <w:t>4.</w:t>
      </w:r>
      <w:r w:rsidRPr="001D6DA8">
        <w:rPr>
          <w:lang w:val="en-GB"/>
        </w:rPr>
        <w:tab/>
        <w:t>Investigation of the influence of intermittent temperature regimes of heating of building premises on energy consumption and heat flows between zones.</w:t>
      </w:r>
    </w:p>
    <w:p w14:paraId="57A9162B" w14:textId="77777777" w:rsidR="001A3426" w:rsidRPr="001D6DA8" w:rsidRDefault="001A3426" w:rsidP="007B5847">
      <w:pPr>
        <w:rPr>
          <w:lang w:val="en-GB"/>
        </w:rPr>
      </w:pPr>
    </w:p>
    <w:p w14:paraId="7F7D6E40" w14:textId="370BB846" w:rsidR="007B5847" w:rsidRPr="001D6DA8" w:rsidRDefault="007B5847" w:rsidP="007B5847">
      <w:pPr>
        <w:rPr>
          <w:lang w:val="en-GB"/>
        </w:rPr>
      </w:pPr>
      <w:r w:rsidRPr="001D6DA8">
        <w:rPr>
          <w:lang w:val="en-GB"/>
        </w:rPr>
        <w:t>This study conducts a parametric analysis focusing solely on the impact of orientation, thickness, and thermal properties of massive building envelope components on heat flow.</w:t>
      </w:r>
    </w:p>
    <w:p w14:paraId="09FB9925" w14:textId="295297E9" w:rsidR="007B5847" w:rsidRPr="001D6DA8" w:rsidRDefault="007B5847" w:rsidP="007B5847">
      <w:pPr>
        <w:rPr>
          <w:lang w:val="en-GB"/>
        </w:rPr>
      </w:pPr>
      <w:r w:rsidRPr="001D6DA8">
        <w:rPr>
          <w:lang w:val="en-GB"/>
        </w:rPr>
        <w:t xml:space="preserve">The dynamic energy model of the building was created </w:t>
      </w:r>
      <w:r w:rsidR="004360B0">
        <w:rPr>
          <w:lang w:val="en-GB"/>
        </w:rPr>
        <w:t>using</w:t>
      </w:r>
      <w:r w:rsidRPr="001D6DA8">
        <w:rPr>
          <w:lang w:val="en-GB"/>
        </w:rPr>
        <w:t xml:space="preserve"> the </w:t>
      </w:r>
      <w:proofErr w:type="spellStart"/>
      <w:r w:rsidRPr="001D6DA8">
        <w:rPr>
          <w:lang w:val="en-GB"/>
        </w:rPr>
        <w:t>DesignBuilder</w:t>
      </w:r>
      <w:proofErr w:type="spellEnd"/>
      <w:r w:rsidRPr="001D6DA8">
        <w:rPr>
          <w:lang w:val="en-GB"/>
        </w:rPr>
        <w:t xml:space="preserve"> software, a graphical environment based on the </w:t>
      </w:r>
      <w:proofErr w:type="spellStart"/>
      <w:r w:rsidRPr="001D6DA8">
        <w:rPr>
          <w:lang w:val="en-GB"/>
        </w:rPr>
        <w:t>EnergyPlus</w:t>
      </w:r>
      <w:proofErr w:type="spellEnd"/>
      <w:r w:rsidRPr="001D6DA8">
        <w:rPr>
          <w:lang w:val="en-GB"/>
        </w:rPr>
        <w:t xml:space="preserve"> platform. The energy model of the building is based on the principle of building grid models. The energy balance is compiled for each individual zone</w:t>
      </w:r>
      <w:r w:rsidR="004360B0">
        <w:rPr>
          <w:lang w:val="en-GB"/>
        </w:rPr>
        <w:t>. It</w:t>
      </w:r>
      <w:r w:rsidRPr="001D6DA8">
        <w:rPr>
          <w:lang w:val="en-GB"/>
        </w:rPr>
        <w:t xml:space="preserve"> </w:t>
      </w:r>
      <w:r w:rsidR="004360B0">
        <w:rPr>
          <w:lang w:val="en-GB"/>
        </w:rPr>
        <w:t>considers</w:t>
      </w:r>
      <w:r w:rsidRPr="001D6DA8">
        <w:rPr>
          <w:lang w:val="en-GB"/>
        </w:rPr>
        <w:t xml:space="preserve"> ventilation, transmission losses, flows between adjacent rooms, </w:t>
      </w:r>
      <w:r w:rsidR="004360B0">
        <w:rPr>
          <w:lang w:val="en-GB"/>
        </w:rPr>
        <w:t>structure heat accumulation</w:t>
      </w:r>
      <w:r w:rsidRPr="001D6DA8">
        <w:rPr>
          <w:lang w:val="en-GB"/>
        </w:rPr>
        <w:t xml:space="preserve">, interior heat gain from lighting, equipment, people, and solar heat gain. The model allows you to </w:t>
      </w:r>
      <w:r w:rsidR="004360B0">
        <w:rPr>
          <w:lang w:val="en-GB"/>
        </w:rPr>
        <w:t>consider</w:t>
      </w:r>
      <w:r w:rsidRPr="001D6DA8">
        <w:rPr>
          <w:lang w:val="en-GB"/>
        </w:rPr>
        <w:t xml:space="preserve"> the </w:t>
      </w:r>
      <w:r w:rsidR="004360B0">
        <w:rPr>
          <w:lang w:val="en-GB"/>
        </w:rPr>
        <w:t>equipment operation schedules</w:t>
      </w:r>
      <w:r w:rsidRPr="001D6DA8">
        <w:rPr>
          <w:lang w:val="en-GB"/>
        </w:rPr>
        <w:t>, lighting, presence of people, changes in the indoor air temperature schedule, ventilation system operation, etc.</w:t>
      </w:r>
    </w:p>
    <w:p w14:paraId="142ED8B7" w14:textId="410F71A6" w:rsidR="007B5847" w:rsidRPr="001D6DA8" w:rsidRDefault="007B5847" w:rsidP="007B5847">
      <w:pPr>
        <w:rPr>
          <w:lang w:val="en-GB"/>
        </w:rPr>
      </w:pPr>
      <w:r w:rsidRPr="001D6DA8">
        <w:rPr>
          <w:lang w:val="en-GB"/>
        </w:rPr>
        <w:t xml:space="preserve">The model </w:t>
      </w:r>
      <w:r w:rsidR="004360B0">
        <w:rPr>
          <w:lang w:val="en-GB"/>
        </w:rPr>
        <w:t>considers</w:t>
      </w:r>
      <w:r w:rsidRPr="001D6DA8">
        <w:rPr>
          <w:lang w:val="en-GB"/>
        </w:rPr>
        <w:t xml:space="preserve"> engineering systems for heating, cooling, ventilation, hot water, lighting, etc. Significant attention is paid to </w:t>
      </w:r>
      <w:r w:rsidR="004360B0">
        <w:rPr>
          <w:lang w:val="en-GB"/>
        </w:rPr>
        <w:t>calculating</w:t>
      </w:r>
      <w:r w:rsidRPr="001D6DA8">
        <w:rPr>
          <w:lang w:val="en-GB"/>
        </w:rPr>
        <w:t xml:space="preserve"> energy consumption for heating needs, which account for the lion's share of costs. The building's heat supply system consists of heat transfer, distribution, and generation subsystems, which are </w:t>
      </w:r>
      <w:r w:rsidR="004360B0">
        <w:rPr>
          <w:lang w:val="en-GB"/>
        </w:rPr>
        <w:t>considered</w:t>
      </w:r>
      <w:r w:rsidRPr="001D6DA8">
        <w:rPr>
          <w:lang w:val="en-GB"/>
        </w:rPr>
        <w:t xml:space="preserve"> in the model. </w:t>
      </w:r>
      <w:r w:rsidR="004360B0" w:rsidRPr="009653A6">
        <w:rPr>
          <w:spacing w:val="-2"/>
          <w:lang w:val="en-GB"/>
        </w:rPr>
        <w:t>The load on the heating system is calculated based on the instantaneous energy balances of the building zone</w:t>
      </w:r>
      <w:r w:rsidRPr="009653A6">
        <w:rPr>
          <w:spacing w:val="-2"/>
          <w:lang w:val="en-GB"/>
        </w:rPr>
        <w:t xml:space="preserve">. The calculation time interval in the building energy model is 15 minutes. </w:t>
      </w:r>
      <w:r w:rsidRPr="001D6DA8">
        <w:rPr>
          <w:lang w:val="en-GB"/>
        </w:rPr>
        <w:t>The climate data uses hourly climate data from a typical year from the International Weather for Energy Calculation (IWEC) file.</w:t>
      </w:r>
    </w:p>
    <w:p w14:paraId="643CA7C4" w14:textId="5A62F9F5" w:rsidR="007B5847" w:rsidRPr="001D6DA8" w:rsidRDefault="004360B0" w:rsidP="007B5847">
      <w:pPr>
        <w:rPr>
          <w:lang w:val="en-GB"/>
        </w:rPr>
      </w:pPr>
      <w:r>
        <w:rPr>
          <w:lang w:val="en-GB"/>
        </w:rPr>
        <w:t xml:space="preserve">Dynamic simulation models of a room were created based on the </w:t>
      </w:r>
      <w:proofErr w:type="spellStart"/>
      <w:r>
        <w:rPr>
          <w:lang w:val="en-GB"/>
        </w:rPr>
        <w:t>EnergyPlus</w:t>
      </w:r>
      <w:proofErr w:type="spellEnd"/>
      <w:r>
        <w:rPr>
          <w:lang w:val="en-GB"/>
        </w:rPr>
        <w:t xml:space="preserve"> software product to study the energy performance of a building</w:t>
      </w:r>
      <w:r w:rsidR="007B5847" w:rsidRPr="001D6DA8">
        <w:rPr>
          <w:lang w:val="en-GB"/>
        </w:rPr>
        <w:t xml:space="preserve">. A residential building of a typical construction located in Kyiv was chosen as the object of study. </w:t>
      </w:r>
    </w:p>
    <w:p w14:paraId="05FCE864" w14:textId="77777777" w:rsidR="007B5847" w:rsidRPr="001D6DA8" w:rsidRDefault="007B5847" w:rsidP="007B5847">
      <w:pPr>
        <w:rPr>
          <w:lang w:val="en-GB"/>
        </w:rPr>
      </w:pPr>
      <w:r w:rsidRPr="001D6DA8">
        <w:rPr>
          <w:lang w:val="en-GB"/>
        </w:rPr>
        <w:t xml:space="preserve">The following factors were taken into account when </w:t>
      </w:r>
      <w:proofErr w:type="spellStart"/>
      <w:r w:rsidRPr="001D6DA8">
        <w:rPr>
          <w:lang w:val="en-GB"/>
        </w:rPr>
        <w:t>modeling</w:t>
      </w:r>
      <w:proofErr w:type="spellEnd"/>
      <w:r w:rsidRPr="001D6DA8">
        <w:rPr>
          <w:lang w:val="en-GB"/>
        </w:rPr>
        <w:t xml:space="preserve"> heat flows through exterior walls:</w:t>
      </w:r>
    </w:p>
    <w:p w14:paraId="526C042B" w14:textId="5B0D442B" w:rsidR="007B5847" w:rsidRPr="001D6DA8" w:rsidRDefault="007B5847" w:rsidP="001A3426">
      <w:pPr>
        <w:tabs>
          <w:tab w:val="left" w:pos="284"/>
        </w:tabs>
        <w:ind w:firstLine="0"/>
        <w:rPr>
          <w:lang w:val="en-GB"/>
        </w:rPr>
      </w:pPr>
      <w:r w:rsidRPr="001D6DA8">
        <w:rPr>
          <w:lang w:val="en-GB"/>
        </w:rPr>
        <w:t>-</w:t>
      </w:r>
      <w:r w:rsidRPr="001D6DA8">
        <w:rPr>
          <w:lang w:val="en-GB"/>
        </w:rPr>
        <w:tab/>
      </w:r>
      <w:r w:rsidR="001A3426" w:rsidRPr="001D6DA8">
        <w:rPr>
          <w:lang w:val="en-GB"/>
        </w:rPr>
        <w:t>g</w:t>
      </w:r>
      <w:r w:rsidRPr="001D6DA8">
        <w:rPr>
          <w:lang w:val="en-GB"/>
        </w:rPr>
        <w:t>eographical location of the building</w:t>
      </w:r>
      <w:r w:rsidR="001A3426" w:rsidRPr="001D6DA8">
        <w:rPr>
          <w:lang w:val="en-GB"/>
        </w:rPr>
        <w:t>,</w:t>
      </w:r>
    </w:p>
    <w:p w14:paraId="14E8B62C" w14:textId="543A1405" w:rsidR="007B5847" w:rsidRPr="001D6DA8" w:rsidRDefault="007B5847" w:rsidP="001A3426">
      <w:pPr>
        <w:tabs>
          <w:tab w:val="left" w:pos="284"/>
        </w:tabs>
        <w:ind w:firstLine="0"/>
        <w:rPr>
          <w:lang w:val="en-GB"/>
        </w:rPr>
      </w:pPr>
      <w:r w:rsidRPr="001D6DA8">
        <w:rPr>
          <w:lang w:val="en-GB"/>
        </w:rPr>
        <w:t>-</w:t>
      </w:r>
      <w:r w:rsidRPr="001D6DA8">
        <w:rPr>
          <w:lang w:val="en-GB"/>
        </w:rPr>
        <w:tab/>
      </w:r>
      <w:r w:rsidR="001A3426" w:rsidRPr="001D6DA8">
        <w:rPr>
          <w:lang w:val="en-GB"/>
        </w:rPr>
        <w:t>c</w:t>
      </w:r>
      <w:r w:rsidRPr="001D6DA8">
        <w:rPr>
          <w:lang w:val="en-GB"/>
        </w:rPr>
        <w:t>limatic conditions</w:t>
      </w:r>
      <w:r w:rsidR="001A3426" w:rsidRPr="001D6DA8">
        <w:rPr>
          <w:lang w:val="en-GB"/>
        </w:rPr>
        <w:t>,</w:t>
      </w:r>
    </w:p>
    <w:p w14:paraId="3EA17393" w14:textId="62BA013C" w:rsidR="007B5847" w:rsidRPr="001D6DA8" w:rsidRDefault="007B5847" w:rsidP="001A3426">
      <w:pPr>
        <w:tabs>
          <w:tab w:val="left" w:pos="284"/>
        </w:tabs>
        <w:ind w:firstLine="0"/>
        <w:rPr>
          <w:lang w:val="en-GB"/>
        </w:rPr>
      </w:pPr>
      <w:r w:rsidRPr="001D6DA8">
        <w:rPr>
          <w:lang w:val="en-GB"/>
        </w:rPr>
        <w:t>-</w:t>
      </w:r>
      <w:r w:rsidRPr="001D6DA8">
        <w:rPr>
          <w:lang w:val="en-GB"/>
        </w:rPr>
        <w:tab/>
      </w:r>
      <w:r w:rsidR="001A3426" w:rsidRPr="001D6DA8">
        <w:rPr>
          <w:lang w:val="en-GB"/>
        </w:rPr>
        <w:t>c</w:t>
      </w:r>
      <w:r w:rsidRPr="001D6DA8">
        <w:rPr>
          <w:lang w:val="en-GB"/>
        </w:rPr>
        <w:t>haracteristics of building materials</w:t>
      </w:r>
      <w:r w:rsidR="001A3426" w:rsidRPr="001D6DA8">
        <w:rPr>
          <w:lang w:val="en-GB"/>
        </w:rPr>
        <w:t>,</w:t>
      </w:r>
    </w:p>
    <w:p w14:paraId="52DBB414" w14:textId="49527A05" w:rsidR="007B5847" w:rsidRPr="001D6DA8" w:rsidRDefault="007B5847" w:rsidP="001A3426">
      <w:pPr>
        <w:tabs>
          <w:tab w:val="left" w:pos="284"/>
        </w:tabs>
        <w:ind w:firstLine="0"/>
        <w:rPr>
          <w:lang w:val="en-GB"/>
        </w:rPr>
      </w:pPr>
      <w:r w:rsidRPr="001D6DA8">
        <w:rPr>
          <w:lang w:val="en-GB"/>
        </w:rPr>
        <w:t>-</w:t>
      </w:r>
      <w:r w:rsidRPr="001D6DA8">
        <w:rPr>
          <w:lang w:val="en-GB"/>
        </w:rPr>
        <w:tab/>
      </w:r>
      <w:r w:rsidR="001A3426" w:rsidRPr="001D6DA8">
        <w:rPr>
          <w:lang w:val="en-GB"/>
        </w:rPr>
        <w:t>m</w:t>
      </w:r>
      <w:r w:rsidRPr="001D6DA8">
        <w:rPr>
          <w:lang w:val="en-GB"/>
        </w:rPr>
        <w:t>assiveness of exterior walls</w:t>
      </w:r>
      <w:r w:rsidR="001A3426" w:rsidRPr="001D6DA8">
        <w:rPr>
          <w:lang w:val="en-GB"/>
        </w:rPr>
        <w:t>,</w:t>
      </w:r>
    </w:p>
    <w:p w14:paraId="51984FC3" w14:textId="6FDF9ADB" w:rsidR="007B5847" w:rsidRPr="001D6DA8" w:rsidRDefault="007B5847" w:rsidP="001A3426">
      <w:pPr>
        <w:tabs>
          <w:tab w:val="left" w:pos="284"/>
        </w:tabs>
        <w:ind w:firstLine="0"/>
        <w:rPr>
          <w:lang w:val="en-GB"/>
        </w:rPr>
      </w:pPr>
      <w:r w:rsidRPr="001D6DA8">
        <w:rPr>
          <w:lang w:val="en-GB"/>
        </w:rPr>
        <w:t>-</w:t>
      </w:r>
      <w:r w:rsidRPr="001D6DA8">
        <w:rPr>
          <w:lang w:val="en-GB"/>
        </w:rPr>
        <w:tab/>
      </w:r>
      <w:r w:rsidR="001A3426" w:rsidRPr="001D6DA8">
        <w:rPr>
          <w:lang w:val="en-GB"/>
        </w:rPr>
        <w:t>o</w:t>
      </w:r>
      <w:r w:rsidRPr="001D6DA8">
        <w:rPr>
          <w:lang w:val="en-GB"/>
        </w:rPr>
        <w:t>rientation of exterior walls</w:t>
      </w:r>
      <w:r w:rsidR="001A3426" w:rsidRPr="001D6DA8">
        <w:rPr>
          <w:lang w:val="en-GB"/>
        </w:rPr>
        <w:t>,</w:t>
      </w:r>
    </w:p>
    <w:p w14:paraId="5B38C647" w14:textId="16EEFA6C" w:rsidR="007B5847" w:rsidRPr="001D6DA8" w:rsidRDefault="007B5847" w:rsidP="001A3426">
      <w:pPr>
        <w:tabs>
          <w:tab w:val="left" w:pos="284"/>
        </w:tabs>
        <w:ind w:firstLine="0"/>
        <w:rPr>
          <w:lang w:val="en-GB"/>
        </w:rPr>
      </w:pPr>
      <w:r w:rsidRPr="001D6DA8">
        <w:rPr>
          <w:lang w:val="en-GB"/>
        </w:rPr>
        <w:t>-</w:t>
      </w:r>
      <w:r w:rsidRPr="001D6DA8">
        <w:rPr>
          <w:lang w:val="en-GB"/>
        </w:rPr>
        <w:tab/>
      </w:r>
      <w:r w:rsidR="001A3426" w:rsidRPr="001D6DA8">
        <w:rPr>
          <w:lang w:val="en-GB"/>
        </w:rPr>
        <w:t>m</w:t>
      </w:r>
      <w:r w:rsidRPr="001D6DA8">
        <w:rPr>
          <w:lang w:val="en-GB"/>
        </w:rPr>
        <w:t>ode of operation of the heating system</w:t>
      </w:r>
      <w:r w:rsidR="001A3426" w:rsidRPr="001D6DA8">
        <w:rPr>
          <w:lang w:val="en-GB"/>
        </w:rPr>
        <w:t>.</w:t>
      </w:r>
    </w:p>
    <w:p w14:paraId="210FA942" w14:textId="77777777" w:rsidR="001A3426" w:rsidRPr="001D6DA8" w:rsidRDefault="001A3426" w:rsidP="007B5847">
      <w:pPr>
        <w:rPr>
          <w:lang w:val="en-GB"/>
        </w:rPr>
      </w:pPr>
    </w:p>
    <w:p w14:paraId="2C1B74DA" w14:textId="7C94B70D" w:rsidR="007B5847" w:rsidRPr="001D6DA8" w:rsidRDefault="007B5847" w:rsidP="007B5847">
      <w:pPr>
        <w:rPr>
          <w:lang w:val="en-GB"/>
        </w:rPr>
      </w:pPr>
      <w:r w:rsidRPr="001D6DA8">
        <w:rPr>
          <w:lang w:val="en-GB"/>
        </w:rPr>
        <w:t xml:space="preserve">An important element of the heat load calculation is </w:t>
      </w:r>
      <w:r w:rsidR="004360B0">
        <w:rPr>
          <w:lang w:val="en-GB"/>
        </w:rPr>
        <w:t>considering</w:t>
      </w:r>
      <w:r w:rsidRPr="001D6DA8">
        <w:rPr>
          <w:lang w:val="en-GB"/>
        </w:rPr>
        <w:t xml:space="preserve"> exterior climate changes, including ambient temperature and solar heat gain. The study used hourly climatic data for a typical year from the International Weather file for Energy Calculations (IWEC) weather file for Kyiv, Ukraine, which </w:t>
      </w:r>
      <w:r w:rsidR="004360B0">
        <w:rPr>
          <w:lang w:val="en-GB"/>
        </w:rPr>
        <w:t>is</w:t>
      </w:r>
      <w:r w:rsidRPr="001D6DA8">
        <w:rPr>
          <w:lang w:val="en-GB"/>
        </w:rPr>
        <w:t xml:space="preserve"> directly used by the </w:t>
      </w:r>
      <w:proofErr w:type="spellStart"/>
      <w:r w:rsidRPr="001D6DA8">
        <w:rPr>
          <w:lang w:val="en-GB"/>
        </w:rPr>
        <w:t>EnergyPlus</w:t>
      </w:r>
      <w:proofErr w:type="spellEnd"/>
      <w:r w:rsidRPr="001D6DA8">
        <w:rPr>
          <w:lang w:val="en-GB"/>
        </w:rPr>
        <w:t xml:space="preserve"> software product.</w:t>
      </w:r>
    </w:p>
    <w:p w14:paraId="345E879E" w14:textId="592089B6" w:rsidR="007B5847" w:rsidRPr="001D6DA8" w:rsidRDefault="007B5847" w:rsidP="007B5847">
      <w:pPr>
        <w:rPr>
          <w:lang w:val="en-GB"/>
        </w:rPr>
      </w:pPr>
      <w:r w:rsidRPr="001D6DA8">
        <w:rPr>
          <w:lang w:val="en-GB"/>
        </w:rPr>
        <w:t>The object of study is an existing 12-story residential building built in 1993 in Kyiv (Ukraine). The building has 175 apartments with a total of 431 living rooms. The premises of the lower floors are used for office/commercial purposes.</w:t>
      </w:r>
    </w:p>
    <w:p w14:paraId="2985899F" w14:textId="6D9B9F14" w:rsidR="007B5847" w:rsidRPr="001D6DA8" w:rsidRDefault="007B5847" w:rsidP="007B5847">
      <w:pPr>
        <w:rPr>
          <w:lang w:val="en-GB"/>
        </w:rPr>
      </w:pPr>
      <w:r w:rsidRPr="001D6DA8">
        <w:rPr>
          <w:lang w:val="en-GB"/>
        </w:rPr>
        <w:t xml:space="preserve">The walls of the building are self-supporting and made of hollow ceramic bricks. The windows are vinyl with triple glazing. The interior floors are made of 220 mm thick reinforced concrete slabs, plastered on one </w:t>
      </w:r>
      <w:r w:rsidRPr="001D6DA8">
        <w:rPr>
          <w:lang w:val="en-GB"/>
        </w:rPr>
        <w:lastRenderedPageBreak/>
        <w:t>side</w:t>
      </w:r>
      <w:r w:rsidR="004360B0">
        <w:rPr>
          <w:lang w:val="en-GB"/>
        </w:rPr>
        <w:t>,</w:t>
      </w:r>
      <w:r w:rsidRPr="001D6DA8">
        <w:rPr>
          <w:lang w:val="en-GB"/>
        </w:rPr>
        <w:t xml:space="preserve"> </w:t>
      </w:r>
      <w:r w:rsidR="004360B0">
        <w:rPr>
          <w:lang w:val="en-GB"/>
        </w:rPr>
        <w:t xml:space="preserve">and </w:t>
      </w:r>
      <w:r w:rsidRPr="001D6DA8">
        <w:rPr>
          <w:lang w:val="en-GB"/>
        </w:rPr>
        <w:t>equipped with sound insulation and flooring. The roof of the building is flat. The interior walls are made of 255 mm thick brickwork (one brick), plastered on both sides.</w:t>
      </w:r>
    </w:p>
    <w:p w14:paraId="02FD6EB5" w14:textId="3C4C1205" w:rsidR="007B5847" w:rsidRPr="001D6DA8" w:rsidRDefault="007B5847" w:rsidP="007B5847">
      <w:pPr>
        <w:rPr>
          <w:lang w:val="en-GB"/>
        </w:rPr>
      </w:pPr>
      <w:r w:rsidRPr="001D6DA8">
        <w:rPr>
          <w:lang w:val="en-GB"/>
        </w:rPr>
        <w:t>The building utilizes a water radiator heating system with overhead distribution</w:t>
      </w:r>
      <w:r w:rsidR="004360B0">
        <w:rPr>
          <w:lang w:val="en-GB"/>
        </w:rPr>
        <w:t>, which is</w:t>
      </w:r>
      <w:r w:rsidRPr="001D6DA8">
        <w:rPr>
          <w:lang w:val="en-GB"/>
        </w:rPr>
        <w:t xml:space="preserve"> </w:t>
      </w:r>
      <w:r w:rsidR="004360B0">
        <w:rPr>
          <w:lang w:val="en-GB"/>
        </w:rPr>
        <w:t>a standard Eastern European system</w:t>
      </w:r>
      <w:r w:rsidRPr="001D6DA8">
        <w:rPr>
          <w:lang w:val="en-GB"/>
        </w:rPr>
        <w:t xml:space="preserve">. Hot water is supplied from the central heating network. In the basement of the building, there is a heating station where the temperature and pressure of the heat carrier are reduced </w:t>
      </w:r>
      <w:r w:rsidR="004360B0">
        <w:rPr>
          <w:lang w:val="en-GB"/>
        </w:rPr>
        <w:t>using</w:t>
      </w:r>
      <w:r w:rsidRPr="001D6DA8">
        <w:rPr>
          <w:lang w:val="en-GB"/>
        </w:rPr>
        <w:t xml:space="preserve"> an elevator before it is supplied to the heating devices. Radiators in each room transfer heat to the premises by convection and radiation.</w:t>
      </w:r>
    </w:p>
    <w:p w14:paraId="4F8CD657" w14:textId="334FE76A" w:rsidR="007B5847" w:rsidRPr="001D6DA8" w:rsidRDefault="007B5847" w:rsidP="007B5847">
      <w:pPr>
        <w:rPr>
          <w:lang w:val="en-GB"/>
        </w:rPr>
      </w:pPr>
      <w:r w:rsidRPr="001D6DA8">
        <w:rPr>
          <w:lang w:val="en-GB"/>
        </w:rPr>
        <w:t xml:space="preserve">Fig. 1 shows the energy dynamic 3D model of the building under study and a plan of the middle section of a typical floor. The building model was created in the Design-Builder software environment, which </w:t>
      </w:r>
      <w:r w:rsidR="004360B0">
        <w:rPr>
          <w:lang w:val="en-GB"/>
        </w:rPr>
        <w:t>considers</w:t>
      </w:r>
      <w:r w:rsidRPr="001D6DA8">
        <w:rPr>
          <w:lang w:val="en-GB"/>
        </w:rPr>
        <w:t xml:space="preserve"> the building geometry, characteristics of building materials, building orientation, regional climate data, heating and ventilation system, and building user </w:t>
      </w:r>
      <w:proofErr w:type="spellStart"/>
      <w:r w:rsidRPr="001D6DA8">
        <w:rPr>
          <w:lang w:val="en-GB"/>
        </w:rPr>
        <w:t>behavior</w:t>
      </w:r>
      <w:proofErr w:type="spellEnd"/>
      <w:r w:rsidRPr="001D6DA8">
        <w:rPr>
          <w:lang w:val="en-GB"/>
        </w:rPr>
        <w:t xml:space="preserve">. This allows for accurate calculations of </w:t>
      </w:r>
      <w:r w:rsidR="004360B0">
        <w:rPr>
          <w:lang w:val="en-GB"/>
        </w:rPr>
        <w:t>the building's heat balances and heat flows</w:t>
      </w:r>
      <w:r w:rsidRPr="001D6DA8">
        <w:rPr>
          <w:lang w:val="en-GB"/>
        </w:rPr>
        <w:t xml:space="preserve"> throughout the year.</w:t>
      </w:r>
    </w:p>
    <w:p w14:paraId="6907B779" w14:textId="77777777" w:rsidR="00981E3C" w:rsidRPr="001D6DA8" w:rsidRDefault="00981E3C" w:rsidP="00685A9C">
      <w:pPr>
        <w:rPr>
          <w:lang w:val="en-GB"/>
        </w:rPr>
      </w:pPr>
    </w:p>
    <w:p w14:paraId="68169511" w14:textId="10D7BEC3" w:rsidR="007B5847" w:rsidRPr="001D6DA8" w:rsidRDefault="007B5847" w:rsidP="007A6F4A">
      <w:pPr>
        <w:pStyle w:val="Tyturysunku"/>
        <w:jc w:val="center"/>
        <w:rPr>
          <w:lang w:val="en-GB"/>
        </w:rPr>
      </w:pPr>
      <w:r w:rsidRPr="001D6DA8">
        <w:rPr>
          <w:b/>
          <w:noProof/>
          <w:bdr w:val="none" w:sz="0" w:space="0" w:color="auto" w:frame="1"/>
          <w:lang w:val="en-GB" w:eastAsia="ru-RU"/>
        </w:rPr>
        <w:drawing>
          <wp:inline distT="0" distB="0" distL="0" distR="0" wp14:anchorId="26504AEC" wp14:editId="673CE985">
            <wp:extent cx="2834640" cy="2274029"/>
            <wp:effectExtent l="0" t="0" r="0" b="0"/>
            <wp:docPr id="1342070228" name="Рисунок 26"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0228" name="Рисунок 26" descr="A building with many window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16" t="703" r="2910" b="703"/>
                    <a:stretch/>
                  </pic:blipFill>
                  <pic:spPr bwMode="auto">
                    <a:xfrm>
                      <a:off x="0" y="0"/>
                      <a:ext cx="2835500" cy="2274719"/>
                    </a:xfrm>
                    <a:prstGeom prst="rect">
                      <a:avLst/>
                    </a:prstGeom>
                    <a:noFill/>
                    <a:ln>
                      <a:noFill/>
                    </a:ln>
                    <a:extLst>
                      <a:ext uri="{53640926-AAD7-44D8-BBD7-CCE9431645EC}">
                        <a14:shadowObscured xmlns:a14="http://schemas.microsoft.com/office/drawing/2010/main"/>
                      </a:ext>
                    </a:extLst>
                  </pic:spPr>
                </pic:pic>
              </a:graphicData>
            </a:graphic>
          </wp:inline>
        </w:drawing>
      </w:r>
      <w:r w:rsidR="009653A6">
        <w:rPr>
          <w:lang w:val="en-GB"/>
        </w:rPr>
        <w:t xml:space="preserve"> </w:t>
      </w:r>
      <w:r w:rsidRPr="001D6DA8">
        <w:rPr>
          <w:noProof/>
          <w:lang w:val="en-GB" w:eastAsia="ru-RU"/>
        </w:rPr>
        <w:drawing>
          <wp:inline distT="0" distB="0" distL="0" distR="0" wp14:anchorId="31B439A9" wp14:editId="1EA5BD67">
            <wp:extent cx="3246120" cy="2164080"/>
            <wp:effectExtent l="0" t="0" r="0" b="0"/>
            <wp:docPr id="392702053" name="Рисунок 25"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овый 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l="52689"/>
                    <a:stretch>
                      <a:fillRect/>
                    </a:stretch>
                  </pic:blipFill>
                  <pic:spPr bwMode="auto">
                    <a:xfrm>
                      <a:off x="0" y="0"/>
                      <a:ext cx="3250683" cy="2167122"/>
                    </a:xfrm>
                    <a:prstGeom prst="rect">
                      <a:avLst/>
                    </a:prstGeom>
                    <a:noFill/>
                    <a:ln>
                      <a:noFill/>
                    </a:ln>
                  </pic:spPr>
                </pic:pic>
              </a:graphicData>
            </a:graphic>
          </wp:inline>
        </w:drawing>
      </w:r>
    </w:p>
    <w:p w14:paraId="45618D89" w14:textId="77777777" w:rsidR="00CF549C" w:rsidRPr="001D6DA8" w:rsidRDefault="00CF549C" w:rsidP="00F500BE">
      <w:pPr>
        <w:pStyle w:val="Rrys"/>
        <w:rPr>
          <w:lang w:val="en-GB"/>
        </w:rPr>
      </w:pPr>
      <w:r w:rsidRPr="001D6DA8">
        <w:rPr>
          <w:b/>
          <w:bCs/>
          <w:lang w:val="en-GB"/>
        </w:rPr>
        <w:t>Fig.</w:t>
      </w:r>
      <w:r w:rsidR="001C374D" w:rsidRPr="001D6DA8">
        <w:rPr>
          <w:b/>
          <w:bCs/>
          <w:lang w:val="en-GB"/>
        </w:rPr>
        <w:t xml:space="preserve"> </w:t>
      </w:r>
      <w:r w:rsidR="008663DE" w:rsidRPr="001D6DA8">
        <w:rPr>
          <w:b/>
          <w:bCs/>
          <w:lang w:val="en-GB"/>
        </w:rPr>
        <w:t>1</w:t>
      </w:r>
      <w:r w:rsidRPr="001D6DA8">
        <w:rPr>
          <w:b/>
          <w:bCs/>
          <w:lang w:val="en-GB"/>
        </w:rPr>
        <w:t>.</w:t>
      </w:r>
      <w:r w:rsidRPr="001D6DA8">
        <w:rPr>
          <w:lang w:val="en-GB"/>
        </w:rPr>
        <w:t xml:space="preserve"> </w:t>
      </w:r>
      <w:r w:rsidR="007B5847" w:rsidRPr="001D6DA8">
        <w:rPr>
          <w:lang w:val="en-GB"/>
        </w:rPr>
        <w:t>3D model and floor plan of the building under study in the Design-Builder software environment</w:t>
      </w:r>
    </w:p>
    <w:p w14:paraId="4A7F8AE0" w14:textId="77777777" w:rsidR="0095701E" w:rsidRPr="001D6DA8" w:rsidRDefault="0095701E" w:rsidP="00470947">
      <w:pPr>
        <w:rPr>
          <w:lang w:val="en-GB"/>
        </w:rPr>
      </w:pPr>
    </w:p>
    <w:p w14:paraId="19FF7F81" w14:textId="617B60EE" w:rsidR="00F72855" w:rsidRPr="009653A6" w:rsidRDefault="004360B0" w:rsidP="00F72855">
      <w:pPr>
        <w:rPr>
          <w:lang w:val="en-GB"/>
        </w:rPr>
      </w:pPr>
      <w:r w:rsidRPr="009653A6">
        <w:rPr>
          <w:lang w:val="en-GB"/>
        </w:rPr>
        <w:t>T</w:t>
      </w:r>
      <w:r w:rsidR="00F72855" w:rsidRPr="009653A6">
        <w:rPr>
          <w:lang w:val="en-GB"/>
        </w:rPr>
        <w:t xml:space="preserve">o conduct a more detailed analysis of the above parameters, the study was carried out </w:t>
      </w:r>
      <w:r w:rsidRPr="009653A6">
        <w:rPr>
          <w:lang w:val="en-GB"/>
        </w:rPr>
        <w:t>using</w:t>
      </w:r>
      <w:r w:rsidR="00F72855" w:rsidRPr="009653A6">
        <w:rPr>
          <w:lang w:val="en-GB"/>
        </w:rPr>
        <w:t xml:space="preserve"> the example of a room with options for residential and commercial use. We selected a representative living room in one of</w:t>
      </w:r>
      <w:r w:rsidR="009653A6" w:rsidRPr="009653A6">
        <w:rPr>
          <w:lang w:val="en-GB"/>
        </w:rPr>
        <w:t xml:space="preserve"> </w:t>
      </w:r>
      <w:r w:rsidR="00F72855" w:rsidRPr="009653A6">
        <w:rPr>
          <w:lang w:val="en-GB"/>
        </w:rPr>
        <w:t>the</w:t>
      </w:r>
      <w:r w:rsidR="009653A6" w:rsidRPr="009653A6">
        <w:rPr>
          <w:lang w:val="en-GB"/>
        </w:rPr>
        <w:t xml:space="preserve"> </w:t>
      </w:r>
      <w:r w:rsidR="00F72855" w:rsidRPr="009653A6">
        <w:rPr>
          <w:lang w:val="en-GB"/>
        </w:rPr>
        <w:t>central apartments and the adjacent premises. The area of the room under study is 14.82 m². The area of the outer wall (excluding the window) is 6.82 m². The window area (including the frame) is 1.5 m². The room under study is bordered by two adjacent living rooms, a private corridor, and a restroom.</w:t>
      </w:r>
    </w:p>
    <w:p w14:paraId="79CB4051" w14:textId="77777777" w:rsidR="00F72855" w:rsidRPr="001D6DA8" w:rsidRDefault="00F72855" w:rsidP="00F72855">
      <w:pPr>
        <w:rPr>
          <w:lang w:val="en-GB"/>
        </w:rPr>
      </w:pPr>
      <w:r w:rsidRPr="001D6DA8">
        <w:rPr>
          <w:lang w:val="en-GB"/>
        </w:rPr>
        <w:t>An explanation of the model names and a schematic representation of the variability is shown in Fig. 2.</w:t>
      </w:r>
    </w:p>
    <w:p w14:paraId="056F5612" w14:textId="703D2592" w:rsidR="00F72855" w:rsidRPr="001D6DA8" w:rsidRDefault="00F72855" w:rsidP="00F72855">
      <w:pPr>
        <w:rPr>
          <w:lang w:val="en-GB"/>
        </w:rPr>
      </w:pPr>
      <w:r w:rsidRPr="001D6DA8">
        <w:rPr>
          <w:lang w:val="en-GB"/>
        </w:rPr>
        <w:t>During the simulation, the temperature drop was 2℃. For residential premises, when residents are usually not at home, the temperature drop was up to 18℃ between 8:00 and 18:00. Lowering the temperature at night is advisable in commercial premises. Therefore, in the representative commercial building, we considered lowering the temperature on weekends and at night from 22:00 to 8:00 to 18℃.</w:t>
      </w:r>
    </w:p>
    <w:p w14:paraId="1B45A0B8" w14:textId="77777777" w:rsidR="00F72855" w:rsidRPr="001D6DA8" w:rsidRDefault="00F72855" w:rsidP="00F72855">
      <w:pPr>
        <w:rPr>
          <w:kern w:val="0"/>
          <w:lang w:val="en-GB"/>
        </w:rPr>
      </w:pPr>
    </w:p>
    <w:p w14:paraId="593384D0" w14:textId="77777777" w:rsidR="00F72855" w:rsidRPr="001D6DA8" w:rsidRDefault="00F72855" w:rsidP="00F72855">
      <w:pPr>
        <w:ind w:firstLine="0"/>
        <w:rPr>
          <w:kern w:val="0"/>
          <w:lang w:val="en-GB"/>
        </w:rPr>
      </w:pPr>
      <w:r w:rsidRPr="001D6DA8">
        <w:rPr>
          <w:noProof/>
          <w:lang w:val="en-GB" w:eastAsia="ru-RU"/>
        </w:rPr>
        <w:drawing>
          <wp:inline distT="0" distB="0" distL="0" distR="0" wp14:anchorId="3991DF03" wp14:editId="10238963">
            <wp:extent cx="6184265" cy="1889760"/>
            <wp:effectExtent l="0" t="0" r="0" b="0"/>
            <wp:docPr id="789383711" name="Picture 13" descr="A screenshot of a computer&#10;&#10;Description automatically generated">
              <a:extLst xmlns:a="http://schemas.openxmlformats.org/drawingml/2006/main">
                <a:ext uri="{FF2B5EF4-FFF2-40B4-BE49-F238E27FC236}">
                  <a16:creationId xmlns:a16="http://schemas.microsoft.com/office/drawing/2014/main" id="{80D8C899-1C15-58A7-935D-FE88C0FC2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7792" name="Picture 13" descr="A screenshot of a computer&#10;&#10;Description automatically generated">
                      <a:extLst>
                        <a:ext uri="{FF2B5EF4-FFF2-40B4-BE49-F238E27FC236}">
                          <a16:creationId xmlns:a16="http://schemas.microsoft.com/office/drawing/2014/main" id="{80D8C899-1C15-58A7-935D-FE88C0FC2A9A}"/>
                        </a:ext>
                      </a:extLst>
                    </pic:cNvPr>
                    <pic:cNvPicPr>
                      <a:picLocks noChangeAspect="1"/>
                    </pic:cNvPicPr>
                  </pic:nvPicPr>
                  <pic:blipFill>
                    <a:blip r:embed="rId18" cstate="print"/>
                    <a:stretch>
                      <a:fillRect/>
                    </a:stretch>
                  </pic:blipFill>
                  <pic:spPr>
                    <a:xfrm>
                      <a:off x="0" y="0"/>
                      <a:ext cx="6383875" cy="1950756"/>
                    </a:xfrm>
                    <a:prstGeom prst="rect">
                      <a:avLst/>
                    </a:prstGeom>
                  </pic:spPr>
                </pic:pic>
              </a:graphicData>
            </a:graphic>
          </wp:inline>
        </w:drawing>
      </w:r>
    </w:p>
    <w:p w14:paraId="287B14D4" w14:textId="77777777" w:rsidR="00F72855" w:rsidRPr="001D6DA8" w:rsidRDefault="00F72855" w:rsidP="00F500BE">
      <w:pPr>
        <w:pStyle w:val="Rrys"/>
        <w:rPr>
          <w:lang w:val="en-GB"/>
        </w:rPr>
      </w:pPr>
      <w:r w:rsidRPr="001D6DA8">
        <w:rPr>
          <w:b/>
          <w:bCs/>
          <w:lang w:val="en-GB"/>
        </w:rPr>
        <w:t>Fig. 2.</w:t>
      </w:r>
      <w:r w:rsidRPr="001D6DA8">
        <w:rPr>
          <w:lang w:val="en-GB"/>
        </w:rPr>
        <w:t xml:space="preserve"> Model variants and their names</w:t>
      </w:r>
    </w:p>
    <w:p w14:paraId="14DAC6C2" w14:textId="77777777" w:rsidR="00F72855" w:rsidRPr="001D6DA8" w:rsidRDefault="00F72855" w:rsidP="00F72855">
      <w:pPr>
        <w:rPr>
          <w:lang w:val="en-GB"/>
        </w:rPr>
      </w:pPr>
    </w:p>
    <w:p w14:paraId="2807CDBB" w14:textId="251AC729" w:rsidR="00F72855" w:rsidRPr="001D6DA8" w:rsidRDefault="00F72855" w:rsidP="00F72855">
      <w:pPr>
        <w:rPr>
          <w:lang w:val="en-GB"/>
        </w:rPr>
      </w:pPr>
      <w:r w:rsidRPr="001D6DA8">
        <w:rPr>
          <w:lang w:val="en-GB"/>
        </w:rPr>
        <w:lastRenderedPageBreak/>
        <w:t>For the thermally modernized thermal envelope variation, the wall was insulated with a 0.1 m thick layer of mineral wool, and the windows were replaced with low-e double-glazed windows with two layers of selective coating (4i-12air-4-12air-4i).</w:t>
      </w:r>
    </w:p>
    <w:p w14:paraId="4E6C3CD3" w14:textId="77777777" w:rsidR="002E0231" w:rsidRPr="001D6DA8" w:rsidRDefault="002E0231" w:rsidP="00F500BE">
      <w:pPr>
        <w:pStyle w:val="Rn1"/>
        <w:rPr>
          <w:lang w:val="en-GB"/>
        </w:rPr>
      </w:pPr>
      <w:r w:rsidRPr="001D6DA8">
        <w:rPr>
          <w:lang w:val="en-GB"/>
        </w:rPr>
        <w:t xml:space="preserve">3. </w:t>
      </w:r>
      <w:r w:rsidR="00C214C4" w:rsidRPr="001D6DA8">
        <w:rPr>
          <w:lang w:val="en-GB"/>
        </w:rPr>
        <w:t xml:space="preserve">Result and Discussion </w:t>
      </w:r>
    </w:p>
    <w:p w14:paraId="296645D7" w14:textId="77777777" w:rsidR="00F72855" w:rsidRPr="001D6DA8" w:rsidRDefault="00F72855" w:rsidP="00F72855">
      <w:pPr>
        <w:rPr>
          <w:lang w:val="en-GB"/>
        </w:rPr>
      </w:pPr>
      <w:r w:rsidRPr="001D6DA8">
        <w:rPr>
          <w:lang w:val="en-GB"/>
        </w:rPr>
        <w:t xml:space="preserve">The </w:t>
      </w:r>
      <w:proofErr w:type="spellStart"/>
      <w:r w:rsidRPr="001D6DA8">
        <w:rPr>
          <w:lang w:val="en-GB"/>
        </w:rPr>
        <w:t>modeling</w:t>
      </w:r>
      <w:proofErr w:type="spellEnd"/>
      <w:r w:rsidRPr="001D6DA8">
        <w:rPr>
          <w:lang w:val="en-GB"/>
        </w:rPr>
        <w:t xml:space="preserve"> results allow us to estimate the impact of various factors on heat flows through exterior walls. Fig. 3, 4, and 5 show how the orientation of the exterior building envelope, wall thickness, and possible modes of indoor temperature reduction can affect heat energy consumption. </w:t>
      </w:r>
    </w:p>
    <w:p w14:paraId="5392251E" w14:textId="09B4A08C" w:rsidR="00F72855" w:rsidRPr="001D6DA8" w:rsidRDefault="00F72855" w:rsidP="00E0627B">
      <w:pPr>
        <w:rPr>
          <w:lang w:val="en-GB"/>
        </w:rPr>
      </w:pPr>
      <w:r w:rsidRPr="001D6DA8">
        <w:rPr>
          <w:lang w:val="en-GB"/>
        </w:rPr>
        <w:t xml:space="preserve">Fig. 3 shows the heat energy consumption during the year for different </w:t>
      </w:r>
      <w:proofErr w:type="spellStart"/>
      <w:r w:rsidRPr="001D6DA8">
        <w:rPr>
          <w:lang w:val="en-GB"/>
        </w:rPr>
        <w:t>modeling</w:t>
      </w:r>
      <w:proofErr w:type="spellEnd"/>
      <w:r w:rsidRPr="001D6DA8">
        <w:rPr>
          <w:lang w:val="en-GB"/>
        </w:rPr>
        <w:t xml:space="preserve"> variations, where the variables are the </w:t>
      </w:r>
      <w:r w:rsidR="004360B0">
        <w:rPr>
          <w:lang w:val="en-GB"/>
        </w:rPr>
        <w:t>room's orientation, the exterior walls' massivenes</w:t>
      </w:r>
      <w:r w:rsidRPr="001D6DA8">
        <w:rPr>
          <w:lang w:val="en-GB"/>
        </w:rPr>
        <w:t>s, and the heating modes, and the massiveness of the interior walls does not change</w:t>
      </w:r>
      <w:r w:rsidR="004360B0">
        <w:rPr>
          <w:lang w:val="en-GB"/>
        </w:rPr>
        <w:t>. It</w:t>
      </w:r>
      <w:r w:rsidRPr="001D6DA8">
        <w:rPr>
          <w:lang w:val="en-GB"/>
        </w:rPr>
        <w:t xml:space="preserve"> is 255 mm (one brick).</w:t>
      </w:r>
    </w:p>
    <w:p w14:paraId="28A6CBD6" w14:textId="77777777" w:rsidR="002F7B77" w:rsidRPr="001D6DA8" w:rsidRDefault="002F7B77" w:rsidP="00E0627B">
      <w:pPr>
        <w:pStyle w:val="Rrys"/>
        <w:spacing w:before="0"/>
        <w:rPr>
          <w:b/>
          <w:bCs/>
          <w:lang w:val="en-GB"/>
        </w:rPr>
      </w:pPr>
    </w:p>
    <w:p w14:paraId="21E6A5B7" w14:textId="77777777" w:rsidR="00D41BBF" w:rsidRPr="001D6DA8" w:rsidRDefault="00D41BBF" w:rsidP="00E0627B">
      <w:pPr>
        <w:pStyle w:val="Rrys"/>
        <w:spacing w:before="0"/>
        <w:jc w:val="center"/>
        <w:rPr>
          <w:b/>
          <w:bCs/>
          <w:lang w:val="en-GB"/>
        </w:rPr>
      </w:pPr>
      <w:r w:rsidRPr="001D6DA8">
        <w:rPr>
          <w:b/>
          <w:bCs/>
          <w:noProof/>
          <w:lang w:val="en-GB" w:eastAsia="ru-RU"/>
        </w:rPr>
        <w:drawing>
          <wp:inline distT="0" distB="0" distL="0" distR="0" wp14:anchorId="2B5ED2D4" wp14:editId="005799D2">
            <wp:extent cx="5508718" cy="2286000"/>
            <wp:effectExtent l="0" t="0" r="0" b="0"/>
            <wp:docPr id="134615659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56593" name="Picture 1" descr="A graph of different colored bars&#10;&#10;AI-generated content may be incorrect."/>
                    <pic:cNvPicPr/>
                  </pic:nvPicPr>
                  <pic:blipFill>
                    <a:blip r:embed="rId19" cstate="print"/>
                    <a:stretch>
                      <a:fillRect/>
                    </a:stretch>
                  </pic:blipFill>
                  <pic:spPr>
                    <a:xfrm>
                      <a:off x="0" y="0"/>
                      <a:ext cx="5508718" cy="2286000"/>
                    </a:xfrm>
                    <a:prstGeom prst="rect">
                      <a:avLst/>
                    </a:prstGeom>
                  </pic:spPr>
                </pic:pic>
              </a:graphicData>
            </a:graphic>
          </wp:inline>
        </w:drawing>
      </w:r>
    </w:p>
    <w:p w14:paraId="28701035" w14:textId="77777777" w:rsidR="00D41BBF" w:rsidRPr="001D6DA8" w:rsidRDefault="00D41BBF" w:rsidP="00F500BE">
      <w:pPr>
        <w:pStyle w:val="Rrys"/>
        <w:rPr>
          <w:b/>
          <w:bCs/>
          <w:lang w:val="en-GB"/>
        </w:rPr>
      </w:pPr>
      <w:r w:rsidRPr="001D6DA8">
        <w:rPr>
          <w:b/>
          <w:bCs/>
          <w:lang w:val="en-GB"/>
        </w:rPr>
        <w:t xml:space="preserve">Fig. 3. </w:t>
      </w:r>
      <w:r w:rsidRPr="001D6DA8">
        <w:rPr>
          <w:lang w:val="en-GB"/>
        </w:rPr>
        <w:t>The annual heat energy consumption at a constant internal wall thickness of 0.255 m</w:t>
      </w:r>
    </w:p>
    <w:p w14:paraId="6E2A99F7" w14:textId="77777777" w:rsidR="00D41BBF" w:rsidRPr="001D6DA8" w:rsidRDefault="00D41BBF" w:rsidP="00E0627B">
      <w:pPr>
        <w:pStyle w:val="Rrys"/>
        <w:spacing w:before="0"/>
        <w:rPr>
          <w:b/>
          <w:bCs/>
          <w:lang w:val="en-GB"/>
        </w:rPr>
      </w:pPr>
    </w:p>
    <w:p w14:paraId="73619B54" w14:textId="77777777" w:rsidR="00D41BBF" w:rsidRPr="001D6DA8" w:rsidRDefault="00D41BBF" w:rsidP="00E0627B">
      <w:pPr>
        <w:pStyle w:val="Rrys"/>
        <w:spacing w:before="0"/>
        <w:jc w:val="center"/>
        <w:rPr>
          <w:b/>
          <w:bCs/>
          <w:lang w:val="en-GB"/>
        </w:rPr>
      </w:pPr>
      <w:r w:rsidRPr="001D6DA8">
        <w:rPr>
          <w:b/>
          <w:bCs/>
          <w:noProof/>
          <w:lang w:val="en-GB" w:eastAsia="ru-RU"/>
        </w:rPr>
        <w:drawing>
          <wp:inline distT="0" distB="0" distL="0" distR="0" wp14:anchorId="543D4349" wp14:editId="6E83CEC3">
            <wp:extent cx="5485130" cy="2286000"/>
            <wp:effectExtent l="0" t="0" r="0" b="0"/>
            <wp:docPr id="1834081842"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81842" name="Picture 1" descr="A graph of different colored bars&#10;&#10;AI-generated content may be incorrect."/>
                    <pic:cNvPicPr/>
                  </pic:nvPicPr>
                  <pic:blipFill>
                    <a:blip r:embed="rId20" cstate="print"/>
                    <a:stretch>
                      <a:fillRect/>
                    </a:stretch>
                  </pic:blipFill>
                  <pic:spPr>
                    <a:xfrm>
                      <a:off x="0" y="0"/>
                      <a:ext cx="5489793" cy="2287943"/>
                    </a:xfrm>
                    <a:prstGeom prst="rect">
                      <a:avLst/>
                    </a:prstGeom>
                  </pic:spPr>
                </pic:pic>
              </a:graphicData>
            </a:graphic>
          </wp:inline>
        </w:drawing>
      </w:r>
    </w:p>
    <w:p w14:paraId="0290D670" w14:textId="77777777" w:rsidR="00394EB1" w:rsidRPr="001D6DA8" w:rsidRDefault="00D41BBF" w:rsidP="00F500BE">
      <w:pPr>
        <w:pStyle w:val="Rrys"/>
        <w:rPr>
          <w:lang w:val="en-GB"/>
        </w:rPr>
      </w:pPr>
      <w:r w:rsidRPr="001D6DA8">
        <w:rPr>
          <w:b/>
          <w:bCs/>
          <w:lang w:val="en-GB"/>
        </w:rPr>
        <w:t xml:space="preserve">Fig. 4. </w:t>
      </w:r>
      <w:r w:rsidRPr="001D6DA8">
        <w:rPr>
          <w:lang w:val="en-GB"/>
        </w:rPr>
        <w:t>The annual heat energy consumption at a constant exterior wall thickness is 0.51 m</w:t>
      </w:r>
    </w:p>
    <w:p w14:paraId="097F2FFA" w14:textId="77777777" w:rsidR="00D41BBF" w:rsidRPr="001D6DA8" w:rsidRDefault="00D41BBF" w:rsidP="00564660">
      <w:pPr>
        <w:rPr>
          <w:lang w:val="en-GB"/>
        </w:rPr>
      </w:pPr>
    </w:p>
    <w:p w14:paraId="6F604085" w14:textId="717FD3F4" w:rsidR="002F7B77" w:rsidRPr="001D6DA8" w:rsidRDefault="002F7B77" w:rsidP="00564660">
      <w:pPr>
        <w:rPr>
          <w:lang w:val="en-GB"/>
        </w:rPr>
      </w:pPr>
      <w:r w:rsidRPr="001D6DA8">
        <w:rPr>
          <w:lang w:val="en-GB"/>
        </w:rPr>
        <w:t xml:space="preserve">From the analysis of this series of simulations, it follows that increasing the massiveness of the exterior walls is more effective for rooms with a northern orientation. According to the </w:t>
      </w:r>
      <w:proofErr w:type="spellStart"/>
      <w:r w:rsidRPr="001D6DA8">
        <w:rPr>
          <w:lang w:val="en-GB"/>
        </w:rPr>
        <w:t>modeling</w:t>
      </w:r>
      <w:proofErr w:type="spellEnd"/>
      <w:r w:rsidRPr="001D6DA8">
        <w:rPr>
          <w:lang w:val="en-GB"/>
        </w:rPr>
        <w:t xml:space="preserve"> results, if the exterior wall thickness is doubled (from one brick to two), there is a significant decrease in the average annual load on the heating system and heat energy savings for the northern orientation </w:t>
      </w:r>
      <w:r w:rsidR="001A3426" w:rsidRPr="001D6DA8">
        <w:rPr>
          <w:lang w:val="en-GB"/>
        </w:rPr>
        <w:t>–</w:t>
      </w:r>
      <w:r w:rsidRPr="001D6DA8">
        <w:rPr>
          <w:lang w:val="en-GB"/>
        </w:rPr>
        <w:t xml:space="preserve"> 24.1% for the southern orientation </w:t>
      </w:r>
      <w:r w:rsidR="001A3426" w:rsidRPr="001D6DA8">
        <w:rPr>
          <w:lang w:val="en-GB"/>
        </w:rPr>
        <w:t>–</w:t>
      </w:r>
      <w:r w:rsidRPr="001D6DA8">
        <w:rPr>
          <w:lang w:val="en-GB"/>
        </w:rPr>
        <w:t xml:space="preserve"> 25.3%. For comparison, a change in the thickness of the outer wall of 3 bricks compared to 1</w:t>
      </w:r>
      <w:r w:rsidR="001A3426" w:rsidRPr="001D6DA8">
        <w:rPr>
          <w:lang w:val="en-GB"/>
        </w:rPr>
        <w:t> </w:t>
      </w:r>
      <w:r w:rsidRPr="001D6DA8">
        <w:rPr>
          <w:lang w:val="en-GB"/>
        </w:rPr>
        <w:t>brick leads to annual heat energy savings of 35.0% for the northern orientation and 36.9% for the southern orientation under constant heating conditions. This pattern is maintained with variable heating modes.</w:t>
      </w:r>
    </w:p>
    <w:p w14:paraId="5A980FB6" w14:textId="3D4E1246" w:rsidR="002F7B77" w:rsidRPr="001D6DA8" w:rsidRDefault="002F7B77" w:rsidP="00564660">
      <w:pPr>
        <w:rPr>
          <w:lang w:val="en-GB"/>
        </w:rPr>
      </w:pPr>
      <w:r w:rsidRPr="001D6DA8">
        <w:rPr>
          <w:lang w:val="en-GB"/>
        </w:rPr>
        <w:t>A room with a North (N) orientation has a higher annual energy consumption of 22.63% compared to a</w:t>
      </w:r>
      <w:r w:rsidR="001A3426" w:rsidRPr="001D6DA8">
        <w:rPr>
          <w:lang w:val="en-GB"/>
        </w:rPr>
        <w:t> </w:t>
      </w:r>
      <w:r w:rsidRPr="001D6DA8">
        <w:rPr>
          <w:lang w:val="en-GB"/>
        </w:rPr>
        <w:t>room with a South (S) orientation for walls with a massiveness of one brick</w:t>
      </w:r>
      <w:r w:rsidR="004360B0">
        <w:rPr>
          <w:lang w:val="en-GB"/>
        </w:rPr>
        <w:t>. In comparison,</w:t>
      </w:r>
      <w:r w:rsidRPr="001D6DA8">
        <w:rPr>
          <w:lang w:val="en-GB"/>
        </w:rPr>
        <w:t xml:space="preserve"> a threefold increase in wall thickness will lead to a difference in consumption between S and N room orientations of 25.64%.</w:t>
      </w:r>
    </w:p>
    <w:p w14:paraId="169FAF48" w14:textId="3F5CFA7E" w:rsidR="002F7B77" w:rsidRPr="001D6DA8" w:rsidRDefault="002F7B77" w:rsidP="00564660">
      <w:pPr>
        <w:rPr>
          <w:lang w:val="en-GB"/>
        </w:rPr>
      </w:pPr>
      <w:r w:rsidRPr="001D6DA8">
        <w:rPr>
          <w:lang w:val="en-GB"/>
        </w:rPr>
        <w:lastRenderedPageBreak/>
        <w:t xml:space="preserve">Fig. 4 shows the heat energy consumption over a year for different </w:t>
      </w:r>
      <w:r w:rsidR="004360B0">
        <w:rPr>
          <w:lang w:val="en-GB"/>
        </w:rPr>
        <w:t>simulation variations</w:t>
      </w:r>
      <w:r w:rsidRPr="001D6DA8">
        <w:rPr>
          <w:lang w:val="en-GB"/>
        </w:rPr>
        <w:t>, where the variables are room orientation, massiveness of interior walls, and heating modes. The thickness of the exterior walls in this series of simulations does not change</w:t>
      </w:r>
      <w:r w:rsidR="004360B0">
        <w:rPr>
          <w:lang w:val="en-GB"/>
        </w:rPr>
        <w:t>, and it</w:t>
      </w:r>
      <w:r w:rsidRPr="001D6DA8">
        <w:rPr>
          <w:lang w:val="en-GB"/>
        </w:rPr>
        <w:t xml:space="preserve"> is 510 mm (two bricks).</w:t>
      </w:r>
    </w:p>
    <w:p w14:paraId="071421CB" w14:textId="76204E06" w:rsidR="002F7B77" w:rsidRPr="001D6DA8" w:rsidRDefault="002F7B77" w:rsidP="00564660">
      <w:pPr>
        <w:rPr>
          <w:lang w:val="en-GB"/>
        </w:rPr>
      </w:pPr>
      <w:r w:rsidRPr="001D6DA8">
        <w:rPr>
          <w:lang w:val="en-GB"/>
        </w:rPr>
        <w:t>The analysis of this series of simulations shows that increasing the massiveness of interior walls has a</w:t>
      </w:r>
      <w:r w:rsidR="001A3426" w:rsidRPr="001D6DA8">
        <w:rPr>
          <w:lang w:val="en-GB"/>
        </w:rPr>
        <w:t> </w:t>
      </w:r>
      <w:r w:rsidRPr="001D6DA8">
        <w:rPr>
          <w:lang w:val="en-GB"/>
        </w:rPr>
        <w:t>negligible impact on annual heat energy consumption. The maximum deviation of the corresponding indicators between the models in which the interior walls differed only in massiveness does not exceed 3.65%.</w:t>
      </w:r>
    </w:p>
    <w:p w14:paraId="2A612AE9" w14:textId="505E344A" w:rsidR="002F7B77" w:rsidRPr="001D6DA8" w:rsidRDefault="002F7B77" w:rsidP="00564660">
      <w:pPr>
        <w:rPr>
          <w:lang w:val="en-GB"/>
        </w:rPr>
      </w:pPr>
      <w:r w:rsidRPr="001D6DA8">
        <w:rPr>
          <w:lang w:val="en-GB"/>
        </w:rPr>
        <w:t>Higher efficiency of increasing the massiveness of interior walls is observed for the southern orientation of the building, where potential savings can reach 2.35%.</w:t>
      </w:r>
    </w:p>
    <w:p w14:paraId="6CB7EF07" w14:textId="77777777" w:rsidR="002F7B77" w:rsidRPr="001D6DA8" w:rsidRDefault="002F7B77" w:rsidP="00564660">
      <w:pPr>
        <w:rPr>
          <w:lang w:val="en-GB"/>
        </w:rPr>
      </w:pPr>
      <w:r w:rsidRPr="001D6DA8">
        <w:rPr>
          <w:lang w:val="en-GB"/>
        </w:rPr>
        <w:t xml:space="preserve">At the same time, under conditions of intermittent heating, the positive impact of the increased massiveness of the interior walls decreases, especially for the northern orientation, where an increase in heat consumption of up to 3.65% was recorded, which is explained by a decrease in the intensity of the heat flow from </w:t>
      </w:r>
      <w:proofErr w:type="spellStart"/>
      <w:r w:rsidRPr="001D6DA8">
        <w:rPr>
          <w:lang w:val="en-GB"/>
        </w:rPr>
        <w:t>neighboring</w:t>
      </w:r>
      <w:proofErr w:type="spellEnd"/>
      <w:r w:rsidRPr="001D6DA8">
        <w:rPr>
          <w:lang w:val="en-GB"/>
        </w:rPr>
        <w:t xml:space="preserve"> rooms. </w:t>
      </w:r>
    </w:p>
    <w:p w14:paraId="6759DD32" w14:textId="15D99CB7" w:rsidR="002F7B77" w:rsidRPr="001D6DA8" w:rsidRDefault="002F7B77" w:rsidP="00564660">
      <w:pPr>
        <w:rPr>
          <w:lang w:val="en-GB"/>
        </w:rPr>
      </w:pPr>
      <w:r w:rsidRPr="001D6DA8">
        <w:rPr>
          <w:lang w:val="en-GB"/>
        </w:rPr>
        <w:t xml:space="preserve">When implementing thermo-modernization measures, heat energy savings of 1-2% are observed with greater massing in all studied variants. This is due to the interaction between the thermal inertia of structures and reduced heat loss through the building envelope. Massive interior walls, </w:t>
      </w:r>
      <w:r w:rsidR="004360B0">
        <w:rPr>
          <w:lang w:val="en-GB"/>
        </w:rPr>
        <w:t>with</w:t>
      </w:r>
      <w:r w:rsidRPr="001D6DA8">
        <w:rPr>
          <w:lang w:val="en-GB"/>
        </w:rPr>
        <w:t xml:space="preserve"> significant thermal inertia, </w:t>
      </w:r>
      <w:r w:rsidR="004360B0">
        <w:rPr>
          <w:lang w:val="en-GB"/>
        </w:rPr>
        <w:t>can</w:t>
      </w:r>
      <w:r w:rsidRPr="001D6DA8">
        <w:rPr>
          <w:lang w:val="en-GB"/>
        </w:rPr>
        <w:t xml:space="preserve"> accumulate heat more efficiently and release it more slowly. </w:t>
      </w:r>
      <w:r w:rsidR="004360B0">
        <w:rPr>
          <w:lang w:val="en-GB"/>
        </w:rPr>
        <w:t>Combined</w:t>
      </w:r>
      <w:r w:rsidRPr="001D6DA8">
        <w:rPr>
          <w:lang w:val="en-GB"/>
        </w:rPr>
        <w:t xml:space="preserve"> with insulation, this leads to a</w:t>
      </w:r>
      <w:r w:rsidR="009653A6">
        <w:rPr>
          <w:lang w:val="en-GB"/>
        </w:rPr>
        <w:t> </w:t>
      </w:r>
      <w:r w:rsidRPr="001D6DA8">
        <w:rPr>
          <w:lang w:val="en-GB"/>
        </w:rPr>
        <w:t>smoother distribution of heat flows and reduced peak loads on the heating system.</w:t>
      </w:r>
    </w:p>
    <w:p w14:paraId="7D87B887" w14:textId="2B637A76" w:rsidR="002F7B77" w:rsidRPr="001D6DA8" w:rsidRDefault="002F7B77" w:rsidP="00564660">
      <w:pPr>
        <w:rPr>
          <w:lang w:val="en-GB"/>
        </w:rPr>
      </w:pPr>
      <w:r w:rsidRPr="001D6DA8">
        <w:rPr>
          <w:lang w:val="en-GB"/>
        </w:rPr>
        <w:t>Fig. 5 shows the graphs for January (a) and March (b), which demonstrate the dependence of heat consumption on changes in temperature, room orientation, massiveness of interior walls, and the presence of insulation. The thickness of the exterior walls in this series of simulations does not change</w:t>
      </w:r>
      <w:r w:rsidR="004360B0">
        <w:rPr>
          <w:lang w:val="en-GB"/>
        </w:rPr>
        <w:t>, and it</w:t>
      </w:r>
      <w:r w:rsidRPr="001D6DA8">
        <w:rPr>
          <w:lang w:val="en-GB"/>
        </w:rPr>
        <w:t xml:space="preserve"> is 510 mm (two bricks).</w:t>
      </w:r>
    </w:p>
    <w:p w14:paraId="5ABF0C6D" w14:textId="77777777" w:rsidR="00394EB1" w:rsidRPr="001D6DA8" w:rsidRDefault="00394EB1" w:rsidP="00564660">
      <w:pPr>
        <w:rPr>
          <w:lang w:val="en-GB"/>
        </w:rPr>
      </w:pPr>
    </w:p>
    <w:p w14:paraId="6E4C9553" w14:textId="77777777" w:rsidR="00394EB1" w:rsidRPr="001D6DA8" w:rsidRDefault="00394EB1" w:rsidP="00394EB1">
      <w:pPr>
        <w:spacing w:before="60"/>
        <w:ind w:right="51" w:firstLine="0"/>
        <w:jc w:val="center"/>
        <w:rPr>
          <w:rFonts w:cs="Times New Roman"/>
          <w:sz w:val="20"/>
          <w:szCs w:val="20"/>
          <w:lang w:val="en-GB"/>
        </w:rPr>
      </w:pPr>
      <w:r w:rsidRPr="001D6DA8">
        <w:rPr>
          <w:noProof/>
          <w:sz w:val="20"/>
          <w:szCs w:val="20"/>
          <w:lang w:val="en-GB" w:eastAsia="ru-RU"/>
        </w:rPr>
        <w:drawing>
          <wp:inline distT="0" distB="0" distL="0" distR="0" wp14:anchorId="561D9A29" wp14:editId="6D1CF41F">
            <wp:extent cx="2929678" cy="2203541"/>
            <wp:effectExtent l="0" t="0" r="0" b="0"/>
            <wp:docPr id="17733096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16679" name="Picture 23"/>
                    <pic:cNvPicPr>
                      <a:picLocks noChangeAspect="1" noChangeArrowheads="1"/>
                    </pic:cNvPicPr>
                  </pic:nvPicPr>
                  <pic:blipFill>
                    <a:blip r:embed="rId21" cstate="print">
                      <a:extLst>
                        <a:ext uri="{96DAC541-7B7A-43D3-8B79-37D633B846F1}">
                          <asvg:svgBlip xmlns:asvg="http://schemas.microsoft.com/office/drawing/2016/SVG/main" r:embed="rId22"/>
                        </a:ext>
                      </a:extLst>
                    </a:blip>
                    <a:stretch>
                      <a:fillRect/>
                    </a:stretch>
                  </pic:blipFill>
                  <pic:spPr bwMode="auto">
                    <a:xfrm>
                      <a:off x="0" y="0"/>
                      <a:ext cx="2935083" cy="2207606"/>
                    </a:xfrm>
                    <a:prstGeom prst="rect">
                      <a:avLst/>
                    </a:prstGeom>
                  </pic:spPr>
                </pic:pic>
              </a:graphicData>
            </a:graphic>
          </wp:inline>
        </w:drawing>
      </w:r>
      <w:r w:rsidRPr="001D6DA8">
        <w:rPr>
          <w:noProof/>
          <w:sz w:val="20"/>
          <w:szCs w:val="20"/>
          <w:lang w:val="en-GB"/>
        </w:rPr>
        <w:t xml:space="preserve">   </w:t>
      </w:r>
      <w:r w:rsidRPr="001D6DA8">
        <w:rPr>
          <w:noProof/>
          <w:sz w:val="20"/>
          <w:szCs w:val="20"/>
          <w:lang w:val="en-GB" w:eastAsia="ru-RU"/>
        </w:rPr>
        <w:drawing>
          <wp:inline distT="0" distB="0" distL="0" distR="0" wp14:anchorId="24C3BF28" wp14:editId="08195A75">
            <wp:extent cx="3031067" cy="2243395"/>
            <wp:effectExtent l="0" t="0" r="0" b="0"/>
            <wp:docPr id="4721800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83706" name="Picture 28"/>
                    <pic:cNvPicPr>
                      <a:picLocks noChangeAspect="1" noChangeArrowheads="1"/>
                    </pic:cNvPicPr>
                  </pic:nvPicPr>
                  <pic:blipFill>
                    <a:blip r:embed="rId23" cstate="print">
                      <a:extLst>
                        <a:ext uri="{96DAC541-7B7A-43D3-8B79-37D633B846F1}">
                          <asvg:svgBlip xmlns:asvg="http://schemas.microsoft.com/office/drawing/2016/SVG/main" r:embed="rId24"/>
                        </a:ext>
                      </a:extLst>
                    </a:blip>
                    <a:stretch>
                      <a:fillRect/>
                    </a:stretch>
                  </pic:blipFill>
                  <pic:spPr bwMode="auto">
                    <a:xfrm>
                      <a:off x="0" y="0"/>
                      <a:ext cx="3038845" cy="2249151"/>
                    </a:xfrm>
                    <a:prstGeom prst="rect">
                      <a:avLst/>
                    </a:prstGeom>
                  </pic:spPr>
                </pic:pic>
              </a:graphicData>
            </a:graphic>
          </wp:inline>
        </w:drawing>
      </w:r>
    </w:p>
    <w:p w14:paraId="0B09884B" w14:textId="14EBAF6A" w:rsidR="00D41BBF" w:rsidRPr="001D6DA8" w:rsidRDefault="0076670A" w:rsidP="0076670A">
      <w:pPr>
        <w:pStyle w:val="Akapitzlist"/>
        <w:spacing w:before="60"/>
        <w:ind w:left="630" w:right="51" w:firstLine="0"/>
        <w:jc w:val="center"/>
        <w:rPr>
          <w:rFonts w:cs="Times New Roman"/>
          <w:sz w:val="20"/>
          <w:szCs w:val="20"/>
          <w:lang w:val="en-GB"/>
        </w:rPr>
      </w:pPr>
      <w:r w:rsidRPr="001D6DA8">
        <w:rPr>
          <w:rFonts w:cs="Times New Roman"/>
          <w:color w:val="141950"/>
          <w:sz w:val="20"/>
          <w:szCs w:val="20"/>
          <w:lang w:val="en-GB"/>
        </w:rPr>
        <w:t>a.</w:t>
      </w:r>
      <w:r w:rsidR="00394EB1" w:rsidRPr="001D6DA8">
        <w:rPr>
          <w:rFonts w:cs="Times New Roman"/>
          <w:color w:val="141950"/>
          <w:sz w:val="20"/>
          <w:szCs w:val="20"/>
          <w:lang w:val="en-GB"/>
        </w:rPr>
        <w:t xml:space="preserve">                                                                                                                           b.</w:t>
      </w:r>
    </w:p>
    <w:p w14:paraId="07BE5188" w14:textId="77777777" w:rsidR="00D41BBF" w:rsidRPr="001D6DA8" w:rsidRDefault="00D41BBF" w:rsidP="00D41BBF">
      <w:pPr>
        <w:spacing w:before="60"/>
        <w:ind w:right="51" w:firstLine="0"/>
        <w:jc w:val="center"/>
        <w:rPr>
          <w:rFonts w:cs="Times New Roman"/>
          <w:sz w:val="20"/>
          <w:szCs w:val="20"/>
          <w:lang w:val="en-GB"/>
        </w:rPr>
      </w:pPr>
      <w:r w:rsidRPr="001D6DA8">
        <w:rPr>
          <w:noProof/>
          <w:sz w:val="20"/>
          <w:szCs w:val="20"/>
          <w:lang w:val="en-GB" w:eastAsia="ru-RU"/>
        </w:rPr>
        <w:drawing>
          <wp:inline distT="0" distB="0" distL="0" distR="0" wp14:anchorId="1A8D38AD" wp14:editId="36C407C2">
            <wp:extent cx="3672230" cy="422928"/>
            <wp:effectExtent l="0" t="0" r="4445" b="0"/>
            <wp:docPr id="269962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62076" name=""/>
                    <pic:cNvPicPr/>
                  </pic:nvPicPr>
                  <pic:blipFill>
                    <a:blip r:embed="rId25" cstate="print"/>
                    <a:stretch>
                      <a:fillRect/>
                    </a:stretch>
                  </pic:blipFill>
                  <pic:spPr>
                    <a:xfrm>
                      <a:off x="0" y="0"/>
                      <a:ext cx="3724147" cy="428907"/>
                    </a:xfrm>
                    <a:prstGeom prst="rect">
                      <a:avLst/>
                    </a:prstGeom>
                  </pic:spPr>
                </pic:pic>
              </a:graphicData>
            </a:graphic>
          </wp:inline>
        </w:drawing>
      </w:r>
    </w:p>
    <w:p w14:paraId="2B4A8F4C" w14:textId="77777777" w:rsidR="00D41BBF" w:rsidRPr="001D6DA8" w:rsidRDefault="00394EB1" w:rsidP="00F500BE">
      <w:pPr>
        <w:pStyle w:val="Rrys"/>
        <w:rPr>
          <w:lang w:val="en-GB"/>
        </w:rPr>
      </w:pPr>
      <w:r w:rsidRPr="001D6DA8">
        <w:rPr>
          <w:b/>
          <w:bCs/>
          <w:lang w:val="en-GB"/>
        </w:rPr>
        <w:t xml:space="preserve">Fig. 5. </w:t>
      </w:r>
      <w:r w:rsidRPr="001D6DA8">
        <w:rPr>
          <w:lang w:val="en-GB"/>
        </w:rPr>
        <w:t>The annual heat energy consumption at a constant internal wall thickness of 0.255 m</w:t>
      </w:r>
    </w:p>
    <w:p w14:paraId="6668159F" w14:textId="77777777" w:rsidR="00394EB1" w:rsidRPr="001D6DA8" w:rsidRDefault="00394EB1" w:rsidP="00564660">
      <w:pPr>
        <w:rPr>
          <w:lang w:val="en-GB"/>
        </w:rPr>
      </w:pPr>
    </w:p>
    <w:p w14:paraId="42126BBF" w14:textId="2936A3B4" w:rsidR="00A27EDF" w:rsidRPr="001D6DA8" w:rsidRDefault="00A27EDF" w:rsidP="00564660">
      <w:pPr>
        <w:rPr>
          <w:lang w:val="en-GB"/>
        </w:rPr>
      </w:pPr>
      <w:r w:rsidRPr="001D6DA8">
        <w:rPr>
          <w:lang w:val="en-GB"/>
        </w:rPr>
        <w:t xml:space="preserve">Fig. 5 shows that energy consumption is higher in </w:t>
      </w:r>
      <w:r w:rsidR="004360B0">
        <w:rPr>
          <w:lang w:val="en-GB"/>
        </w:rPr>
        <w:t>winter and decreases in</w:t>
      </w:r>
      <w:r w:rsidRPr="001D6DA8">
        <w:rPr>
          <w:lang w:val="en-GB"/>
        </w:rPr>
        <w:t xml:space="preserve"> transitional seasons. Changing the mass of the interior walls does not significantly affect the overall energy consumption while insulating the exterior walls and replacing windows with more energy</w:t>
      </w:r>
      <w:r w:rsidR="004360B0">
        <w:rPr>
          <w:lang w:val="en-GB"/>
        </w:rPr>
        <w:t>-</w:t>
      </w:r>
      <w:r w:rsidRPr="001D6DA8">
        <w:rPr>
          <w:lang w:val="en-GB"/>
        </w:rPr>
        <w:t xml:space="preserve">efficient ones has a greater potential to reduce the energy consumption of the building. For example, a model with a south-facing room with insulated exterior walls and replaced windows, 125 mm interior wall thickness, and constant heating mode in January consumes 39.2% less energy for heating compared to a similar model without exterior wall insulation. The difference in heating energy consumption for similar models with a northern orientation of the premises is 39.1%. </w:t>
      </w:r>
      <w:r w:rsidR="004360B0">
        <w:rPr>
          <w:lang w:val="en-GB"/>
        </w:rPr>
        <w:t>Introducing</w:t>
      </w:r>
      <w:r w:rsidRPr="001D6DA8">
        <w:rPr>
          <w:lang w:val="en-GB"/>
        </w:rPr>
        <w:t xml:space="preserve"> intermittent heating modes can save up to 22.3% more for south-facing rooms and up to 21.4% for north-facing rooms.</w:t>
      </w:r>
    </w:p>
    <w:p w14:paraId="57BC694F" w14:textId="352DB923" w:rsidR="00A27EDF" w:rsidRPr="001D6DA8" w:rsidRDefault="00A27EDF" w:rsidP="00564660">
      <w:pPr>
        <w:rPr>
          <w:lang w:val="en-GB"/>
        </w:rPr>
      </w:pPr>
      <w:r w:rsidRPr="001D6DA8">
        <w:rPr>
          <w:lang w:val="en-GB"/>
        </w:rPr>
        <w:t xml:space="preserve">Fig. 6 shows the </w:t>
      </w:r>
      <w:r w:rsidR="004360B0">
        <w:rPr>
          <w:lang w:val="en-GB"/>
        </w:rPr>
        <w:t>study results</w:t>
      </w:r>
      <w:r w:rsidRPr="001D6DA8">
        <w:rPr>
          <w:lang w:val="en-GB"/>
        </w:rPr>
        <w:t xml:space="preserve"> of the effect of the orientation and thickness of the exterior walls on the load on the heating system in a constant heating mode (constant indoor air temperature </w:t>
      </w:r>
      <w:proofErr w:type="spellStart"/>
      <w:r w:rsidRPr="001D6DA8">
        <w:rPr>
          <w:lang w:val="en-GB"/>
        </w:rPr>
        <w:t>tconst</w:t>
      </w:r>
      <w:proofErr w:type="spellEnd"/>
      <w:r w:rsidRPr="001D6DA8">
        <w:rPr>
          <w:lang w:val="en-GB"/>
        </w:rPr>
        <w:t xml:space="preserve"> is maintained) for February. </w:t>
      </w:r>
    </w:p>
    <w:p w14:paraId="64887001" w14:textId="73D2837F" w:rsidR="0076670A" w:rsidRPr="001D6DA8" w:rsidRDefault="00A27EDF" w:rsidP="00564660">
      <w:pPr>
        <w:rPr>
          <w:lang w:val="en-GB"/>
        </w:rPr>
      </w:pPr>
      <w:r w:rsidRPr="001D6DA8">
        <w:rPr>
          <w:lang w:val="en-GB"/>
        </w:rPr>
        <w:t xml:space="preserve">It is worth noting that the difference in the load on the heating system between exterior walls with different orientations and massiveness increases in absolute terms and decreases in relative terms with a decrease </w:t>
      </w:r>
      <w:r w:rsidRPr="001D6DA8">
        <w:rPr>
          <w:lang w:val="en-GB"/>
        </w:rPr>
        <w:lastRenderedPageBreak/>
        <w:t xml:space="preserve">in outdoor air temperature and solar activity. Notably, February exhibited the high levels of solar activity and the greatest temperature fluctuations. For example, on February 25, the maximum average daily temperature for the month was 4.6°C, while the heat consumption of a room with a southern orientation was 4 429 </w:t>
      </w:r>
      <w:proofErr w:type="spellStart"/>
      <w:r w:rsidRPr="001D6DA8">
        <w:rPr>
          <w:lang w:val="en-GB"/>
        </w:rPr>
        <w:t>Wh</w:t>
      </w:r>
      <w:proofErr w:type="spellEnd"/>
      <w:r w:rsidRPr="001D6DA8">
        <w:rPr>
          <w:lang w:val="en-GB"/>
        </w:rPr>
        <w:t xml:space="preserve"> (1</w:t>
      </w:r>
      <w:r w:rsidR="001A3426" w:rsidRPr="001D6DA8">
        <w:rPr>
          <w:lang w:val="en-GB"/>
        </w:rPr>
        <w:t> </w:t>
      </w:r>
      <w:r w:rsidRPr="001D6DA8">
        <w:rPr>
          <w:lang w:val="en-GB"/>
        </w:rPr>
        <w:t xml:space="preserve">brick) and 2 466 </w:t>
      </w:r>
      <w:proofErr w:type="spellStart"/>
      <w:r w:rsidRPr="001D6DA8">
        <w:rPr>
          <w:lang w:val="en-GB"/>
        </w:rPr>
        <w:t>Wh</w:t>
      </w:r>
      <w:proofErr w:type="spellEnd"/>
      <w:r w:rsidRPr="001D6DA8">
        <w:rPr>
          <w:lang w:val="en-GB"/>
        </w:rPr>
        <w:t xml:space="preserve"> (3 bricks). For the room with a northern orientation, the same figures were 7 020 </w:t>
      </w:r>
      <w:proofErr w:type="spellStart"/>
      <w:r w:rsidRPr="001D6DA8">
        <w:rPr>
          <w:lang w:val="en-GB"/>
        </w:rPr>
        <w:t>Wh</w:t>
      </w:r>
      <w:proofErr w:type="spellEnd"/>
      <w:r w:rsidRPr="001D6DA8">
        <w:rPr>
          <w:lang w:val="en-GB"/>
        </w:rPr>
        <w:t xml:space="preserve"> (1 brick) and 4 560 </w:t>
      </w:r>
      <w:proofErr w:type="spellStart"/>
      <w:r w:rsidRPr="001D6DA8">
        <w:rPr>
          <w:lang w:val="en-GB"/>
        </w:rPr>
        <w:t>Wh</w:t>
      </w:r>
      <w:proofErr w:type="spellEnd"/>
      <w:r w:rsidRPr="001D6DA8">
        <w:rPr>
          <w:lang w:val="en-GB"/>
        </w:rPr>
        <w:t xml:space="preserve"> (3 bricks). </w:t>
      </w:r>
    </w:p>
    <w:p w14:paraId="789CFF55" w14:textId="77777777" w:rsidR="00884FCB" w:rsidRPr="001D6DA8" w:rsidRDefault="00884FCB" w:rsidP="00564660">
      <w:pPr>
        <w:rPr>
          <w:lang w:val="en-GB"/>
        </w:rPr>
      </w:pPr>
    </w:p>
    <w:p w14:paraId="71D4F37B" w14:textId="77777777" w:rsidR="00A27EDF" w:rsidRPr="001D6DA8" w:rsidRDefault="00A27EDF" w:rsidP="00E42E62">
      <w:pPr>
        <w:spacing w:before="60"/>
        <w:ind w:right="51" w:firstLine="0"/>
        <w:jc w:val="center"/>
        <w:rPr>
          <w:rFonts w:cs="Times New Roman"/>
          <w:sz w:val="20"/>
          <w:szCs w:val="20"/>
          <w:lang w:val="en-GB"/>
        </w:rPr>
      </w:pPr>
      <w:r w:rsidRPr="001D6DA8">
        <w:rPr>
          <w:noProof/>
          <w:lang w:val="en-GB" w:eastAsia="ru-RU"/>
        </w:rPr>
        <w:drawing>
          <wp:inline distT="0" distB="0" distL="0" distR="0" wp14:anchorId="196A7F30" wp14:editId="1E32B3AF">
            <wp:extent cx="6010962" cy="2015066"/>
            <wp:effectExtent l="0" t="0" r="0" b="0"/>
            <wp:docPr id="8987710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39787" name="Picture 25"/>
                    <pic:cNvPicPr>
                      <a:picLocks noChangeAspect="1" noChangeArrowheads="1"/>
                    </pic:cNvPicPr>
                  </pic:nvPicPr>
                  <pic:blipFill>
                    <a:blip r:embed="rId26" cstate="print">
                      <a:extLst>
                        <a:ext uri="{96DAC541-7B7A-43D3-8B79-37D633B846F1}">
                          <asvg:svgBlip xmlns:asvg="http://schemas.microsoft.com/office/drawing/2016/SVG/main" r:embed="rId27"/>
                        </a:ext>
                      </a:extLst>
                    </a:blip>
                    <a:stretch>
                      <a:fillRect/>
                    </a:stretch>
                  </pic:blipFill>
                  <pic:spPr bwMode="auto">
                    <a:xfrm>
                      <a:off x="0" y="0"/>
                      <a:ext cx="6026508" cy="2020278"/>
                    </a:xfrm>
                    <a:prstGeom prst="rect">
                      <a:avLst/>
                    </a:prstGeom>
                  </pic:spPr>
                </pic:pic>
              </a:graphicData>
            </a:graphic>
          </wp:inline>
        </w:drawing>
      </w:r>
    </w:p>
    <w:p w14:paraId="118DB30B" w14:textId="77777777" w:rsidR="00A27EDF" w:rsidRPr="001D6DA8" w:rsidRDefault="00A27EDF" w:rsidP="00F500BE">
      <w:pPr>
        <w:pStyle w:val="Rrys"/>
        <w:rPr>
          <w:b/>
          <w:bCs/>
          <w:lang w:val="en-GB"/>
        </w:rPr>
      </w:pPr>
      <w:r w:rsidRPr="001D6DA8">
        <w:rPr>
          <w:b/>
          <w:bCs/>
          <w:lang w:val="en-GB"/>
        </w:rPr>
        <w:t xml:space="preserve">Fig. 6. </w:t>
      </w:r>
      <w:r w:rsidRPr="001D6DA8">
        <w:rPr>
          <w:lang w:val="en-GB"/>
        </w:rPr>
        <w:t>The load on the heating system depending on different design options, orientation, and outdoor air temperature</w:t>
      </w:r>
    </w:p>
    <w:p w14:paraId="041A5C21" w14:textId="77777777" w:rsidR="00A27EDF" w:rsidRPr="001D6DA8" w:rsidRDefault="00A27EDF" w:rsidP="00564660">
      <w:pPr>
        <w:rPr>
          <w:lang w:val="en-GB"/>
        </w:rPr>
      </w:pPr>
    </w:p>
    <w:p w14:paraId="024D1B22" w14:textId="4DE83477" w:rsidR="00A27EDF" w:rsidRPr="001D6DA8" w:rsidRDefault="00A27EDF" w:rsidP="00564660">
      <w:pPr>
        <w:rPr>
          <w:lang w:val="en-GB"/>
        </w:rPr>
      </w:pPr>
      <w:r w:rsidRPr="001D6DA8">
        <w:rPr>
          <w:lang w:val="en-GB"/>
        </w:rPr>
        <w:t>On February 8, the minimum average daily temperature for the month was -8°C. At this temperature, the</w:t>
      </w:r>
      <w:r w:rsidR="0007421E">
        <w:rPr>
          <w:lang w:val="en-GB"/>
        </w:rPr>
        <w:t> </w:t>
      </w:r>
      <w:r w:rsidRPr="001D6DA8">
        <w:rPr>
          <w:lang w:val="en-GB"/>
        </w:rPr>
        <w:t xml:space="preserve">consumption increased to 10 058 </w:t>
      </w:r>
      <w:proofErr w:type="spellStart"/>
      <w:r w:rsidRPr="001D6DA8">
        <w:rPr>
          <w:lang w:val="en-GB"/>
        </w:rPr>
        <w:t>Wh</w:t>
      </w:r>
      <w:proofErr w:type="spellEnd"/>
      <w:r w:rsidRPr="001D6DA8">
        <w:rPr>
          <w:lang w:val="en-GB"/>
        </w:rPr>
        <w:t xml:space="preserve"> (1 brick) and 7 214 </w:t>
      </w:r>
      <w:proofErr w:type="spellStart"/>
      <w:r w:rsidRPr="001D6DA8">
        <w:rPr>
          <w:lang w:val="en-GB"/>
        </w:rPr>
        <w:t>Wh</w:t>
      </w:r>
      <w:proofErr w:type="spellEnd"/>
      <w:r w:rsidRPr="001D6DA8">
        <w:rPr>
          <w:lang w:val="en-GB"/>
        </w:rPr>
        <w:t xml:space="preserve"> (3 bricks) for the south orientation and 12</w:t>
      </w:r>
      <w:r w:rsidR="0007421E">
        <w:rPr>
          <w:lang w:val="en-GB"/>
        </w:rPr>
        <w:t> </w:t>
      </w:r>
      <w:r w:rsidRPr="001D6DA8">
        <w:rPr>
          <w:lang w:val="en-GB"/>
        </w:rPr>
        <w:t xml:space="preserve">026 </w:t>
      </w:r>
      <w:proofErr w:type="spellStart"/>
      <w:r w:rsidRPr="001D6DA8">
        <w:rPr>
          <w:lang w:val="en-GB"/>
        </w:rPr>
        <w:t>Wh</w:t>
      </w:r>
      <w:proofErr w:type="spellEnd"/>
      <w:r w:rsidRPr="001D6DA8">
        <w:rPr>
          <w:lang w:val="en-GB"/>
        </w:rPr>
        <w:t xml:space="preserve"> (1 brick) and 8 579 </w:t>
      </w:r>
      <w:proofErr w:type="spellStart"/>
      <w:r w:rsidRPr="001D6DA8">
        <w:rPr>
          <w:lang w:val="en-GB"/>
        </w:rPr>
        <w:t>Wh</w:t>
      </w:r>
      <w:proofErr w:type="spellEnd"/>
      <w:r w:rsidRPr="001D6DA8">
        <w:rPr>
          <w:lang w:val="en-GB"/>
        </w:rPr>
        <w:t xml:space="preserve"> (3 bricks) for the north orientation of the room, respectively. </w:t>
      </w:r>
    </w:p>
    <w:p w14:paraId="6316A338" w14:textId="2994F433" w:rsidR="00A27EDF" w:rsidRPr="001D6DA8" w:rsidRDefault="00A27EDF" w:rsidP="00564660">
      <w:pPr>
        <w:rPr>
          <w:lang w:val="en-GB"/>
        </w:rPr>
      </w:pPr>
      <w:r w:rsidRPr="001D6DA8">
        <w:rPr>
          <w:lang w:val="en-GB"/>
        </w:rPr>
        <w:t xml:space="preserve">Fig. 7 shows the </w:t>
      </w:r>
      <w:r w:rsidR="004360B0">
        <w:rPr>
          <w:lang w:val="en-GB"/>
        </w:rPr>
        <w:t>study results</w:t>
      </w:r>
      <w:r w:rsidRPr="001D6DA8">
        <w:rPr>
          <w:lang w:val="en-GB"/>
        </w:rPr>
        <w:t xml:space="preserve"> of the effect of the orientation and thermal modernization of exterior walls on the load on the heating system at a constant heating mode (</w:t>
      </w:r>
      <w:proofErr w:type="spellStart"/>
      <w:r w:rsidRPr="001D6DA8">
        <w:rPr>
          <w:lang w:val="en-GB"/>
        </w:rPr>
        <w:t>tconst</w:t>
      </w:r>
      <w:proofErr w:type="spellEnd"/>
      <w:r w:rsidRPr="001D6DA8">
        <w:rPr>
          <w:lang w:val="en-GB"/>
        </w:rPr>
        <w:t>) for January.</w:t>
      </w:r>
    </w:p>
    <w:p w14:paraId="76807A34" w14:textId="77777777" w:rsidR="00A27EDF" w:rsidRPr="001D6DA8" w:rsidRDefault="00A27EDF" w:rsidP="00A27EDF">
      <w:pPr>
        <w:spacing w:before="60"/>
        <w:ind w:right="51" w:firstLine="270"/>
        <w:rPr>
          <w:rFonts w:cs="Times New Roman"/>
          <w:lang w:val="en-GB"/>
        </w:rPr>
      </w:pPr>
    </w:p>
    <w:p w14:paraId="39DD0C16" w14:textId="77777777" w:rsidR="00A27EDF" w:rsidRPr="001D6DA8" w:rsidRDefault="00A27EDF" w:rsidP="00E42E62">
      <w:pPr>
        <w:spacing w:before="60"/>
        <w:ind w:right="51" w:firstLine="0"/>
        <w:jc w:val="center"/>
        <w:rPr>
          <w:rFonts w:cs="Times New Roman"/>
          <w:sz w:val="20"/>
          <w:szCs w:val="20"/>
          <w:lang w:val="en-GB"/>
        </w:rPr>
      </w:pPr>
      <w:r w:rsidRPr="001D6DA8">
        <w:rPr>
          <w:noProof/>
          <w:lang w:val="en-GB" w:eastAsia="ru-RU"/>
        </w:rPr>
        <w:drawing>
          <wp:inline distT="0" distB="0" distL="0" distR="0" wp14:anchorId="39D376FE" wp14:editId="77A2FDA0">
            <wp:extent cx="6138333" cy="2089359"/>
            <wp:effectExtent l="0" t="0" r="0" b="0"/>
            <wp:docPr id="87541567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15672" name="Рисунок 22"/>
                    <pic:cNvPicPr>
                      <a:picLocks noChangeAspect="1" noChangeArrowheads="1"/>
                    </pic:cNvPicPr>
                  </pic:nvPicPr>
                  <pic:blipFill>
                    <a:blip r:embed="rId28" cstate="print">
                      <a:extLst>
                        <a:ext uri="{96DAC541-7B7A-43D3-8B79-37D633B846F1}">
                          <asvg:svgBlip xmlns:asvg="http://schemas.microsoft.com/office/drawing/2016/SVG/main" r:embed="rId29"/>
                        </a:ext>
                      </a:extLst>
                    </a:blip>
                    <a:stretch>
                      <a:fillRect/>
                    </a:stretch>
                  </pic:blipFill>
                  <pic:spPr bwMode="auto">
                    <a:xfrm>
                      <a:off x="0" y="0"/>
                      <a:ext cx="6158248" cy="2096138"/>
                    </a:xfrm>
                    <a:prstGeom prst="rect">
                      <a:avLst/>
                    </a:prstGeom>
                  </pic:spPr>
                </pic:pic>
              </a:graphicData>
            </a:graphic>
          </wp:inline>
        </w:drawing>
      </w:r>
    </w:p>
    <w:p w14:paraId="702570BF" w14:textId="77777777" w:rsidR="00A27EDF" w:rsidRPr="001D6DA8" w:rsidRDefault="00A27EDF" w:rsidP="00F500BE">
      <w:pPr>
        <w:pStyle w:val="Rrys"/>
        <w:rPr>
          <w:b/>
          <w:bCs/>
          <w:lang w:val="en-GB"/>
        </w:rPr>
      </w:pPr>
      <w:r w:rsidRPr="001D6DA8">
        <w:rPr>
          <w:b/>
          <w:bCs/>
          <w:lang w:val="en-GB"/>
        </w:rPr>
        <w:t xml:space="preserve">Fig. 7. </w:t>
      </w:r>
      <w:r w:rsidRPr="001D6DA8">
        <w:rPr>
          <w:lang w:val="en-GB"/>
        </w:rPr>
        <w:t>The load on the heating system depending on different design options, orientation, and outdoor air temperature</w:t>
      </w:r>
    </w:p>
    <w:p w14:paraId="67633789" w14:textId="77777777" w:rsidR="00A27EDF" w:rsidRPr="001D6DA8" w:rsidRDefault="00A27EDF" w:rsidP="00564660">
      <w:pPr>
        <w:rPr>
          <w:lang w:val="en-GB"/>
        </w:rPr>
      </w:pPr>
    </w:p>
    <w:p w14:paraId="64566F30" w14:textId="240AFC56" w:rsidR="00A27EDF" w:rsidRPr="009653A6" w:rsidRDefault="00A27EDF" w:rsidP="00564660">
      <w:pPr>
        <w:rPr>
          <w:spacing w:val="-4"/>
          <w:lang w:val="en-GB"/>
        </w:rPr>
      </w:pPr>
      <w:r w:rsidRPr="009653A6">
        <w:rPr>
          <w:spacing w:val="-4"/>
          <w:lang w:val="en-GB"/>
        </w:rPr>
        <w:t xml:space="preserve">Fig. 7 shows that the </w:t>
      </w:r>
      <w:r w:rsidR="004360B0" w:rsidRPr="009653A6">
        <w:rPr>
          <w:spacing w:val="-4"/>
          <w:lang w:val="en-GB"/>
        </w:rPr>
        <w:t>thermal modernization measures of the building envelope significantly impact</w:t>
      </w:r>
      <w:r w:rsidRPr="009653A6">
        <w:rPr>
          <w:spacing w:val="-4"/>
          <w:lang w:val="en-GB"/>
        </w:rPr>
        <w:t xml:space="preserve"> the load on the heating system. Accordingly, when the exterior walls are insulated from R</w:t>
      </w:r>
      <w:r w:rsidR="001A3426" w:rsidRPr="009653A6">
        <w:rPr>
          <w:spacing w:val="-4"/>
          <w:lang w:val="en-GB"/>
        </w:rPr>
        <w:t xml:space="preserve"> </w:t>
      </w:r>
      <w:r w:rsidRPr="009653A6">
        <w:rPr>
          <w:spacing w:val="-4"/>
          <w:lang w:val="en-GB"/>
        </w:rPr>
        <w:t>=</w:t>
      </w:r>
      <w:r w:rsidR="001A3426" w:rsidRPr="009653A6">
        <w:rPr>
          <w:spacing w:val="-4"/>
          <w:lang w:val="en-GB"/>
        </w:rPr>
        <w:t xml:space="preserve"> </w:t>
      </w:r>
      <w:r w:rsidRPr="009653A6">
        <w:rPr>
          <w:spacing w:val="-4"/>
          <w:lang w:val="en-GB"/>
        </w:rPr>
        <w:t>0.82 m²</w:t>
      </w:r>
      <w:r w:rsidR="00BD3783" w:rsidRPr="009653A6">
        <w:rPr>
          <w:rFonts w:ascii="Aptos Narrow" w:hAnsi="Aptos Narrow"/>
          <w:spacing w:val="-4"/>
          <w:lang w:val="en-GB"/>
        </w:rPr>
        <w:t>·</w:t>
      </w:r>
      <w:r w:rsidRPr="009653A6">
        <w:rPr>
          <w:spacing w:val="-4"/>
          <w:lang w:val="en-GB"/>
        </w:rPr>
        <w:t>K/W to R</w:t>
      </w:r>
      <w:r w:rsidR="001A3426" w:rsidRPr="009653A6">
        <w:rPr>
          <w:spacing w:val="-4"/>
          <w:lang w:val="en-GB"/>
        </w:rPr>
        <w:t xml:space="preserve"> </w:t>
      </w:r>
      <w:r w:rsidRPr="009653A6">
        <w:rPr>
          <w:spacing w:val="-4"/>
          <w:lang w:val="en-GB"/>
        </w:rPr>
        <w:t>=</w:t>
      </w:r>
      <w:r w:rsidR="001A3426" w:rsidRPr="009653A6">
        <w:rPr>
          <w:spacing w:val="-4"/>
          <w:lang w:val="en-GB"/>
        </w:rPr>
        <w:t xml:space="preserve"> </w:t>
      </w:r>
      <w:r w:rsidRPr="009653A6">
        <w:rPr>
          <w:spacing w:val="-4"/>
          <w:lang w:val="en-GB"/>
        </w:rPr>
        <w:t>3.46 m²</w:t>
      </w:r>
      <w:r w:rsidR="00BD3783" w:rsidRPr="009653A6">
        <w:rPr>
          <w:rFonts w:ascii="Aptos Narrow" w:hAnsi="Aptos Narrow"/>
          <w:spacing w:val="-4"/>
          <w:lang w:val="en-GB"/>
        </w:rPr>
        <w:t>·</w:t>
      </w:r>
      <w:r w:rsidRPr="009653A6">
        <w:rPr>
          <w:spacing w:val="-4"/>
          <w:lang w:val="en-GB"/>
        </w:rPr>
        <w:t>K/W and the windows are replaced from R</w:t>
      </w:r>
      <w:r w:rsidR="001A3426" w:rsidRPr="009653A6">
        <w:rPr>
          <w:spacing w:val="-4"/>
          <w:lang w:val="en-GB"/>
        </w:rPr>
        <w:t xml:space="preserve"> </w:t>
      </w:r>
      <w:r w:rsidRPr="009653A6">
        <w:rPr>
          <w:spacing w:val="-4"/>
          <w:lang w:val="en-GB"/>
        </w:rPr>
        <w:t>=</w:t>
      </w:r>
      <w:r w:rsidR="001A3426" w:rsidRPr="009653A6">
        <w:rPr>
          <w:spacing w:val="-4"/>
          <w:lang w:val="en-GB"/>
        </w:rPr>
        <w:t xml:space="preserve"> </w:t>
      </w:r>
      <w:r w:rsidRPr="009653A6">
        <w:rPr>
          <w:spacing w:val="-4"/>
          <w:lang w:val="en-GB"/>
        </w:rPr>
        <w:t>0.54 m²</w:t>
      </w:r>
      <w:r w:rsidR="00BD3783" w:rsidRPr="009653A6">
        <w:rPr>
          <w:rFonts w:ascii="Aptos Narrow" w:hAnsi="Aptos Narrow"/>
          <w:spacing w:val="-4"/>
          <w:lang w:val="en-GB"/>
        </w:rPr>
        <w:t>·</w:t>
      </w:r>
      <w:r w:rsidRPr="009653A6">
        <w:rPr>
          <w:spacing w:val="-4"/>
          <w:lang w:val="en-GB"/>
        </w:rPr>
        <w:t>K/W to R</w:t>
      </w:r>
      <w:r w:rsidR="001A3426" w:rsidRPr="009653A6">
        <w:rPr>
          <w:spacing w:val="-4"/>
          <w:lang w:val="en-GB"/>
        </w:rPr>
        <w:t xml:space="preserve"> </w:t>
      </w:r>
      <w:r w:rsidRPr="009653A6">
        <w:rPr>
          <w:spacing w:val="-4"/>
          <w:lang w:val="en-GB"/>
        </w:rPr>
        <w:t>=</w:t>
      </w:r>
      <w:r w:rsidR="001A3426" w:rsidRPr="009653A6">
        <w:rPr>
          <w:spacing w:val="-4"/>
          <w:lang w:val="en-GB"/>
        </w:rPr>
        <w:t xml:space="preserve"> </w:t>
      </w:r>
      <w:r w:rsidRPr="009653A6">
        <w:rPr>
          <w:spacing w:val="-4"/>
          <w:lang w:val="en-GB"/>
        </w:rPr>
        <w:t>0.98 m²</w:t>
      </w:r>
      <w:r w:rsidR="00BD3783" w:rsidRPr="009653A6">
        <w:rPr>
          <w:rFonts w:ascii="Aptos Narrow" w:hAnsi="Aptos Narrow"/>
          <w:spacing w:val="-4"/>
          <w:lang w:val="en-GB"/>
        </w:rPr>
        <w:t>·</w:t>
      </w:r>
      <w:r w:rsidRPr="009653A6">
        <w:rPr>
          <w:spacing w:val="-4"/>
          <w:lang w:val="en-GB"/>
        </w:rPr>
        <w:t>K/W, the hourly average load on the heating system per month will decrease by 39.5% for south-facing rooms and by 39.4% for north-facing rooms under constant heating conditions.</w:t>
      </w:r>
    </w:p>
    <w:p w14:paraId="62F47E45" w14:textId="30F0B8CC" w:rsidR="00A27EDF" w:rsidRPr="001D6DA8" w:rsidRDefault="00A27EDF" w:rsidP="00564660">
      <w:pPr>
        <w:rPr>
          <w:lang w:val="en-GB"/>
        </w:rPr>
      </w:pPr>
      <w:r w:rsidRPr="001D6DA8">
        <w:rPr>
          <w:lang w:val="en-GB"/>
        </w:rPr>
        <w:t>Fig</w:t>
      </w:r>
      <w:r w:rsidR="004360B0">
        <w:rPr>
          <w:lang w:val="en-GB"/>
        </w:rPr>
        <w:t>ures</w:t>
      </w:r>
      <w:r w:rsidRPr="001D6DA8">
        <w:rPr>
          <w:lang w:val="en-GB"/>
        </w:rPr>
        <w:t xml:space="preserve"> 9 and 8 show the results of </w:t>
      </w:r>
      <w:proofErr w:type="spellStart"/>
      <w:r w:rsidRPr="001D6DA8">
        <w:rPr>
          <w:lang w:val="en-GB"/>
        </w:rPr>
        <w:t>modeling</w:t>
      </w:r>
      <w:proofErr w:type="spellEnd"/>
      <w:r w:rsidRPr="001D6DA8">
        <w:rPr>
          <w:lang w:val="en-GB"/>
        </w:rPr>
        <w:t xml:space="preserve"> the load on the heating system for the N and S orientations, respectively, depending on different options for controlling the heating system and the outside air temperature for February.</w:t>
      </w:r>
    </w:p>
    <w:p w14:paraId="589D043E" w14:textId="77777777" w:rsidR="00A27EDF" w:rsidRPr="001D6DA8" w:rsidRDefault="00A27EDF" w:rsidP="00564660">
      <w:pPr>
        <w:rPr>
          <w:lang w:val="en-GB"/>
        </w:rPr>
      </w:pPr>
    </w:p>
    <w:p w14:paraId="1AB89CF0" w14:textId="77777777" w:rsidR="00A27EDF" w:rsidRPr="001D6DA8" w:rsidRDefault="00A27EDF" w:rsidP="00E42E62">
      <w:pPr>
        <w:spacing w:before="60"/>
        <w:ind w:right="51" w:firstLine="0"/>
        <w:jc w:val="center"/>
        <w:rPr>
          <w:rFonts w:cs="Times New Roman"/>
          <w:sz w:val="20"/>
          <w:szCs w:val="20"/>
          <w:lang w:val="en-GB"/>
        </w:rPr>
      </w:pPr>
      <w:r w:rsidRPr="001D6DA8">
        <w:rPr>
          <w:noProof/>
          <w:lang w:val="en-GB" w:eastAsia="ru-RU"/>
        </w:rPr>
        <w:lastRenderedPageBreak/>
        <w:drawing>
          <wp:inline distT="0" distB="0" distL="0" distR="0" wp14:anchorId="18D9A493" wp14:editId="20B0ED53">
            <wp:extent cx="6173546" cy="1998133"/>
            <wp:effectExtent l="0" t="0" r="0" b="0"/>
            <wp:docPr id="8617408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40849" name="Рисунок 21"/>
                    <pic:cNvPicPr>
                      <a:picLocks noChangeAspect="1" noChangeArrowheads="1"/>
                    </pic:cNvPicPr>
                  </pic:nvPicPr>
                  <pic:blipFill>
                    <a:blip r:embed="rId30" cstate="print">
                      <a:extLst>
                        <a:ext uri="{96DAC541-7B7A-43D3-8B79-37D633B846F1}">
                          <asvg:svgBlip xmlns:asvg="http://schemas.microsoft.com/office/drawing/2016/SVG/main" r:embed="rId31"/>
                        </a:ext>
                      </a:extLst>
                    </a:blip>
                    <a:stretch>
                      <a:fillRect/>
                    </a:stretch>
                  </pic:blipFill>
                  <pic:spPr bwMode="auto">
                    <a:xfrm>
                      <a:off x="0" y="0"/>
                      <a:ext cx="6183330" cy="2001300"/>
                    </a:xfrm>
                    <a:prstGeom prst="rect">
                      <a:avLst/>
                    </a:prstGeom>
                  </pic:spPr>
                </pic:pic>
              </a:graphicData>
            </a:graphic>
          </wp:inline>
        </w:drawing>
      </w:r>
    </w:p>
    <w:p w14:paraId="37695192" w14:textId="77777777" w:rsidR="00A27EDF" w:rsidRPr="001D6DA8" w:rsidRDefault="00A27EDF" w:rsidP="00F500BE">
      <w:pPr>
        <w:pStyle w:val="Rrys"/>
        <w:rPr>
          <w:lang w:val="en-GB"/>
        </w:rPr>
      </w:pPr>
      <w:r w:rsidRPr="001D6DA8">
        <w:rPr>
          <w:b/>
          <w:bCs/>
          <w:lang w:val="en-GB"/>
        </w:rPr>
        <w:t xml:space="preserve">Fig. 8. </w:t>
      </w:r>
      <w:r w:rsidRPr="001D6DA8">
        <w:rPr>
          <w:lang w:val="en-GB"/>
        </w:rPr>
        <w:t>The load on the heating system for the N orientation, depending on different options for regulating the heating system and the outside air temperature</w:t>
      </w:r>
    </w:p>
    <w:p w14:paraId="1860E990" w14:textId="77777777" w:rsidR="00F500BE" w:rsidRPr="001D6DA8" w:rsidRDefault="00F500BE" w:rsidP="00F500BE">
      <w:pPr>
        <w:spacing w:before="60"/>
        <w:ind w:right="51" w:firstLine="0"/>
        <w:rPr>
          <w:rFonts w:cs="Times New Roman"/>
          <w:sz w:val="20"/>
          <w:szCs w:val="20"/>
          <w:lang w:val="en-GB"/>
        </w:rPr>
      </w:pPr>
    </w:p>
    <w:p w14:paraId="5E6B1239" w14:textId="72112FBA" w:rsidR="00A27EDF" w:rsidRPr="001D6DA8" w:rsidRDefault="00A27EDF" w:rsidP="00E42E62">
      <w:pPr>
        <w:spacing w:before="60"/>
        <w:ind w:right="51" w:firstLine="0"/>
        <w:jc w:val="center"/>
        <w:rPr>
          <w:rFonts w:cs="Times New Roman"/>
          <w:sz w:val="20"/>
          <w:szCs w:val="20"/>
          <w:lang w:val="en-GB"/>
        </w:rPr>
      </w:pPr>
      <w:r w:rsidRPr="001D6DA8">
        <w:rPr>
          <w:noProof/>
          <w:lang w:val="en-GB" w:eastAsia="ru-RU"/>
        </w:rPr>
        <w:drawing>
          <wp:inline distT="0" distB="0" distL="0" distR="0" wp14:anchorId="2CC25AE0" wp14:editId="295E9CD0">
            <wp:extent cx="6173470" cy="1999663"/>
            <wp:effectExtent l="0" t="0" r="0" b="0"/>
            <wp:docPr id="102823638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36384" name="Рисунок 20"/>
                    <pic:cNvPicPr>
                      <a:picLocks noChangeAspect="1" noChangeArrowheads="1"/>
                    </pic:cNvPicPr>
                  </pic:nvPicPr>
                  <pic:blipFill>
                    <a:blip r:embed="rId32" cstate="print">
                      <a:extLst>
                        <a:ext uri="{96DAC541-7B7A-43D3-8B79-37D633B846F1}">
                          <asvg:svgBlip xmlns:asvg="http://schemas.microsoft.com/office/drawing/2016/SVG/main" r:embed="rId33"/>
                        </a:ext>
                      </a:extLst>
                    </a:blip>
                    <a:stretch>
                      <a:fillRect/>
                    </a:stretch>
                  </pic:blipFill>
                  <pic:spPr bwMode="auto">
                    <a:xfrm>
                      <a:off x="0" y="0"/>
                      <a:ext cx="6197286" cy="2007377"/>
                    </a:xfrm>
                    <a:prstGeom prst="rect">
                      <a:avLst/>
                    </a:prstGeom>
                  </pic:spPr>
                </pic:pic>
              </a:graphicData>
            </a:graphic>
          </wp:inline>
        </w:drawing>
      </w:r>
    </w:p>
    <w:p w14:paraId="4CA6F9C9" w14:textId="77777777" w:rsidR="00A27EDF" w:rsidRPr="001D6DA8" w:rsidRDefault="00A27EDF" w:rsidP="00F500BE">
      <w:pPr>
        <w:pStyle w:val="Rrys"/>
        <w:rPr>
          <w:lang w:val="en-GB"/>
        </w:rPr>
      </w:pPr>
      <w:r w:rsidRPr="001D6DA8">
        <w:rPr>
          <w:b/>
          <w:bCs/>
          <w:lang w:val="en-GB"/>
        </w:rPr>
        <w:t xml:space="preserve">Fig. 9. </w:t>
      </w:r>
      <w:r w:rsidRPr="001D6DA8">
        <w:rPr>
          <w:lang w:val="en-GB"/>
        </w:rPr>
        <w:t>The load on the heating system for the S orientation depending on different options for regulating the heating system and the outside air temperature</w:t>
      </w:r>
    </w:p>
    <w:p w14:paraId="3CC96F22" w14:textId="77777777" w:rsidR="00A27EDF" w:rsidRPr="001D6DA8" w:rsidRDefault="00A27EDF" w:rsidP="00564660">
      <w:pPr>
        <w:rPr>
          <w:lang w:val="en-GB"/>
        </w:rPr>
      </w:pPr>
    </w:p>
    <w:p w14:paraId="16B94066" w14:textId="73119FB4" w:rsidR="00A27EDF" w:rsidRPr="001D6DA8" w:rsidRDefault="00A27EDF" w:rsidP="00564660">
      <w:pPr>
        <w:rPr>
          <w:lang w:val="en-GB"/>
        </w:rPr>
      </w:pPr>
      <w:r w:rsidRPr="001D6DA8">
        <w:rPr>
          <w:lang w:val="en-GB"/>
        </w:rPr>
        <w:t xml:space="preserve">The </w:t>
      </w:r>
      <w:r w:rsidR="004360B0">
        <w:rPr>
          <w:lang w:val="en-GB"/>
        </w:rPr>
        <w:t>use of temperature reduction modes explains the sawtooth-shaped spikes in the graphs of Figures 8 and 9</w:t>
      </w:r>
      <w:r w:rsidRPr="001D6DA8">
        <w:rPr>
          <w:lang w:val="en-GB"/>
        </w:rPr>
        <w:t xml:space="preserve">. For residential premises, the temperature decrease occurred during the day, when there </w:t>
      </w:r>
      <w:r w:rsidR="004360B0">
        <w:rPr>
          <w:lang w:val="en-GB"/>
        </w:rPr>
        <w:t>wa</w:t>
      </w:r>
      <w:r w:rsidRPr="001D6DA8">
        <w:rPr>
          <w:lang w:val="en-GB"/>
        </w:rPr>
        <w:t>s solar heat gain and a higher ambient temperature compared to the night period. For commercial premises, the temperature drop occurred at night and on weekends. For the southern orientation, there is a greater range of fluctuations in the magnitude of the load on the heating system, which is associated with greater solar heat gain in the room zone (Fig</w:t>
      </w:r>
      <w:r w:rsidR="002D1C26" w:rsidRPr="001D6DA8">
        <w:rPr>
          <w:lang w:val="en-GB"/>
        </w:rPr>
        <w:t>.</w:t>
      </w:r>
      <w:r w:rsidRPr="001D6DA8">
        <w:rPr>
          <w:lang w:val="en-GB"/>
        </w:rPr>
        <w:t xml:space="preserve"> 9).</w:t>
      </w:r>
    </w:p>
    <w:p w14:paraId="5BE842C0" w14:textId="77777777" w:rsidR="00A27EDF" w:rsidRPr="001D6DA8" w:rsidRDefault="00A27EDF" w:rsidP="00564660">
      <w:pPr>
        <w:rPr>
          <w:lang w:val="en-GB"/>
        </w:rPr>
      </w:pPr>
      <w:r w:rsidRPr="001D6DA8">
        <w:rPr>
          <w:lang w:val="en-GB"/>
        </w:rPr>
        <w:t xml:space="preserve">In the second half of February, the outside temperature fluctuated between -8°C and +8.9°C, and there was also greater solar heat gain, so on some days, there was no load on the heating system (Fig. 9). </w:t>
      </w:r>
    </w:p>
    <w:p w14:paraId="78559457" w14:textId="77777777" w:rsidR="00A27EDF" w:rsidRPr="001D6DA8" w:rsidRDefault="00A27EDF" w:rsidP="00564660">
      <w:pPr>
        <w:rPr>
          <w:lang w:val="en-GB"/>
        </w:rPr>
      </w:pPr>
      <w:r w:rsidRPr="001D6DA8">
        <w:rPr>
          <w:lang w:val="en-GB"/>
        </w:rPr>
        <w:t xml:space="preserve">The annual heat energy savings due to the use of temperature reduction modes in residential and commercial premises compared to the constant heating mode in these premises are shown in Table 1. The </w:t>
      </w:r>
      <w:proofErr w:type="spellStart"/>
      <w:r w:rsidRPr="001D6DA8">
        <w:rPr>
          <w:lang w:val="en-GB"/>
        </w:rPr>
        <w:t>modeling</w:t>
      </w:r>
      <w:proofErr w:type="spellEnd"/>
      <w:r w:rsidRPr="001D6DA8">
        <w:rPr>
          <w:lang w:val="en-GB"/>
        </w:rPr>
        <w:t xml:space="preserve"> was carried out taking into account different thicknesses of exterior walls.</w:t>
      </w:r>
    </w:p>
    <w:p w14:paraId="0628D095" w14:textId="77777777" w:rsidR="00A27EDF" w:rsidRPr="001D6DA8" w:rsidRDefault="00A27EDF" w:rsidP="00A27EDF">
      <w:pPr>
        <w:spacing w:before="60"/>
        <w:ind w:right="51" w:firstLine="270"/>
        <w:rPr>
          <w:rFonts w:cs="Times New Roman"/>
          <w:lang w:val="en-GB"/>
        </w:rPr>
      </w:pPr>
    </w:p>
    <w:p w14:paraId="66D6AB15" w14:textId="77777777" w:rsidR="00B81D7D" w:rsidRPr="001D6DA8" w:rsidRDefault="00B81D7D" w:rsidP="00B81D7D">
      <w:pPr>
        <w:pStyle w:val="Rtab"/>
        <w:rPr>
          <w:lang w:val="en-GB"/>
        </w:rPr>
      </w:pPr>
      <w:r w:rsidRPr="001D6DA8">
        <w:rPr>
          <w:b/>
          <w:bCs/>
          <w:lang w:val="en-GB"/>
        </w:rPr>
        <w:t>Table 1.</w:t>
      </w:r>
      <w:r w:rsidR="00A27EDF" w:rsidRPr="001D6DA8">
        <w:rPr>
          <w:lang w:val="en-GB"/>
        </w:rPr>
        <w:t xml:space="preserve"> Annual heat energy savings due to the use of temperature reduction modes</w:t>
      </w:r>
    </w:p>
    <w:tbl>
      <w:tblPr>
        <w:tblStyle w:val="Tabela-Siatka"/>
        <w:tblW w:w="4894" w:type="pct"/>
        <w:tblInd w:w="122" w:type="dxa"/>
        <w:tblLook w:val="04A0" w:firstRow="1" w:lastRow="0" w:firstColumn="1" w:lastColumn="0" w:noHBand="0" w:noVBand="1"/>
      </w:tblPr>
      <w:tblGrid>
        <w:gridCol w:w="1686"/>
        <w:gridCol w:w="3405"/>
        <w:gridCol w:w="1518"/>
        <w:gridCol w:w="1518"/>
        <w:gridCol w:w="1518"/>
      </w:tblGrid>
      <w:tr w:rsidR="00A27EDF" w:rsidRPr="001D6DA8" w14:paraId="1792172E" w14:textId="77777777" w:rsidTr="005723EA">
        <w:trPr>
          <w:trHeight w:val="283"/>
        </w:trPr>
        <w:tc>
          <w:tcPr>
            <w:tcW w:w="2639" w:type="pct"/>
            <w:gridSpan w:val="2"/>
            <w:tcBorders>
              <w:top w:val="single" w:sz="4" w:space="0" w:color="auto"/>
              <w:left w:val="single" w:sz="4" w:space="0" w:color="auto"/>
              <w:bottom w:val="single" w:sz="4" w:space="0" w:color="auto"/>
              <w:right w:val="single" w:sz="4" w:space="0" w:color="auto"/>
            </w:tcBorders>
            <w:vAlign w:val="center"/>
            <w:hideMark/>
          </w:tcPr>
          <w:p w14:paraId="546E455B" w14:textId="77777777" w:rsidR="00A27EDF" w:rsidRPr="001D6DA8" w:rsidRDefault="00A27EDF" w:rsidP="00A27EDF">
            <w:pPr>
              <w:pStyle w:val="Rtab"/>
              <w:spacing w:after="0"/>
              <w:ind w:left="132"/>
              <w:jc w:val="center"/>
              <w:rPr>
                <w:lang w:val="en-GB"/>
              </w:rPr>
            </w:pPr>
            <w:r w:rsidRPr="001D6DA8">
              <w:rPr>
                <w:lang w:val="en-GB"/>
              </w:rPr>
              <w:t>Masonry thickness</w:t>
            </w:r>
          </w:p>
        </w:tc>
        <w:tc>
          <w:tcPr>
            <w:tcW w:w="787" w:type="pct"/>
            <w:tcBorders>
              <w:top w:val="single" w:sz="4" w:space="0" w:color="auto"/>
              <w:left w:val="single" w:sz="4" w:space="0" w:color="auto"/>
              <w:bottom w:val="single" w:sz="4" w:space="0" w:color="auto"/>
              <w:right w:val="single" w:sz="4" w:space="0" w:color="auto"/>
            </w:tcBorders>
            <w:vAlign w:val="center"/>
            <w:hideMark/>
          </w:tcPr>
          <w:p w14:paraId="25679026" w14:textId="77777777" w:rsidR="00A27EDF" w:rsidRPr="001D6DA8" w:rsidRDefault="00A27EDF" w:rsidP="00A27EDF">
            <w:pPr>
              <w:pStyle w:val="Rtab"/>
              <w:spacing w:after="0"/>
              <w:ind w:left="132"/>
              <w:jc w:val="center"/>
              <w:rPr>
                <w:lang w:val="en-GB"/>
              </w:rPr>
            </w:pPr>
            <w:r w:rsidRPr="001D6DA8">
              <w:rPr>
                <w:lang w:val="en-GB"/>
              </w:rPr>
              <w:t>0.25 m</w:t>
            </w:r>
          </w:p>
        </w:tc>
        <w:tc>
          <w:tcPr>
            <w:tcW w:w="787" w:type="pct"/>
            <w:tcBorders>
              <w:top w:val="single" w:sz="4" w:space="0" w:color="auto"/>
              <w:left w:val="single" w:sz="4" w:space="0" w:color="auto"/>
              <w:bottom w:val="single" w:sz="4" w:space="0" w:color="auto"/>
              <w:right w:val="single" w:sz="4" w:space="0" w:color="auto"/>
            </w:tcBorders>
            <w:vAlign w:val="center"/>
            <w:hideMark/>
          </w:tcPr>
          <w:p w14:paraId="1111BE5A" w14:textId="77777777" w:rsidR="00A27EDF" w:rsidRPr="001D6DA8" w:rsidRDefault="00A27EDF" w:rsidP="00A27EDF">
            <w:pPr>
              <w:pStyle w:val="Rtab"/>
              <w:spacing w:after="0"/>
              <w:ind w:left="132"/>
              <w:jc w:val="center"/>
              <w:rPr>
                <w:lang w:val="en-GB"/>
              </w:rPr>
            </w:pPr>
            <w:r w:rsidRPr="001D6DA8">
              <w:rPr>
                <w:lang w:val="en-GB"/>
              </w:rPr>
              <w:t>0.51 m</w:t>
            </w:r>
          </w:p>
        </w:tc>
        <w:tc>
          <w:tcPr>
            <w:tcW w:w="787" w:type="pct"/>
            <w:tcBorders>
              <w:top w:val="single" w:sz="4" w:space="0" w:color="auto"/>
              <w:left w:val="single" w:sz="4" w:space="0" w:color="auto"/>
              <w:bottom w:val="single" w:sz="4" w:space="0" w:color="auto"/>
              <w:right w:val="single" w:sz="4" w:space="0" w:color="auto"/>
            </w:tcBorders>
            <w:vAlign w:val="center"/>
            <w:hideMark/>
          </w:tcPr>
          <w:p w14:paraId="70C02D2D" w14:textId="77777777" w:rsidR="00A27EDF" w:rsidRPr="001D6DA8" w:rsidRDefault="00A27EDF" w:rsidP="00A27EDF">
            <w:pPr>
              <w:pStyle w:val="Rtab"/>
              <w:spacing w:after="0"/>
              <w:ind w:left="132"/>
              <w:jc w:val="center"/>
              <w:rPr>
                <w:lang w:val="en-GB"/>
              </w:rPr>
            </w:pPr>
            <w:r w:rsidRPr="001D6DA8">
              <w:rPr>
                <w:lang w:val="en-GB"/>
              </w:rPr>
              <w:t>0.77 m</w:t>
            </w:r>
          </w:p>
        </w:tc>
      </w:tr>
      <w:tr w:rsidR="00A27EDF" w:rsidRPr="001D6DA8" w14:paraId="6AFFAEBE" w14:textId="77777777" w:rsidTr="005723EA">
        <w:trPr>
          <w:trHeight w:val="227"/>
        </w:trPr>
        <w:tc>
          <w:tcPr>
            <w:tcW w:w="2639" w:type="pct"/>
            <w:gridSpan w:val="2"/>
            <w:tcBorders>
              <w:top w:val="single" w:sz="4" w:space="0" w:color="auto"/>
              <w:left w:val="single" w:sz="4" w:space="0" w:color="auto"/>
              <w:bottom w:val="single" w:sz="4" w:space="0" w:color="auto"/>
              <w:right w:val="single" w:sz="4" w:space="0" w:color="auto"/>
            </w:tcBorders>
            <w:vAlign w:val="center"/>
            <w:hideMark/>
          </w:tcPr>
          <w:p w14:paraId="5A8FEEB1" w14:textId="2FBB4525" w:rsidR="00A27EDF" w:rsidRPr="001D6DA8" w:rsidRDefault="00A27EDF" w:rsidP="00A27EDF">
            <w:pPr>
              <w:pStyle w:val="Rtab"/>
              <w:spacing w:after="0"/>
              <w:ind w:left="132"/>
              <w:jc w:val="center"/>
              <w:rPr>
                <w:lang w:val="en-GB"/>
              </w:rPr>
            </w:pPr>
            <w:r w:rsidRPr="001D6DA8">
              <w:rPr>
                <w:lang w:val="en-GB"/>
              </w:rPr>
              <w:t>Thermal conductivity resistance, (m²</w:t>
            </w:r>
            <w:r w:rsidR="00BD3783" w:rsidRPr="001D6DA8">
              <w:rPr>
                <w:rFonts w:ascii="Aptos Narrow" w:hAnsi="Aptos Narrow"/>
                <w:lang w:val="en-GB"/>
              </w:rPr>
              <w:t>·</w:t>
            </w:r>
            <w:r w:rsidRPr="001D6DA8">
              <w:rPr>
                <w:lang w:val="en-GB"/>
              </w:rPr>
              <w:t>K)/W</w:t>
            </w:r>
          </w:p>
        </w:tc>
        <w:tc>
          <w:tcPr>
            <w:tcW w:w="787" w:type="pct"/>
            <w:tcBorders>
              <w:top w:val="single" w:sz="4" w:space="0" w:color="auto"/>
              <w:left w:val="single" w:sz="4" w:space="0" w:color="auto"/>
              <w:bottom w:val="single" w:sz="4" w:space="0" w:color="auto"/>
              <w:right w:val="single" w:sz="4" w:space="0" w:color="auto"/>
            </w:tcBorders>
            <w:vAlign w:val="center"/>
            <w:hideMark/>
          </w:tcPr>
          <w:p w14:paraId="5EC4D1DE" w14:textId="77777777" w:rsidR="00A27EDF" w:rsidRPr="001D6DA8" w:rsidRDefault="00A27EDF" w:rsidP="00A27EDF">
            <w:pPr>
              <w:pStyle w:val="Rtab"/>
              <w:spacing w:after="0"/>
              <w:ind w:left="132"/>
              <w:jc w:val="center"/>
              <w:rPr>
                <w:lang w:val="en-GB"/>
              </w:rPr>
            </w:pPr>
            <w:r w:rsidRPr="001D6DA8">
              <w:rPr>
                <w:lang w:val="en-GB"/>
              </w:rPr>
              <w:t>0.503</w:t>
            </w:r>
          </w:p>
        </w:tc>
        <w:tc>
          <w:tcPr>
            <w:tcW w:w="787" w:type="pct"/>
            <w:tcBorders>
              <w:top w:val="single" w:sz="4" w:space="0" w:color="auto"/>
              <w:left w:val="single" w:sz="4" w:space="0" w:color="auto"/>
              <w:bottom w:val="single" w:sz="4" w:space="0" w:color="auto"/>
              <w:right w:val="single" w:sz="4" w:space="0" w:color="auto"/>
            </w:tcBorders>
            <w:vAlign w:val="center"/>
            <w:hideMark/>
          </w:tcPr>
          <w:p w14:paraId="3FB41C1F" w14:textId="77777777" w:rsidR="00A27EDF" w:rsidRPr="001D6DA8" w:rsidRDefault="00A27EDF" w:rsidP="00A27EDF">
            <w:pPr>
              <w:pStyle w:val="Rtab"/>
              <w:spacing w:after="0"/>
              <w:ind w:left="132"/>
              <w:jc w:val="center"/>
              <w:rPr>
                <w:lang w:val="en-GB"/>
              </w:rPr>
            </w:pPr>
            <w:r w:rsidRPr="001D6DA8">
              <w:rPr>
                <w:lang w:val="en-GB"/>
              </w:rPr>
              <w:t>0.824</w:t>
            </w:r>
          </w:p>
        </w:tc>
        <w:tc>
          <w:tcPr>
            <w:tcW w:w="787" w:type="pct"/>
            <w:tcBorders>
              <w:top w:val="single" w:sz="4" w:space="0" w:color="auto"/>
              <w:left w:val="single" w:sz="4" w:space="0" w:color="auto"/>
              <w:bottom w:val="single" w:sz="4" w:space="0" w:color="auto"/>
              <w:right w:val="single" w:sz="4" w:space="0" w:color="auto"/>
            </w:tcBorders>
            <w:vAlign w:val="center"/>
            <w:hideMark/>
          </w:tcPr>
          <w:p w14:paraId="7BA7AF5E" w14:textId="77777777" w:rsidR="00A27EDF" w:rsidRPr="001D6DA8" w:rsidRDefault="00A27EDF" w:rsidP="00A27EDF">
            <w:pPr>
              <w:pStyle w:val="Rtab"/>
              <w:spacing w:after="0"/>
              <w:ind w:left="132"/>
              <w:jc w:val="center"/>
              <w:rPr>
                <w:lang w:val="en-GB"/>
              </w:rPr>
            </w:pPr>
            <w:r w:rsidRPr="001D6DA8">
              <w:rPr>
                <w:lang w:val="en-GB"/>
              </w:rPr>
              <w:t>1.145</w:t>
            </w:r>
          </w:p>
        </w:tc>
      </w:tr>
      <w:tr w:rsidR="00A27EDF" w:rsidRPr="001D6DA8" w14:paraId="7C4F27B5" w14:textId="77777777" w:rsidTr="005723EA">
        <w:trPr>
          <w:trHeight w:val="227"/>
        </w:trPr>
        <w:tc>
          <w:tcPr>
            <w:tcW w:w="874" w:type="pct"/>
            <w:vMerge w:val="restart"/>
            <w:tcBorders>
              <w:top w:val="single" w:sz="4" w:space="0" w:color="auto"/>
              <w:left w:val="single" w:sz="4" w:space="0" w:color="auto"/>
              <w:bottom w:val="single" w:sz="4" w:space="0" w:color="auto"/>
              <w:right w:val="single" w:sz="4" w:space="0" w:color="auto"/>
            </w:tcBorders>
            <w:vAlign w:val="center"/>
            <w:hideMark/>
          </w:tcPr>
          <w:p w14:paraId="6DDFAA21" w14:textId="77777777" w:rsidR="00A27EDF" w:rsidRPr="001D6DA8" w:rsidRDefault="00A27EDF" w:rsidP="00A27EDF">
            <w:pPr>
              <w:pStyle w:val="Rtab"/>
              <w:spacing w:after="0"/>
              <w:ind w:left="132"/>
              <w:jc w:val="center"/>
              <w:rPr>
                <w:lang w:val="en-GB"/>
              </w:rPr>
            </w:pPr>
            <w:r w:rsidRPr="001D6DA8">
              <w:rPr>
                <w:lang w:val="en-GB"/>
              </w:rPr>
              <w:t>South</w:t>
            </w:r>
          </w:p>
        </w:tc>
        <w:tc>
          <w:tcPr>
            <w:tcW w:w="1765" w:type="pct"/>
            <w:tcBorders>
              <w:top w:val="single" w:sz="4" w:space="0" w:color="auto"/>
              <w:left w:val="single" w:sz="4" w:space="0" w:color="auto"/>
              <w:bottom w:val="single" w:sz="4" w:space="0" w:color="auto"/>
              <w:right w:val="single" w:sz="4" w:space="0" w:color="auto"/>
            </w:tcBorders>
            <w:vAlign w:val="center"/>
            <w:hideMark/>
          </w:tcPr>
          <w:p w14:paraId="388E9E9D" w14:textId="77777777" w:rsidR="00A27EDF" w:rsidRPr="001D6DA8" w:rsidRDefault="00A27EDF" w:rsidP="00A27EDF">
            <w:pPr>
              <w:pStyle w:val="Rtab"/>
              <w:spacing w:after="0"/>
              <w:ind w:left="132"/>
              <w:jc w:val="center"/>
              <w:rPr>
                <w:lang w:val="en-GB"/>
              </w:rPr>
            </w:pPr>
            <w:r w:rsidRPr="001D6DA8">
              <w:rPr>
                <w:lang w:val="en-GB"/>
              </w:rPr>
              <w:t>Residential</w:t>
            </w:r>
          </w:p>
        </w:tc>
        <w:tc>
          <w:tcPr>
            <w:tcW w:w="787" w:type="pct"/>
            <w:tcBorders>
              <w:top w:val="single" w:sz="4" w:space="0" w:color="auto"/>
              <w:left w:val="single" w:sz="4" w:space="0" w:color="auto"/>
              <w:bottom w:val="single" w:sz="4" w:space="0" w:color="auto"/>
              <w:right w:val="single" w:sz="4" w:space="0" w:color="auto"/>
            </w:tcBorders>
            <w:vAlign w:val="center"/>
            <w:hideMark/>
          </w:tcPr>
          <w:p w14:paraId="5267B2CB" w14:textId="77777777" w:rsidR="00A27EDF" w:rsidRPr="001D6DA8" w:rsidRDefault="00A27EDF" w:rsidP="00A27EDF">
            <w:pPr>
              <w:pStyle w:val="Rtab"/>
              <w:spacing w:after="0"/>
              <w:ind w:left="132"/>
              <w:jc w:val="center"/>
              <w:rPr>
                <w:lang w:val="en-GB"/>
              </w:rPr>
            </w:pPr>
            <w:r w:rsidRPr="001D6DA8">
              <w:rPr>
                <w:lang w:val="en-GB"/>
              </w:rPr>
              <w:t>-14.5%</w:t>
            </w:r>
          </w:p>
        </w:tc>
        <w:tc>
          <w:tcPr>
            <w:tcW w:w="787" w:type="pct"/>
            <w:tcBorders>
              <w:top w:val="single" w:sz="4" w:space="0" w:color="auto"/>
              <w:left w:val="single" w:sz="4" w:space="0" w:color="auto"/>
              <w:bottom w:val="single" w:sz="4" w:space="0" w:color="auto"/>
              <w:right w:val="single" w:sz="4" w:space="0" w:color="auto"/>
            </w:tcBorders>
            <w:vAlign w:val="center"/>
            <w:hideMark/>
          </w:tcPr>
          <w:p w14:paraId="6F42F3B4" w14:textId="77777777" w:rsidR="00A27EDF" w:rsidRPr="001D6DA8" w:rsidRDefault="00A27EDF" w:rsidP="00A27EDF">
            <w:pPr>
              <w:pStyle w:val="Rtab"/>
              <w:spacing w:after="0"/>
              <w:ind w:left="132"/>
              <w:jc w:val="center"/>
              <w:rPr>
                <w:lang w:val="en-GB"/>
              </w:rPr>
            </w:pPr>
            <w:r w:rsidRPr="001D6DA8">
              <w:rPr>
                <w:lang w:val="en-GB"/>
              </w:rPr>
              <w:t>-17.2%</w:t>
            </w:r>
          </w:p>
        </w:tc>
        <w:tc>
          <w:tcPr>
            <w:tcW w:w="787" w:type="pct"/>
            <w:tcBorders>
              <w:top w:val="single" w:sz="4" w:space="0" w:color="auto"/>
              <w:left w:val="single" w:sz="4" w:space="0" w:color="auto"/>
              <w:bottom w:val="single" w:sz="4" w:space="0" w:color="auto"/>
              <w:right w:val="single" w:sz="4" w:space="0" w:color="auto"/>
            </w:tcBorders>
            <w:vAlign w:val="center"/>
            <w:hideMark/>
          </w:tcPr>
          <w:p w14:paraId="768C380C" w14:textId="77777777" w:rsidR="00A27EDF" w:rsidRPr="001D6DA8" w:rsidRDefault="00A27EDF" w:rsidP="00A27EDF">
            <w:pPr>
              <w:pStyle w:val="Rtab"/>
              <w:spacing w:after="0"/>
              <w:ind w:left="132"/>
              <w:jc w:val="center"/>
              <w:rPr>
                <w:lang w:val="en-GB"/>
              </w:rPr>
            </w:pPr>
            <w:r w:rsidRPr="001D6DA8">
              <w:rPr>
                <w:lang w:val="en-GB"/>
              </w:rPr>
              <w:t>-18.5%</w:t>
            </w:r>
          </w:p>
        </w:tc>
      </w:tr>
      <w:tr w:rsidR="00A27EDF" w:rsidRPr="001D6DA8" w14:paraId="5C841AF1" w14:textId="77777777" w:rsidTr="005723EA">
        <w:trPr>
          <w:trHeight w:val="227"/>
        </w:trPr>
        <w:tc>
          <w:tcPr>
            <w:tcW w:w="874" w:type="pct"/>
            <w:vMerge/>
            <w:tcBorders>
              <w:top w:val="single" w:sz="4" w:space="0" w:color="auto"/>
              <w:left w:val="single" w:sz="4" w:space="0" w:color="auto"/>
              <w:bottom w:val="single" w:sz="4" w:space="0" w:color="auto"/>
              <w:right w:val="single" w:sz="4" w:space="0" w:color="auto"/>
            </w:tcBorders>
            <w:vAlign w:val="center"/>
            <w:hideMark/>
          </w:tcPr>
          <w:p w14:paraId="03B334A2" w14:textId="77777777" w:rsidR="00A27EDF" w:rsidRPr="001D6DA8" w:rsidRDefault="00A27EDF" w:rsidP="00A27EDF">
            <w:pPr>
              <w:pStyle w:val="Rtab"/>
              <w:spacing w:after="0"/>
              <w:ind w:left="132"/>
              <w:jc w:val="center"/>
              <w:rPr>
                <w:lang w:val="en-GB"/>
              </w:rPr>
            </w:pPr>
          </w:p>
        </w:tc>
        <w:tc>
          <w:tcPr>
            <w:tcW w:w="1765" w:type="pct"/>
            <w:tcBorders>
              <w:top w:val="single" w:sz="4" w:space="0" w:color="auto"/>
              <w:left w:val="single" w:sz="4" w:space="0" w:color="auto"/>
              <w:bottom w:val="single" w:sz="4" w:space="0" w:color="auto"/>
              <w:right w:val="single" w:sz="4" w:space="0" w:color="auto"/>
            </w:tcBorders>
            <w:vAlign w:val="center"/>
            <w:hideMark/>
          </w:tcPr>
          <w:p w14:paraId="0CF6D14B" w14:textId="77777777" w:rsidR="00A27EDF" w:rsidRPr="001D6DA8" w:rsidRDefault="00A27EDF" w:rsidP="00A27EDF">
            <w:pPr>
              <w:pStyle w:val="Rtab"/>
              <w:spacing w:after="0"/>
              <w:ind w:left="132"/>
              <w:jc w:val="center"/>
              <w:rPr>
                <w:lang w:val="en-GB"/>
              </w:rPr>
            </w:pPr>
            <w:r w:rsidRPr="001D6DA8">
              <w:rPr>
                <w:lang w:val="en-GB"/>
              </w:rPr>
              <w:t>Commercial</w:t>
            </w:r>
          </w:p>
        </w:tc>
        <w:tc>
          <w:tcPr>
            <w:tcW w:w="787" w:type="pct"/>
            <w:tcBorders>
              <w:top w:val="single" w:sz="4" w:space="0" w:color="auto"/>
              <w:left w:val="single" w:sz="4" w:space="0" w:color="auto"/>
              <w:bottom w:val="single" w:sz="4" w:space="0" w:color="auto"/>
              <w:right w:val="single" w:sz="4" w:space="0" w:color="auto"/>
            </w:tcBorders>
            <w:vAlign w:val="center"/>
            <w:hideMark/>
          </w:tcPr>
          <w:p w14:paraId="73C7E4B0" w14:textId="77777777" w:rsidR="00A27EDF" w:rsidRPr="001D6DA8" w:rsidRDefault="00A27EDF" w:rsidP="00A27EDF">
            <w:pPr>
              <w:pStyle w:val="Rtab"/>
              <w:spacing w:after="0"/>
              <w:ind w:left="132"/>
              <w:jc w:val="center"/>
              <w:rPr>
                <w:lang w:val="en-GB"/>
              </w:rPr>
            </w:pPr>
            <w:r w:rsidRPr="001D6DA8">
              <w:rPr>
                <w:lang w:val="en-GB"/>
              </w:rPr>
              <w:t>-15.8%</w:t>
            </w:r>
          </w:p>
        </w:tc>
        <w:tc>
          <w:tcPr>
            <w:tcW w:w="787" w:type="pct"/>
            <w:tcBorders>
              <w:top w:val="single" w:sz="4" w:space="0" w:color="auto"/>
              <w:left w:val="single" w:sz="4" w:space="0" w:color="auto"/>
              <w:bottom w:val="single" w:sz="4" w:space="0" w:color="auto"/>
              <w:right w:val="single" w:sz="4" w:space="0" w:color="auto"/>
            </w:tcBorders>
            <w:vAlign w:val="center"/>
            <w:hideMark/>
          </w:tcPr>
          <w:p w14:paraId="569D27DA" w14:textId="77777777" w:rsidR="00A27EDF" w:rsidRPr="001D6DA8" w:rsidRDefault="00A27EDF" w:rsidP="00A27EDF">
            <w:pPr>
              <w:pStyle w:val="Rtab"/>
              <w:spacing w:after="0"/>
              <w:ind w:left="132"/>
              <w:jc w:val="center"/>
              <w:rPr>
                <w:lang w:val="en-GB"/>
              </w:rPr>
            </w:pPr>
            <w:r w:rsidRPr="001D6DA8">
              <w:rPr>
                <w:lang w:val="en-GB"/>
              </w:rPr>
              <w:t>-19.4%</w:t>
            </w:r>
          </w:p>
        </w:tc>
        <w:tc>
          <w:tcPr>
            <w:tcW w:w="787" w:type="pct"/>
            <w:tcBorders>
              <w:top w:val="single" w:sz="4" w:space="0" w:color="auto"/>
              <w:left w:val="single" w:sz="4" w:space="0" w:color="auto"/>
              <w:bottom w:val="single" w:sz="4" w:space="0" w:color="auto"/>
              <w:right w:val="single" w:sz="4" w:space="0" w:color="auto"/>
            </w:tcBorders>
            <w:vAlign w:val="center"/>
            <w:hideMark/>
          </w:tcPr>
          <w:p w14:paraId="660EB008" w14:textId="77777777" w:rsidR="00A27EDF" w:rsidRPr="001D6DA8" w:rsidRDefault="00A27EDF" w:rsidP="00A27EDF">
            <w:pPr>
              <w:pStyle w:val="Rtab"/>
              <w:spacing w:after="0"/>
              <w:ind w:left="132"/>
              <w:jc w:val="center"/>
              <w:rPr>
                <w:lang w:val="en-GB"/>
              </w:rPr>
            </w:pPr>
            <w:r w:rsidRPr="001D6DA8">
              <w:rPr>
                <w:lang w:val="en-GB"/>
              </w:rPr>
              <w:t>-21.0%</w:t>
            </w:r>
          </w:p>
        </w:tc>
      </w:tr>
      <w:tr w:rsidR="00A27EDF" w:rsidRPr="001D6DA8" w14:paraId="36F76525" w14:textId="77777777" w:rsidTr="005723EA">
        <w:trPr>
          <w:trHeight w:val="227"/>
        </w:trPr>
        <w:tc>
          <w:tcPr>
            <w:tcW w:w="874" w:type="pct"/>
            <w:vMerge w:val="restart"/>
            <w:tcBorders>
              <w:top w:val="single" w:sz="4" w:space="0" w:color="auto"/>
              <w:left w:val="single" w:sz="4" w:space="0" w:color="auto"/>
              <w:bottom w:val="single" w:sz="4" w:space="0" w:color="auto"/>
              <w:right w:val="single" w:sz="4" w:space="0" w:color="auto"/>
            </w:tcBorders>
            <w:vAlign w:val="center"/>
            <w:hideMark/>
          </w:tcPr>
          <w:p w14:paraId="530A68F0" w14:textId="77777777" w:rsidR="00A27EDF" w:rsidRPr="001D6DA8" w:rsidRDefault="00A27EDF" w:rsidP="00A27EDF">
            <w:pPr>
              <w:pStyle w:val="Rtab"/>
              <w:spacing w:after="0"/>
              <w:ind w:left="132"/>
              <w:jc w:val="center"/>
              <w:rPr>
                <w:lang w:val="en-GB"/>
              </w:rPr>
            </w:pPr>
            <w:r w:rsidRPr="001D6DA8">
              <w:rPr>
                <w:lang w:val="en-GB"/>
              </w:rPr>
              <w:t>North</w:t>
            </w:r>
          </w:p>
        </w:tc>
        <w:tc>
          <w:tcPr>
            <w:tcW w:w="1765" w:type="pct"/>
            <w:tcBorders>
              <w:top w:val="single" w:sz="4" w:space="0" w:color="auto"/>
              <w:left w:val="single" w:sz="4" w:space="0" w:color="auto"/>
              <w:bottom w:val="single" w:sz="4" w:space="0" w:color="auto"/>
              <w:right w:val="single" w:sz="4" w:space="0" w:color="auto"/>
            </w:tcBorders>
            <w:vAlign w:val="center"/>
            <w:hideMark/>
          </w:tcPr>
          <w:p w14:paraId="5168B3C6" w14:textId="77777777" w:rsidR="00A27EDF" w:rsidRPr="001D6DA8" w:rsidRDefault="00A27EDF" w:rsidP="00A27EDF">
            <w:pPr>
              <w:pStyle w:val="Rtab"/>
              <w:spacing w:after="0"/>
              <w:ind w:left="132"/>
              <w:jc w:val="center"/>
              <w:rPr>
                <w:lang w:val="en-GB"/>
              </w:rPr>
            </w:pPr>
            <w:r w:rsidRPr="001D6DA8">
              <w:rPr>
                <w:lang w:val="en-GB"/>
              </w:rPr>
              <w:t>Residential</w:t>
            </w:r>
          </w:p>
        </w:tc>
        <w:tc>
          <w:tcPr>
            <w:tcW w:w="787" w:type="pct"/>
            <w:tcBorders>
              <w:top w:val="single" w:sz="4" w:space="0" w:color="auto"/>
              <w:left w:val="single" w:sz="4" w:space="0" w:color="auto"/>
              <w:bottom w:val="single" w:sz="4" w:space="0" w:color="auto"/>
              <w:right w:val="single" w:sz="4" w:space="0" w:color="auto"/>
            </w:tcBorders>
            <w:vAlign w:val="center"/>
            <w:hideMark/>
          </w:tcPr>
          <w:p w14:paraId="38C5A50C" w14:textId="77777777" w:rsidR="00A27EDF" w:rsidRPr="001D6DA8" w:rsidRDefault="00A27EDF" w:rsidP="00A27EDF">
            <w:pPr>
              <w:pStyle w:val="Rtab"/>
              <w:spacing w:after="0"/>
              <w:ind w:left="132"/>
              <w:jc w:val="center"/>
              <w:rPr>
                <w:lang w:val="en-GB"/>
              </w:rPr>
            </w:pPr>
            <w:r w:rsidRPr="001D6DA8">
              <w:rPr>
                <w:lang w:val="en-GB"/>
              </w:rPr>
              <w:t>-13.0%</w:t>
            </w:r>
          </w:p>
        </w:tc>
        <w:tc>
          <w:tcPr>
            <w:tcW w:w="787" w:type="pct"/>
            <w:tcBorders>
              <w:top w:val="single" w:sz="4" w:space="0" w:color="auto"/>
              <w:left w:val="single" w:sz="4" w:space="0" w:color="auto"/>
              <w:bottom w:val="single" w:sz="4" w:space="0" w:color="auto"/>
              <w:right w:val="single" w:sz="4" w:space="0" w:color="auto"/>
            </w:tcBorders>
            <w:vAlign w:val="center"/>
            <w:hideMark/>
          </w:tcPr>
          <w:p w14:paraId="11598957" w14:textId="77777777" w:rsidR="00A27EDF" w:rsidRPr="001D6DA8" w:rsidRDefault="00A27EDF" w:rsidP="00A27EDF">
            <w:pPr>
              <w:pStyle w:val="Rtab"/>
              <w:spacing w:after="0"/>
              <w:ind w:left="132"/>
              <w:jc w:val="center"/>
              <w:rPr>
                <w:lang w:val="en-GB"/>
              </w:rPr>
            </w:pPr>
            <w:r w:rsidRPr="001D6DA8">
              <w:rPr>
                <w:lang w:val="en-GB"/>
              </w:rPr>
              <w:t>-15.6%</w:t>
            </w:r>
          </w:p>
        </w:tc>
        <w:tc>
          <w:tcPr>
            <w:tcW w:w="787" w:type="pct"/>
            <w:tcBorders>
              <w:top w:val="single" w:sz="4" w:space="0" w:color="auto"/>
              <w:left w:val="single" w:sz="4" w:space="0" w:color="auto"/>
              <w:bottom w:val="single" w:sz="4" w:space="0" w:color="auto"/>
              <w:right w:val="single" w:sz="4" w:space="0" w:color="auto"/>
            </w:tcBorders>
            <w:vAlign w:val="center"/>
            <w:hideMark/>
          </w:tcPr>
          <w:p w14:paraId="32F68920" w14:textId="77777777" w:rsidR="00A27EDF" w:rsidRPr="001D6DA8" w:rsidRDefault="00A27EDF" w:rsidP="00A27EDF">
            <w:pPr>
              <w:pStyle w:val="Rtab"/>
              <w:spacing w:after="0"/>
              <w:ind w:left="132"/>
              <w:jc w:val="center"/>
              <w:rPr>
                <w:lang w:val="en-GB"/>
              </w:rPr>
            </w:pPr>
            <w:r w:rsidRPr="001D6DA8">
              <w:rPr>
                <w:lang w:val="en-GB"/>
              </w:rPr>
              <w:t>-17.9%</w:t>
            </w:r>
          </w:p>
        </w:tc>
      </w:tr>
      <w:tr w:rsidR="00A27EDF" w:rsidRPr="001D6DA8" w14:paraId="118ED2E7" w14:textId="77777777" w:rsidTr="005723EA">
        <w:trPr>
          <w:trHeight w:val="227"/>
        </w:trPr>
        <w:tc>
          <w:tcPr>
            <w:tcW w:w="874" w:type="pct"/>
            <w:vMerge/>
            <w:tcBorders>
              <w:top w:val="single" w:sz="4" w:space="0" w:color="auto"/>
              <w:left w:val="single" w:sz="4" w:space="0" w:color="auto"/>
              <w:bottom w:val="single" w:sz="4" w:space="0" w:color="auto"/>
              <w:right w:val="single" w:sz="4" w:space="0" w:color="auto"/>
            </w:tcBorders>
            <w:vAlign w:val="center"/>
            <w:hideMark/>
          </w:tcPr>
          <w:p w14:paraId="4BF01216" w14:textId="77777777" w:rsidR="00A27EDF" w:rsidRPr="001D6DA8" w:rsidRDefault="00A27EDF" w:rsidP="00A27EDF">
            <w:pPr>
              <w:pStyle w:val="Rtab"/>
              <w:spacing w:after="0"/>
              <w:ind w:left="132"/>
              <w:jc w:val="center"/>
              <w:rPr>
                <w:lang w:val="en-GB"/>
              </w:rPr>
            </w:pPr>
          </w:p>
        </w:tc>
        <w:tc>
          <w:tcPr>
            <w:tcW w:w="1765" w:type="pct"/>
            <w:tcBorders>
              <w:top w:val="single" w:sz="4" w:space="0" w:color="auto"/>
              <w:left w:val="single" w:sz="4" w:space="0" w:color="auto"/>
              <w:bottom w:val="single" w:sz="4" w:space="0" w:color="auto"/>
              <w:right w:val="single" w:sz="4" w:space="0" w:color="auto"/>
            </w:tcBorders>
            <w:vAlign w:val="center"/>
            <w:hideMark/>
          </w:tcPr>
          <w:p w14:paraId="53F2A112" w14:textId="77777777" w:rsidR="00A27EDF" w:rsidRPr="001D6DA8" w:rsidRDefault="00A27EDF" w:rsidP="00A27EDF">
            <w:pPr>
              <w:pStyle w:val="Rtab"/>
              <w:spacing w:after="0"/>
              <w:ind w:left="132"/>
              <w:jc w:val="center"/>
              <w:rPr>
                <w:lang w:val="en-GB"/>
              </w:rPr>
            </w:pPr>
            <w:r w:rsidRPr="001D6DA8">
              <w:rPr>
                <w:lang w:val="en-GB"/>
              </w:rPr>
              <w:t>Commercial</w:t>
            </w:r>
          </w:p>
        </w:tc>
        <w:tc>
          <w:tcPr>
            <w:tcW w:w="787" w:type="pct"/>
            <w:tcBorders>
              <w:top w:val="single" w:sz="4" w:space="0" w:color="auto"/>
              <w:left w:val="single" w:sz="4" w:space="0" w:color="auto"/>
              <w:bottom w:val="single" w:sz="4" w:space="0" w:color="auto"/>
              <w:right w:val="single" w:sz="4" w:space="0" w:color="auto"/>
            </w:tcBorders>
            <w:vAlign w:val="center"/>
            <w:hideMark/>
          </w:tcPr>
          <w:p w14:paraId="1E1A0988" w14:textId="77777777" w:rsidR="00A27EDF" w:rsidRPr="001D6DA8" w:rsidRDefault="00A27EDF" w:rsidP="00A27EDF">
            <w:pPr>
              <w:pStyle w:val="Rtab"/>
              <w:spacing w:after="0"/>
              <w:ind w:left="132"/>
              <w:jc w:val="center"/>
              <w:rPr>
                <w:lang w:val="en-GB"/>
              </w:rPr>
            </w:pPr>
            <w:r w:rsidRPr="001D6DA8">
              <w:rPr>
                <w:lang w:val="en-GB"/>
              </w:rPr>
              <w:t>-13.4%</w:t>
            </w:r>
          </w:p>
        </w:tc>
        <w:tc>
          <w:tcPr>
            <w:tcW w:w="787" w:type="pct"/>
            <w:tcBorders>
              <w:top w:val="single" w:sz="4" w:space="0" w:color="auto"/>
              <w:left w:val="single" w:sz="4" w:space="0" w:color="auto"/>
              <w:bottom w:val="single" w:sz="4" w:space="0" w:color="auto"/>
              <w:right w:val="single" w:sz="4" w:space="0" w:color="auto"/>
            </w:tcBorders>
            <w:vAlign w:val="center"/>
            <w:hideMark/>
          </w:tcPr>
          <w:p w14:paraId="67EC5FA6" w14:textId="77777777" w:rsidR="00A27EDF" w:rsidRPr="001D6DA8" w:rsidRDefault="00A27EDF" w:rsidP="00A27EDF">
            <w:pPr>
              <w:pStyle w:val="Rtab"/>
              <w:spacing w:after="0"/>
              <w:ind w:left="132"/>
              <w:jc w:val="center"/>
              <w:rPr>
                <w:lang w:val="en-GB"/>
              </w:rPr>
            </w:pPr>
            <w:r w:rsidRPr="001D6DA8">
              <w:rPr>
                <w:lang w:val="en-GB"/>
              </w:rPr>
              <w:t>-16.5%</w:t>
            </w:r>
          </w:p>
        </w:tc>
        <w:tc>
          <w:tcPr>
            <w:tcW w:w="787" w:type="pct"/>
            <w:tcBorders>
              <w:top w:val="single" w:sz="4" w:space="0" w:color="auto"/>
              <w:left w:val="single" w:sz="4" w:space="0" w:color="auto"/>
              <w:bottom w:val="single" w:sz="4" w:space="0" w:color="auto"/>
              <w:right w:val="single" w:sz="4" w:space="0" w:color="auto"/>
            </w:tcBorders>
            <w:vAlign w:val="center"/>
            <w:hideMark/>
          </w:tcPr>
          <w:p w14:paraId="721E5AD0" w14:textId="77777777" w:rsidR="00A27EDF" w:rsidRPr="001D6DA8" w:rsidRDefault="00A27EDF" w:rsidP="00A27EDF">
            <w:pPr>
              <w:pStyle w:val="Rtab"/>
              <w:spacing w:after="0"/>
              <w:ind w:left="132"/>
              <w:jc w:val="center"/>
              <w:rPr>
                <w:lang w:val="en-GB"/>
              </w:rPr>
            </w:pPr>
            <w:r w:rsidRPr="001D6DA8">
              <w:rPr>
                <w:lang w:val="en-GB"/>
              </w:rPr>
              <w:t>-18.8%</w:t>
            </w:r>
          </w:p>
        </w:tc>
      </w:tr>
    </w:tbl>
    <w:p w14:paraId="2F3DACC7" w14:textId="77777777" w:rsidR="00A27EDF" w:rsidRPr="001D6DA8" w:rsidRDefault="00A27EDF" w:rsidP="00564660">
      <w:pPr>
        <w:rPr>
          <w:lang w:val="en-GB"/>
        </w:rPr>
      </w:pPr>
    </w:p>
    <w:p w14:paraId="6C1A255B" w14:textId="0DAA46AE" w:rsidR="00A27EDF" w:rsidRPr="001D6DA8" w:rsidRDefault="00A27EDF" w:rsidP="00564660">
      <w:pPr>
        <w:rPr>
          <w:lang w:val="en-GB"/>
        </w:rPr>
      </w:pPr>
      <w:r w:rsidRPr="001D6DA8">
        <w:rPr>
          <w:lang w:val="en-GB"/>
        </w:rPr>
        <w:t>The data in Table 1 shows that as the massiveness of the exterior walls increases, the percentage of savings due to the use of intermittent heating modes also increases. At the same time, for commercial premises, the percentage of savings is higher due to lower temperatures during off</w:t>
      </w:r>
      <w:r w:rsidR="00BD3783" w:rsidRPr="001D6DA8">
        <w:rPr>
          <w:lang w:val="en-GB"/>
        </w:rPr>
        <w:t xml:space="preserve"> </w:t>
      </w:r>
      <w:r w:rsidRPr="001D6DA8">
        <w:rPr>
          <w:lang w:val="en-GB"/>
        </w:rPr>
        <w:t>hours. Annual heat energy savings in north-facing commercial buildings are higher than in residential buildings with the same orientation due to lower temperatures at night.</w:t>
      </w:r>
    </w:p>
    <w:p w14:paraId="421816CF" w14:textId="58663104" w:rsidR="00A27EDF" w:rsidRPr="001D6DA8" w:rsidRDefault="00A27EDF" w:rsidP="00564660">
      <w:pPr>
        <w:rPr>
          <w:lang w:val="en-GB"/>
        </w:rPr>
      </w:pPr>
      <w:r w:rsidRPr="001D6DA8">
        <w:rPr>
          <w:lang w:val="en-GB"/>
        </w:rPr>
        <w:lastRenderedPageBreak/>
        <w:t xml:space="preserve">Fig. 10 shows the results of </w:t>
      </w:r>
      <w:proofErr w:type="spellStart"/>
      <w:r w:rsidRPr="001D6DA8">
        <w:rPr>
          <w:lang w:val="en-GB"/>
        </w:rPr>
        <w:t>modeling</w:t>
      </w:r>
      <w:proofErr w:type="spellEnd"/>
      <w:r w:rsidRPr="001D6DA8">
        <w:rPr>
          <w:lang w:val="en-GB"/>
        </w:rPr>
        <w:t xml:space="preserve"> the load on the heating system for the southern orientation when implementing a variable heating schedule with different masses of interior walls for January.</w:t>
      </w:r>
    </w:p>
    <w:p w14:paraId="37C316D4" w14:textId="77777777" w:rsidR="00884FCB" w:rsidRPr="001D6DA8" w:rsidRDefault="00884FCB" w:rsidP="00564660">
      <w:pPr>
        <w:rPr>
          <w:lang w:val="en-GB"/>
        </w:rPr>
      </w:pPr>
    </w:p>
    <w:p w14:paraId="140BDCA3" w14:textId="77777777" w:rsidR="00A27EDF" w:rsidRPr="001D6DA8" w:rsidRDefault="00A27EDF" w:rsidP="00E42E62">
      <w:pPr>
        <w:ind w:right="51" w:firstLine="0"/>
        <w:jc w:val="center"/>
        <w:rPr>
          <w:rFonts w:cs="Times New Roman"/>
          <w:sz w:val="20"/>
          <w:szCs w:val="20"/>
          <w:lang w:val="en-GB"/>
        </w:rPr>
      </w:pPr>
      <w:r w:rsidRPr="001D6DA8">
        <w:rPr>
          <w:noProof/>
          <w:lang w:val="en-GB" w:eastAsia="ru-RU"/>
        </w:rPr>
        <w:drawing>
          <wp:inline distT="0" distB="0" distL="0" distR="0" wp14:anchorId="2629554B" wp14:editId="6DC07755">
            <wp:extent cx="6081183" cy="2140892"/>
            <wp:effectExtent l="0" t="0" r="0" b="0"/>
            <wp:docPr id="13955369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36949" name="Picture 31"/>
                    <pic:cNvPicPr>
                      <a:picLocks noChangeAspect="1" noChangeArrowheads="1"/>
                    </pic:cNvPicPr>
                  </pic:nvPicPr>
                  <pic:blipFill>
                    <a:blip r:embed="rId34" cstate="print">
                      <a:extLst>
                        <a:ext uri="{96DAC541-7B7A-43D3-8B79-37D633B846F1}">
                          <asvg:svgBlip xmlns:asvg="http://schemas.microsoft.com/office/drawing/2016/SVG/main" r:embed="rId35"/>
                        </a:ext>
                      </a:extLst>
                    </a:blip>
                    <a:stretch>
                      <a:fillRect/>
                    </a:stretch>
                  </pic:blipFill>
                  <pic:spPr bwMode="auto">
                    <a:xfrm>
                      <a:off x="0" y="0"/>
                      <a:ext cx="6117385" cy="2153637"/>
                    </a:xfrm>
                    <a:prstGeom prst="rect">
                      <a:avLst/>
                    </a:prstGeom>
                  </pic:spPr>
                </pic:pic>
              </a:graphicData>
            </a:graphic>
          </wp:inline>
        </w:drawing>
      </w:r>
    </w:p>
    <w:p w14:paraId="261C09B2" w14:textId="77777777" w:rsidR="00A27EDF" w:rsidRPr="001D6DA8" w:rsidRDefault="00A27EDF" w:rsidP="00F500BE">
      <w:pPr>
        <w:pStyle w:val="Rrys"/>
        <w:rPr>
          <w:lang w:val="en-GB"/>
        </w:rPr>
      </w:pPr>
      <w:r w:rsidRPr="001D6DA8">
        <w:rPr>
          <w:b/>
          <w:bCs/>
          <w:lang w:val="en-GB"/>
        </w:rPr>
        <w:t xml:space="preserve">Fig. 10. </w:t>
      </w:r>
      <w:r w:rsidRPr="001D6DA8">
        <w:rPr>
          <w:lang w:val="en-GB"/>
        </w:rPr>
        <w:t>The load on the heating system depending on different design options, orientation, and outdoor air temperature</w:t>
      </w:r>
    </w:p>
    <w:p w14:paraId="347E745A" w14:textId="77777777" w:rsidR="0076670A" w:rsidRPr="001D6DA8" w:rsidRDefault="0076670A" w:rsidP="00A27EDF">
      <w:pPr>
        <w:spacing w:before="60"/>
        <w:ind w:right="51" w:firstLine="270"/>
        <w:rPr>
          <w:sz w:val="20"/>
          <w:szCs w:val="20"/>
          <w:lang w:val="en-GB"/>
        </w:rPr>
      </w:pPr>
    </w:p>
    <w:p w14:paraId="1CACB926" w14:textId="62709534" w:rsidR="00065C27" w:rsidRPr="001D6DA8" w:rsidRDefault="004360B0" w:rsidP="00564660">
      <w:pPr>
        <w:rPr>
          <w:lang w:val="en-GB"/>
        </w:rPr>
      </w:pPr>
      <w:r>
        <w:rPr>
          <w:lang w:val="en-GB"/>
        </w:rPr>
        <w:t>T</w:t>
      </w:r>
      <w:r w:rsidR="00065C27" w:rsidRPr="001D6DA8">
        <w:rPr>
          <w:lang w:val="en-GB"/>
        </w:rPr>
        <w:t xml:space="preserve">he analysis of the data in Fig. 10 shows that the massiveness of the interior walls has a negligible effect on the change in the load on the heating system. The difference in the load on the heating system per hour averaged for January between models with 125 mm and 255 mm interior walls is 1.6% (4.3 W), and with an increase in massiveness to 385 mm, this difference will be 2.5% (6.5 W). However, with the introduction of intermittent heating modes, there are temporary peaks in the load schedule after periods of temperature drop. At the same time, these peaks are higher for rooms with more massive interior walls. Similar peaks are also observed during periods of reduced solar activity. </w:t>
      </w:r>
    </w:p>
    <w:p w14:paraId="2947A539" w14:textId="76353127" w:rsidR="00065C27" w:rsidRPr="001D6DA8" w:rsidRDefault="00065C27" w:rsidP="00564660">
      <w:pPr>
        <w:rPr>
          <w:lang w:val="en-GB"/>
        </w:rPr>
      </w:pPr>
      <w:r w:rsidRPr="001D6DA8">
        <w:rPr>
          <w:lang w:val="en-GB"/>
        </w:rPr>
        <w:t>Fig. 11 shows the monthly heat balances of the studied living room for the northern and southern orientations for the variants with insulated and non</w:t>
      </w:r>
      <w:r w:rsidR="004360B0">
        <w:rPr>
          <w:lang w:val="en-GB"/>
        </w:rPr>
        <w:t>-</w:t>
      </w:r>
      <w:r w:rsidRPr="001D6DA8">
        <w:rPr>
          <w:lang w:val="en-GB"/>
        </w:rPr>
        <w:t xml:space="preserve">insulated exterior walls for January with constant and variable heating modes. This figure also shows the dependence of heat flows through the exterior walls on such factors as the orientation of the premises to the cardinal points and the thermal conductivity of the exterior walls. </w:t>
      </w:r>
    </w:p>
    <w:p w14:paraId="6B03E2A5" w14:textId="60FF7EBD" w:rsidR="00854F34" w:rsidRPr="001D6DA8" w:rsidRDefault="00854F34" w:rsidP="00854F34">
      <w:pPr>
        <w:rPr>
          <w:lang w:val="en-GB"/>
        </w:rPr>
      </w:pPr>
      <w:r w:rsidRPr="001D6DA8">
        <w:rPr>
          <w:lang w:val="en-GB"/>
        </w:rPr>
        <w:t xml:space="preserve">When intermittent heating schedules are introduced, the model shown in Fig. 11(a) is 15.6% more efficient in terms of heating compared to the model shown in Fig. 11(c), which is also clearly demonstrated in the corresponding figures. It is also noticeable that </w:t>
      </w:r>
      <w:r w:rsidR="004360B0">
        <w:rPr>
          <w:lang w:val="en-GB"/>
        </w:rPr>
        <w:t>intermittent heating modes reduce</w:t>
      </w:r>
      <w:r w:rsidRPr="001D6DA8">
        <w:rPr>
          <w:lang w:val="en-GB"/>
        </w:rPr>
        <w:t xml:space="preserve"> heat flows through interior walls and ceilings to adjacent rooms.</w:t>
      </w:r>
    </w:p>
    <w:p w14:paraId="0F1AB846" w14:textId="15A8796B" w:rsidR="00854F34" w:rsidRPr="001D6DA8" w:rsidRDefault="00854F34" w:rsidP="00854F34">
      <w:pPr>
        <w:rPr>
          <w:lang w:val="en-GB"/>
        </w:rPr>
      </w:pPr>
      <w:r w:rsidRPr="001D6DA8">
        <w:rPr>
          <w:lang w:val="en-GB"/>
        </w:rPr>
        <w:t>When walls are insulated</w:t>
      </w:r>
      <w:r w:rsidR="004360B0">
        <w:rPr>
          <w:lang w:val="en-GB"/>
        </w:rPr>
        <w:t>,</w:t>
      </w:r>
      <w:r w:rsidRPr="001D6DA8">
        <w:rPr>
          <w:lang w:val="en-GB"/>
        </w:rPr>
        <w:t xml:space="preserve"> and new energy</w:t>
      </w:r>
      <w:r w:rsidR="004360B0">
        <w:rPr>
          <w:lang w:val="en-GB"/>
        </w:rPr>
        <w:t>-</w:t>
      </w:r>
      <w:r w:rsidRPr="001D6DA8">
        <w:rPr>
          <w:lang w:val="en-GB"/>
        </w:rPr>
        <w:t>saving windows are installed (Fig. 11(b)), heat losses through exterior walls are significantly reduced – 74.7% and windows – 39.3%, compared to the model in Fig. 11(а). However, due to the lower transmittance of the new windows, solar heat gain is also reduced. Insulation of exterior walls and replac</w:t>
      </w:r>
      <w:r w:rsidR="004360B0">
        <w:rPr>
          <w:lang w:val="en-GB"/>
        </w:rPr>
        <w:t>ing</w:t>
      </w:r>
      <w:r w:rsidRPr="001D6DA8">
        <w:rPr>
          <w:lang w:val="en-GB"/>
        </w:rPr>
        <w:t xml:space="preserve"> windows with new ones cause a slight decrease in heat flows through interior walls and ceilings to adjacent rooms.</w:t>
      </w:r>
    </w:p>
    <w:p w14:paraId="0F1C114D" w14:textId="04D06049" w:rsidR="00854F34" w:rsidRPr="009653A6" w:rsidRDefault="00854F34" w:rsidP="00854F34">
      <w:pPr>
        <w:rPr>
          <w:spacing w:val="-2"/>
          <w:lang w:val="en-GB"/>
        </w:rPr>
      </w:pPr>
      <w:r w:rsidRPr="009653A6">
        <w:rPr>
          <w:spacing w:val="-2"/>
          <w:lang w:val="en-GB"/>
        </w:rPr>
        <w:t>The use of thermal modernization and the introduction of intermittent heating modes in the complex (Fig.</w:t>
      </w:r>
      <w:r w:rsidR="009653A6">
        <w:rPr>
          <w:spacing w:val="-2"/>
          <w:lang w:val="en-GB"/>
        </w:rPr>
        <w:t> </w:t>
      </w:r>
      <w:r w:rsidRPr="009653A6">
        <w:rPr>
          <w:spacing w:val="-2"/>
          <w:lang w:val="en-GB"/>
        </w:rPr>
        <w:t>11(d)) will reduce the total load on the heating system compared to an uninsulated building with a constant heating mode (Fig. 11(a)) in January by 52.1%, and in the off-season months of March and October by 55.6% and 90.6%, respectively.</w:t>
      </w:r>
    </w:p>
    <w:p w14:paraId="42D06F78" w14:textId="5C7441F8" w:rsidR="00854F34" w:rsidRPr="001D6DA8" w:rsidRDefault="00854F34" w:rsidP="00854F34">
      <w:pPr>
        <w:rPr>
          <w:lang w:val="en-GB"/>
        </w:rPr>
      </w:pPr>
      <w:r w:rsidRPr="001D6DA8">
        <w:rPr>
          <w:lang w:val="en-GB"/>
        </w:rPr>
        <w:t xml:space="preserve">Due to solar heat gain during the day in a room with a southern orientation, the temperature increases, </w:t>
      </w:r>
      <w:r w:rsidR="004360B0" w:rsidRPr="005723EA">
        <w:rPr>
          <w:spacing w:val="-2"/>
          <w:lang w:val="en-GB"/>
        </w:rPr>
        <w:t>energy accumulates</w:t>
      </w:r>
      <w:r w:rsidRPr="005723EA">
        <w:rPr>
          <w:spacing w:val="-2"/>
          <w:lang w:val="en-GB"/>
        </w:rPr>
        <w:t xml:space="preserve"> in the walls</w:t>
      </w:r>
      <w:r w:rsidR="004360B0" w:rsidRPr="005723EA">
        <w:rPr>
          <w:spacing w:val="-2"/>
          <w:lang w:val="en-GB"/>
        </w:rPr>
        <w:t>,</w:t>
      </w:r>
      <w:r w:rsidRPr="005723EA">
        <w:rPr>
          <w:spacing w:val="-2"/>
          <w:lang w:val="en-GB"/>
        </w:rPr>
        <w:t xml:space="preserve"> and heat flows through the interior walls and ceilings to adjacent rooms increase.</w:t>
      </w:r>
      <w:r w:rsidRPr="001D6DA8">
        <w:rPr>
          <w:lang w:val="en-GB"/>
        </w:rPr>
        <w:t xml:space="preserve"> In rooms oriented to the north, there is less heat gain from the sun, and during periods of lower temperatures, the amount of heat flow from the room through the interior walls and ceilings to adjacent rooms increases. Heat losses due to infiltration are the same for all cases and amount to 162-167 kWh.</w:t>
      </w:r>
    </w:p>
    <w:p w14:paraId="6982CC61" w14:textId="54AFAFDF" w:rsidR="00854F34" w:rsidRPr="001D6DA8" w:rsidRDefault="00854F34" w:rsidP="00854F34">
      <w:pPr>
        <w:rPr>
          <w:lang w:val="en-GB"/>
        </w:rPr>
      </w:pPr>
      <w:r w:rsidRPr="001D6DA8">
        <w:rPr>
          <w:lang w:val="en-GB"/>
        </w:rPr>
        <w:t xml:space="preserve">The data also make it possible to trace the change in the ratio between the </w:t>
      </w:r>
      <w:r w:rsidR="004360B0">
        <w:rPr>
          <w:lang w:val="en-GB"/>
        </w:rPr>
        <w:t>heat balance components</w:t>
      </w:r>
      <w:r w:rsidRPr="001D6DA8">
        <w:rPr>
          <w:lang w:val="en-GB"/>
        </w:rPr>
        <w:t>, for example, in the daytime, depending on fluctuations in outdoor air temperature, solar heat gain, wall thickness, and characteristics.</w:t>
      </w:r>
    </w:p>
    <w:p w14:paraId="3C9A3AF2" w14:textId="77777777" w:rsidR="00065C27" w:rsidRPr="001D6DA8" w:rsidRDefault="00065C27" w:rsidP="00564660">
      <w:pPr>
        <w:rPr>
          <w:lang w:val="en-GB"/>
        </w:rPr>
      </w:pPr>
    </w:p>
    <w:p w14:paraId="03D43B72" w14:textId="77777777" w:rsidR="00065C27" w:rsidRPr="001D6DA8" w:rsidRDefault="00065C27" w:rsidP="00065C27">
      <w:pPr>
        <w:ind w:right="51" w:firstLine="0"/>
        <w:rPr>
          <w:rFonts w:cs="Times New Roman"/>
          <w:sz w:val="20"/>
          <w:szCs w:val="20"/>
          <w:lang w:val="en-GB"/>
        </w:rPr>
      </w:pPr>
      <w:r w:rsidRPr="001D6DA8">
        <w:rPr>
          <w:noProof/>
          <w:lang w:val="en-GB" w:eastAsia="ru-RU"/>
        </w:rPr>
        <w:lastRenderedPageBreak/>
        <w:drawing>
          <wp:inline distT="0" distB="0" distL="0" distR="0" wp14:anchorId="66CEEAF2" wp14:editId="2B182932">
            <wp:extent cx="2964588" cy="1762125"/>
            <wp:effectExtent l="19050" t="0" r="7212" b="0"/>
            <wp:docPr id="19278960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96011" name="Рисунок 19"/>
                    <pic:cNvPicPr>
                      <a:picLocks noChangeAspect="1" noChangeArrowheads="1"/>
                    </pic:cNvPicPr>
                  </pic:nvPicPr>
                  <pic:blipFill>
                    <a:blip r:embed="rId36" cstate="print">
                      <a:extLst>
                        <a:ext uri="{96DAC541-7B7A-43D3-8B79-37D633B846F1}">
                          <asvg:svgBlip xmlns:asvg="http://schemas.microsoft.com/office/drawing/2016/SVG/main" r:embed="rId37"/>
                        </a:ext>
                      </a:extLst>
                    </a:blip>
                    <a:stretch>
                      <a:fillRect/>
                    </a:stretch>
                  </pic:blipFill>
                  <pic:spPr bwMode="auto">
                    <a:xfrm>
                      <a:off x="0" y="0"/>
                      <a:ext cx="2964746" cy="1762219"/>
                    </a:xfrm>
                    <a:prstGeom prst="rect">
                      <a:avLst/>
                    </a:prstGeom>
                  </pic:spPr>
                </pic:pic>
              </a:graphicData>
            </a:graphic>
          </wp:inline>
        </w:drawing>
      </w:r>
      <w:r w:rsidRPr="001D6DA8">
        <w:rPr>
          <w:noProof/>
          <w:lang w:val="en-GB" w:eastAsia="ru-RU"/>
        </w:rPr>
        <w:drawing>
          <wp:inline distT="0" distB="0" distL="0" distR="0" wp14:anchorId="58F1307D" wp14:editId="37DE16A2">
            <wp:extent cx="3048000" cy="1811704"/>
            <wp:effectExtent l="19050" t="0" r="0" b="0"/>
            <wp:docPr id="7677547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54722" name="Рисунок 18"/>
                    <pic:cNvPicPr>
                      <a:picLocks noChangeAspect="1" noChangeArrowheads="1"/>
                    </pic:cNvPicPr>
                  </pic:nvPicPr>
                  <pic:blipFill>
                    <a:blip r:embed="rId38" cstate="print">
                      <a:extLst>
                        <a:ext uri="{96DAC541-7B7A-43D3-8B79-37D633B846F1}">
                          <asvg:svgBlip xmlns:asvg="http://schemas.microsoft.com/office/drawing/2016/SVG/main" r:embed="rId39"/>
                        </a:ext>
                      </a:extLst>
                    </a:blip>
                    <a:stretch>
                      <a:fillRect/>
                    </a:stretch>
                  </pic:blipFill>
                  <pic:spPr bwMode="auto">
                    <a:xfrm>
                      <a:off x="0" y="0"/>
                      <a:ext cx="3048163" cy="1811801"/>
                    </a:xfrm>
                    <a:prstGeom prst="rect">
                      <a:avLst/>
                    </a:prstGeom>
                  </pic:spPr>
                </pic:pic>
              </a:graphicData>
            </a:graphic>
          </wp:inline>
        </w:drawing>
      </w:r>
    </w:p>
    <w:p w14:paraId="7FF93C9B" w14:textId="3A24864E" w:rsidR="00065C27" w:rsidRPr="001D6DA8" w:rsidRDefault="00065C27" w:rsidP="00065C27">
      <w:pPr>
        <w:ind w:left="270" w:right="51" w:firstLine="0"/>
        <w:jc w:val="center"/>
        <w:rPr>
          <w:rFonts w:cs="Times New Roman"/>
          <w:sz w:val="20"/>
          <w:szCs w:val="20"/>
          <w:lang w:val="en-GB"/>
        </w:rPr>
      </w:pPr>
      <w:r w:rsidRPr="001D6DA8">
        <w:rPr>
          <w:rFonts w:cs="Times New Roman"/>
          <w:sz w:val="20"/>
          <w:szCs w:val="20"/>
          <w:lang w:val="en-GB"/>
        </w:rPr>
        <w:t>а.                                                                                                    b.</w:t>
      </w:r>
    </w:p>
    <w:p w14:paraId="17970F5B" w14:textId="77777777" w:rsidR="00065C27" w:rsidRPr="001D6DA8" w:rsidRDefault="00065C27" w:rsidP="00065C27">
      <w:pPr>
        <w:ind w:right="51" w:firstLine="0"/>
        <w:rPr>
          <w:rFonts w:cs="Times New Roman"/>
          <w:sz w:val="20"/>
          <w:szCs w:val="20"/>
          <w:lang w:val="en-GB"/>
        </w:rPr>
      </w:pPr>
      <w:r w:rsidRPr="001D6DA8">
        <w:rPr>
          <w:noProof/>
          <w:lang w:val="en-GB" w:eastAsia="ru-RU"/>
        </w:rPr>
        <w:drawing>
          <wp:inline distT="0" distB="0" distL="0" distR="0" wp14:anchorId="5E171BEB" wp14:editId="3796E2C2">
            <wp:extent cx="2996638" cy="1781175"/>
            <wp:effectExtent l="19050" t="0" r="0" b="0"/>
            <wp:docPr id="14653033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03312" name="Рисунок 17"/>
                    <pic:cNvPicPr>
                      <a:picLocks noChangeAspect="1" noChangeArrowheads="1"/>
                    </pic:cNvPicPr>
                  </pic:nvPicPr>
                  <pic:blipFill>
                    <a:blip r:embed="rId40" cstate="print">
                      <a:extLst>
                        <a:ext uri="{96DAC541-7B7A-43D3-8B79-37D633B846F1}">
                          <asvg:svgBlip xmlns:asvg="http://schemas.microsoft.com/office/drawing/2016/SVG/main" r:embed="rId41"/>
                        </a:ext>
                      </a:extLst>
                    </a:blip>
                    <a:stretch>
                      <a:fillRect/>
                    </a:stretch>
                  </pic:blipFill>
                  <pic:spPr bwMode="auto">
                    <a:xfrm>
                      <a:off x="0" y="0"/>
                      <a:ext cx="2996798" cy="1781270"/>
                    </a:xfrm>
                    <a:prstGeom prst="rect">
                      <a:avLst/>
                    </a:prstGeom>
                  </pic:spPr>
                </pic:pic>
              </a:graphicData>
            </a:graphic>
          </wp:inline>
        </w:drawing>
      </w:r>
      <w:r w:rsidRPr="001D6DA8">
        <w:rPr>
          <w:noProof/>
          <w:lang w:val="en-GB" w:eastAsia="ru-RU"/>
        </w:rPr>
        <w:drawing>
          <wp:inline distT="0" distB="0" distL="0" distR="0" wp14:anchorId="328604E5" wp14:editId="5A76858E">
            <wp:extent cx="3048000" cy="1811704"/>
            <wp:effectExtent l="19050" t="0" r="0" b="0"/>
            <wp:docPr id="3953629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62991" name="Рисунок 16"/>
                    <pic:cNvPicPr>
                      <a:picLocks noChangeAspect="1" noChangeArrowheads="1"/>
                    </pic:cNvPicPr>
                  </pic:nvPicPr>
                  <pic:blipFill>
                    <a:blip r:embed="rId42" cstate="print">
                      <a:extLst>
                        <a:ext uri="{96DAC541-7B7A-43D3-8B79-37D633B846F1}">
                          <asvg:svgBlip xmlns:asvg="http://schemas.microsoft.com/office/drawing/2016/SVG/main" r:embed="rId43"/>
                        </a:ext>
                      </a:extLst>
                    </a:blip>
                    <a:stretch>
                      <a:fillRect/>
                    </a:stretch>
                  </pic:blipFill>
                  <pic:spPr bwMode="auto">
                    <a:xfrm>
                      <a:off x="0" y="0"/>
                      <a:ext cx="3048163" cy="1811801"/>
                    </a:xfrm>
                    <a:prstGeom prst="rect">
                      <a:avLst/>
                    </a:prstGeom>
                  </pic:spPr>
                </pic:pic>
              </a:graphicData>
            </a:graphic>
          </wp:inline>
        </w:drawing>
      </w:r>
    </w:p>
    <w:p w14:paraId="1934D214" w14:textId="77777777" w:rsidR="00065C27" w:rsidRPr="001D6DA8" w:rsidRDefault="00065C27" w:rsidP="00065C27">
      <w:pPr>
        <w:ind w:left="270" w:right="51" w:firstLine="0"/>
        <w:jc w:val="center"/>
        <w:rPr>
          <w:rFonts w:cs="Times New Roman"/>
          <w:sz w:val="20"/>
          <w:szCs w:val="20"/>
          <w:lang w:val="en-GB"/>
        </w:rPr>
      </w:pPr>
      <w:r w:rsidRPr="001D6DA8">
        <w:rPr>
          <w:rFonts w:cs="Times New Roman"/>
          <w:sz w:val="20"/>
          <w:szCs w:val="20"/>
          <w:lang w:val="en-GB"/>
        </w:rPr>
        <w:t>c.                                                                                                    d.</w:t>
      </w:r>
    </w:p>
    <w:p w14:paraId="1A6C0FB3" w14:textId="77777777" w:rsidR="00065C27" w:rsidRPr="001D6DA8" w:rsidRDefault="00065C27" w:rsidP="00065C27">
      <w:pPr>
        <w:ind w:right="51" w:firstLine="0"/>
        <w:rPr>
          <w:rFonts w:cs="Times New Roman"/>
          <w:sz w:val="20"/>
          <w:szCs w:val="20"/>
          <w:lang w:val="en-GB"/>
        </w:rPr>
      </w:pPr>
      <w:r w:rsidRPr="001D6DA8">
        <w:rPr>
          <w:noProof/>
          <w:lang w:val="en-GB" w:eastAsia="ru-RU"/>
        </w:rPr>
        <w:drawing>
          <wp:inline distT="0" distB="0" distL="0" distR="0" wp14:anchorId="0FEE738D" wp14:editId="385F805B">
            <wp:extent cx="3124200" cy="1856996"/>
            <wp:effectExtent l="19050" t="0" r="0" b="0"/>
            <wp:docPr id="21349908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0869" name="Рисунок 16"/>
                    <pic:cNvPicPr>
                      <a:picLocks noChangeAspect="1" noChangeArrowheads="1"/>
                    </pic:cNvPicPr>
                  </pic:nvPicPr>
                  <pic:blipFill>
                    <a:blip r:embed="rId44" cstate="print">
                      <a:extLst>
                        <a:ext uri="{96DAC541-7B7A-43D3-8B79-37D633B846F1}">
                          <asvg:svgBlip xmlns:asvg="http://schemas.microsoft.com/office/drawing/2016/SVG/main" r:embed="rId45"/>
                        </a:ext>
                      </a:extLst>
                    </a:blip>
                    <a:stretch>
                      <a:fillRect/>
                    </a:stretch>
                  </pic:blipFill>
                  <pic:spPr bwMode="auto">
                    <a:xfrm>
                      <a:off x="0" y="0"/>
                      <a:ext cx="3124200" cy="1856996"/>
                    </a:xfrm>
                    <a:prstGeom prst="rect">
                      <a:avLst/>
                    </a:prstGeom>
                  </pic:spPr>
                </pic:pic>
              </a:graphicData>
            </a:graphic>
          </wp:inline>
        </w:drawing>
      </w:r>
      <w:r w:rsidRPr="001D6DA8">
        <w:rPr>
          <w:noProof/>
          <w:lang w:val="en-GB" w:eastAsia="ru-RU"/>
        </w:rPr>
        <w:drawing>
          <wp:inline distT="0" distB="0" distL="0" distR="0" wp14:anchorId="58FA11D1" wp14:editId="233C7E2F">
            <wp:extent cx="2503454" cy="1486663"/>
            <wp:effectExtent l="0" t="0" r="0" b="0"/>
            <wp:docPr id="545836355" name="Picture 1" descr="A list of different types of lighting sys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36355" name="Picture 1" descr="A list of different types of lighting systems&#10;&#10;Description automatically generated"/>
                    <pic:cNvPicPr/>
                  </pic:nvPicPr>
                  <pic:blipFill>
                    <a:blip r:embed="rId46" cstate="print"/>
                    <a:stretch>
                      <a:fillRect/>
                    </a:stretch>
                  </pic:blipFill>
                  <pic:spPr>
                    <a:xfrm>
                      <a:off x="0" y="0"/>
                      <a:ext cx="2503454" cy="1486663"/>
                    </a:xfrm>
                    <a:prstGeom prst="rect">
                      <a:avLst/>
                    </a:prstGeom>
                  </pic:spPr>
                </pic:pic>
              </a:graphicData>
            </a:graphic>
          </wp:inline>
        </w:drawing>
      </w:r>
    </w:p>
    <w:p w14:paraId="3EA315FA" w14:textId="77777777" w:rsidR="00065C27" w:rsidRPr="001D6DA8" w:rsidRDefault="00065C27" w:rsidP="00065C27">
      <w:pPr>
        <w:pStyle w:val="Akapitzlist"/>
        <w:ind w:left="630" w:right="51" w:firstLine="0"/>
        <w:rPr>
          <w:rFonts w:cs="Times New Roman"/>
          <w:sz w:val="20"/>
          <w:szCs w:val="20"/>
          <w:lang w:val="en-GB"/>
        </w:rPr>
      </w:pPr>
      <w:r w:rsidRPr="001D6DA8">
        <w:rPr>
          <w:rFonts w:cs="Times New Roman"/>
          <w:sz w:val="20"/>
          <w:szCs w:val="20"/>
          <w:lang w:val="en-GB"/>
        </w:rPr>
        <w:t xml:space="preserve">                                 e.</w:t>
      </w:r>
    </w:p>
    <w:p w14:paraId="118EEA65" w14:textId="5FAE04EF" w:rsidR="00065C27" w:rsidRPr="001D6DA8" w:rsidRDefault="00065C27" w:rsidP="00F500BE">
      <w:pPr>
        <w:pStyle w:val="Rrys"/>
        <w:rPr>
          <w:lang w:val="en-GB"/>
        </w:rPr>
      </w:pPr>
      <w:r w:rsidRPr="001D6DA8">
        <w:rPr>
          <w:b/>
          <w:bCs/>
          <w:lang w:val="en-GB"/>
        </w:rPr>
        <w:t>Fig. 11.</w:t>
      </w:r>
      <w:r w:rsidRPr="001D6DA8">
        <w:rPr>
          <w:lang w:val="en-GB"/>
        </w:rPr>
        <w:t xml:space="preserve"> Heat balance of the room under study for the climatic conditions of January:</w:t>
      </w:r>
      <w:r w:rsidR="00DA3A38" w:rsidRPr="001D6DA8">
        <w:rPr>
          <w:lang w:val="en-GB"/>
        </w:rPr>
        <w:t xml:space="preserve"> </w:t>
      </w:r>
    </w:p>
    <w:p w14:paraId="32C2DE9D" w14:textId="47544602" w:rsidR="00065C27" w:rsidRPr="001D6DA8" w:rsidRDefault="00065C27" w:rsidP="005723EA">
      <w:pPr>
        <w:ind w:right="51" w:firstLine="0"/>
        <w:rPr>
          <w:sz w:val="20"/>
          <w:szCs w:val="20"/>
          <w:lang w:val="en-GB"/>
        </w:rPr>
      </w:pPr>
      <w:r w:rsidRPr="001D6DA8">
        <w:rPr>
          <w:sz w:val="20"/>
          <w:szCs w:val="20"/>
          <w:lang w:val="en-GB"/>
        </w:rPr>
        <w:t>a) southern orientation, uninsulated, at a constant temperature</w:t>
      </w:r>
    </w:p>
    <w:p w14:paraId="78E2F02B" w14:textId="2067C098" w:rsidR="00065C27" w:rsidRPr="001D6DA8" w:rsidRDefault="00065C27" w:rsidP="005723EA">
      <w:pPr>
        <w:ind w:right="51" w:firstLine="0"/>
        <w:rPr>
          <w:sz w:val="20"/>
          <w:szCs w:val="20"/>
          <w:lang w:val="en-GB"/>
        </w:rPr>
      </w:pPr>
      <w:r w:rsidRPr="001D6DA8">
        <w:rPr>
          <w:sz w:val="20"/>
          <w:szCs w:val="20"/>
          <w:lang w:val="en-GB"/>
        </w:rPr>
        <w:t>b) southern orientation, insulated, at a constant temperature</w:t>
      </w:r>
    </w:p>
    <w:p w14:paraId="3524983C" w14:textId="5E8B4876" w:rsidR="00065C27" w:rsidRPr="001D6DA8" w:rsidRDefault="00065C27" w:rsidP="005723EA">
      <w:pPr>
        <w:ind w:right="51" w:firstLine="0"/>
        <w:rPr>
          <w:sz w:val="20"/>
          <w:szCs w:val="20"/>
          <w:lang w:val="en-GB"/>
        </w:rPr>
      </w:pPr>
      <w:r w:rsidRPr="001D6DA8">
        <w:rPr>
          <w:sz w:val="20"/>
          <w:szCs w:val="20"/>
          <w:lang w:val="en-GB"/>
        </w:rPr>
        <w:t>c) southern orientation, uninsulated, at variable temperature</w:t>
      </w:r>
    </w:p>
    <w:p w14:paraId="57F0FDF4" w14:textId="1BD53CD4" w:rsidR="00065C27" w:rsidRPr="001D6DA8" w:rsidRDefault="00065C27" w:rsidP="005723EA">
      <w:pPr>
        <w:ind w:right="51" w:firstLine="0"/>
        <w:rPr>
          <w:sz w:val="20"/>
          <w:szCs w:val="20"/>
          <w:lang w:val="en-GB"/>
        </w:rPr>
      </w:pPr>
      <w:r w:rsidRPr="001D6DA8">
        <w:rPr>
          <w:sz w:val="20"/>
          <w:szCs w:val="20"/>
          <w:lang w:val="en-GB"/>
        </w:rPr>
        <w:t>d) southern orientation, insulated, at variable temperature</w:t>
      </w:r>
    </w:p>
    <w:p w14:paraId="534B5068" w14:textId="3140BE67" w:rsidR="00065C27" w:rsidRPr="001D6DA8" w:rsidRDefault="00065C27" w:rsidP="005723EA">
      <w:pPr>
        <w:ind w:right="51" w:firstLine="0"/>
        <w:rPr>
          <w:sz w:val="20"/>
          <w:szCs w:val="20"/>
          <w:lang w:val="en-GB"/>
        </w:rPr>
      </w:pPr>
      <w:r w:rsidRPr="001D6DA8">
        <w:rPr>
          <w:sz w:val="20"/>
          <w:szCs w:val="20"/>
          <w:lang w:val="en-GB"/>
        </w:rPr>
        <w:t>e) north orientation, insulated, at variable temperature</w:t>
      </w:r>
    </w:p>
    <w:p w14:paraId="58DE49A6" w14:textId="77777777" w:rsidR="00391085" w:rsidRPr="001D6DA8" w:rsidRDefault="00391085" w:rsidP="00F500BE">
      <w:pPr>
        <w:pStyle w:val="Rn1"/>
        <w:rPr>
          <w:lang w:val="en-GB"/>
        </w:rPr>
      </w:pPr>
      <w:r w:rsidRPr="001D6DA8">
        <w:rPr>
          <w:lang w:val="en-GB"/>
        </w:rPr>
        <w:t xml:space="preserve">4. </w:t>
      </w:r>
      <w:r w:rsidR="00065C27" w:rsidRPr="001D6DA8">
        <w:rPr>
          <w:lang w:val="en-GB"/>
        </w:rPr>
        <w:t>Conclusions</w:t>
      </w:r>
    </w:p>
    <w:p w14:paraId="62BC3F11" w14:textId="6414672B" w:rsidR="00F93411" w:rsidRPr="001D6DA8" w:rsidRDefault="00F93411" w:rsidP="00F93411">
      <w:pPr>
        <w:rPr>
          <w:lang w:val="en-GB"/>
        </w:rPr>
      </w:pPr>
      <w:r w:rsidRPr="001D6DA8">
        <w:rPr>
          <w:lang w:val="en-GB"/>
        </w:rPr>
        <w:t xml:space="preserve">This comprehensive research provides a systematic and quantitative analysis of thermal dynamics in residential and commercial buildings, offering critical insights into factors influencing heat flows through exterior and interior walls. The study's primary contribution lies in its sophisticated parametric investigation utilizing advanced dynamic energy simulation techniques, specifically employing </w:t>
      </w:r>
      <w:proofErr w:type="spellStart"/>
      <w:r w:rsidRPr="001D6DA8">
        <w:rPr>
          <w:lang w:val="en-GB"/>
        </w:rPr>
        <w:t>EnergyPlus</w:t>
      </w:r>
      <w:proofErr w:type="spellEnd"/>
      <w:r w:rsidRPr="001D6DA8">
        <w:rPr>
          <w:lang w:val="en-GB"/>
        </w:rPr>
        <w:t xml:space="preserve"> software for precise thermal performance </w:t>
      </w:r>
      <w:proofErr w:type="spellStart"/>
      <w:r w:rsidRPr="001D6DA8">
        <w:rPr>
          <w:lang w:val="en-GB"/>
        </w:rPr>
        <w:t>modeling</w:t>
      </w:r>
      <w:proofErr w:type="spellEnd"/>
      <w:r w:rsidRPr="001D6DA8">
        <w:rPr>
          <w:lang w:val="en-GB"/>
        </w:rPr>
        <w:t>.</w:t>
      </w:r>
    </w:p>
    <w:p w14:paraId="6ACC603E" w14:textId="7DC6D195" w:rsidR="00F93411" w:rsidRPr="001D6DA8" w:rsidRDefault="00F93411" w:rsidP="00F93411">
      <w:pPr>
        <w:rPr>
          <w:lang w:val="en-GB"/>
        </w:rPr>
      </w:pPr>
      <w:r w:rsidRPr="001D6DA8">
        <w:rPr>
          <w:lang w:val="en-GB"/>
        </w:rPr>
        <w:t>Key scientific findings demonstrate substantial energy conservation potential through thermal envelope optimization. Specifically, increasing exterior wall thickness and thermal resistance can achieve up to 40.1% annual heating energy savings.</w:t>
      </w:r>
    </w:p>
    <w:p w14:paraId="3D950809" w14:textId="258F0175" w:rsidR="00F93411" w:rsidRPr="001D6DA8" w:rsidRDefault="00F93411" w:rsidP="00F93411">
      <w:pPr>
        <w:rPr>
          <w:lang w:val="en-GB"/>
        </w:rPr>
      </w:pPr>
      <w:r w:rsidRPr="001D6DA8">
        <w:rPr>
          <w:lang w:val="en-GB"/>
        </w:rPr>
        <w:t>Comprehensive thermal modernization, encompassing wall insulation and fenestration replacement, can reduce heating system load by nearly 40-50%.</w:t>
      </w:r>
    </w:p>
    <w:p w14:paraId="19620F1F" w14:textId="77777777" w:rsidR="00F93411" w:rsidRPr="001D6DA8" w:rsidRDefault="00F93411" w:rsidP="00F93411">
      <w:pPr>
        <w:rPr>
          <w:lang w:val="en-GB"/>
        </w:rPr>
      </w:pPr>
      <w:r w:rsidRPr="001D6DA8">
        <w:rPr>
          <w:lang w:val="en-GB"/>
        </w:rPr>
        <w:t>The role of heat flows to interior heaters in balancing the heating level while maintaining the specified indoor air temperature regimes is determined.</w:t>
      </w:r>
    </w:p>
    <w:p w14:paraId="61EAE789" w14:textId="1125885A" w:rsidR="00F93411" w:rsidRPr="001D6DA8" w:rsidRDefault="00F93411" w:rsidP="00F93411">
      <w:pPr>
        <w:rPr>
          <w:lang w:val="en-GB"/>
        </w:rPr>
      </w:pPr>
      <w:r w:rsidRPr="001D6DA8">
        <w:rPr>
          <w:lang w:val="en-GB"/>
        </w:rPr>
        <w:lastRenderedPageBreak/>
        <w:t>Implement</w:t>
      </w:r>
      <w:r w:rsidR="004360B0">
        <w:rPr>
          <w:lang w:val="en-GB"/>
        </w:rPr>
        <w:t>ing</w:t>
      </w:r>
      <w:r w:rsidRPr="001D6DA8">
        <w:rPr>
          <w:lang w:val="en-GB"/>
        </w:rPr>
        <w:t xml:space="preserve"> intermittent heating modes allows </w:t>
      </w:r>
      <w:r w:rsidR="004360B0">
        <w:rPr>
          <w:lang w:val="en-GB"/>
        </w:rPr>
        <w:t xml:space="preserve">for an </w:t>
      </w:r>
      <w:r w:rsidRPr="001D6DA8">
        <w:rPr>
          <w:lang w:val="en-GB"/>
        </w:rPr>
        <w:t xml:space="preserve">additional </w:t>
      </w:r>
      <w:r w:rsidR="004360B0">
        <w:rPr>
          <w:lang w:val="en-GB"/>
        </w:rPr>
        <w:t>15-23% energy consumption reduction</w:t>
      </w:r>
      <w:r w:rsidRPr="001D6DA8">
        <w:rPr>
          <w:lang w:val="en-GB"/>
        </w:rPr>
        <w:t>, depending on other characteristics.</w:t>
      </w:r>
    </w:p>
    <w:p w14:paraId="0BC1535B" w14:textId="7A379EBF" w:rsidR="00F93411" w:rsidRPr="001D6DA8" w:rsidRDefault="00F93411" w:rsidP="00F93411">
      <w:pPr>
        <w:rPr>
          <w:lang w:val="en-GB"/>
        </w:rPr>
      </w:pPr>
      <w:r w:rsidRPr="001D6DA8">
        <w:rPr>
          <w:lang w:val="en-GB"/>
        </w:rPr>
        <w:t xml:space="preserve">The methodological value of the research resides in developing a precision approach to parametric thermal dynamics </w:t>
      </w:r>
      <w:proofErr w:type="spellStart"/>
      <w:r w:rsidRPr="001D6DA8">
        <w:rPr>
          <w:lang w:val="en-GB"/>
        </w:rPr>
        <w:t>modeling</w:t>
      </w:r>
      <w:proofErr w:type="spellEnd"/>
      <w:r w:rsidRPr="001D6DA8">
        <w:rPr>
          <w:lang w:val="en-GB"/>
        </w:rPr>
        <w:t>, incorporating hourly climatic data and comprehensive interactions between architectural, structural, and operational factors.</w:t>
      </w:r>
    </w:p>
    <w:p w14:paraId="12A782B5" w14:textId="2DD572F4" w:rsidR="00F93411" w:rsidRPr="001D6DA8" w:rsidRDefault="00F93411" w:rsidP="00F93411">
      <w:pPr>
        <w:rPr>
          <w:lang w:val="en-GB"/>
        </w:rPr>
      </w:pPr>
      <w:r w:rsidRPr="001D6DA8">
        <w:rPr>
          <w:lang w:val="en-GB"/>
        </w:rPr>
        <w:t>The obtained results hold significant implications for architectural design, energy-efficient building modernization and retrofit, and the development of adaptive thermal management systems</w:t>
      </w:r>
      <w:r w:rsidR="00DE57C7" w:rsidRPr="001D6DA8">
        <w:rPr>
          <w:lang w:val="en-GB"/>
        </w:rPr>
        <w:t>, namely to become the basis for tuning controllers using building artificial intelligence/neural networks, which will allow for a more accurate and detailed representation of heat transfer characteristics inside the building.</w:t>
      </w:r>
    </w:p>
    <w:p w14:paraId="3235CCE6" w14:textId="77777777" w:rsidR="00DF3442" w:rsidRPr="001D6DA8" w:rsidRDefault="001515E4" w:rsidP="001515E4">
      <w:pPr>
        <w:pStyle w:val="Rn2"/>
        <w:rPr>
          <w:lang w:val="en-GB"/>
        </w:rPr>
      </w:pPr>
      <w:r w:rsidRPr="001D6DA8">
        <w:rPr>
          <w:lang w:val="en-GB"/>
        </w:rPr>
        <w:t>References</w:t>
      </w:r>
    </w:p>
    <w:p w14:paraId="55025544" w14:textId="1F3553A4" w:rsidR="00B104D6" w:rsidRPr="001D6DA8" w:rsidRDefault="00B104D6" w:rsidP="00854F34">
      <w:pPr>
        <w:pStyle w:val="Rlit"/>
        <w:spacing w:line="235" w:lineRule="auto"/>
        <w:rPr>
          <w:rFonts w:eastAsia="Calibri"/>
          <w:shd w:val="clear" w:color="auto" w:fill="FFFFFF"/>
          <w:lang w:val="en-GB"/>
        </w:rPr>
      </w:pPr>
      <w:proofErr w:type="spellStart"/>
      <w:r w:rsidRPr="001D6DA8">
        <w:rPr>
          <w:rFonts w:eastAsia="Calibri"/>
          <w:shd w:val="clear" w:color="auto" w:fill="FFFFFF"/>
          <w:lang w:val="en-GB"/>
        </w:rPr>
        <w:t>Asdrubali</w:t>
      </w:r>
      <w:proofErr w:type="spellEnd"/>
      <w:r w:rsidRPr="001D6DA8">
        <w:rPr>
          <w:rFonts w:eastAsia="Calibri"/>
          <w:shd w:val="clear" w:color="auto" w:fill="FFFFFF"/>
          <w:lang w:val="en-GB"/>
        </w:rPr>
        <w:t xml:space="preserve">, F., Venanzi, D., Evangelisti, L., </w:t>
      </w:r>
      <w:proofErr w:type="spellStart"/>
      <w:r w:rsidRPr="001D6DA8">
        <w:rPr>
          <w:rFonts w:eastAsia="Calibri"/>
          <w:shd w:val="clear" w:color="auto" w:fill="FFFFFF"/>
          <w:lang w:val="en-GB"/>
        </w:rPr>
        <w:t>Guattari</w:t>
      </w:r>
      <w:proofErr w:type="spellEnd"/>
      <w:r w:rsidRPr="001D6DA8">
        <w:rPr>
          <w:rFonts w:eastAsia="Calibri"/>
          <w:shd w:val="clear" w:color="auto" w:fill="FFFFFF"/>
          <w:lang w:val="en-GB"/>
        </w:rPr>
        <w:t xml:space="preserve">, C., </w:t>
      </w:r>
      <w:proofErr w:type="spellStart"/>
      <w:r w:rsidRPr="001D6DA8">
        <w:rPr>
          <w:rFonts w:eastAsia="Calibri"/>
          <w:shd w:val="clear" w:color="auto" w:fill="FFFFFF"/>
          <w:lang w:val="en-GB"/>
        </w:rPr>
        <w:t>Grazieschi</w:t>
      </w:r>
      <w:proofErr w:type="spellEnd"/>
      <w:r w:rsidRPr="001D6DA8">
        <w:rPr>
          <w:rFonts w:eastAsia="Calibri"/>
          <w:shd w:val="clear" w:color="auto" w:fill="FFFFFF"/>
          <w:lang w:val="en-GB"/>
        </w:rPr>
        <w:t xml:space="preserve">, G., Matteucci, P., &amp; Roncone, M. (2020). An Evaluation of the Environmental Payback Times and Economic Convenience in an Energy Requalification of a School. </w:t>
      </w:r>
      <w:r w:rsidRPr="001D6DA8">
        <w:rPr>
          <w:rFonts w:eastAsia="Calibri"/>
          <w:i/>
          <w:iCs/>
          <w:shd w:val="clear" w:color="auto" w:fill="FFFFFF"/>
          <w:lang w:val="en-GB"/>
        </w:rPr>
        <w:t>Buildings</w:t>
      </w:r>
      <w:r w:rsidRPr="001D6DA8">
        <w:rPr>
          <w:rFonts w:eastAsia="Calibri"/>
          <w:shd w:val="clear" w:color="auto" w:fill="FFFFFF"/>
          <w:lang w:val="en-GB"/>
        </w:rPr>
        <w:t xml:space="preserve">, </w:t>
      </w:r>
      <w:r w:rsidRPr="001D6DA8">
        <w:rPr>
          <w:rFonts w:eastAsia="Calibri"/>
          <w:i/>
          <w:iCs/>
          <w:shd w:val="clear" w:color="auto" w:fill="FFFFFF"/>
          <w:lang w:val="en-GB"/>
        </w:rPr>
        <w:t>11</w:t>
      </w:r>
      <w:r w:rsidRPr="001D6DA8">
        <w:rPr>
          <w:rFonts w:eastAsia="Calibri"/>
          <w:shd w:val="clear" w:color="auto" w:fill="FFFFFF"/>
          <w:lang w:val="en-GB"/>
        </w:rPr>
        <w:t>(1), 12. https://doi.org/10.3390/buildings11010012</w:t>
      </w:r>
    </w:p>
    <w:p w14:paraId="558DF701" w14:textId="0CC9512E" w:rsidR="00B104D6" w:rsidRPr="0007421E" w:rsidRDefault="00B104D6" w:rsidP="00292BF7">
      <w:pPr>
        <w:pStyle w:val="Rlit"/>
        <w:spacing w:line="235" w:lineRule="auto"/>
        <w:rPr>
          <w:rFonts w:eastAsia="Calibri"/>
          <w:spacing w:val="-4"/>
          <w:shd w:val="clear" w:color="auto" w:fill="FFFFFF"/>
          <w:lang w:val="en-GB"/>
        </w:rPr>
      </w:pPr>
      <w:r w:rsidRPr="0007421E">
        <w:rPr>
          <w:rFonts w:eastAsia="Calibri"/>
          <w:spacing w:val="-4"/>
          <w:shd w:val="clear" w:color="auto" w:fill="FFFFFF"/>
          <w:lang w:val="en-GB"/>
        </w:rPr>
        <w:t xml:space="preserve">Belaïd, F., </w:t>
      </w:r>
      <w:r w:rsidR="0007421E" w:rsidRPr="0007421E">
        <w:rPr>
          <w:rFonts w:eastAsia="Calibri"/>
          <w:spacing w:val="-4"/>
          <w:shd w:val="clear" w:color="auto" w:fill="FFFFFF"/>
          <w:lang w:val="en-GB"/>
        </w:rPr>
        <w:t xml:space="preserve">&amp; </w:t>
      </w:r>
      <w:proofErr w:type="spellStart"/>
      <w:r w:rsidRPr="0007421E">
        <w:rPr>
          <w:rFonts w:eastAsia="Calibri"/>
          <w:spacing w:val="-4"/>
          <w:shd w:val="clear" w:color="auto" w:fill="FFFFFF"/>
          <w:lang w:val="en-GB"/>
        </w:rPr>
        <w:t>Massié</w:t>
      </w:r>
      <w:proofErr w:type="spellEnd"/>
      <w:r w:rsidRPr="0007421E">
        <w:rPr>
          <w:rFonts w:eastAsia="Calibri"/>
          <w:spacing w:val="-4"/>
          <w:shd w:val="clear" w:color="auto" w:fill="FFFFFF"/>
          <w:lang w:val="en-GB"/>
        </w:rPr>
        <w:t xml:space="preserve">, C. (2023). Driving forward a low-carbon built environment: The impact of energy con-text and environmental concerns on building renovation. </w:t>
      </w:r>
      <w:r w:rsidRPr="0007421E">
        <w:rPr>
          <w:rFonts w:eastAsia="Calibri"/>
          <w:i/>
          <w:iCs/>
          <w:spacing w:val="-4"/>
          <w:shd w:val="clear" w:color="auto" w:fill="FFFFFF"/>
          <w:lang w:val="en-GB"/>
        </w:rPr>
        <w:t>Energy Economics</w:t>
      </w:r>
      <w:r w:rsidRPr="0007421E">
        <w:rPr>
          <w:rFonts w:eastAsia="Calibri"/>
          <w:spacing w:val="-4"/>
          <w:shd w:val="clear" w:color="auto" w:fill="FFFFFF"/>
          <w:lang w:val="en-GB"/>
        </w:rPr>
        <w:t xml:space="preserve">, </w:t>
      </w:r>
      <w:r w:rsidRPr="0007421E">
        <w:rPr>
          <w:rFonts w:eastAsia="Calibri"/>
          <w:i/>
          <w:iCs/>
          <w:spacing w:val="-4"/>
          <w:shd w:val="clear" w:color="auto" w:fill="FFFFFF"/>
          <w:lang w:val="en-GB"/>
        </w:rPr>
        <w:t>124</w:t>
      </w:r>
      <w:r w:rsidRPr="0007421E">
        <w:rPr>
          <w:rFonts w:eastAsia="Calibri"/>
          <w:spacing w:val="-4"/>
          <w:shd w:val="clear" w:color="auto" w:fill="FFFFFF"/>
          <w:lang w:val="en-GB"/>
        </w:rPr>
        <w:t>. https://doi.org/10.1016/j.eneco.2023.106865</w:t>
      </w:r>
    </w:p>
    <w:p w14:paraId="4249D162" w14:textId="223C1513" w:rsidR="00B104D6" w:rsidRPr="001D6DA8" w:rsidRDefault="00B104D6" w:rsidP="00854F34">
      <w:pPr>
        <w:pStyle w:val="Rlit"/>
        <w:spacing w:line="235" w:lineRule="auto"/>
        <w:rPr>
          <w:rFonts w:eastAsia="Calibri"/>
          <w:shd w:val="clear" w:color="auto" w:fill="FFFFFF"/>
          <w:lang w:val="en-GB"/>
        </w:rPr>
      </w:pPr>
      <w:r w:rsidRPr="001D6DA8">
        <w:rPr>
          <w:rFonts w:eastAsia="Calibri"/>
          <w:shd w:val="clear" w:color="auto" w:fill="FFFFFF"/>
          <w:lang w:val="en-GB"/>
        </w:rPr>
        <w:t xml:space="preserve">Buyak, N., </w:t>
      </w:r>
      <w:proofErr w:type="spellStart"/>
      <w:r w:rsidRPr="001D6DA8">
        <w:rPr>
          <w:rFonts w:eastAsia="Calibri"/>
          <w:shd w:val="clear" w:color="auto" w:fill="FFFFFF"/>
          <w:lang w:val="en-GB"/>
        </w:rPr>
        <w:t>Deshko</w:t>
      </w:r>
      <w:proofErr w:type="spellEnd"/>
      <w:r w:rsidRPr="001D6DA8">
        <w:rPr>
          <w:rFonts w:eastAsia="Calibri"/>
          <w:shd w:val="clear" w:color="auto" w:fill="FFFFFF"/>
          <w:lang w:val="en-GB"/>
        </w:rPr>
        <w:t xml:space="preserve">, V., </w:t>
      </w:r>
      <w:r w:rsidR="0007421E" w:rsidRPr="001D6DA8">
        <w:rPr>
          <w:rFonts w:eastAsia="Calibri"/>
          <w:shd w:val="clear" w:color="auto" w:fill="FFFFFF"/>
          <w:lang w:val="en-GB"/>
        </w:rPr>
        <w:t xml:space="preserve">&amp; </w:t>
      </w:r>
      <w:r w:rsidRPr="001D6DA8">
        <w:rPr>
          <w:rFonts w:eastAsia="Calibri"/>
          <w:shd w:val="clear" w:color="auto" w:fill="FFFFFF"/>
          <w:lang w:val="en-GB"/>
        </w:rPr>
        <w:t xml:space="preserve">Bilous, I. (2021). </w:t>
      </w:r>
      <w:proofErr w:type="spellStart"/>
      <w:r w:rsidRPr="001D6DA8">
        <w:rPr>
          <w:rFonts w:eastAsia="Calibri"/>
          <w:shd w:val="clear" w:color="auto" w:fill="FFFFFF"/>
          <w:lang w:val="en-GB"/>
        </w:rPr>
        <w:t>Сhanging</w:t>
      </w:r>
      <w:proofErr w:type="spellEnd"/>
      <w:r w:rsidRPr="001D6DA8">
        <w:rPr>
          <w:rFonts w:eastAsia="Calibri"/>
          <w:shd w:val="clear" w:color="auto" w:fill="FFFFFF"/>
          <w:lang w:val="en-GB"/>
        </w:rPr>
        <w:t xml:space="preserve"> Energy and Exergy Comfort Level after School </w:t>
      </w:r>
      <w:proofErr w:type="spellStart"/>
      <w:r w:rsidRPr="001D6DA8">
        <w:rPr>
          <w:rFonts w:eastAsia="Calibri"/>
          <w:shd w:val="clear" w:color="auto" w:fill="FFFFFF"/>
          <w:lang w:val="en-GB"/>
        </w:rPr>
        <w:t>Thermomodernization</w:t>
      </w:r>
      <w:proofErr w:type="spellEnd"/>
      <w:r w:rsidRPr="001D6DA8">
        <w:rPr>
          <w:rFonts w:eastAsia="Calibri"/>
          <w:shd w:val="clear" w:color="auto" w:fill="FFFFFF"/>
          <w:lang w:val="en-GB"/>
        </w:rPr>
        <w:t xml:space="preserve">. </w:t>
      </w:r>
      <w:proofErr w:type="spellStart"/>
      <w:r w:rsidRPr="001D6DA8">
        <w:rPr>
          <w:rFonts w:eastAsia="Calibri"/>
          <w:i/>
          <w:iCs/>
          <w:shd w:val="clear" w:color="auto" w:fill="FFFFFF"/>
          <w:lang w:val="en-GB"/>
        </w:rPr>
        <w:t>Rocznik</w:t>
      </w:r>
      <w:proofErr w:type="spellEnd"/>
      <w:r w:rsidRPr="001D6DA8">
        <w:rPr>
          <w:rFonts w:eastAsia="Calibri"/>
          <w:i/>
          <w:iCs/>
          <w:shd w:val="clear" w:color="auto" w:fill="FFFFFF"/>
          <w:lang w:val="en-GB"/>
        </w:rPr>
        <w:t xml:space="preserve"> </w:t>
      </w:r>
      <w:proofErr w:type="spellStart"/>
      <w:r w:rsidRPr="001D6DA8">
        <w:rPr>
          <w:rFonts w:eastAsia="Calibri"/>
          <w:i/>
          <w:iCs/>
          <w:shd w:val="clear" w:color="auto" w:fill="FFFFFF"/>
          <w:lang w:val="en-GB"/>
        </w:rPr>
        <w:t>Ochrona</w:t>
      </w:r>
      <w:proofErr w:type="spellEnd"/>
      <w:r w:rsidRPr="001D6DA8">
        <w:rPr>
          <w:rFonts w:eastAsia="Calibri"/>
          <w:i/>
          <w:iCs/>
          <w:shd w:val="clear" w:color="auto" w:fill="FFFFFF"/>
          <w:lang w:val="en-GB"/>
        </w:rPr>
        <w:t xml:space="preserve"> </w:t>
      </w:r>
      <w:proofErr w:type="spellStart"/>
      <w:r w:rsidRPr="001D6DA8">
        <w:rPr>
          <w:rFonts w:eastAsia="Calibri"/>
          <w:i/>
          <w:iCs/>
          <w:shd w:val="clear" w:color="auto" w:fill="FFFFFF"/>
          <w:lang w:val="en-GB"/>
        </w:rPr>
        <w:t>Srodowiska</w:t>
      </w:r>
      <w:proofErr w:type="spellEnd"/>
      <w:r w:rsidRPr="001D6DA8">
        <w:rPr>
          <w:rFonts w:eastAsia="Calibri"/>
          <w:shd w:val="clear" w:color="auto" w:fill="FFFFFF"/>
          <w:lang w:val="en-GB"/>
        </w:rPr>
        <w:t xml:space="preserve">, </w:t>
      </w:r>
      <w:r w:rsidRPr="001D6DA8">
        <w:rPr>
          <w:rFonts w:eastAsia="Calibri"/>
          <w:i/>
          <w:iCs/>
          <w:shd w:val="clear" w:color="auto" w:fill="FFFFFF"/>
          <w:lang w:val="en-GB"/>
        </w:rPr>
        <w:t>23</w:t>
      </w:r>
      <w:r w:rsidRPr="001D6DA8">
        <w:rPr>
          <w:rFonts w:eastAsia="Calibri"/>
          <w:shd w:val="clear" w:color="auto" w:fill="FFFFFF"/>
          <w:lang w:val="en-GB"/>
        </w:rPr>
        <w:t>, 458</w:t>
      </w:r>
      <w:r w:rsidR="00943120" w:rsidRPr="001D6DA8">
        <w:rPr>
          <w:rFonts w:eastAsia="Calibri"/>
          <w:shd w:val="clear" w:color="auto" w:fill="FFFFFF"/>
          <w:lang w:val="en-GB"/>
        </w:rPr>
        <w:t>-</w:t>
      </w:r>
      <w:r w:rsidRPr="001D6DA8">
        <w:rPr>
          <w:rFonts w:eastAsia="Calibri"/>
          <w:shd w:val="clear" w:color="auto" w:fill="FFFFFF"/>
          <w:lang w:val="en-GB"/>
        </w:rPr>
        <w:t>469. https://doi.org/10.54740/ros.2021.031</w:t>
      </w:r>
    </w:p>
    <w:p w14:paraId="24F26549" w14:textId="27E8C062" w:rsidR="00B104D6" w:rsidRPr="001D6DA8" w:rsidRDefault="00B104D6" w:rsidP="00854F34">
      <w:pPr>
        <w:pStyle w:val="Rlit"/>
        <w:spacing w:line="235" w:lineRule="auto"/>
        <w:jc w:val="left"/>
        <w:rPr>
          <w:rFonts w:eastAsia="Calibri"/>
          <w:shd w:val="clear" w:color="auto" w:fill="FFFFFF"/>
          <w:lang w:val="en-GB"/>
        </w:rPr>
      </w:pPr>
      <w:r w:rsidRPr="001D6DA8">
        <w:rPr>
          <w:rFonts w:eastAsia="Calibri"/>
          <w:shd w:val="clear" w:color="auto" w:fill="FFFFFF"/>
          <w:lang w:val="en-GB"/>
        </w:rPr>
        <w:t xml:space="preserve">Buyak, N., </w:t>
      </w:r>
      <w:proofErr w:type="spellStart"/>
      <w:r w:rsidRPr="001D6DA8">
        <w:rPr>
          <w:rFonts w:eastAsia="Calibri"/>
          <w:shd w:val="clear" w:color="auto" w:fill="FFFFFF"/>
          <w:lang w:val="en-GB"/>
        </w:rPr>
        <w:t>Deshko</w:t>
      </w:r>
      <w:proofErr w:type="spellEnd"/>
      <w:r w:rsidRPr="001D6DA8">
        <w:rPr>
          <w:rFonts w:eastAsia="Calibri"/>
          <w:shd w:val="clear" w:color="auto" w:fill="FFFFFF"/>
          <w:lang w:val="en-GB"/>
        </w:rPr>
        <w:t xml:space="preserve">, V., Bilous, I., </w:t>
      </w:r>
      <w:proofErr w:type="spellStart"/>
      <w:r w:rsidRPr="001D6DA8">
        <w:rPr>
          <w:rFonts w:eastAsia="Calibri"/>
          <w:shd w:val="clear" w:color="auto" w:fill="FFFFFF"/>
          <w:lang w:val="en-GB"/>
        </w:rPr>
        <w:t>Biriukov</w:t>
      </w:r>
      <w:proofErr w:type="spellEnd"/>
      <w:r w:rsidRPr="001D6DA8">
        <w:rPr>
          <w:rFonts w:eastAsia="Calibri"/>
          <w:shd w:val="clear" w:color="auto" w:fill="FFFFFF"/>
          <w:lang w:val="en-GB"/>
        </w:rPr>
        <w:t xml:space="preserve">, D. </w:t>
      </w:r>
      <w:r w:rsidR="0007421E" w:rsidRPr="001D6DA8">
        <w:rPr>
          <w:rFonts w:eastAsia="Calibri"/>
          <w:shd w:val="clear" w:color="auto" w:fill="FFFFFF"/>
          <w:lang w:val="en-GB"/>
        </w:rPr>
        <w:t xml:space="preserve">&amp; </w:t>
      </w:r>
      <w:r w:rsidRPr="001D6DA8">
        <w:rPr>
          <w:rFonts w:eastAsia="Calibri"/>
          <w:shd w:val="clear" w:color="auto" w:fill="FFFFFF"/>
          <w:lang w:val="en-GB"/>
        </w:rPr>
        <w:t xml:space="preserve">Voloshchuk, V. (2024). Applying dynamic energy and exergy analysis to a building envelope. </w:t>
      </w:r>
      <w:r w:rsidRPr="001D6DA8">
        <w:rPr>
          <w:rFonts w:eastAsia="Calibri"/>
          <w:i/>
          <w:iCs/>
          <w:shd w:val="clear" w:color="auto" w:fill="FFFFFF"/>
          <w:lang w:val="en-GB"/>
        </w:rPr>
        <w:t>Int. J. Exergy</w:t>
      </w:r>
      <w:r w:rsidRPr="001D6DA8">
        <w:rPr>
          <w:rFonts w:eastAsia="Calibri"/>
          <w:shd w:val="clear" w:color="auto" w:fill="FFFFFF"/>
          <w:lang w:val="en-GB"/>
        </w:rPr>
        <w:t xml:space="preserve">, </w:t>
      </w:r>
      <w:r w:rsidRPr="001D6DA8">
        <w:rPr>
          <w:rFonts w:eastAsia="Calibri"/>
          <w:i/>
          <w:iCs/>
          <w:shd w:val="clear" w:color="auto" w:fill="FFFFFF"/>
          <w:lang w:val="en-GB"/>
        </w:rPr>
        <w:t>43</w:t>
      </w:r>
      <w:r w:rsidR="00943120" w:rsidRPr="001D6DA8">
        <w:rPr>
          <w:rFonts w:eastAsia="Calibri"/>
          <w:shd w:val="clear" w:color="auto" w:fill="FFFFFF"/>
          <w:lang w:val="en-GB"/>
        </w:rPr>
        <w:t>(</w:t>
      </w:r>
      <w:r w:rsidRPr="001D6DA8">
        <w:rPr>
          <w:rFonts w:eastAsia="Calibri"/>
          <w:shd w:val="clear" w:color="auto" w:fill="FFFFFF"/>
          <w:lang w:val="en-GB"/>
        </w:rPr>
        <w:t>2</w:t>
      </w:r>
      <w:r w:rsidR="00943120" w:rsidRPr="001D6DA8">
        <w:rPr>
          <w:rFonts w:eastAsia="Calibri"/>
          <w:shd w:val="clear" w:color="auto" w:fill="FFFFFF"/>
          <w:lang w:val="en-GB"/>
        </w:rPr>
        <w:t>)</w:t>
      </w:r>
      <w:r w:rsidRPr="001D6DA8">
        <w:rPr>
          <w:rFonts w:eastAsia="Calibri"/>
          <w:shd w:val="clear" w:color="auto" w:fill="FFFFFF"/>
          <w:lang w:val="en-GB"/>
        </w:rPr>
        <w:t>. 93-107. https://doi.org/10.1504/IJEX.2024.136928</w:t>
      </w:r>
    </w:p>
    <w:p w14:paraId="02245C58" w14:textId="3B747728" w:rsidR="00B104D6" w:rsidRPr="001D6DA8" w:rsidRDefault="00B104D6" w:rsidP="00854F34">
      <w:pPr>
        <w:pStyle w:val="Rlit"/>
        <w:spacing w:line="235" w:lineRule="auto"/>
        <w:rPr>
          <w:rFonts w:eastAsia="Calibri"/>
          <w:shd w:val="clear" w:color="auto" w:fill="FFFFFF"/>
          <w:lang w:val="en-GB"/>
        </w:rPr>
      </w:pPr>
      <w:r w:rsidRPr="001D6DA8">
        <w:rPr>
          <w:rFonts w:eastAsia="Calibri"/>
          <w:shd w:val="clear" w:color="auto" w:fill="FFFFFF"/>
          <w:lang w:val="en-GB"/>
        </w:rPr>
        <w:t xml:space="preserve">Buyak, N., </w:t>
      </w:r>
      <w:proofErr w:type="spellStart"/>
      <w:r w:rsidRPr="001D6DA8">
        <w:rPr>
          <w:rFonts w:eastAsia="Calibri"/>
          <w:shd w:val="clear" w:color="auto" w:fill="FFFFFF"/>
          <w:lang w:val="en-GB"/>
        </w:rPr>
        <w:t>Deshko</w:t>
      </w:r>
      <w:proofErr w:type="spellEnd"/>
      <w:r w:rsidRPr="001D6DA8">
        <w:rPr>
          <w:rFonts w:eastAsia="Calibri"/>
          <w:shd w:val="clear" w:color="auto" w:fill="FFFFFF"/>
          <w:lang w:val="en-GB"/>
        </w:rPr>
        <w:t xml:space="preserve">, V., Bilous, I., Pavlenko, A., </w:t>
      </w:r>
      <w:proofErr w:type="spellStart"/>
      <w:r w:rsidRPr="001D6DA8">
        <w:rPr>
          <w:rFonts w:eastAsia="Calibri"/>
          <w:shd w:val="clear" w:color="auto" w:fill="FFFFFF"/>
          <w:lang w:val="en-GB"/>
        </w:rPr>
        <w:t>Sapunov</w:t>
      </w:r>
      <w:proofErr w:type="spellEnd"/>
      <w:r w:rsidRPr="001D6DA8">
        <w:rPr>
          <w:rFonts w:eastAsia="Calibri"/>
          <w:shd w:val="clear" w:color="auto" w:fill="FFFFFF"/>
          <w:lang w:val="en-GB"/>
        </w:rPr>
        <w:t xml:space="preserve">, A., &amp; </w:t>
      </w:r>
      <w:proofErr w:type="spellStart"/>
      <w:r w:rsidRPr="001D6DA8">
        <w:rPr>
          <w:rFonts w:eastAsia="Calibri"/>
          <w:shd w:val="clear" w:color="auto" w:fill="FFFFFF"/>
          <w:lang w:val="en-GB"/>
        </w:rPr>
        <w:t>Biriukov</w:t>
      </w:r>
      <w:proofErr w:type="spellEnd"/>
      <w:r w:rsidRPr="001D6DA8">
        <w:rPr>
          <w:rFonts w:eastAsia="Calibri"/>
          <w:shd w:val="clear" w:color="auto" w:fill="FFFFFF"/>
          <w:lang w:val="en-GB"/>
        </w:rPr>
        <w:t xml:space="preserve">, D. (2023). Dynamic interdependence of comfortable thermal conditions and energy efficiency increase in a nursery school building for heating and cooling period. </w:t>
      </w:r>
      <w:r w:rsidRPr="001D6DA8">
        <w:rPr>
          <w:rFonts w:eastAsia="Calibri"/>
          <w:i/>
          <w:iCs/>
          <w:shd w:val="clear" w:color="auto" w:fill="FFFFFF"/>
          <w:lang w:val="en-GB"/>
        </w:rPr>
        <w:t>Energy</w:t>
      </w:r>
      <w:r w:rsidRPr="001D6DA8">
        <w:rPr>
          <w:rFonts w:eastAsia="Calibri"/>
          <w:shd w:val="clear" w:color="auto" w:fill="FFFFFF"/>
          <w:lang w:val="en-GB"/>
        </w:rPr>
        <w:t xml:space="preserve">, </w:t>
      </w:r>
      <w:r w:rsidRPr="001D6DA8">
        <w:rPr>
          <w:rFonts w:eastAsia="Calibri"/>
          <w:i/>
          <w:iCs/>
          <w:shd w:val="clear" w:color="auto" w:fill="FFFFFF"/>
          <w:lang w:val="en-GB"/>
        </w:rPr>
        <w:t>283</w:t>
      </w:r>
      <w:r w:rsidRPr="001D6DA8">
        <w:rPr>
          <w:rFonts w:eastAsia="Calibri"/>
          <w:shd w:val="clear" w:color="auto" w:fill="FFFFFF"/>
          <w:lang w:val="en-GB"/>
        </w:rPr>
        <w:t xml:space="preserve">. </w:t>
      </w:r>
      <w:r w:rsidR="00943120" w:rsidRPr="001D6DA8">
        <w:rPr>
          <w:rFonts w:eastAsia="Calibri"/>
          <w:shd w:val="clear" w:color="auto" w:fill="FFFFFF"/>
          <w:lang w:val="en-GB"/>
        </w:rPr>
        <w:t>https://doi.org/</w:t>
      </w:r>
      <w:r w:rsidRPr="001D6DA8">
        <w:rPr>
          <w:rFonts w:eastAsia="Calibri"/>
          <w:shd w:val="clear" w:color="auto" w:fill="FFFFFF"/>
          <w:lang w:val="en-GB"/>
        </w:rPr>
        <w:t>10.1016/j.energy.2023.129076</w:t>
      </w:r>
    </w:p>
    <w:p w14:paraId="73511560" w14:textId="2729409A" w:rsidR="00B104D6" w:rsidRPr="001D6DA8" w:rsidRDefault="00B104D6" w:rsidP="00854F34">
      <w:pPr>
        <w:pStyle w:val="Rlit"/>
        <w:spacing w:line="235" w:lineRule="auto"/>
        <w:rPr>
          <w:rFonts w:eastAsia="Calibri"/>
          <w:shd w:val="clear" w:color="auto" w:fill="FFFFFF"/>
          <w:lang w:val="en-GB"/>
        </w:rPr>
      </w:pPr>
      <w:r w:rsidRPr="001D6DA8">
        <w:rPr>
          <w:rFonts w:eastAsia="Calibri"/>
          <w:shd w:val="clear" w:color="auto" w:fill="FFFFFF"/>
          <w:lang w:val="en-GB"/>
        </w:rPr>
        <w:t xml:space="preserve">Deka, P., </w:t>
      </w:r>
      <w:r w:rsidR="0007421E" w:rsidRPr="001D6DA8">
        <w:rPr>
          <w:rFonts w:eastAsia="Calibri"/>
          <w:shd w:val="clear" w:color="auto" w:fill="FFFFFF"/>
          <w:lang w:val="en-GB"/>
        </w:rPr>
        <w:t xml:space="preserve">&amp; </w:t>
      </w:r>
      <w:proofErr w:type="spellStart"/>
      <w:r w:rsidRPr="001D6DA8">
        <w:rPr>
          <w:rFonts w:eastAsia="Calibri"/>
          <w:shd w:val="clear" w:color="auto" w:fill="FFFFFF"/>
          <w:lang w:val="en-GB"/>
        </w:rPr>
        <w:t>Szlęk</w:t>
      </w:r>
      <w:proofErr w:type="spellEnd"/>
      <w:r w:rsidRPr="001D6DA8">
        <w:rPr>
          <w:rFonts w:eastAsia="Calibri"/>
          <w:shd w:val="clear" w:color="auto" w:fill="FFFFFF"/>
          <w:lang w:val="en-GB"/>
        </w:rPr>
        <w:t xml:space="preserve">, A. (2022). Thermal energy storage in buildings: Opportunities and challenges. (2023). </w:t>
      </w:r>
      <w:r w:rsidRPr="001D6DA8">
        <w:rPr>
          <w:rFonts w:eastAsia="Calibri"/>
          <w:i/>
          <w:iCs/>
          <w:shd w:val="clear" w:color="auto" w:fill="FFFFFF"/>
          <w:lang w:val="en-GB"/>
        </w:rPr>
        <w:t>Archives of Thermodynamics</w:t>
      </w:r>
      <w:r w:rsidRPr="001D6DA8">
        <w:rPr>
          <w:rFonts w:eastAsia="Calibri"/>
          <w:shd w:val="clear" w:color="auto" w:fill="FFFFFF"/>
          <w:lang w:val="en-GB"/>
        </w:rPr>
        <w:t xml:space="preserve">. </w:t>
      </w:r>
      <w:r w:rsidRPr="001D6DA8">
        <w:rPr>
          <w:rFonts w:eastAsia="Calibri"/>
          <w:i/>
          <w:iCs/>
          <w:shd w:val="clear" w:color="auto" w:fill="FFFFFF"/>
          <w:lang w:val="en-GB"/>
        </w:rPr>
        <w:t>43</w:t>
      </w:r>
      <w:r w:rsidRPr="001D6DA8">
        <w:rPr>
          <w:rFonts w:eastAsia="Calibri"/>
          <w:shd w:val="clear" w:color="auto" w:fill="FFFFFF"/>
          <w:lang w:val="en-GB"/>
        </w:rPr>
        <w:t>(4</w:t>
      </w:r>
      <w:r w:rsidR="00943120" w:rsidRPr="001D6DA8">
        <w:rPr>
          <w:rFonts w:eastAsia="Calibri"/>
          <w:shd w:val="clear" w:color="auto" w:fill="FFFFFF"/>
          <w:lang w:val="en-GB"/>
        </w:rPr>
        <w:t>)</w:t>
      </w:r>
      <w:r w:rsidRPr="001D6DA8">
        <w:rPr>
          <w:rFonts w:eastAsia="Calibri"/>
          <w:shd w:val="clear" w:color="auto" w:fill="FFFFFF"/>
          <w:lang w:val="en-GB"/>
        </w:rPr>
        <w:t>, 21</w:t>
      </w:r>
      <w:r w:rsidR="00943120" w:rsidRPr="001D6DA8">
        <w:rPr>
          <w:rFonts w:eastAsia="Calibri"/>
          <w:shd w:val="clear" w:color="auto" w:fill="FFFFFF"/>
          <w:lang w:val="en-GB"/>
        </w:rPr>
        <w:t>-</w:t>
      </w:r>
      <w:r w:rsidRPr="001D6DA8">
        <w:rPr>
          <w:rFonts w:eastAsia="Calibri"/>
          <w:shd w:val="clear" w:color="auto" w:fill="FFFFFF"/>
          <w:lang w:val="en-GB"/>
        </w:rPr>
        <w:t xml:space="preserve">61. </w:t>
      </w:r>
      <w:r w:rsidR="00943120" w:rsidRPr="001D6DA8">
        <w:rPr>
          <w:rFonts w:eastAsia="Calibri"/>
          <w:shd w:val="clear" w:color="auto" w:fill="FFFFFF"/>
          <w:lang w:val="en-GB"/>
        </w:rPr>
        <w:t>https://doi.org/</w:t>
      </w:r>
      <w:r w:rsidRPr="001D6DA8">
        <w:rPr>
          <w:rFonts w:eastAsia="Calibri"/>
          <w:shd w:val="clear" w:color="auto" w:fill="FFFFFF"/>
          <w:lang w:val="en-GB"/>
        </w:rPr>
        <w:t>10.24425/ather.2022.144405</w:t>
      </w:r>
    </w:p>
    <w:p w14:paraId="08ADE775" w14:textId="74A014FB" w:rsidR="00B104D6" w:rsidRPr="001D6DA8" w:rsidRDefault="00B104D6" w:rsidP="00854F34">
      <w:pPr>
        <w:pStyle w:val="Rlit"/>
        <w:spacing w:line="235" w:lineRule="auto"/>
        <w:rPr>
          <w:rFonts w:eastAsia="Calibri"/>
          <w:shd w:val="clear" w:color="auto" w:fill="FFFFFF"/>
          <w:lang w:val="en-GB"/>
        </w:rPr>
      </w:pPr>
      <w:proofErr w:type="spellStart"/>
      <w:r w:rsidRPr="001D6DA8">
        <w:rPr>
          <w:rFonts w:eastAsia="Calibri"/>
          <w:shd w:val="clear" w:color="auto" w:fill="FFFFFF"/>
          <w:lang w:val="en-GB"/>
        </w:rPr>
        <w:t>Deshko</w:t>
      </w:r>
      <w:proofErr w:type="spellEnd"/>
      <w:r w:rsidRPr="001D6DA8">
        <w:rPr>
          <w:rFonts w:eastAsia="Calibri"/>
          <w:shd w:val="clear" w:color="auto" w:fill="FFFFFF"/>
          <w:lang w:val="en-GB"/>
        </w:rPr>
        <w:t xml:space="preserve">, V., Bilous I., Boiko, T., Shevchenko, O., </w:t>
      </w:r>
      <w:proofErr w:type="spellStart"/>
      <w:r w:rsidRPr="001D6DA8">
        <w:rPr>
          <w:rFonts w:eastAsia="Calibri"/>
          <w:shd w:val="clear" w:color="auto" w:fill="FFFFFF"/>
          <w:lang w:val="en-GB"/>
        </w:rPr>
        <w:t>Borodinecs</w:t>
      </w:r>
      <w:proofErr w:type="spellEnd"/>
      <w:r w:rsidRPr="001D6DA8">
        <w:rPr>
          <w:rFonts w:eastAsia="Calibri"/>
          <w:shd w:val="clear" w:color="auto" w:fill="FFFFFF"/>
          <w:lang w:val="en-GB"/>
        </w:rPr>
        <w:t xml:space="preserve">, A., </w:t>
      </w:r>
      <w:r w:rsidR="0007421E" w:rsidRPr="001D6DA8">
        <w:rPr>
          <w:rFonts w:eastAsia="Calibri"/>
          <w:shd w:val="clear" w:color="auto" w:fill="FFFFFF"/>
          <w:lang w:val="en-GB"/>
        </w:rPr>
        <w:t xml:space="preserve">&amp; </w:t>
      </w:r>
      <w:proofErr w:type="spellStart"/>
      <w:r w:rsidRPr="001D6DA8">
        <w:rPr>
          <w:rFonts w:eastAsia="Calibri"/>
          <w:shd w:val="clear" w:color="auto" w:fill="FFFFFF"/>
          <w:lang w:val="en-GB"/>
        </w:rPr>
        <w:t>Zemitis</w:t>
      </w:r>
      <w:proofErr w:type="spellEnd"/>
      <w:r w:rsidRPr="001D6DA8">
        <w:rPr>
          <w:rFonts w:eastAsia="Calibri"/>
          <w:shd w:val="clear" w:color="auto" w:fill="FFFFFF"/>
          <w:lang w:val="en-GB"/>
        </w:rPr>
        <w:t xml:space="preserve">, J. (2024). Energy performance of higher education institutions buildings operating during quarantine restrictions and/or martial law in Ukraine. </w:t>
      </w:r>
      <w:r w:rsidRPr="001D6DA8">
        <w:rPr>
          <w:rFonts w:eastAsia="Calibri"/>
          <w:i/>
          <w:iCs/>
          <w:shd w:val="clear" w:color="auto" w:fill="FFFFFF"/>
          <w:lang w:val="en-GB"/>
        </w:rPr>
        <w:t xml:space="preserve">Latvian </w:t>
      </w:r>
      <w:r w:rsidR="00943120" w:rsidRPr="001D6DA8">
        <w:rPr>
          <w:rFonts w:eastAsia="Calibri"/>
          <w:i/>
          <w:iCs/>
          <w:shd w:val="clear" w:color="auto" w:fill="FFFFFF"/>
          <w:lang w:val="en-GB"/>
        </w:rPr>
        <w:t>J</w:t>
      </w:r>
      <w:r w:rsidRPr="001D6DA8">
        <w:rPr>
          <w:rFonts w:eastAsia="Calibri"/>
          <w:i/>
          <w:iCs/>
          <w:shd w:val="clear" w:color="auto" w:fill="FFFFFF"/>
          <w:lang w:val="en-GB"/>
        </w:rPr>
        <w:t xml:space="preserve">ournal of </w:t>
      </w:r>
      <w:r w:rsidR="00943120" w:rsidRPr="001D6DA8">
        <w:rPr>
          <w:rFonts w:eastAsia="Calibri"/>
          <w:i/>
          <w:iCs/>
          <w:shd w:val="clear" w:color="auto" w:fill="FFFFFF"/>
          <w:lang w:val="en-GB"/>
        </w:rPr>
        <w:t>P</w:t>
      </w:r>
      <w:r w:rsidRPr="001D6DA8">
        <w:rPr>
          <w:rFonts w:eastAsia="Calibri"/>
          <w:i/>
          <w:iCs/>
          <w:shd w:val="clear" w:color="auto" w:fill="FFFFFF"/>
          <w:lang w:val="en-GB"/>
        </w:rPr>
        <w:t xml:space="preserve">hysics and </w:t>
      </w:r>
      <w:r w:rsidR="00943120" w:rsidRPr="001D6DA8">
        <w:rPr>
          <w:rFonts w:eastAsia="Calibri"/>
          <w:i/>
          <w:iCs/>
          <w:shd w:val="clear" w:color="auto" w:fill="FFFFFF"/>
          <w:lang w:val="en-GB"/>
        </w:rPr>
        <w:t>T</w:t>
      </w:r>
      <w:r w:rsidRPr="001D6DA8">
        <w:rPr>
          <w:rFonts w:eastAsia="Calibri"/>
          <w:i/>
          <w:iCs/>
          <w:shd w:val="clear" w:color="auto" w:fill="FFFFFF"/>
          <w:lang w:val="en-GB"/>
        </w:rPr>
        <w:t xml:space="preserve">echnical </w:t>
      </w:r>
      <w:r w:rsidR="00943120" w:rsidRPr="001D6DA8">
        <w:rPr>
          <w:rFonts w:eastAsia="Calibri"/>
          <w:i/>
          <w:iCs/>
          <w:shd w:val="clear" w:color="auto" w:fill="FFFFFF"/>
          <w:lang w:val="en-GB"/>
        </w:rPr>
        <w:t>S</w:t>
      </w:r>
      <w:r w:rsidRPr="001D6DA8">
        <w:rPr>
          <w:rFonts w:eastAsia="Calibri"/>
          <w:i/>
          <w:iCs/>
          <w:shd w:val="clear" w:color="auto" w:fill="FFFFFF"/>
          <w:lang w:val="en-GB"/>
        </w:rPr>
        <w:t>ciences</w:t>
      </w:r>
      <w:r w:rsidRPr="001D6DA8">
        <w:rPr>
          <w:rFonts w:eastAsia="Calibri"/>
          <w:shd w:val="clear" w:color="auto" w:fill="FFFFFF"/>
          <w:lang w:val="en-GB"/>
        </w:rPr>
        <w:t>,</w:t>
      </w:r>
      <w:r w:rsidR="00943120" w:rsidRPr="001D6DA8">
        <w:rPr>
          <w:rFonts w:eastAsia="Calibri"/>
          <w:shd w:val="clear" w:color="auto" w:fill="FFFFFF"/>
          <w:lang w:val="en-GB"/>
        </w:rPr>
        <w:t xml:space="preserve"> </w:t>
      </w:r>
      <w:r w:rsidRPr="001D6DA8">
        <w:rPr>
          <w:rFonts w:eastAsia="Calibri"/>
          <w:i/>
          <w:iCs/>
          <w:shd w:val="clear" w:color="auto" w:fill="FFFFFF"/>
          <w:lang w:val="en-GB"/>
        </w:rPr>
        <w:t>2</w:t>
      </w:r>
      <w:r w:rsidRPr="001D6DA8">
        <w:rPr>
          <w:rFonts w:eastAsia="Calibri"/>
          <w:shd w:val="clear" w:color="auto" w:fill="FFFFFF"/>
          <w:lang w:val="en-GB"/>
        </w:rPr>
        <w:t>, 44-65. https://doi.org/10.2478/lpts-2024-0012</w:t>
      </w:r>
    </w:p>
    <w:p w14:paraId="1295366B" w14:textId="70A069D1" w:rsidR="00B104D6" w:rsidRPr="001D6DA8" w:rsidRDefault="00B104D6" w:rsidP="00854F34">
      <w:pPr>
        <w:pStyle w:val="Rlit"/>
        <w:spacing w:line="235" w:lineRule="auto"/>
        <w:rPr>
          <w:rFonts w:eastAsia="Calibri"/>
          <w:shd w:val="clear" w:color="auto" w:fill="FFFFFF"/>
          <w:lang w:val="en-GB"/>
        </w:rPr>
      </w:pPr>
      <w:proofErr w:type="spellStart"/>
      <w:r w:rsidRPr="001D6DA8">
        <w:rPr>
          <w:rFonts w:eastAsia="Calibri"/>
          <w:shd w:val="clear" w:color="auto" w:fill="FFFFFF"/>
          <w:lang w:val="en-GB"/>
        </w:rPr>
        <w:t>Deshko</w:t>
      </w:r>
      <w:proofErr w:type="spellEnd"/>
      <w:r w:rsidRPr="001D6DA8">
        <w:rPr>
          <w:rFonts w:eastAsia="Calibri"/>
          <w:shd w:val="clear" w:color="auto" w:fill="FFFFFF"/>
          <w:lang w:val="en-GB"/>
        </w:rPr>
        <w:t xml:space="preserve">, V., Bilous, I., Buyak, N. &amp; Shevchenko, O. (2020). </w:t>
      </w:r>
      <w:r w:rsidRPr="001D6DA8">
        <w:rPr>
          <w:rFonts w:eastAsia="Calibri"/>
          <w:i/>
          <w:iCs/>
          <w:shd w:val="clear" w:color="auto" w:fill="FFFFFF"/>
          <w:lang w:val="en-GB"/>
        </w:rPr>
        <w:t>The Impact of Energy-Efficient Heating Modes on Human Body Exergy Consumption in Public Buildings</w:t>
      </w:r>
      <w:r w:rsidRPr="001D6DA8">
        <w:rPr>
          <w:rFonts w:eastAsia="Calibri"/>
          <w:shd w:val="clear" w:color="auto" w:fill="FFFFFF"/>
          <w:lang w:val="en-GB"/>
        </w:rPr>
        <w:t>. 2020 IEEE 7th International Conference on Energy Smart Systems (ESS), 201</w:t>
      </w:r>
      <w:r w:rsidR="00943120" w:rsidRPr="001D6DA8">
        <w:rPr>
          <w:rFonts w:eastAsia="Calibri"/>
          <w:shd w:val="clear" w:color="auto" w:fill="FFFFFF"/>
          <w:lang w:val="en-GB"/>
        </w:rPr>
        <w:t>-</w:t>
      </w:r>
      <w:r w:rsidRPr="001D6DA8">
        <w:rPr>
          <w:rFonts w:eastAsia="Calibri"/>
          <w:shd w:val="clear" w:color="auto" w:fill="FFFFFF"/>
          <w:lang w:val="en-GB"/>
        </w:rPr>
        <w:t xml:space="preserve">205. https://doi.org/10.2478/lpts-2024-0012 </w:t>
      </w:r>
    </w:p>
    <w:p w14:paraId="43A5AC6D" w14:textId="72F0D274" w:rsidR="00B104D6" w:rsidRPr="001D6DA8" w:rsidRDefault="00B104D6" w:rsidP="00854F34">
      <w:pPr>
        <w:pStyle w:val="Rlit"/>
        <w:spacing w:line="235" w:lineRule="auto"/>
        <w:rPr>
          <w:rFonts w:eastAsia="Calibri"/>
          <w:shd w:val="clear" w:color="auto" w:fill="FFFFFF"/>
          <w:lang w:val="en-GB"/>
        </w:rPr>
      </w:pPr>
      <w:r w:rsidRPr="001D6DA8">
        <w:rPr>
          <w:rFonts w:eastAsia="Calibri"/>
          <w:shd w:val="clear" w:color="auto" w:fill="FFFFFF"/>
          <w:lang w:val="en-GB"/>
        </w:rPr>
        <w:t xml:space="preserve">Ding, K., Kaiser </w:t>
      </w:r>
      <w:proofErr w:type="spellStart"/>
      <w:r w:rsidRPr="001D6DA8">
        <w:rPr>
          <w:rFonts w:eastAsia="Calibri"/>
          <w:shd w:val="clear" w:color="auto" w:fill="FFFFFF"/>
          <w:lang w:val="en-GB"/>
        </w:rPr>
        <w:t>Calautit</w:t>
      </w:r>
      <w:proofErr w:type="spellEnd"/>
      <w:r w:rsidRPr="001D6DA8">
        <w:rPr>
          <w:rFonts w:eastAsia="Calibri"/>
          <w:shd w:val="clear" w:color="auto" w:fill="FFFFFF"/>
          <w:lang w:val="en-GB"/>
        </w:rPr>
        <w:t>, J., &amp; Jimenez-</w:t>
      </w:r>
      <w:proofErr w:type="spellStart"/>
      <w:r w:rsidRPr="001D6DA8">
        <w:rPr>
          <w:rFonts w:eastAsia="Calibri"/>
          <w:shd w:val="clear" w:color="auto" w:fill="FFFFFF"/>
          <w:lang w:val="en-GB"/>
        </w:rPr>
        <w:t>Bescos</w:t>
      </w:r>
      <w:proofErr w:type="spellEnd"/>
      <w:r w:rsidRPr="001D6DA8">
        <w:rPr>
          <w:rFonts w:eastAsia="Calibri"/>
          <w:shd w:val="clear" w:color="auto" w:fill="FFFFFF"/>
          <w:lang w:val="en-GB"/>
        </w:rPr>
        <w:t>, C. (2024). Significance of external wind conditions on the convective heat transfer coefficients (CHTC) and energy performance in multi</w:t>
      </w:r>
      <w:r w:rsidR="004360B0">
        <w:rPr>
          <w:rFonts w:eastAsia="Calibri"/>
          <w:shd w:val="clear" w:color="auto" w:fill="FFFFFF"/>
          <w:lang w:val="en-GB"/>
        </w:rPr>
        <w:t>-</w:t>
      </w:r>
      <w:r w:rsidRPr="001D6DA8">
        <w:rPr>
          <w:rFonts w:eastAsia="Calibri"/>
          <w:shd w:val="clear" w:color="auto" w:fill="FFFFFF"/>
          <w:lang w:val="en-GB"/>
        </w:rPr>
        <w:t>zone high</w:t>
      </w:r>
      <w:r w:rsidR="00BD3783" w:rsidRPr="001D6DA8">
        <w:rPr>
          <w:rFonts w:eastAsia="Calibri"/>
          <w:shd w:val="clear" w:color="auto" w:fill="FFFFFF"/>
          <w:lang w:val="en-GB"/>
        </w:rPr>
        <w:t xml:space="preserve"> </w:t>
      </w:r>
      <w:r w:rsidRPr="001D6DA8">
        <w:rPr>
          <w:rFonts w:eastAsia="Calibri"/>
          <w:shd w:val="clear" w:color="auto" w:fill="FFFFFF"/>
          <w:lang w:val="en-GB"/>
        </w:rPr>
        <w:t xml:space="preserve">rise buildings. </w:t>
      </w:r>
      <w:r w:rsidRPr="001D6DA8">
        <w:rPr>
          <w:rFonts w:eastAsia="Calibri"/>
          <w:i/>
          <w:iCs/>
          <w:shd w:val="clear" w:color="auto" w:fill="FFFFFF"/>
          <w:lang w:val="en-GB"/>
        </w:rPr>
        <w:t>Energy and Buildings</w:t>
      </w:r>
      <w:r w:rsidRPr="001D6DA8">
        <w:rPr>
          <w:rFonts w:eastAsia="Calibri"/>
          <w:shd w:val="clear" w:color="auto" w:fill="FFFFFF"/>
          <w:lang w:val="en-GB"/>
        </w:rPr>
        <w:t xml:space="preserve">, </w:t>
      </w:r>
      <w:r w:rsidRPr="001D6DA8">
        <w:rPr>
          <w:rFonts w:eastAsia="Calibri"/>
          <w:i/>
          <w:iCs/>
          <w:shd w:val="clear" w:color="auto" w:fill="FFFFFF"/>
          <w:lang w:val="en-GB"/>
        </w:rPr>
        <w:t>320</w:t>
      </w:r>
      <w:r w:rsidRPr="001D6DA8">
        <w:rPr>
          <w:rFonts w:eastAsia="Calibri"/>
          <w:shd w:val="clear" w:color="auto" w:fill="FFFFFF"/>
          <w:lang w:val="en-GB"/>
        </w:rPr>
        <w:t>. https://doi.org/10.1016/j.enbuild.2024.114570</w:t>
      </w:r>
    </w:p>
    <w:p w14:paraId="45D4A046" w14:textId="2AFB9D54" w:rsidR="00B104D6" w:rsidRPr="001D6DA8" w:rsidRDefault="00B104D6" w:rsidP="00854F34">
      <w:pPr>
        <w:pStyle w:val="Rlit"/>
        <w:spacing w:line="235" w:lineRule="auto"/>
        <w:jc w:val="left"/>
        <w:rPr>
          <w:rFonts w:eastAsia="Calibri"/>
          <w:shd w:val="clear" w:color="auto" w:fill="FFFFFF"/>
          <w:lang w:val="en-GB"/>
        </w:rPr>
      </w:pPr>
      <w:r w:rsidRPr="001D6DA8">
        <w:rPr>
          <w:rFonts w:eastAsia="Calibri"/>
          <w:shd w:val="clear" w:color="auto" w:fill="FFFFFF"/>
          <w:lang w:val="en-GB"/>
        </w:rPr>
        <w:t xml:space="preserve">Dodoo, A., &amp; Gustavsson, L. (2016). Energy use and overheating risk of Swedish multistorey residential buildings under different climate scenarios. </w:t>
      </w:r>
      <w:r w:rsidRPr="001D6DA8">
        <w:rPr>
          <w:rFonts w:eastAsia="Calibri"/>
          <w:i/>
          <w:iCs/>
          <w:shd w:val="clear" w:color="auto" w:fill="FFFFFF"/>
          <w:lang w:val="en-GB"/>
        </w:rPr>
        <w:t>Energy</w:t>
      </w:r>
      <w:r w:rsidRPr="001D6DA8">
        <w:rPr>
          <w:rFonts w:eastAsia="Calibri"/>
          <w:shd w:val="clear" w:color="auto" w:fill="FFFFFF"/>
          <w:lang w:val="en-GB"/>
        </w:rPr>
        <w:t xml:space="preserve">, </w:t>
      </w:r>
      <w:r w:rsidRPr="001D6DA8">
        <w:rPr>
          <w:rFonts w:eastAsia="Calibri"/>
          <w:i/>
          <w:iCs/>
          <w:shd w:val="clear" w:color="auto" w:fill="FFFFFF"/>
          <w:lang w:val="en-GB"/>
        </w:rPr>
        <w:t>97</w:t>
      </w:r>
      <w:r w:rsidRPr="001D6DA8">
        <w:rPr>
          <w:rFonts w:eastAsia="Calibri"/>
          <w:shd w:val="clear" w:color="auto" w:fill="FFFFFF"/>
          <w:lang w:val="en-GB"/>
        </w:rPr>
        <w:t>, 534</w:t>
      </w:r>
      <w:r w:rsidR="00943120" w:rsidRPr="001D6DA8">
        <w:rPr>
          <w:rFonts w:eastAsia="Calibri"/>
          <w:shd w:val="clear" w:color="auto" w:fill="FFFFFF"/>
          <w:lang w:val="en-GB"/>
        </w:rPr>
        <w:t>-</w:t>
      </w:r>
      <w:r w:rsidRPr="001D6DA8">
        <w:rPr>
          <w:rFonts w:eastAsia="Calibri"/>
          <w:shd w:val="clear" w:color="auto" w:fill="FFFFFF"/>
          <w:lang w:val="en-GB"/>
        </w:rPr>
        <w:t>548. https://doi.org/10.1016/j.energy.2015.12.086</w:t>
      </w:r>
    </w:p>
    <w:p w14:paraId="17AD0252" w14:textId="0789E4EF" w:rsidR="00B104D6" w:rsidRPr="001D6DA8" w:rsidRDefault="00B104D6" w:rsidP="00854F34">
      <w:pPr>
        <w:pStyle w:val="Rlit"/>
        <w:spacing w:line="235" w:lineRule="auto"/>
        <w:rPr>
          <w:rFonts w:eastAsia="Calibri"/>
          <w:shd w:val="clear" w:color="auto" w:fill="FFFFFF"/>
          <w:lang w:val="en-GB"/>
        </w:rPr>
      </w:pPr>
      <w:r w:rsidRPr="001D6DA8">
        <w:rPr>
          <w:rFonts w:eastAsia="Calibri"/>
          <w:shd w:val="clear" w:color="auto" w:fill="FFFFFF"/>
          <w:lang w:val="en-GB"/>
        </w:rPr>
        <w:t xml:space="preserve">Habibi, S. (2024). The effect of building orientation on energy efficiency. </w:t>
      </w:r>
      <w:r w:rsidRPr="001D6DA8">
        <w:rPr>
          <w:rFonts w:eastAsia="Calibri"/>
          <w:i/>
          <w:iCs/>
          <w:shd w:val="clear" w:color="auto" w:fill="FFFFFF"/>
          <w:lang w:val="en-GB"/>
        </w:rPr>
        <w:t>Clean Technologies and Envi-</w:t>
      </w:r>
      <w:proofErr w:type="spellStart"/>
      <w:r w:rsidRPr="001D6DA8">
        <w:rPr>
          <w:rFonts w:eastAsia="Calibri"/>
          <w:i/>
          <w:iCs/>
          <w:shd w:val="clear" w:color="auto" w:fill="FFFFFF"/>
          <w:lang w:val="en-GB"/>
        </w:rPr>
        <w:t>ronmental</w:t>
      </w:r>
      <w:proofErr w:type="spellEnd"/>
      <w:r w:rsidRPr="001D6DA8">
        <w:rPr>
          <w:rFonts w:eastAsia="Calibri"/>
          <w:i/>
          <w:iCs/>
          <w:shd w:val="clear" w:color="auto" w:fill="FFFFFF"/>
          <w:lang w:val="en-GB"/>
        </w:rPr>
        <w:t xml:space="preserve"> Policy</w:t>
      </w:r>
      <w:r w:rsidRPr="001D6DA8">
        <w:rPr>
          <w:rFonts w:eastAsia="Calibri"/>
          <w:shd w:val="clear" w:color="auto" w:fill="FFFFFF"/>
          <w:lang w:val="en-GB"/>
        </w:rPr>
        <w:t xml:space="preserve">, </w:t>
      </w:r>
      <w:r w:rsidRPr="001D6DA8">
        <w:rPr>
          <w:rFonts w:eastAsia="Calibri"/>
          <w:i/>
          <w:iCs/>
          <w:shd w:val="clear" w:color="auto" w:fill="FFFFFF"/>
          <w:lang w:val="en-GB"/>
        </w:rPr>
        <w:t>26</w:t>
      </w:r>
      <w:r w:rsidRPr="001D6DA8">
        <w:rPr>
          <w:rFonts w:eastAsia="Calibri"/>
          <w:shd w:val="clear" w:color="auto" w:fill="FFFFFF"/>
          <w:lang w:val="en-GB"/>
        </w:rPr>
        <w:t>(4), 1315</w:t>
      </w:r>
      <w:r w:rsidR="00943120" w:rsidRPr="001D6DA8">
        <w:rPr>
          <w:rFonts w:eastAsia="Calibri"/>
          <w:shd w:val="clear" w:color="auto" w:fill="FFFFFF"/>
          <w:lang w:val="en-GB"/>
        </w:rPr>
        <w:t>-</w:t>
      </w:r>
      <w:r w:rsidRPr="001D6DA8">
        <w:rPr>
          <w:rFonts w:eastAsia="Calibri"/>
          <w:shd w:val="clear" w:color="auto" w:fill="FFFFFF"/>
          <w:lang w:val="en-GB"/>
        </w:rPr>
        <w:t>1330. https://doi.org/10.1007/s10098-024-02796-0</w:t>
      </w:r>
    </w:p>
    <w:p w14:paraId="633EAFD8" w14:textId="50204EB5" w:rsidR="00B104D6" w:rsidRPr="001D6DA8" w:rsidRDefault="00B104D6" w:rsidP="00854F34">
      <w:pPr>
        <w:pStyle w:val="Rlit"/>
        <w:spacing w:line="235" w:lineRule="auto"/>
        <w:rPr>
          <w:rFonts w:eastAsia="Calibri"/>
          <w:shd w:val="clear" w:color="auto" w:fill="FFFFFF"/>
          <w:lang w:val="en-GB"/>
        </w:rPr>
      </w:pPr>
      <w:r w:rsidRPr="001D6DA8">
        <w:rPr>
          <w:rFonts w:eastAsia="Calibri"/>
          <w:shd w:val="clear" w:color="auto" w:fill="FFFFFF"/>
          <w:lang w:val="en-GB"/>
        </w:rPr>
        <w:t xml:space="preserve">Hafez, F. S., Sa’di, B., Safa-Gamal, M., Taufiq-Yap, Y. H., </w:t>
      </w:r>
      <w:proofErr w:type="spellStart"/>
      <w:r w:rsidRPr="001D6DA8">
        <w:rPr>
          <w:rFonts w:eastAsia="Calibri"/>
          <w:shd w:val="clear" w:color="auto" w:fill="FFFFFF"/>
          <w:lang w:val="en-GB"/>
        </w:rPr>
        <w:t>Alrifaey</w:t>
      </w:r>
      <w:proofErr w:type="spellEnd"/>
      <w:r w:rsidRPr="001D6DA8">
        <w:rPr>
          <w:rFonts w:eastAsia="Calibri"/>
          <w:shd w:val="clear" w:color="auto" w:fill="FFFFFF"/>
          <w:lang w:val="en-GB"/>
        </w:rPr>
        <w:t xml:space="preserve">, M., </w:t>
      </w:r>
      <w:proofErr w:type="spellStart"/>
      <w:r w:rsidRPr="001D6DA8">
        <w:rPr>
          <w:rFonts w:eastAsia="Calibri"/>
          <w:shd w:val="clear" w:color="auto" w:fill="FFFFFF"/>
          <w:lang w:val="en-GB"/>
        </w:rPr>
        <w:t>Seyedmahmoudian</w:t>
      </w:r>
      <w:proofErr w:type="spellEnd"/>
      <w:r w:rsidRPr="001D6DA8">
        <w:rPr>
          <w:rFonts w:eastAsia="Calibri"/>
          <w:shd w:val="clear" w:color="auto" w:fill="FFFFFF"/>
          <w:lang w:val="en-GB"/>
        </w:rPr>
        <w:t xml:space="preserve">, M., </w:t>
      </w:r>
      <w:proofErr w:type="spellStart"/>
      <w:r w:rsidRPr="001D6DA8">
        <w:rPr>
          <w:rFonts w:eastAsia="Calibri"/>
          <w:shd w:val="clear" w:color="auto" w:fill="FFFFFF"/>
          <w:lang w:val="en-GB"/>
        </w:rPr>
        <w:t>Stojcevski</w:t>
      </w:r>
      <w:proofErr w:type="spellEnd"/>
      <w:r w:rsidRPr="001D6DA8">
        <w:rPr>
          <w:rFonts w:eastAsia="Calibri"/>
          <w:shd w:val="clear" w:color="auto" w:fill="FFFFFF"/>
          <w:lang w:val="en-GB"/>
        </w:rPr>
        <w:t xml:space="preserve">, A., Horan, B., &amp; </w:t>
      </w:r>
      <w:proofErr w:type="spellStart"/>
      <w:r w:rsidRPr="001D6DA8">
        <w:rPr>
          <w:rFonts w:eastAsia="Calibri"/>
          <w:shd w:val="clear" w:color="auto" w:fill="FFFFFF"/>
          <w:lang w:val="en-GB"/>
        </w:rPr>
        <w:t>Mekhilef</w:t>
      </w:r>
      <w:proofErr w:type="spellEnd"/>
      <w:r w:rsidRPr="001D6DA8">
        <w:rPr>
          <w:rFonts w:eastAsia="Calibri"/>
          <w:shd w:val="clear" w:color="auto" w:fill="FFFFFF"/>
          <w:lang w:val="en-GB"/>
        </w:rPr>
        <w:t xml:space="preserve">, S. (2023). Energy Efficiency in Sustainable Buildings: A Systematic Review with Taxonomy, Challenges, Motivations, Methodological Aspects, Recommendations, and Pathways for Future Research. </w:t>
      </w:r>
      <w:r w:rsidRPr="001D6DA8">
        <w:rPr>
          <w:rFonts w:eastAsia="Calibri"/>
          <w:i/>
          <w:iCs/>
          <w:shd w:val="clear" w:color="auto" w:fill="FFFFFF"/>
          <w:lang w:val="en-GB"/>
        </w:rPr>
        <w:t>Energy Strategy Reviews</w:t>
      </w:r>
      <w:r w:rsidRPr="001D6DA8">
        <w:rPr>
          <w:rFonts w:eastAsia="Calibri"/>
          <w:shd w:val="clear" w:color="auto" w:fill="FFFFFF"/>
          <w:lang w:val="en-GB"/>
        </w:rPr>
        <w:t xml:space="preserve">, </w:t>
      </w:r>
      <w:r w:rsidRPr="001D6DA8">
        <w:rPr>
          <w:rFonts w:eastAsia="Calibri"/>
          <w:i/>
          <w:iCs/>
          <w:shd w:val="clear" w:color="auto" w:fill="FFFFFF"/>
          <w:lang w:val="en-GB"/>
        </w:rPr>
        <w:t>45</w:t>
      </w:r>
      <w:r w:rsidRPr="001D6DA8">
        <w:rPr>
          <w:rFonts w:eastAsia="Calibri"/>
          <w:shd w:val="clear" w:color="auto" w:fill="FFFFFF"/>
          <w:lang w:val="en-GB"/>
        </w:rPr>
        <w:t>. https://doi.org/10.1016/j.esr.2022.101013</w:t>
      </w:r>
    </w:p>
    <w:p w14:paraId="76ECEA2D" w14:textId="560C948C" w:rsidR="00B104D6" w:rsidRPr="001D6DA8" w:rsidRDefault="00B104D6" w:rsidP="00854F34">
      <w:pPr>
        <w:pStyle w:val="Rlit"/>
        <w:spacing w:line="235" w:lineRule="auto"/>
        <w:rPr>
          <w:rFonts w:eastAsia="Calibri"/>
          <w:shd w:val="clear" w:color="auto" w:fill="FFFFFF"/>
          <w:lang w:val="en-GB"/>
        </w:rPr>
      </w:pPr>
      <w:r w:rsidRPr="001D6DA8">
        <w:rPr>
          <w:rFonts w:eastAsia="Calibri"/>
          <w:shd w:val="clear" w:color="auto" w:fill="FFFFFF"/>
          <w:lang w:val="en-GB"/>
        </w:rPr>
        <w:t>Hajji, A., Lahlou, Y.</w:t>
      </w:r>
      <w:r w:rsidR="0007421E">
        <w:rPr>
          <w:rFonts w:eastAsia="Calibri"/>
          <w:shd w:val="clear" w:color="auto" w:fill="FFFFFF"/>
          <w:lang w:val="en-GB"/>
        </w:rPr>
        <w:t>,</w:t>
      </w:r>
      <w:r w:rsidRPr="001D6DA8">
        <w:rPr>
          <w:rFonts w:eastAsia="Calibri"/>
          <w:shd w:val="clear" w:color="auto" w:fill="FFFFFF"/>
          <w:lang w:val="en-GB"/>
        </w:rPr>
        <w:t xml:space="preserve"> &amp; Abbou, A. (2022). Impact of Solar Gain on Energy Consumption and Thermal Comfort. </w:t>
      </w:r>
      <w:r w:rsidR="00292BF7">
        <w:rPr>
          <w:rFonts w:eastAsia="Calibri"/>
          <w:shd w:val="clear" w:color="auto" w:fill="FFFFFF"/>
          <w:lang w:val="en-GB"/>
        </w:rPr>
        <w:t>[</w:t>
      </w:r>
      <w:r w:rsidRPr="001D6DA8">
        <w:rPr>
          <w:rFonts w:eastAsia="Calibri"/>
          <w:shd w:val="clear" w:color="auto" w:fill="FFFFFF"/>
          <w:lang w:val="en-GB"/>
        </w:rPr>
        <w:t>In</w:t>
      </w:r>
      <w:r w:rsidR="007D1624" w:rsidRPr="001D6DA8">
        <w:rPr>
          <w:rFonts w:eastAsia="Calibri"/>
          <w:shd w:val="clear" w:color="auto" w:fill="FFFFFF"/>
          <w:lang w:val="en-GB"/>
        </w:rPr>
        <w:t>:</w:t>
      </w:r>
      <w:r w:rsidR="00292BF7">
        <w:rPr>
          <w:rFonts w:eastAsia="Calibri"/>
          <w:shd w:val="clear" w:color="auto" w:fill="FFFFFF"/>
          <w:lang w:val="en-GB"/>
        </w:rPr>
        <w:t>]</w:t>
      </w:r>
      <w:r w:rsidRPr="001D6DA8">
        <w:rPr>
          <w:rFonts w:eastAsia="Calibri"/>
          <w:shd w:val="clear" w:color="auto" w:fill="FFFFFF"/>
          <w:lang w:val="en-GB"/>
        </w:rPr>
        <w:t xml:space="preserve"> S.</w:t>
      </w:r>
      <w:r w:rsidR="00292BF7">
        <w:rPr>
          <w:rFonts w:eastAsia="Calibri"/>
          <w:shd w:val="clear" w:color="auto" w:fill="FFFFFF"/>
          <w:lang w:val="en-GB"/>
        </w:rPr>
        <w:t> </w:t>
      </w:r>
      <w:r w:rsidRPr="001D6DA8">
        <w:rPr>
          <w:rFonts w:eastAsia="Calibri"/>
          <w:shd w:val="clear" w:color="auto" w:fill="FFFFFF"/>
          <w:lang w:val="en-GB"/>
        </w:rPr>
        <w:t xml:space="preserve">Bennani, Y. </w:t>
      </w:r>
      <w:proofErr w:type="spellStart"/>
      <w:r w:rsidRPr="001D6DA8">
        <w:rPr>
          <w:rFonts w:eastAsia="Calibri"/>
          <w:shd w:val="clear" w:color="auto" w:fill="FFFFFF"/>
          <w:lang w:val="en-GB"/>
        </w:rPr>
        <w:t>Lakhrissi</w:t>
      </w:r>
      <w:proofErr w:type="spellEnd"/>
      <w:r w:rsidRPr="001D6DA8">
        <w:rPr>
          <w:rFonts w:eastAsia="Calibri"/>
          <w:shd w:val="clear" w:color="auto" w:fill="FFFFFF"/>
          <w:lang w:val="en-GB"/>
        </w:rPr>
        <w:t xml:space="preserve">, G. </w:t>
      </w:r>
      <w:proofErr w:type="spellStart"/>
      <w:r w:rsidRPr="001D6DA8">
        <w:rPr>
          <w:rFonts w:eastAsia="Calibri"/>
          <w:shd w:val="clear" w:color="auto" w:fill="FFFFFF"/>
          <w:lang w:val="en-GB"/>
        </w:rPr>
        <w:t>Khaissidi</w:t>
      </w:r>
      <w:proofErr w:type="spellEnd"/>
      <w:r w:rsidRPr="001D6DA8">
        <w:rPr>
          <w:rFonts w:eastAsia="Calibri"/>
          <w:shd w:val="clear" w:color="auto" w:fill="FFFFFF"/>
          <w:lang w:val="en-GB"/>
        </w:rPr>
        <w:t>, A. Mansouri, &amp; Y. Khamlichi (Eds.)</w:t>
      </w:r>
      <w:r w:rsidR="00DA3A38" w:rsidRPr="001D6DA8">
        <w:rPr>
          <w:rFonts w:eastAsia="Calibri"/>
          <w:shd w:val="clear" w:color="auto" w:fill="FFFFFF"/>
          <w:lang w:val="en-GB"/>
        </w:rPr>
        <w:t>.</w:t>
      </w:r>
      <w:r w:rsidRPr="001D6DA8">
        <w:rPr>
          <w:rFonts w:eastAsia="Calibri"/>
          <w:shd w:val="clear" w:color="auto" w:fill="FFFFFF"/>
          <w:lang w:val="en-GB"/>
        </w:rPr>
        <w:t xml:space="preserve"> </w:t>
      </w:r>
      <w:r w:rsidRPr="001D6DA8">
        <w:rPr>
          <w:rFonts w:eastAsia="Calibri"/>
          <w:i/>
          <w:iCs/>
          <w:shd w:val="clear" w:color="auto" w:fill="FFFFFF"/>
          <w:lang w:val="en-GB"/>
        </w:rPr>
        <w:t>WITS</w:t>
      </w:r>
      <w:r w:rsidR="00DA3A38" w:rsidRPr="001D6DA8">
        <w:rPr>
          <w:rFonts w:eastAsia="Calibri"/>
          <w:shd w:val="clear" w:color="auto" w:fill="FFFFFF"/>
          <w:lang w:val="en-GB"/>
        </w:rPr>
        <w:t>,</w:t>
      </w:r>
      <w:r w:rsidRPr="001D6DA8">
        <w:rPr>
          <w:rFonts w:eastAsia="Calibri"/>
          <w:shd w:val="clear" w:color="auto" w:fill="FFFFFF"/>
          <w:lang w:val="en-GB"/>
        </w:rPr>
        <w:t xml:space="preserve"> </w:t>
      </w:r>
      <w:r w:rsidRPr="001D6DA8">
        <w:rPr>
          <w:rFonts w:eastAsia="Calibri"/>
          <w:i/>
          <w:iCs/>
          <w:shd w:val="clear" w:color="auto" w:fill="FFFFFF"/>
          <w:lang w:val="en-GB"/>
        </w:rPr>
        <w:t>745</w:t>
      </w:r>
      <w:r w:rsidRPr="001D6DA8">
        <w:rPr>
          <w:rFonts w:eastAsia="Calibri"/>
          <w:shd w:val="clear" w:color="auto" w:fill="FFFFFF"/>
          <w:lang w:val="en-GB"/>
        </w:rPr>
        <w:t>, 723</w:t>
      </w:r>
      <w:r w:rsidR="00DA3A38" w:rsidRPr="001D6DA8">
        <w:rPr>
          <w:rFonts w:eastAsia="Calibri"/>
          <w:shd w:val="clear" w:color="auto" w:fill="FFFFFF"/>
          <w:lang w:val="en-GB"/>
        </w:rPr>
        <w:t>-</w:t>
      </w:r>
      <w:r w:rsidRPr="001D6DA8">
        <w:rPr>
          <w:rFonts w:eastAsia="Calibri"/>
          <w:shd w:val="clear" w:color="auto" w:fill="FFFFFF"/>
          <w:lang w:val="en-GB"/>
        </w:rPr>
        <w:t>733. Springer Singapore. https://doi.org/10.1007/978-981-33-6893-4_66</w:t>
      </w:r>
    </w:p>
    <w:p w14:paraId="79E0B216" w14:textId="3C51D480" w:rsidR="00B104D6" w:rsidRPr="001D6DA8" w:rsidRDefault="00B104D6" w:rsidP="00854F34">
      <w:pPr>
        <w:pStyle w:val="Rlit"/>
        <w:spacing w:line="235" w:lineRule="auto"/>
        <w:rPr>
          <w:rFonts w:eastAsia="Calibri"/>
          <w:shd w:val="clear" w:color="auto" w:fill="FFFFFF"/>
          <w:lang w:val="en-GB"/>
        </w:rPr>
      </w:pPr>
      <w:r w:rsidRPr="001D6DA8">
        <w:rPr>
          <w:rFonts w:eastAsia="Calibri"/>
          <w:shd w:val="clear" w:color="auto" w:fill="FFFFFF"/>
          <w:lang w:val="en-GB"/>
        </w:rPr>
        <w:t xml:space="preserve">Hea, W., </w:t>
      </w:r>
      <w:r w:rsidR="0007421E" w:rsidRPr="001D6DA8">
        <w:rPr>
          <w:rFonts w:eastAsia="Calibri"/>
          <w:shd w:val="clear" w:color="auto" w:fill="FFFFFF"/>
          <w:lang w:val="en-GB"/>
        </w:rPr>
        <w:t xml:space="preserve">&amp; </w:t>
      </w:r>
      <w:r w:rsidRPr="001D6DA8">
        <w:rPr>
          <w:rFonts w:eastAsia="Calibri"/>
          <w:shd w:val="clear" w:color="auto" w:fill="FFFFFF"/>
          <w:lang w:val="en-GB"/>
        </w:rPr>
        <w:t xml:space="preserve">Huang, H. (2024). Research on optimization of the heating system in buildings in cold regions by energy-saving control. </w:t>
      </w:r>
      <w:r w:rsidRPr="001D6DA8">
        <w:rPr>
          <w:rFonts w:eastAsia="Calibri"/>
          <w:i/>
          <w:iCs/>
          <w:shd w:val="clear" w:color="auto" w:fill="FFFFFF"/>
          <w:lang w:val="en-GB"/>
        </w:rPr>
        <w:t>Archives of Thermodynamics</w:t>
      </w:r>
      <w:r w:rsidRPr="001D6DA8">
        <w:rPr>
          <w:rFonts w:eastAsia="Calibri"/>
          <w:shd w:val="clear" w:color="auto" w:fill="FFFFFF"/>
          <w:lang w:val="en-GB"/>
        </w:rPr>
        <w:t>, 129</w:t>
      </w:r>
      <w:r w:rsidR="00DA3A38" w:rsidRPr="001D6DA8">
        <w:rPr>
          <w:rFonts w:eastAsia="Calibri"/>
          <w:shd w:val="clear" w:color="auto" w:fill="FFFFFF"/>
          <w:lang w:val="en-GB"/>
        </w:rPr>
        <w:t>-</w:t>
      </w:r>
      <w:r w:rsidRPr="001D6DA8">
        <w:rPr>
          <w:rFonts w:eastAsia="Calibri"/>
          <w:shd w:val="clear" w:color="auto" w:fill="FFFFFF"/>
          <w:lang w:val="en-GB"/>
        </w:rPr>
        <w:t xml:space="preserve">135. </w:t>
      </w:r>
      <w:r w:rsidR="00DA3A38" w:rsidRPr="001D6DA8">
        <w:rPr>
          <w:rFonts w:eastAsia="Calibri"/>
          <w:shd w:val="clear" w:color="auto" w:fill="FFFFFF"/>
          <w:lang w:val="en-GB"/>
        </w:rPr>
        <w:t>https://doi.org/</w:t>
      </w:r>
      <w:r w:rsidRPr="001D6DA8">
        <w:rPr>
          <w:rFonts w:eastAsia="Calibri"/>
          <w:shd w:val="clear" w:color="auto" w:fill="FFFFFF"/>
          <w:lang w:val="en-GB"/>
        </w:rPr>
        <w:t>10.24425/ather.2024.150445</w:t>
      </w:r>
    </w:p>
    <w:p w14:paraId="3C96BF80" w14:textId="76C447EA" w:rsidR="00B104D6" w:rsidRPr="001D6DA8" w:rsidRDefault="00B104D6" w:rsidP="00854F34">
      <w:pPr>
        <w:pStyle w:val="Rlit"/>
        <w:spacing w:line="235" w:lineRule="auto"/>
        <w:jc w:val="left"/>
        <w:rPr>
          <w:rFonts w:eastAsia="Calibri"/>
          <w:shd w:val="clear" w:color="auto" w:fill="FFFFFF"/>
          <w:lang w:val="en-GB"/>
        </w:rPr>
      </w:pPr>
      <w:r w:rsidRPr="001D6DA8">
        <w:rPr>
          <w:rFonts w:eastAsia="Calibri"/>
          <w:shd w:val="clear" w:color="auto" w:fill="FFFFFF"/>
          <w:lang w:val="en-GB"/>
        </w:rPr>
        <w:t xml:space="preserve">Leccese, F., Salvadori, G., &amp; </w:t>
      </w:r>
      <w:proofErr w:type="spellStart"/>
      <w:r w:rsidRPr="001D6DA8">
        <w:rPr>
          <w:rFonts w:eastAsia="Calibri"/>
          <w:shd w:val="clear" w:color="auto" w:fill="FFFFFF"/>
          <w:lang w:val="en-GB"/>
        </w:rPr>
        <w:t>Bisegna</w:t>
      </w:r>
      <w:proofErr w:type="spellEnd"/>
      <w:r w:rsidRPr="001D6DA8">
        <w:rPr>
          <w:rFonts w:eastAsia="Calibri"/>
          <w:shd w:val="clear" w:color="auto" w:fill="FFFFFF"/>
          <w:lang w:val="en-GB"/>
        </w:rPr>
        <w:t xml:space="preserve">, F. (2024). Thermal resilience of buildings: The role of partition walls and slabs in the optimization of the building external envelope. </w:t>
      </w:r>
      <w:r w:rsidRPr="001D6DA8">
        <w:rPr>
          <w:rFonts w:eastAsia="Calibri"/>
          <w:i/>
          <w:iCs/>
          <w:shd w:val="clear" w:color="auto" w:fill="FFFFFF"/>
          <w:lang w:val="en-GB"/>
        </w:rPr>
        <w:t>Applied Thermal Engineering</w:t>
      </w:r>
      <w:r w:rsidRPr="001D6DA8">
        <w:rPr>
          <w:rFonts w:eastAsia="Calibri"/>
          <w:shd w:val="clear" w:color="auto" w:fill="FFFFFF"/>
          <w:lang w:val="en-GB"/>
        </w:rPr>
        <w:t xml:space="preserve">, </w:t>
      </w:r>
      <w:r w:rsidRPr="001D6DA8">
        <w:rPr>
          <w:rFonts w:eastAsia="Calibri"/>
          <w:i/>
          <w:iCs/>
          <w:shd w:val="clear" w:color="auto" w:fill="FFFFFF"/>
          <w:lang w:val="en-GB"/>
        </w:rPr>
        <w:t>257</w:t>
      </w:r>
      <w:r w:rsidRPr="001D6DA8">
        <w:rPr>
          <w:rFonts w:eastAsia="Calibri"/>
          <w:shd w:val="clear" w:color="auto" w:fill="FFFFFF"/>
          <w:lang w:val="en-GB"/>
        </w:rPr>
        <w:t>. https://doi.org/10.1016/j.applthermaleng.2024.124084</w:t>
      </w:r>
    </w:p>
    <w:p w14:paraId="7E3D62DE" w14:textId="703D4B78" w:rsidR="00B104D6" w:rsidRPr="001D6DA8" w:rsidRDefault="00B104D6" w:rsidP="00854F34">
      <w:pPr>
        <w:pStyle w:val="Rlit"/>
        <w:spacing w:line="235" w:lineRule="auto"/>
        <w:jc w:val="left"/>
        <w:rPr>
          <w:rFonts w:eastAsia="Calibri"/>
          <w:shd w:val="clear" w:color="auto" w:fill="FFFFFF"/>
          <w:lang w:val="en-GB"/>
        </w:rPr>
      </w:pPr>
      <w:r w:rsidRPr="001D6DA8">
        <w:rPr>
          <w:rFonts w:eastAsia="Calibri"/>
          <w:shd w:val="clear" w:color="auto" w:fill="FFFFFF"/>
          <w:lang w:val="en-GB"/>
        </w:rPr>
        <w:t xml:space="preserve">Leccese, F., Salvadori, G., </w:t>
      </w:r>
      <w:proofErr w:type="spellStart"/>
      <w:r w:rsidRPr="001D6DA8">
        <w:rPr>
          <w:rFonts w:eastAsia="Calibri"/>
          <w:shd w:val="clear" w:color="auto" w:fill="FFFFFF"/>
          <w:lang w:val="en-GB"/>
        </w:rPr>
        <w:t>Asdrubali</w:t>
      </w:r>
      <w:proofErr w:type="spellEnd"/>
      <w:r w:rsidRPr="001D6DA8">
        <w:rPr>
          <w:rFonts w:eastAsia="Calibri"/>
          <w:shd w:val="clear" w:color="auto" w:fill="FFFFFF"/>
          <w:lang w:val="en-GB"/>
        </w:rPr>
        <w:t>, F., &amp; Gori, P. (2018). Passive thermal behaviour of buildings: Per-</w:t>
      </w:r>
      <w:proofErr w:type="spellStart"/>
      <w:r w:rsidRPr="001D6DA8">
        <w:rPr>
          <w:rFonts w:eastAsia="Calibri"/>
          <w:shd w:val="clear" w:color="auto" w:fill="FFFFFF"/>
          <w:lang w:val="en-GB"/>
        </w:rPr>
        <w:t>formance</w:t>
      </w:r>
      <w:proofErr w:type="spellEnd"/>
      <w:r w:rsidRPr="001D6DA8">
        <w:rPr>
          <w:rFonts w:eastAsia="Calibri"/>
          <w:shd w:val="clear" w:color="auto" w:fill="FFFFFF"/>
          <w:lang w:val="en-GB"/>
        </w:rPr>
        <w:t xml:space="preserve"> of external multilayered walls and influence of internal walls. </w:t>
      </w:r>
      <w:r w:rsidRPr="001D6DA8">
        <w:rPr>
          <w:rFonts w:eastAsia="Calibri"/>
          <w:i/>
          <w:iCs/>
          <w:shd w:val="clear" w:color="auto" w:fill="FFFFFF"/>
          <w:lang w:val="en-GB"/>
        </w:rPr>
        <w:t>Applied Energy</w:t>
      </w:r>
      <w:r w:rsidRPr="001D6DA8">
        <w:rPr>
          <w:rFonts w:eastAsia="Calibri"/>
          <w:shd w:val="clear" w:color="auto" w:fill="FFFFFF"/>
          <w:lang w:val="en-GB"/>
        </w:rPr>
        <w:t xml:space="preserve">, </w:t>
      </w:r>
      <w:r w:rsidRPr="001D6DA8">
        <w:rPr>
          <w:rFonts w:eastAsia="Calibri"/>
          <w:i/>
          <w:iCs/>
          <w:shd w:val="clear" w:color="auto" w:fill="FFFFFF"/>
          <w:lang w:val="en-GB"/>
        </w:rPr>
        <w:t>225</w:t>
      </w:r>
      <w:r w:rsidRPr="001D6DA8">
        <w:rPr>
          <w:rFonts w:eastAsia="Calibri"/>
          <w:shd w:val="clear" w:color="auto" w:fill="FFFFFF"/>
          <w:lang w:val="en-GB"/>
        </w:rPr>
        <w:t>, 1078</w:t>
      </w:r>
      <w:r w:rsidR="00DA3A38" w:rsidRPr="001D6DA8">
        <w:rPr>
          <w:rFonts w:eastAsia="Calibri"/>
          <w:shd w:val="clear" w:color="auto" w:fill="FFFFFF"/>
          <w:lang w:val="en-GB"/>
        </w:rPr>
        <w:t>-</w:t>
      </w:r>
      <w:r w:rsidRPr="001D6DA8">
        <w:rPr>
          <w:rFonts w:eastAsia="Calibri"/>
          <w:shd w:val="clear" w:color="auto" w:fill="FFFFFF"/>
          <w:lang w:val="en-GB"/>
        </w:rPr>
        <w:t xml:space="preserve">1089. https://doi.org/10.1016/j.apenergy.2018.05.090 </w:t>
      </w:r>
    </w:p>
    <w:p w14:paraId="1406E8E5" w14:textId="26155548" w:rsidR="00B104D6" w:rsidRPr="001D6DA8" w:rsidRDefault="00B104D6" w:rsidP="00854F34">
      <w:pPr>
        <w:pStyle w:val="Rlit"/>
        <w:spacing w:line="235" w:lineRule="auto"/>
        <w:jc w:val="left"/>
        <w:rPr>
          <w:rFonts w:eastAsia="Calibri"/>
          <w:shd w:val="clear" w:color="auto" w:fill="FFFFFF"/>
          <w:lang w:val="en-GB"/>
        </w:rPr>
      </w:pPr>
      <w:r w:rsidRPr="001D6DA8">
        <w:rPr>
          <w:rFonts w:eastAsia="Calibri"/>
          <w:shd w:val="clear" w:color="auto" w:fill="FFFFFF"/>
          <w:lang w:val="en-GB"/>
        </w:rPr>
        <w:t>Zhao, E., Zhao, L.</w:t>
      </w:r>
      <w:r w:rsidR="0007421E">
        <w:rPr>
          <w:rFonts w:eastAsia="Calibri"/>
          <w:shd w:val="clear" w:color="auto" w:fill="FFFFFF"/>
          <w:lang w:val="en-GB"/>
        </w:rPr>
        <w:t>,</w:t>
      </w:r>
      <w:r w:rsidRPr="001D6DA8">
        <w:rPr>
          <w:rFonts w:eastAsia="Calibri"/>
          <w:shd w:val="clear" w:color="auto" w:fill="FFFFFF"/>
          <w:lang w:val="en-GB"/>
        </w:rPr>
        <w:t xml:space="preserve"> &amp; Zhou, Z. (2020). The </w:t>
      </w:r>
      <w:proofErr w:type="spellStart"/>
      <w:r w:rsidRPr="001D6DA8">
        <w:rPr>
          <w:rFonts w:eastAsia="Calibri"/>
          <w:shd w:val="clear" w:color="auto" w:fill="FFFFFF"/>
          <w:lang w:val="en-GB"/>
        </w:rPr>
        <w:t>signifi-cance</w:t>
      </w:r>
      <w:proofErr w:type="spellEnd"/>
      <w:r w:rsidRPr="001D6DA8">
        <w:rPr>
          <w:rFonts w:eastAsia="Calibri"/>
          <w:shd w:val="clear" w:color="auto" w:fill="FFFFFF"/>
          <w:lang w:val="en-GB"/>
        </w:rPr>
        <w:t xml:space="preserve"> for solar heat gain on the indoor thermal environment of passive houses in cold areas in China. </w:t>
      </w:r>
      <w:r w:rsidRPr="001D6DA8">
        <w:rPr>
          <w:rFonts w:eastAsia="Calibri"/>
          <w:i/>
          <w:iCs/>
          <w:shd w:val="clear" w:color="auto" w:fill="FFFFFF"/>
          <w:lang w:val="en-GB"/>
        </w:rPr>
        <w:t>Energy Efficiency</w:t>
      </w:r>
      <w:r w:rsidRPr="001D6DA8">
        <w:rPr>
          <w:rFonts w:eastAsia="Calibri"/>
          <w:shd w:val="clear" w:color="auto" w:fill="FFFFFF"/>
          <w:lang w:val="en-GB"/>
        </w:rPr>
        <w:t xml:space="preserve">, </w:t>
      </w:r>
      <w:r w:rsidRPr="001D6DA8">
        <w:rPr>
          <w:rFonts w:eastAsia="Calibri"/>
          <w:i/>
          <w:iCs/>
          <w:shd w:val="clear" w:color="auto" w:fill="FFFFFF"/>
          <w:lang w:val="en-GB"/>
        </w:rPr>
        <w:t>13</w:t>
      </w:r>
      <w:r w:rsidRPr="001D6DA8">
        <w:rPr>
          <w:rFonts w:eastAsia="Calibri"/>
          <w:shd w:val="clear" w:color="auto" w:fill="FFFFFF"/>
          <w:lang w:val="en-GB"/>
        </w:rPr>
        <w:t>(6), 1047</w:t>
      </w:r>
      <w:r w:rsidR="00DA3A38" w:rsidRPr="001D6DA8">
        <w:rPr>
          <w:rFonts w:eastAsia="Calibri"/>
          <w:shd w:val="clear" w:color="auto" w:fill="FFFFFF"/>
          <w:lang w:val="en-GB"/>
        </w:rPr>
        <w:t>-</w:t>
      </w:r>
      <w:r w:rsidRPr="001D6DA8">
        <w:rPr>
          <w:rFonts w:eastAsia="Calibri"/>
          <w:shd w:val="clear" w:color="auto" w:fill="FFFFFF"/>
          <w:lang w:val="en-GB"/>
        </w:rPr>
        <w:t xml:space="preserve">1062. </w:t>
      </w:r>
      <w:r w:rsidR="00DA3A38" w:rsidRPr="001D6DA8">
        <w:rPr>
          <w:rFonts w:eastAsia="Calibri"/>
          <w:shd w:val="clear" w:color="auto" w:fill="FFFFFF"/>
          <w:lang w:val="en-GB"/>
        </w:rPr>
        <w:br/>
      </w:r>
      <w:r w:rsidRPr="001D6DA8">
        <w:rPr>
          <w:rFonts w:eastAsia="Calibri"/>
          <w:shd w:val="clear" w:color="auto" w:fill="FFFFFF"/>
          <w:lang w:val="en-GB"/>
        </w:rPr>
        <w:t>https://doi.org/10.1007/s12053-020-09858-4</w:t>
      </w:r>
    </w:p>
    <w:p w14:paraId="3E480DF5" w14:textId="77777777" w:rsidR="00943120" w:rsidRPr="001D6DA8" w:rsidRDefault="00943120" w:rsidP="00854F34">
      <w:pPr>
        <w:pStyle w:val="Rlit"/>
        <w:spacing w:line="235" w:lineRule="auto"/>
        <w:rPr>
          <w:rFonts w:eastAsia="Calibri"/>
          <w:shd w:val="clear" w:color="auto" w:fill="FFFFFF"/>
          <w:lang w:val="en-GB"/>
        </w:rPr>
      </w:pPr>
      <w:r w:rsidRPr="001D6DA8">
        <w:rPr>
          <w:rFonts w:eastAsia="Calibri"/>
          <w:shd w:val="clear" w:color="auto" w:fill="FFFFFF"/>
          <w:lang w:val="en-GB"/>
        </w:rPr>
        <w:t>DBN V.2.6-31:2021. Thermal insulation and energy efficiency of buildings. Replaces DBN V.2.6-31:2016; effective from 2022-09-01. Official edition. Kyiv, 2021. 23 p.</w:t>
      </w:r>
    </w:p>
    <w:p w14:paraId="1F35FD9F" w14:textId="5F13CD6A" w:rsidR="00943120" w:rsidRPr="001D6DA8" w:rsidRDefault="00943120" w:rsidP="00854F34">
      <w:pPr>
        <w:pStyle w:val="Rlit"/>
        <w:spacing w:line="235" w:lineRule="auto"/>
        <w:jc w:val="left"/>
        <w:rPr>
          <w:rFonts w:eastAsia="Calibri"/>
          <w:shd w:val="clear" w:color="auto" w:fill="FFFFFF"/>
          <w:lang w:val="en-GB"/>
        </w:rPr>
      </w:pPr>
      <w:proofErr w:type="spellStart"/>
      <w:r w:rsidRPr="001D6DA8">
        <w:rPr>
          <w:rFonts w:eastAsia="Calibri"/>
          <w:shd w:val="clear" w:color="auto" w:fill="FFFFFF"/>
          <w:lang w:val="en-GB"/>
        </w:rPr>
        <w:t>DesignBuilder</w:t>
      </w:r>
      <w:proofErr w:type="spellEnd"/>
      <w:r w:rsidRPr="001D6DA8">
        <w:rPr>
          <w:rFonts w:eastAsia="Calibri"/>
          <w:shd w:val="clear" w:color="auto" w:fill="FFFFFF"/>
          <w:lang w:val="en-GB"/>
        </w:rPr>
        <w:t>. (n.d.). [Computer software]. Design-Builder Software Ltd.</w:t>
      </w:r>
      <w:r w:rsidR="00DA3A38" w:rsidRPr="001D6DA8">
        <w:rPr>
          <w:rFonts w:eastAsia="Calibri"/>
          <w:shd w:val="clear" w:color="auto" w:fill="FFFFFF"/>
          <w:lang w:val="en-GB"/>
        </w:rPr>
        <w:t xml:space="preserve"> </w:t>
      </w:r>
      <w:r w:rsidRPr="001D6DA8">
        <w:rPr>
          <w:rFonts w:eastAsia="Calibri"/>
          <w:shd w:val="clear" w:color="auto" w:fill="FFFFFF"/>
          <w:lang w:val="en-GB"/>
        </w:rPr>
        <w:t>https://designbuilder.co.uk/software/product-overview</w:t>
      </w:r>
    </w:p>
    <w:p w14:paraId="07183D3A" w14:textId="77777777" w:rsidR="00943120" w:rsidRPr="001D6DA8" w:rsidRDefault="00943120" w:rsidP="00854F34">
      <w:pPr>
        <w:pStyle w:val="Rlit"/>
        <w:spacing w:line="235" w:lineRule="auto"/>
        <w:rPr>
          <w:rFonts w:eastAsia="Calibri"/>
          <w:shd w:val="clear" w:color="auto" w:fill="FFFFFF"/>
          <w:lang w:val="en-GB"/>
        </w:rPr>
      </w:pPr>
      <w:proofErr w:type="spellStart"/>
      <w:r w:rsidRPr="001D6DA8">
        <w:rPr>
          <w:rFonts w:eastAsia="Calibri"/>
          <w:shd w:val="clear" w:color="auto" w:fill="FFFFFF"/>
          <w:lang w:val="en-GB"/>
        </w:rPr>
        <w:t>EnergyPlus</w:t>
      </w:r>
      <w:proofErr w:type="spellEnd"/>
      <w:r w:rsidRPr="001D6DA8">
        <w:rPr>
          <w:rFonts w:eastAsia="Calibri"/>
          <w:shd w:val="clear" w:color="auto" w:fill="FFFFFF"/>
          <w:lang w:val="en-GB"/>
        </w:rPr>
        <w:t xml:space="preserve"> Energy Simulation Software. (n.d.). [Computer software]. https://energyplus.net/downloads </w:t>
      </w:r>
    </w:p>
    <w:p w14:paraId="09FB32F2" w14:textId="59E78E10" w:rsidR="00943120" w:rsidRPr="001D6DA8" w:rsidRDefault="00943120" w:rsidP="00854F34">
      <w:pPr>
        <w:pStyle w:val="Rlit"/>
        <w:spacing w:line="235" w:lineRule="auto"/>
        <w:jc w:val="left"/>
        <w:rPr>
          <w:rFonts w:eastAsia="Calibri"/>
          <w:shd w:val="clear" w:color="auto" w:fill="FFFFFF"/>
          <w:lang w:val="en-GB"/>
        </w:rPr>
      </w:pPr>
      <w:r w:rsidRPr="001D6DA8">
        <w:rPr>
          <w:rFonts w:eastAsia="Calibri"/>
          <w:shd w:val="clear" w:color="auto" w:fill="FFFFFF"/>
          <w:lang w:val="en-GB"/>
        </w:rPr>
        <w:t xml:space="preserve">International Weather for Energy Calculations. (n.d.). [Dataset]. https://climate.onebuilding.org/WMO_Region_6_Europe/UKR_Ukraine/index.html#IDKC_Kiev_City- </w:t>
      </w:r>
    </w:p>
    <w:sectPr w:rsidR="00943120" w:rsidRPr="001D6DA8" w:rsidSect="0007421E">
      <w:headerReference w:type="even" r:id="rId47"/>
      <w:headerReference w:type="default" r:id="rId48"/>
      <w:footerReference w:type="first" r:id="rId49"/>
      <w:pgSz w:w="11906" w:h="16838" w:code="9"/>
      <w:pgMar w:top="1134" w:right="1134" w:bottom="1134" w:left="1134" w:header="567" w:footer="567" w:gutter="0"/>
      <w:pgNumType w:start="1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19E06" w14:textId="77777777" w:rsidR="00CF4EB0" w:rsidRDefault="00CF4EB0" w:rsidP="00634A16">
      <w:r>
        <w:separator/>
      </w:r>
    </w:p>
  </w:endnote>
  <w:endnote w:type="continuationSeparator" w:id="0">
    <w:p w14:paraId="3BDED4D5" w14:textId="77777777" w:rsidR="00CF4EB0" w:rsidRDefault="00CF4EB0" w:rsidP="00634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1A3426" w:rsidRPr="008822DE" w14:paraId="1119ACC5" w14:textId="77777777" w:rsidTr="00766D5A">
      <w:trPr>
        <w:trHeight w:val="198"/>
      </w:trPr>
      <w:tc>
        <w:tcPr>
          <w:tcW w:w="1384" w:type="dxa"/>
          <w:shd w:val="clear" w:color="auto" w:fill="auto"/>
          <w:vAlign w:val="center"/>
        </w:tcPr>
        <w:p w14:paraId="069D62BD" w14:textId="77777777" w:rsidR="001A3426" w:rsidRPr="008822DE" w:rsidRDefault="001A3426" w:rsidP="001A3426">
          <w:pPr>
            <w:ind w:firstLine="0"/>
            <w:rPr>
              <w:lang w:val="en-GB"/>
            </w:rPr>
          </w:pPr>
          <w:bookmarkStart w:id="5" w:name="_Hlk104286226"/>
          <w:bookmarkStart w:id="6" w:name="_Hlk104286227"/>
          <w:bookmarkStart w:id="7" w:name="_Hlk154270864"/>
          <w:bookmarkStart w:id="8" w:name="_Hlk154270865"/>
          <w:r w:rsidRPr="008822DE">
            <w:rPr>
              <w:noProof/>
              <w:lang w:val="en-GB"/>
            </w:rPr>
            <w:drawing>
              <wp:inline distT="0" distB="0" distL="0" distR="0" wp14:anchorId="72E279F5" wp14:editId="756DAE9A">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5EE1A23B" w14:textId="77777777" w:rsidR="001A3426" w:rsidRPr="008822DE" w:rsidRDefault="001A3426" w:rsidP="001A3426">
          <w:pPr>
            <w:suppressAutoHyphens/>
            <w:ind w:firstLine="0"/>
            <w:rPr>
              <w:sz w:val="18"/>
              <w:szCs w:val="18"/>
              <w:lang w:val="en-GB"/>
            </w:rPr>
          </w:pPr>
          <w:r w:rsidRPr="008822DE">
            <w:rPr>
              <w:sz w:val="18"/>
              <w:szCs w:val="18"/>
              <w:lang w:val="en-GB"/>
            </w:rPr>
            <w:t>© 2025. Author(s). This work is licensed under a Creative Commons Attribution 4.0 International License (CC BY-SA)</w:t>
          </w:r>
        </w:p>
      </w:tc>
    </w:tr>
    <w:bookmarkEnd w:id="5"/>
    <w:bookmarkEnd w:id="6"/>
    <w:bookmarkEnd w:id="7"/>
    <w:bookmarkEnd w:id="8"/>
  </w:tbl>
  <w:p w14:paraId="2105B44C" w14:textId="77777777" w:rsidR="001A3426" w:rsidRPr="008822DE" w:rsidRDefault="001A3426" w:rsidP="001A3426">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787F2" w14:textId="77777777" w:rsidR="00CF4EB0" w:rsidRDefault="00CF4EB0" w:rsidP="00634A16">
      <w:r>
        <w:separator/>
      </w:r>
    </w:p>
  </w:footnote>
  <w:footnote w:type="continuationSeparator" w:id="0">
    <w:p w14:paraId="7452CF8E" w14:textId="77777777" w:rsidR="00CF4EB0" w:rsidRDefault="00CF4EB0" w:rsidP="00634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1A3426" w:rsidRPr="00007E12" w14:paraId="06CEF91F" w14:textId="77777777" w:rsidTr="00766D5A">
      <w:trPr>
        <w:trHeight w:hRule="exact" w:val="284"/>
      </w:trPr>
      <w:tc>
        <w:tcPr>
          <w:tcW w:w="397" w:type="dxa"/>
          <w:shd w:val="clear" w:color="auto" w:fill="auto"/>
          <w:vAlign w:val="center"/>
        </w:tcPr>
        <w:p w14:paraId="339C8C33" w14:textId="77777777" w:rsidR="001A3426" w:rsidRPr="00007E12" w:rsidRDefault="001A3426" w:rsidP="001A3426">
          <w:pPr>
            <w:pStyle w:val="Nagwek"/>
            <w:ind w:firstLine="0"/>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17BB483D" w14:textId="42790042" w:rsidR="001A3426" w:rsidRPr="00007E12" w:rsidRDefault="001A3426" w:rsidP="001A3426">
          <w:pPr>
            <w:pStyle w:val="Nagwek"/>
            <w:ind w:firstLine="0"/>
            <w:jc w:val="center"/>
            <w:rPr>
              <w:rFonts w:ascii="Arial" w:hAnsi="Arial" w:cs="Arial"/>
              <w:i/>
              <w:sz w:val="20"/>
              <w:lang w:val="en-GB"/>
            </w:rPr>
          </w:pPr>
          <w:r w:rsidRPr="001A3426">
            <w:rPr>
              <w:rFonts w:ascii="Arial" w:hAnsi="Arial" w:cs="Arial"/>
              <w:i/>
              <w:sz w:val="20"/>
              <w:lang w:val="en-GB"/>
            </w:rPr>
            <w:t xml:space="preserve">Valerii </w:t>
          </w:r>
          <w:proofErr w:type="spellStart"/>
          <w:r w:rsidRPr="001A3426">
            <w:rPr>
              <w:rFonts w:ascii="Arial" w:hAnsi="Arial" w:cs="Arial"/>
              <w:i/>
              <w:sz w:val="20"/>
              <w:lang w:val="en-GB"/>
            </w:rPr>
            <w:t>Deshko</w:t>
          </w:r>
          <w:proofErr w:type="spellEnd"/>
          <w:r w:rsidRPr="00007E12">
            <w:rPr>
              <w:rFonts w:ascii="Arial" w:hAnsi="Arial" w:cs="Arial"/>
              <w:i/>
              <w:sz w:val="20"/>
              <w:lang w:val="en-GB"/>
            </w:rPr>
            <w:t xml:space="preserve"> et al.</w:t>
          </w:r>
        </w:p>
      </w:tc>
    </w:tr>
  </w:tbl>
  <w:p w14:paraId="4D37CD23" w14:textId="77777777" w:rsidR="001A3426" w:rsidRPr="00007E12" w:rsidRDefault="001A3426" w:rsidP="001A3426">
    <w:pPr>
      <w:pStyle w:val="Nagwek"/>
      <w:ind w:firstLine="0"/>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1A3426" w:rsidRPr="00007E12" w14:paraId="3B639CA1" w14:textId="77777777" w:rsidTr="00766D5A">
      <w:trPr>
        <w:trHeight w:hRule="exact" w:val="284"/>
        <w:jc w:val="right"/>
      </w:trPr>
      <w:tc>
        <w:tcPr>
          <w:tcW w:w="9243" w:type="dxa"/>
          <w:shd w:val="clear" w:color="auto" w:fill="auto"/>
          <w:vAlign w:val="center"/>
        </w:tcPr>
        <w:p w14:paraId="7F5B6CD6" w14:textId="6ECA4A84" w:rsidR="001A3426" w:rsidRPr="00007E12" w:rsidRDefault="008461DE" w:rsidP="001A3426">
          <w:pPr>
            <w:pStyle w:val="Nagwek"/>
            <w:ind w:firstLine="0"/>
            <w:jc w:val="center"/>
            <w:rPr>
              <w:rFonts w:ascii="Arial" w:hAnsi="Arial" w:cs="Arial"/>
              <w:i/>
              <w:sz w:val="20"/>
              <w:szCs w:val="16"/>
              <w:lang w:val="en-GB"/>
            </w:rPr>
          </w:pPr>
          <w:r w:rsidRPr="008461DE">
            <w:rPr>
              <w:rFonts w:ascii="Arial" w:hAnsi="Arial" w:cs="Arial"/>
              <w:i/>
              <w:sz w:val="20"/>
              <w:szCs w:val="16"/>
              <w:lang w:val="en-GB"/>
            </w:rPr>
            <w:t>Parametric Analysis of Heat Flows Through Building</w:t>
          </w:r>
          <w:r w:rsidR="001A3426">
            <w:rPr>
              <w:rFonts w:ascii="Arial" w:hAnsi="Arial" w:cs="Arial"/>
              <w:i/>
              <w:sz w:val="20"/>
              <w:szCs w:val="16"/>
              <w:lang w:val="en-GB"/>
            </w:rPr>
            <w:t>…</w:t>
          </w:r>
        </w:p>
      </w:tc>
      <w:tc>
        <w:tcPr>
          <w:tcW w:w="397" w:type="dxa"/>
          <w:shd w:val="clear" w:color="auto" w:fill="auto"/>
          <w:vAlign w:val="center"/>
        </w:tcPr>
        <w:p w14:paraId="716B45D9" w14:textId="77777777" w:rsidR="001A3426" w:rsidRPr="00007E12" w:rsidRDefault="001A3426" w:rsidP="001A3426">
          <w:pPr>
            <w:pStyle w:val="Nagwek"/>
            <w:ind w:firstLine="0"/>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777C9DA2" w14:textId="77777777" w:rsidR="001A3426" w:rsidRPr="00007E12" w:rsidRDefault="001A3426" w:rsidP="001A3426">
    <w:pPr>
      <w:pStyle w:val="Nagwek"/>
      <w:ind w:firstLine="0"/>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10A2A"/>
    <w:multiLevelType w:val="hybridMultilevel"/>
    <w:tmpl w:val="B0705F82"/>
    <w:lvl w:ilvl="0" w:tplc="F7B22772">
      <w:start w:val="1"/>
      <w:numFmt w:val="lowerLetter"/>
      <w:lvlText w:val="%1."/>
      <w:lvlJc w:val="left"/>
      <w:pPr>
        <w:ind w:left="630" w:hanging="360"/>
      </w:pPr>
      <w:rPr>
        <w:rFonts w:hint="default"/>
        <w:color w:val="141950"/>
        <w:sz w:val="16"/>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C6234E7"/>
    <w:multiLevelType w:val="hybridMultilevel"/>
    <w:tmpl w:val="5F7EDB16"/>
    <w:lvl w:ilvl="0" w:tplc="DC1261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D9C5EE8"/>
    <w:multiLevelType w:val="hybridMultilevel"/>
    <w:tmpl w:val="A63A90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1D16A2"/>
    <w:multiLevelType w:val="hybridMultilevel"/>
    <w:tmpl w:val="D7D8FDA6"/>
    <w:lvl w:ilvl="0" w:tplc="93D0069E">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2A1A6672"/>
    <w:multiLevelType w:val="hybridMultilevel"/>
    <w:tmpl w:val="F9863A88"/>
    <w:lvl w:ilvl="0" w:tplc="93D0069E">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E326FD5"/>
    <w:multiLevelType w:val="hybridMultilevel"/>
    <w:tmpl w:val="900485DA"/>
    <w:lvl w:ilvl="0" w:tplc="10BE9E7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2F5C0803"/>
    <w:multiLevelType w:val="hybridMultilevel"/>
    <w:tmpl w:val="263C2408"/>
    <w:lvl w:ilvl="0" w:tplc="93D0069E">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30A97445"/>
    <w:multiLevelType w:val="hybridMultilevel"/>
    <w:tmpl w:val="156AD0AA"/>
    <w:lvl w:ilvl="0" w:tplc="927E81D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BA8637C"/>
    <w:multiLevelType w:val="hybridMultilevel"/>
    <w:tmpl w:val="BB1EDF5C"/>
    <w:lvl w:ilvl="0" w:tplc="93D0069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CC46A09"/>
    <w:multiLevelType w:val="hybridMultilevel"/>
    <w:tmpl w:val="2E8E816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4B231C2"/>
    <w:multiLevelType w:val="hybridMultilevel"/>
    <w:tmpl w:val="4CFCEB26"/>
    <w:lvl w:ilvl="0" w:tplc="93D0069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67E00A2"/>
    <w:multiLevelType w:val="hybridMultilevel"/>
    <w:tmpl w:val="51080E9C"/>
    <w:lvl w:ilvl="0" w:tplc="53ECDD0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9480512"/>
    <w:multiLevelType w:val="hybridMultilevel"/>
    <w:tmpl w:val="3D1A7FAE"/>
    <w:lvl w:ilvl="0" w:tplc="1186BFB0">
      <w:start w:val="1"/>
      <w:numFmt w:val="lowerLetter"/>
      <w:lvlText w:val="%1."/>
      <w:lvlJc w:val="left"/>
      <w:pPr>
        <w:ind w:left="702" w:hanging="432"/>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60556A42"/>
    <w:multiLevelType w:val="hybridMultilevel"/>
    <w:tmpl w:val="47E69D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EC37FD1"/>
    <w:multiLevelType w:val="hybridMultilevel"/>
    <w:tmpl w:val="A46A0DE2"/>
    <w:lvl w:ilvl="0" w:tplc="93D0069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8E82635"/>
    <w:multiLevelType w:val="hybridMultilevel"/>
    <w:tmpl w:val="6A92E6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57056080">
    <w:abstractNumId w:val="8"/>
  </w:num>
  <w:num w:numId="2" w16cid:durableId="827281159">
    <w:abstractNumId w:val="11"/>
  </w:num>
  <w:num w:numId="3" w16cid:durableId="935940207">
    <w:abstractNumId w:val="10"/>
  </w:num>
  <w:num w:numId="4" w16cid:durableId="1895698483">
    <w:abstractNumId w:val="7"/>
  </w:num>
  <w:num w:numId="5" w16cid:durableId="1276138299">
    <w:abstractNumId w:val="14"/>
  </w:num>
  <w:num w:numId="6" w16cid:durableId="1395196177">
    <w:abstractNumId w:val="4"/>
  </w:num>
  <w:num w:numId="7" w16cid:durableId="627512488">
    <w:abstractNumId w:val="3"/>
  </w:num>
  <w:num w:numId="8" w16cid:durableId="1959095993">
    <w:abstractNumId w:val="2"/>
  </w:num>
  <w:num w:numId="9" w16cid:durableId="809247864">
    <w:abstractNumId w:val="6"/>
  </w:num>
  <w:num w:numId="10" w16cid:durableId="1239708529">
    <w:abstractNumId w:val="1"/>
  </w:num>
  <w:num w:numId="11" w16cid:durableId="1966157081">
    <w:abstractNumId w:val="9"/>
  </w:num>
  <w:num w:numId="12" w16cid:durableId="833030812">
    <w:abstractNumId w:val="5"/>
  </w:num>
  <w:num w:numId="13" w16cid:durableId="1978101500">
    <w:abstractNumId w:val="13"/>
  </w:num>
  <w:num w:numId="14" w16cid:durableId="1025442714">
    <w:abstractNumId w:val="15"/>
  </w:num>
  <w:num w:numId="15" w16cid:durableId="1577327406">
    <w:abstractNumId w:val="0"/>
  </w:num>
  <w:num w:numId="16" w16cid:durableId="16861256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hideSpellingErrors/>
  <w:hideGrammaticalErrors/>
  <w:proofState w:spelling="clean"/>
  <w:defaultTabStop w:val="709"/>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AzMzI3Mza2tDA2NDFS0lEKTi0uzszPAykwrgUA5ru3xSwAAAA="/>
  </w:docVars>
  <w:rsids>
    <w:rsidRoot w:val="003E44B1"/>
    <w:rsid w:val="00002991"/>
    <w:rsid w:val="00007692"/>
    <w:rsid w:val="00017B29"/>
    <w:rsid w:val="00022123"/>
    <w:rsid w:val="00025EDC"/>
    <w:rsid w:val="00030FE5"/>
    <w:rsid w:val="00031EC1"/>
    <w:rsid w:val="00036400"/>
    <w:rsid w:val="0003672E"/>
    <w:rsid w:val="00040E5B"/>
    <w:rsid w:val="00042883"/>
    <w:rsid w:val="0004361B"/>
    <w:rsid w:val="000460D4"/>
    <w:rsid w:val="000465F8"/>
    <w:rsid w:val="000519D1"/>
    <w:rsid w:val="00057B14"/>
    <w:rsid w:val="000609CC"/>
    <w:rsid w:val="00065C27"/>
    <w:rsid w:val="000675E1"/>
    <w:rsid w:val="00070030"/>
    <w:rsid w:val="00071860"/>
    <w:rsid w:val="0007421E"/>
    <w:rsid w:val="000762A3"/>
    <w:rsid w:val="000767F7"/>
    <w:rsid w:val="00077C6E"/>
    <w:rsid w:val="00085F73"/>
    <w:rsid w:val="0009240F"/>
    <w:rsid w:val="0009270C"/>
    <w:rsid w:val="0009503F"/>
    <w:rsid w:val="000A3B83"/>
    <w:rsid w:val="000B1CF2"/>
    <w:rsid w:val="000D242C"/>
    <w:rsid w:val="000E5E8D"/>
    <w:rsid w:val="000F5FB6"/>
    <w:rsid w:val="001017EE"/>
    <w:rsid w:val="00103CD3"/>
    <w:rsid w:val="00122F3B"/>
    <w:rsid w:val="00123804"/>
    <w:rsid w:val="0014664B"/>
    <w:rsid w:val="00150B3D"/>
    <w:rsid w:val="001515E4"/>
    <w:rsid w:val="001534DD"/>
    <w:rsid w:val="001617DE"/>
    <w:rsid w:val="00167005"/>
    <w:rsid w:val="00174F11"/>
    <w:rsid w:val="001770B6"/>
    <w:rsid w:val="0017713F"/>
    <w:rsid w:val="00187665"/>
    <w:rsid w:val="00187C8E"/>
    <w:rsid w:val="0019162E"/>
    <w:rsid w:val="001A1CCB"/>
    <w:rsid w:val="001A2561"/>
    <w:rsid w:val="001A3426"/>
    <w:rsid w:val="001A6D60"/>
    <w:rsid w:val="001A7C17"/>
    <w:rsid w:val="001C1CC6"/>
    <w:rsid w:val="001C27CC"/>
    <w:rsid w:val="001C374D"/>
    <w:rsid w:val="001D28B4"/>
    <w:rsid w:val="001D4011"/>
    <w:rsid w:val="001D6DA8"/>
    <w:rsid w:val="001D7E00"/>
    <w:rsid w:val="001E5D21"/>
    <w:rsid w:val="001E67C2"/>
    <w:rsid w:val="001E6FAF"/>
    <w:rsid w:val="001F50A1"/>
    <w:rsid w:val="002016C8"/>
    <w:rsid w:val="00205DEC"/>
    <w:rsid w:val="00215064"/>
    <w:rsid w:val="00215119"/>
    <w:rsid w:val="00224CB4"/>
    <w:rsid w:val="00225F28"/>
    <w:rsid w:val="00231706"/>
    <w:rsid w:val="00232C81"/>
    <w:rsid w:val="00235CE3"/>
    <w:rsid w:val="002415FB"/>
    <w:rsid w:val="00252CD4"/>
    <w:rsid w:val="00255798"/>
    <w:rsid w:val="002601AC"/>
    <w:rsid w:val="0026204F"/>
    <w:rsid w:val="0028002A"/>
    <w:rsid w:val="002807B4"/>
    <w:rsid w:val="00283F4D"/>
    <w:rsid w:val="002865FA"/>
    <w:rsid w:val="00290AE3"/>
    <w:rsid w:val="00292A95"/>
    <w:rsid w:val="00292BF7"/>
    <w:rsid w:val="00294FA7"/>
    <w:rsid w:val="002A28C2"/>
    <w:rsid w:val="002A5D3E"/>
    <w:rsid w:val="002A5D53"/>
    <w:rsid w:val="002A762E"/>
    <w:rsid w:val="002B1D64"/>
    <w:rsid w:val="002C0F47"/>
    <w:rsid w:val="002C4DE1"/>
    <w:rsid w:val="002D1C26"/>
    <w:rsid w:val="002E0231"/>
    <w:rsid w:val="002E17F2"/>
    <w:rsid w:val="002E5B05"/>
    <w:rsid w:val="002F4CED"/>
    <w:rsid w:val="002F5D02"/>
    <w:rsid w:val="002F6169"/>
    <w:rsid w:val="002F7681"/>
    <w:rsid w:val="002F7B77"/>
    <w:rsid w:val="00306048"/>
    <w:rsid w:val="00310F68"/>
    <w:rsid w:val="00312357"/>
    <w:rsid w:val="00314136"/>
    <w:rsid w:val="00324B1A"/>
    <w:rsid w:val="00327D57"/>
    <w:rsid w:val="003305B6"/>
    <w:rsid w:val="003335CB"/>
    <w:rsid w:val="00333701"/>
    <w:rsid w:val="00337FB0"/>
    <w:rsid w:val="003400A4"/>
    <w:rsid w:val="00345CE6"/>
    <w:rsid w:val="0034652A"/>
    <w:rsid w:val="00347C83"/>
    <w:rsid w:val="00350585"/>
    <w:rsid w:val="00350940"/>
    <w:rsid w:val="00356589"/>
    <w:rsid w:val="00357B5B"/>
    <w:rsid w:val="00364CDA"/>
    <w:rsid w:val="003701C1"/>
    <w:rsid w:val="00375F3E"/>
    <w:rsid w:val="00377377"/>
    <w:rsid w:val="003856E0"/>
    <w:rsid w:val="00391085"/>
    <w:rsid w:val="00394EB1"/>
    <w:rsid w:val="003950EE"/>
    <w:rsid w:val="00396F40"/>
    <w:rsid w:val="003A1616"/>
    <w:rsid w:val="003A45F6"/>
    <w:rsid w:val="003A5A8D"/>
    <w:rsid w:val="003B1823"/>
    <w:rsid w:val="003B521A"/>
    <w:rsid w:val="003B7893"/>
    <w:rsid w:val="003C018E"/>
    <w:rsid w:val="003C0CDD"/>
    <w:rsid w:val="003C317B"/>
    <w:rsid w:val="003C3FD1"/>
    <w:rsid w:val="003C41F3"/>
    <w:rsid w:val="003C4D9A"/>
    <w:rsid w:val="003C5FA4"/>
    <w:rsid w:val="003C6CFA"/>
    <w:rsid w:val="003D24D7"/>
    <w:rsid w:val="003D30D4"/>
    <w:rsid w:val="003E0028"/>
    <w:rsid w:val="003E0A91"/>
    <w:rsid w:val="003E4452"/>
    <w:rsid w:val="003E44B1"/>
    <w:rsid w:val="003E4B16"/>
    <w:rsid w:val="003E50C9"/>
    <w:rsid w:val="003F0FDB"/>
    <w:rsid w:val="004033A9"/>
    <w:rsid w:val="00404F35"/>
    <w:rsid w:val="00406BA2"/>
    <w:rsid w:val="004150DA"/>
    <w:rsid w:val="00417699"/>
    <w:rsid w:val="0042252F"/>
    <w:rsid w:val="004226A7"/>
    <w:rsid w:val="00422E14"/>
    <w:rsid w:val="00424C56"/>
    <w:rsid w:val="00425493"/>
    <w:rsid w:val="004255B1"/>
    <w:rsid w:val="004330CC"/>
    <w:rsid w:val="00435BD7"/>
    <w:rsid w:val="004360B0"/>
    <w:rsid w:val="0044360F"/>
    <w:rsid w:val="00451065"/>
    <w:rsid w:val="0045135B"/>
    <w:rsid w:val="00452047"/>
    <w:rsid w:val="004557E9"/>
    <w:rsid w:val="00457104"/>
    <w:rsid w:val="00470947"/>
    <w:rsid w:val="00474BA6"/>
    <w:rsid w:val="00480127"/>
    <w:rsid w:val="00486132"/>
    <w:rsid w:val="004956D6"/>
    <w:rsid w:val="004A71BD"/>
    <w:rsid w:val="004A7670"/>
    <w:rsid w:val="004B0815"/>
    <w:rsid w:val="004B5B93"/>
    <w:rsid w:val="004C3505"/>
    <w:rsid w:val="004C4AFC"/>
    <w:rsid w:val="004D486F"/>
    <w:rsid w:val="004D5D79"/>
    <w:rsid w:val="004D6EF1"/>
    <w:rsid w:val="004E6378"/>
    <w:rsid w:val="004E63B8"/>
    <w:rsid w:val="004E7D00"/>
    <w:rsid w:val="004F176D"/>
    <w:rsid w:val="004F2516"/>
    <w:rsid w:val="005062F3"/>
    <w:rsid w:val="005138FE"/>
    <w:rsid w:val="00513A9C"/>
    <w:rsid w:val="00515615"/>
    <w:rsid w:val="00522535"/>
    <w:rsid w:val="00532D7A"/>
    <w:rsid w:val="00535087"/>
    <w:rsid w:val="0053605E"/>
    <w:rsid w:val="0054123F"/>
    <w:rsid w:val="005412C1"/>
    <w:rsid w:val="00541DDA"/>
    <w:rsid w:val="00542F70"/>
    <w:rsid w:val="00555A90"/>
    <w:rsid w:val="00557788"/>
    <w:rsid w:val="00564660"/>
    <w:rsid w:val="0057053D"/>
    <w:rsid w:val="005723EA"/>
    <w:rsid w:val="00572AE7"/>
    <w:rsid w:val="005745F4"/>
    <w:rsid w:val="00580E33"/>
    <w:rsid w:val="00581E85"/>
    <w:rsid w:val="005849C2"/>
    <w:rsid w:val="005901E9"/>
    <w:rsid w:val="005A328C"/>
    <w:rsid w:val="005A74D2"/>
    <w:rsid w:val="005B238D"/>
    <w:rsid w:val="005B33D8"/>
    <w:rsid w:val="005B5E3F"/>
    <w:rsid w:val="005D1334"/>
    <w:rsid w:val="005E0EF7"/>
    <w:rsid w:val="005E4FF4"/>
    <w:rsid w:val="00601075"/>
    <w:rsid w:val="00601180"/>
    <w:rsid w:val="00604416"/>
    <w:rsid w:val="00612924"/>
    <w:rsid w:val="006172EA"/>
    <w:rsid w:val="00623CF3"/>
    <w:rsid w:val="00625495"/>
    <w:rsid w:val="006318E3"/>
    <w:rsid w:val="00632EB2"/>
    <w:rsid w:val="00634A16"/>
    <w:rsid w:val="00637A81"/>
    <w:rsid w:val="00641DC8"/>
    <w:rsid w:val="00643D5C"/>
    <w:rsid w:val="0064429A"/>
    <w:rsid w:val="006523A5"/>
    <w:rsid w:val="00661663"/>
    <w:rsid w:val="00661E9C"/>
    <w:rsid w:val="00666F87"/>
    <w:rsid w:val="006671E2"/>
    <w:rsid w:val="0068239A"/>
    <w:rsid w:val="00685A9C"/>
    <w:rsid w:val="00691AFF"/>
    <w:rsid w:val="006A11EF"/>
    <w:rsid w:val="006A3974"/>
    <w:rsid w:val="006B05C2"/>
    <w:rsid w:val="006C1828"/>
    <w:rsid w:val="006C3CE3"/>
    <w:rsid w:val="006C4DE0"/>
    <w:rsid w:val="006C53E6"/>
    <w:rsid w:val="006D258E"/>
    <w:rsid w:val="006D5FC6"/>
    <w:rsid w:val="006E27C0"/>
    <w:rsid w:val="006F10F3"/>
    <w:rsid w:val="006F4504"/>
    <w:rsid w:val="007010AB"/>
    <w:rsid w:val="0070176F"/>
    <w:rsid w:val="007041AC"/>
    <w:rsid w:val="0071064A"/>
    <w:rsid w:val="0071175E"/>
    <w:rsid w:val="00714F4E"/>
    <w:rsid w:val="00720BBF"/>
    <w:rsid w:val="00721C91"/>
    <w:rsid w:val="00732A78"/>
    <w:rsid w:val="00734BF8"/>
    <w:rsid w:val="0073542F"/>
    <w:rsid w:val="007366A5"/>
    <w:rsid w:val="00744212"/>
    <w:rsid w:val="007478AE"/>
    <w:rsid w:val="00750973"/>
    <w:rsid w:val="0076670A"/>
    <w:rsid w:val="00772673"/>
    <w:rsid w:val="00773602"/>
    <w:rsid w:val="007761BE"/>
    <w:rsid w:val="007766A2"/>
    <w:rsid w:val="007825E5"/>
    <w:rsid w:val="0078360F"/>
    <w:rsid w:val="00790441"/>
    <w:rsid w:val="00795C5F"/>
    <w:rsid w:val="00797E03"/>
    <w:rsid w:val="007A09E6"/>
    <w:rsid w:val="007A6F4A"/>
    <w:rsid w:val="007A7B8C"/>
    <w:rsid w:val="007B0FEA"/>
    <w:rsid w:val="007B1416"/>
    <w:rsid w:val="007B5847"/>
    <w:rsid w:val="007C26CC"/>
    <w:rsid w:val="007C7300"/>
    <w:rsid w:val="007C735A"/>
    <w:rsid w:val="007C7D32"/>
    <w:rsid w:val="007D1624"/>
    <w:rsid w:val="007D30AE"/>
    <w:rsid w:val="007D3DE1"/>
    <w:rsid w:val="007D58CA"/>
    <w:rsid w:val="007E06A3"/>
    <w:rsid w:val="007E1757"/>
    <w:rsid w:val="007E2B94"/>
    <w:rsid w:val="007E3194"/>
    <w:rsid w:val="007F259F"/>
    <w:rsid w:val="008009C2"/>
    <w:rsid w:val="00805300"/>
    <w:rsid w:val="0082238E"/>
    <w:rsid w:val="0082634B"/>
    <w:rsid w:val="008307BE"/>
    <w:rsid w:val="00831D3C"/>
    <w:rsid w:val="00834115"/>
    <w:rsid w:val="00840145"/>
    <w:rsid w:val="00840325"/>
    <w:rsid w:val="00840980"/>
    <w:rsid w:val="00842027"/>
    <w:rsid w:val="00843221"/>
    <w:rsid w:val="0084597A"/>
    <w:rsid w:val="008461DE"/>
    <w:rsid w:val="008507E5"/>
    <w:rsid w:val="0085385A"/>
    <w:rsid w:val="00854632"/>
    <w:rsid w:val="00854F34"/>
    <w:rsid w:val="008625AD"/>
    <w:rsid w:val="008633DC"/>
    <w:rsid w:val="008663DE"/>
    <w:rsid w:val="008733E8"/>
    <w:rsid w:val="00877646"/>
    <w:rsid w:val="00880258"/>
    <w:rsid w:val="00880771"/>
    <w:rsid w:val="00881A7A"/>
    <w:rsid w:val="00884FCB"/>
    <w:rsid w:val="00895A9F"/>
    <w:rsid w:val="008978D8"/>
    <w:rsid w:val="008A06F1"/>
    <w:rsid w:val="008A75FD"/>
    <w:rsid w:val="008B29A3"/>
    <w:rsid w:val="008B2E9D"/>
    <w:rsid w:val="008B316E"/>
    <w:rsid w:val="008C15F1"/>
    <w:rsid w:val="008C2539"/>
    <w:rsid w:val="008C2A33"/>
    <w:rsid w:val="008C2BD2"/>
    <w:rsid w:val="008C48B3"/>
    <w:rsid w:val="008D2AEF"/>
    <w:rsid w:val="008D4797"/>
    <w:rsid w:val="008D51F6"/>
    <w:rsid w:val="008E0D29"/>
    <w:rsid w:val="008E11E0"/>
    <w:rsid w:val="008E21EF"/>
    <w:rsid w:val="008E5BAE"/>
    <w:rsid w:val="008F16C7"/>
    <w:rsid w:val="008F640F"/>
    <w:rsid w:val="008F69F6"/>
    <w:rsid w:val="008F7303"/>
    <w:rsid w:val="008F7FC2"/>
    <w:rsid w:val="009047D1"/>
    <w:rsid w:val="00905D2A"/>
    <w:rsid w:val="00907FA8"/>
    <w:rsid w:val="0091117B"/>
    <w:rsid w:val="00915311"/>
    <w:rsid w:val="00920D7A"/>
    <w:rsid w:val="00924DA0"/>
    <w:rsid w:val="009334A5"/>
    <w:rsid w:val="00935CDB"/>
    <w:rsid w:val="00936D19"/>
    <w:rsid w:val="00940B29"/>
    <w:rsid w:val="00941888"/>
    <w:rsid w:val="0094273F"/>
    <w:rsid w:val="00943120"/>
    <w:rsid w:val="009463F2"/>
    <w:rsid w:val="00952272"/>
    <w:rsid w:val="0095701E"/>
    <w:rsid w:val="0095704E"/>
    <w:rsid w:val="00962175"/>
    <w:rsid w:val="00962A3C"/>
    <w:rsid w:val="00963C38"/>
    <w:rsid w:val="009653A6"/>
    <w:rsid w:val="00981E3C"/>
    <w:rsid w:val="00992226"/>
    <w:rsid w:val="00995492"/>
    <w:rsid w:val="009A229F"/>
    <w:rsid w:val="009B28BA"/>
    <w:rsid w:val="009B4D03"/>
    <w:rsid w:val="009C1A94"/>
    <w:rsid w:val="009C3057"/>
    <w:rsid w:val="009D26BF"/>
    <w:rsid w:val="009D3E3A"/>
    <w:rsid w:val="009F1B18"/>
    <w:rsid w:val="009F41DD"/>
    <w:rsid w:val="009F553E"/>
    <w:rsid w:val="00A044D5"/>
    <w:rsid w:val="00A112E9"/>
    <w:rsid w:val="00A13A3C"/>
    <w:rsid w:val="00A2727B"/>
    <w:rsid w:val="00A27EDF"/>
    <w:rsid w:val="00A44737"/>
    <w:rsid w:val="00A52458"/>
    <w:rsid w:val="00A55CE6"/>
    <w:rsid w:val="00A6342E"/>
    <w:rsid w:val="00A647C8"/>
    <w:rsid w:val="00A6668C"/>
    <w:rsid w:val="00A72C10"/>
    <w:rsid w:val="00A755C8"/>
    <w:rsid w:val="00A81686"/>
    <w:rsid w:val="00A82237"/>
    <w:rsid w:val="00A84E4F"/>
    <w:rsid w:val="00A86BC1"/>
    <w:rsid w:val="00A87E7C"/>
    <w:rsid w:val="00A908D6"/>
    <w:rsid w:val="00A94A90"/>
    <w:rsid w:val="00A97D56"/>
    <w:rsid w:val="00AA31AD"/>
    <w:rsid w:val="00AB3CCC"/>
    <w:rsid w:val="00AB439A"/>
    <w:rsid w:val="00AB6A32"/>
    <w:rsid w:val="00AC0144"/>
    <w:rsid w:val="00AC294D"/>
    <w:rsid w:val="00AC765A"/>
    <w:rsid w:val="00AC7833"/>
    <w:rsid w:val="00AE0D1B"/>
    <w:rsid w:val="00AE1A40"/>
    <w:rsid w:val="00AE1C90"/>
    <w:rsid w:val="00AE567E"/>
    <w:rsid w:val="00AF00E9"/>
    <w:rsid w:val="00AF5B55"/>
    <w:rsid w:val="00B047FB"/>
    <w:rsid w:val="00B104D6"/>
    <w:rsid w:val="00B12EC8"/>
    <w:rsid w:val="00B1319D"/>
    <w:rsid w:val="00B20440"/>
    <w:rsid w:val="00B2490B"/>
    <w:rsid w:val="00B25F61"/>
    <w:rsid w:val="00B308A4"/>
    <w:rsid w:val="00B34286"/>
    <w:rsid w:val="00B40078"/>
    <w:rsid w:val="00B4368C"/>
    <w:rsid w:val="00B47AD0"/>
    <w:rsid w:val="00B5122B"/>
    <w:rsid w:val="00B52325"/>
    <w:rsid w:val="00B52A9D"/>
    <w:rsid w:val="00B61952"/>
    <w:rsid w:val="00B739F3"/>
    <w:rsid w:val="00B81D7D"/>
    <w:rsid w:val="00B86DFE"/>
    <w:rsid w:val="00B90648"/>
    <w:rsid w:val="00B914DF"/>
    <w:rsid w:val="00B93230"/>
    <w:rsid w:val="00B95879"/>
    <w:rsid w:val="00BA2AA7"/>
    <w:rsid w:val="00BA4039"/>
    <w:rsid w:val="00BA5F5F"/>
    <w:rsid w:val="00BA604B"/>
    <w:rsid w:val="00BB1D0D"/>
    <w:rsid w:val="00BC2071"/>
    <w:rsid w:val="00BC6CB0"/>
    <w:rsid w:val="00BC706A"/>
    <w:rsid w:val="00BC7D98"/>
    <w:rsid w:val="00BD0AE0"/>
    <w:rsid w:val="00BD0EDE"/>
    <w:rsid w:val="00BD3783"/>
    <w:rsid w:val="00BF4397"/>
    <w:rsid w:val="00BF5646"/>
    <w:rsid w:val="00C0067C"/>
    <w:rsid w:val="00C033F3"/>
    <w:rsid w:val="00C0697E"/>
    <w:rsid w:val="00C12464"/>
    <w:rsid w:val="00C12763"/>
    <w:rsid w:val="00C12FEF"/>
    <w:rsid w:val="00C214C4"/>
    <w:rsid w:val="00C219BB"/>
    <w:rsid w:val="00C21E4D"/>
    <w:rsid w:val="00C274FA"/>
    <w:rsid w:val="00C3245A"/>
    <w:rsid w:val="00C341C2"/>
    <w:rsid w:val="00C359D4"/>
    <w:rsid w:val="00C36338"/>
    <w:rsid w:val="00C3757C"/>
    <w:rsid w:val="00C47F2D"/>
    <w:rsid w:val="00C54ADC"/>
    <w:rsid w:val="00C57E42"/>
    <w:rsid w:val="00C57F2E"/>
    <w:rsid w:val="00C64521"/>
    <w:rsid w:val="00C677E6"/>
    <w:rsid w:val="00C708B9"/>
    <w:rsid w:val="00C7272C"/>
    <w:rsid w:val="00C743AA"/>
    <w:rsid w:val="00C746DB"/>
    <w:rsid w:val="00C76A10"/>
    <w:rsid w:val="00C8270B"/>
    <w:rsid w:val="00C8582B"/>
    <w:rsid w:val="00C90899"/>
    <w:rsid w:val="00C9154E"/>
    <w:rsid w:val="00C91756"/>
    <w:rsid w:val="00CA1C23"/>
    <w:rsid w:val="00CA5906"/>
    <w:rsid w:val="00CB3596"/>
    <w:rsid w:val="00CB6E6A"/>
    <w:rsid w:val="00CB794B"/>
    <w:rsid w:val="00CD4384"/>
    <w:rsid w:val="00CE2BAD"/>
    <w:rsid w:val="00CF253F"/>
    <w:rsid w:val="00CF4EB0"/>
    <w:rsid w:val="00CF549C"/>
    <w:rsid w:val="00D00F16"/>
    <w:rsid w:val="00D055AD"/>
    <w:rsid w:val="00D11ED9"/>
    <w:rsid w:val="00D14965"/>
    <w:rsid w:val="00D17762"/>
    <w:rsid w:val="00D27B44"/>
    <w:rsid w:val="00D33DA1"/>
    <w:rsid w:val="00D4003B"/>
    <w:rsid w:val="00D40D62"/>
    <w:rsid w:val="00D41BBF"/>
    <w:rsid w:val="00D45EFC"/>
    <w:rsid w:val="00D534A2"/>
    <w:rsid w:val="00D551A0"/>
    <w:rsid w:val="00D56175"/>
    <w:rsid w:val="00D62B80"/>
    <w:rsid w:val="00D63FD5"/>
    <w:rsid w:val="00D6676A"/>
    <w:rsid w:val="00D67CF9"/>
    <w:rsid w:val="00D71621"/>
    <w:rsid w:val="00D77B4C"/>
    <w:rsid w:val="00D8671F"/>
    <w:rsid w:val="00D8761C"/>
    <w:rsid w:val="00D940A7"/>
    <w:rsid w:val="00D944B6"/>
    <w:rsid w:val="00D96DE5"/>
    <w:rsid w:val="00DA3A38"/>
    <w:rsid w:val="00DA6DC7"/>
    <w:rsid w:val="00DA750A"/>
    <w:rsid w:val="00DB0145"/>
    <w:rsid w:val="00DB2751"/>
    <w:rsid w:val="00DB62C5"/>
    <w:rsid w:val="00DB6A4E"/>
    <w:rsid w:val="00DB75C9"/>
    <w:rsid w:val="00DC306F"/>
    <w:rsid w:val="00DC3198"/>
    <w:rsid w:val="00DC5989"/>
    <w:rsid w:val="00DC689C"/>
    <w:rsid w:val="00DD4183"/>
    <w:rsid w:val="00DD4D92"/>
    <w:rsid w:val="00DD5D0A"/>
    <w:rsid w:val="00DD6B20"/>
    <w:rsid w:val="00DE137A"/>
    <w:rsid w:val="00DE1742"/>
    <w:rsid w:val="00DE25D8"/>
    <w:rsid w:val="00DE3DFD"/>
    <w:rsid w:val="00DE57C7"/>
    <w:rsid w:val="00DE58A6"/>
    <w:rsid w:val="00DF3442"/>
    <w:rsid w:val="00DF6687"/>
    <w:rsid w:val="00DF6A65"/>
    <w:rsid w:val="00E01940"/>
    <w:rsid w:val="00E02E04"/>
    <w:rsid w:val="00E036E1"/>
    <w:rsid w:val="00E05978"/>
    <w:rsid w:val="00E0627B"/>
    <w:rsid w:val="00E1136F"/>
    <w:rsid w:val="00E1386B"/>
    <w:rsid w:val="00E169E3"/>
    <w:rsid w:val="00E209D0"/>
    <w:rsid w:val="00E21C33"/>
    <w:rsid w:val="00E21C9E"/>
    <w:rsid w:val="00E24509"/>
    <w:rsid w:val="00E27421"/>
    <w:rsid w:val="00E27E7A"/>
    <w:rsid w:val="00E36F81"/>
    <w:rsid w:val="00E42E62"/>
    <w:rsid w:val="00E452CF"/>
    <w:rsid w:val="00E4533F"/>
    <w:rsid w:val="00E46523"/>
    <w:rsid w:val="00E46C0A"/>
    <w:rsid w:val="00E501B3"/>
    <w:rsid w:val="00E6275B"/>
    <w:rsid w:val="00E80AB5"/>
    <w:rsid w:val="00E82ED5"/>
    <w:rsid w:val="00E85BDD"/>
    <w:rsid w:val="00E9200F"/>
    <w:rsid w:val="00E946A8"/>
    <w:rsid w:val="00EA2222"/>
    <w:rsid w:val="00EA304C"/>
    <w:rsid w:val="00EA3B5B"/>
    <w:rsid w:val="00EA40B0"/>
    <w:rsid w:val="00EA6F94"/>
    <w:rsid w:val="00EB5548"/>
    <w:rsid w:val="00EC2741"/>
    <w:rsid w:val="00EC3157"/>
    <w:rsid w:val="00ED00AE"/>
    <w:rsid w:val="00ED484F"/>
    <w:rsid w:val="00EE04D9"/>
    <w:rsid w:val="00EE3DC8"/>
    <w:rsid w:val="00EE4926"/>
    <w:rsid w:val="00EF273C"/>
    <w:rsid w:val="00EF3C4C"/>
    <w:rsid w:val="00EF57DF"/>
    <w:rsid w:val="00F00530"/>
    <w:rsid w:val="00F024E5"/>
    <w:rsid w:val="00F1310F"/>
    <w:rsid w:val="00F169B0"/>
    <w:rsid w:val="00F22899"/>
    <w:rsid w:val="00F229C5"/>
    <w:rsid w:val="00F24994"/>
    <w:rsid w:val="00F339FC"/>
    <w:rsid w:val="00F35196"/>
    <w:rsid w:val="00F35BD8"/>
    <w:rsid w:val="00F4264B"/>
    <w:rsid w:val="00F45A8A"/>
    <w:rsid w:val="00F500BE"/>
    <w:rsid w:val="00F63B08"/>
    <w:rsid w:val="00F71CDE"/>
    <w:rsid w:val="00F72855"/>
    <w:rsid w:val="00F72C28"/>
    <w:rsid w:val="00F72DE4"/>
    <w:rsid w:val="00F73577"/>
    <w:rsid w:val="00F73A28"/>
    <w:rsid w:val="00F83CE9"/>
    <w:rsid w:val="00F85BDC"/>
    <w:rsid w:val="00F926A0"/>
    <w:rsid w:val="00F93411"/>
    <w:rsid w:val="00F943A5"/>
    <w:rsid w:val="00F95117"/>
    <w:rsid w:val="00FA1D12"/>
    <w:rsid w:val="00FA42C4"/>
    <w:rsid w:val="00FA506D"/>
    <w:rsid w:val="00FB0780"/>
    <w:rsid w:val="00FB304E"/>
    <w:rsid w:val="00FC27F8"/>
    <w:rsid w:val="00FC4790"/>
    <w:rsid w:val="00FD1495"/>
    <w:rsid w:val="00FD3E75"/>
    <w:rsid w:val="00FD5A26"/>
    <w:rsid w:val="00FE169A"/>
    <w:rsid w:val="00FF1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D0328"/>
  <w15:docId w15:val="{AC70B3CC-B1DC-4B39-AFAB-C985CAD0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65C27"/>
    <w:pPr>
      <w:spacing w:after="0" w:line="240" w:lineRule="auto"/>
      <w:ind w:firstLine="284"/>
      <w:jc w:val="both"/>
    </w:pPr>
    <w:rPr>
      <w:rFonts w:ascii="Times New Roman" w:hAnsi="Times New Roman"/>
    </w:rPr>
  </w:style>
  <w:style w:type="paragraph" w:styleId="Nagwek1">
    <w:name w:val="heading 1"/>
    <w:basedOn w:val="Normalny"/>
    <w:next w:val="Normalny"/>
    <w:link w:val="Nagwek1Znak"/>
    <w:uiPriority w:val="9"/>
    <w:qFormat/>
    <w:rsid w:val="003A45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DC319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D1334"/>
    <w:rPr>
      <w:color w:val="0563C1" w:themeColor="hyperlink"/>
      <w:u w:val="single"/>
    </w:rPr>
  </w:style>
  <w:style w:type="character" w:customStyle="1" w:styleId="UnresolvedMention1">
    <w:name w:val="Unresolved Mention1"/>
    <w:basedOn w:val="Domylnaczcionkaakapitu"/>
    <w:uiPriority w:val="99"/>
    <w:semiHidden/>
    <w:unhideWhenUsed/>
    <w:rsid w:val="005D1334"/>
    <w:rPr>
      <w:color w:val="605E5C"/>
      <w:shd w:val="clear" w:color="auto" w:fill="E1DFDD"/>
    </w:rPr>
  </w:style>
  <w:style w:type="paragraph" w:customStyle="1" w:styleId="Bezwcicia">
    <w:name w:val="Bez wcięcia"/>
    <w:basedOn w:val="Normalny"/>
    <w:rsid w:val="003C018E"/>
    <w:pPr>
      <w:ind w:firstLine="0"/>
    </w:pPr>
  </w:style>
  <w:style w:type="character" w:styleId="Odwoaniedokomentarza">
    <w:name w:val="annotation reference"/>
    <w:basedOn w:val="Domylnaczcionkaakapitu"/>
    <w:uiPriority w:val="99"/>
    <w:semiHidden/>
    <w:unhideWhenUsed/>
    <w:rsid w:val="001617DE"/>
    <w:rPr>
      <w:sz w:val="16"/>
      <w:szCs w:val="16"/>
    </w:rPr>
  </w:style>
  <w:style w:type="paragraph" w:styleId="Tekstkomentarza">
    <w:name w:val="annotation text"/>
    <w:basedOn w:val="Normalny"/>
    <w:link w:val="TekstkomentarzaZnak"/>
    <w:uiPriority w:val="99"/>
    <w:semiHidden/>
    <w:unhideWhenUsed/>
    <w:rsid w:val="001617DE"/>
    <w:rPr>
      <w:sz w:val="20"/>
      <w:szCs w:val="20"/>
    </w:rPr>
  </w:style>
  <w:style w:type="character" w:customStyle="1" w:styleId="TekstkomentarzaZnak">
    <w:name w:val="Tekst komentarza Znak"/>
    <w:basedOn w:val="Domylnaczcionkaakapitu"/>
    <w:link w:val="Tekstkomentarza"/>
    <w:uiPriority w:val="99"/>
    <w:semiHidden/>
    <w:rsid w:val="001617DE"/>
    <w:rPr>
      <w:sz w:val="20"/>
      <w:szCs w:val="20"/>
    </w:rPr>
  </w:style>
  <w:style w:type="paragraph" w:styleId="Tematkomentarza">
    <w:name w:val="annotation subject"/>
    <w:basedOn w:val="Tekstkomentarza"/>
    <w:next w:val="Tekstkomentarza"/>
    <w:link w:val="TematkomentarzaZnak"/>
    <w:uiPriority w:val="99"/>
    <w:semiHidden/>
    <w:unhideWhenUsed/>
    <w:rsid w:val="001617DE"/>
    <w:rPr>
      <w:b/>
      <w:bCs/>
    </w:rPr>
  </w:style>
  <w:style w:type="character" w:customStyle="1" w:styleId="TematkomentarzaZnak">
    <w:name w:val="Temat komentarza Znak"/>
    <w:basedOn w:val="TekstkomentarzaZnak"/>
    <w:link w:val="Tematkomentarza"/>
    <w:uiPriority w:val="99"/>
    <w:semiHidden/>
    <w:rsid w:val="001617DE"/>
    <w:rPr>
      <w:b/>
      <w:bCs/>
      <w:sz w:val="20"/>
      <w:szCs w:val="20"/>
    </w:rPr>
  </w:style>
  <w:style w:type="paragraph" w:styleId="Akapitzlist">
    <w:name w:val="List Paragraph"/>
    <w:basedOn w:val="Normalny"/>
    <w:uiPriority w:val="34"/>
    <w:qFormat/>
    <w:rsid w:val="00C0067C"/>
    <w:pPr>
      <w:ind w:left="720"/>
      <w:contextualSpacing/>
    </w:pPr>
  </w:style>
  <w:style w:type="character" w:styleId="Tekstzastpczy">
    <w:name w:val="Placeholder Text"/>
    <w:basedOn w:val="Domylnaczcionkaakapitu"/>
    <w:uiPriority w:val="99"/>
    <w:semiHidden/>
    <w:rsid w:val="0004361B"/>
    <w:rPr>
      <w:color w:val="666666"/>
    </w:rPr>
  </w:style>
  <w:style w:type="paragraph" w:styleId="Tekstprzypisukocowego">
    <w:name w:val="endnote text"/>
    <w:basedOn w:val="Normalny"/>
    <w:link w:val="TekstprzypisukocowegoZnak"/>
    <w:uiPriority w:val="99"/>
    <w:semiHidden/>
    <w:unhideWhenUsed/>
    <w:rsid w:val="00634A16"/>
    <w:rPr>
      <w:sz w:val="20"/>
      <w:szCs w:val="20"/>
    </w:rPr>
  </w:style>
  <w:style w:type="character" w:customStyle="1" w:styleId="TekstprzypisukocowegoZnak">
    <w:name w:val="Tekst przypisu końcowego Znak"/>
    <w:basedOn w:val="Domylnaczcionkaakapitu"/>
    <w:link w:val="Tekstprzypisukocowego"/>
    <w:uiPriority w:val="99"/>
    <w:semiHidden/>
    <w:rsid w:val="00634A16"/>
    <w:rPr>
      <w:sz w:val="20"/>
      <w:szCs w:val="20"/>
    </w:rPr>
  </w:style>
  <w:style w:type="character" w:styleId="Odwoanieprzypisukocowego">
    <w:name w:val="endnote reference"/>
    <w:basedOn w:val="Domylnaczcionkaakapitu"/>
    <w:uiPriority w:val="99"/>
    <w:semiHidden/>
    <w:unhideWhenUsed/>
    <w:rsid w:val="00634A16"/>
    <w:rPr>
      <w:vertAlign w:val="superscript"/>
    </w:rPr>
  </w:style>
  <w:style w:type="paragraph" w:styleId="Tytu">
    <w:name w:val="Title"/>
    <w:basedOn w:val="Normalny"/>
    <w:next w:val="Normalny"/>
    <w:link w:val="TytuZnak"/>
    <w:uiPriority w:val="10"/>
    <w:qFormat/>
    <w:rsid w:val="00D17762"/>
    <w:pPr>
      <w:suppressAutoHyphens/>
      <w:spacing w:before="240"/>
      <w:ind w:firstLine="0"/>
      <w:contextualSpacing/>
      <w:jc w:val="center"/>
    </w:pPr>
    <w:rPr>
      <w:rFonts w:eastAsiaTheme="majorEastAsia" w:cstheme="majorBidi"/>
      <w:b/>
      <w:spacing w:val="-10"/>
      <w:kern w:val="28"/>
      <w:sz w:val="24"/>
      <w:szCs w:val="56"/>
    </w:rPr>
  </w:style>
  <w:style w:type="character" w:customStyle="1" w:styleId="TytuZnak">
    <w:name w:val="Tytuł Znak"/>
    <w:basedOn w:val="Domylnaczcionkaakapitu"/>
    <w:link w:val="Tytu"/>
    <w:uiPriority w:val="10"/>
    <w:rsid w:val="00D17762"/>
    <w:rPr>
      <w:rFonts w:ascii="Times New Roman" w:eastAsiaTheme="majorEastAsia" w:hAnsi="Times New Roman" w:cstheme="majorBidi"/>
      <w:b/>
      <w:spacing w:val="-10"/>
      <w:kern w:val="28"/>
      <w:sz w:val="24"/>
      <w:szCs w:val="56"/>
    </w:rPr>
  </w:style>
  <w:style w:type="paragraph" w:customStyle="1" w:styleId="Autorzy">
    <w:name w:val="Autorzy"/>
    <w:basedOn w:val="Normalny"/>
    <w:rsid w:val="003B521A"/>
    <w:pPr>
      <w:suppressLineNumbers/>
      <w:spacing w:before="120" w:after="120"/>
      <w:ind w:firstLine="0"/>
      <w:jc w:val="center"/>
    </w:pPr>
    <w:rPr>
      <w:i/>
      <w:sz w:val="24"/>
      <w:lang w:val="en-US"/>
    </w:rPr>
  </w:style>
  <w:style w:type="paragraph" w:customStyle="1" w:styleId="Afiliacje">
    <w:name w:val="Afiliacje"/>
    <w:basedOn w:val="Normalny"/>
    <w:rsid w:val="003A45F6"/>
    <w:pPr>
      <w:suppressAutoHyphens/>
      <w:ind w:firstLine="0"/>
      <w:jc w:val="center"/>
    </w:pPr>
    <w:rPr>
      <w:i/>
      <w:sz w:val="20"/>
      <w:lang w:val="en-US"/>
    </w:rPr>
  </w:style>
  <w:style w:type="paragraph" w:customStyle="1" w:styleId="Streszczenie">
    <w:name w:val="Streszczenie"/>
    <w:basedOn w:val="Normalny"/>
    <w:qFormat/>
    <w:rsid w:val="003B521A"/>
    <w:pPr>
      <w:spacing w:before="120"/>
      <w:ind w:left="567" w:right="567" w:firstLine="0"/>
    </w:pPr>
    <w:rPr>
      <w:sz w:val="18"/>
      <w:lang w:val="en-US"/>
    </w:rPr>
  </w:style>
  <w:style w:type="paragraph" w:customStyle="1" w:styleId="Rozdzia">
    <w:name w:val="Rozdział"/>
    <w:basedOn w:val="Normalny"/>
    <w:qFormat/>
    <w:rsid w:val="00685A9C"/>
    <w:pPr>
      <w:spacing w:before="240" w:after="120"/>
      <w:ind w:firstLine="0"/>
      <w:jc w:val="left"/>
    </w:pPr>
    <w:rPr>
      <w:b/>
      <w:sz w:val="24"/>
      <w:lang w:val="en-US"/>
    </w:rPr>
  </w:style>
  <w:style w:type="paragraph" w:customStyle="1" w:styleId="Podrozdzia1">
    <w:name w:val="Podrozdział 1"/>
    <w:basedOn w:val="Normalny"/>
    <w:rsid w:val="003A45F6"/>
    <w:pPr>
      <w:suppressAutoHyphens/>
      <w:spacing w:before="120" w:after="120"/>
      <w:ind w:firstLine="0"/>
      <w:jc w:val="left"/>
    </w:pPr>
    <w:rPr>
      <w:b/>
      <w:lang w:val="en-US"/>
    </w:rPr>
  </w:style>
  <w:style w:type="paragraph" w:customStyle="1" w:styleId="Podrozdzia2">
    <w:name w:val="Podrozdział 2"/>
    <w:basedOn w:val="Podrozdzia1"/>
    <w:rsid w:val="003A45F6"/>
    <w:rPr>
      <w:b w:val="0"/>
      <w:i/>
    </w:rPr>
  </w:style>
  <w:style w:type="paragraph" w:customStyle="1" w:styleId="Tytutabeli">
    <w:name w:val="Tytuł tabeli"/>
    <w:basedOn w:val="Normalny"/>
    <w:qFormat/>
    <w:rsid w:val="003A45F6"/>
    <w:pPr>
      <w:suppressAutoHyphens/>
      <w:spacing w:before="120"/>
      <w:ind w:firstLine="0"/>
      <w:jc w:val="left"/>
    </w:pPr>
    <w:rPr>
      <w:sz w:val="20"/>
    </w:rPr>
  </w:style>
  <w:style w:type="character" w:customStyle="1" w:styleId="Nagwek1Znak">
    <w:name w:val="Nagłówek 1 Znak"/>
    <w:basedOn w:val="Domylnaczcionkaakapitu"/>
    <w:link w:val="Nagwek1"/>
    <w:uiPriority w:val="9"/>
    <w:rsid w:val="003A45F6"/>
    <w:rPr>
      <w:rFonts w:asciiTheme="majorHAnsi" w:eastAsiaTheme="majorEastAsia" w:hAnsiTheme="majorHAnsi" w:cstheme="majorBidi"/>
      <w:color w:val="2F5496" w:themeColor="accent1" w:themeShade="BF"/>
      <w:sz w:val="32"/>
      <w:szCs w:val="32"/>
    </w:rPr>
  </w:style>
  <w:style w:type="paragraph" w:customStyle="1" w:styleId="Tyturysunku">
    <w:name w:val="Tytuł rysunku"/>
    <w:basedOn w:val="Tytutabeli"/>
    <w:qFormat/>
    <w:rsid w:val="003A45F6"/>
    <w:pPr>
      <w:spacing w:before="0" w:after="120"/>
    </w:pPr>
  </w:style>
  <w:style w:type="paragraph" w:customStyle="1" w:styleId="Przypisy">
    <w:name w:val="Przypisy"/>
    <w:basedOn w:val="Tyturysunku"/>
    <w:rsid w:val="003A45F6"/>
    <w:pPr>
      <w:spacing w:after="0"/>
    </w:pPr>
  </w:style>
  <w:style w:type="paragraph" w:customStyle="1" w:styleId="SpisLiteratury">
    <w:name w:val="Spis Literatury"/>
    <w:basedOn w:val="Przypisy"/>
    <w:qFormat/>
    <w:rsid w:val="003A45F6"/>
    <w:pPr>
      <w:suppressAutoHyphens w:val="0"/>
      <w:ind w:left="425" w:hanging="425"/>
      <w:jc w:val="both"/>
    </w:pPr>
  </w:style>
  <w:style w:type="paragraph" w:customStyle="1" w:styleId="Wzory">
    <w:name w:val="Wzory"/>
    <w:basedOn w:val="Bezwcicia"/>
    <w:qFormat/>
    <w:rsid w:val="00C708B9"/>
    <w:pPr>
      <w:tabs>
        <w:tab w:val="center" w:pos="4820"/>
        <w:tab w:val="right" w:pos="9639"/>
      </w:tabs>
      <w:jc w:val="left"/>
    </w:pPr>
    <w:rPr>
      <w:b/>
      <w:bCs/>
      <w:lang w:val="en-US"/>
    </w:rPr>
  </w:style>
  <w:style w:type="paragraph" w:customStyle="1" w:styleId="Rab1">
    <w:name w:val="R_ab1"/>
    <w:next w:val="Normalny"/>
    <w:autoRedefine/>
    <w:qFormat/>
    <w:rsid w:val="00F500BE"/>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8461DE"/>
    <w:pPr>
      <w:spacing w:before="60"/>
      <w:jc w:val="left"/>
    </w:pPr>
  </w:style>
  <w:style w:type="paragraph" w:customStyle="1" w:styleId="Rafiliacja">
    <w:name w:val="R_afiliacja"/>
    <w:basedOn w:val="Normalny"/>
    <w:link w:val="RafiliacjaZnak"/>
    <w:qFormat/>
    <w:rsid w:val="00F500BE"/>
    <w:pPr>
      <w:suppressAutoHyphens/>
      <w:ind w:firstLine="0"/>
      <w:jc w:val="center"/>
    </w:pPr>
    <w:rPr>
      <w:rFonts w:cs="Times New Roman"/>
      <w:i/>
      <w:sz w:val="20"/>
      <w:szCs w:val="28"/>
    </w:rPr>
  </w:style>
  <w:style w:type="character" w:customStyle="1" w:styleId="RafiliacjaZnak">
    <w:name w:val="R_afiliacja Znak"/>
    <w:basedOn w:val="Domylnaczcionkaakapitu"/>
    <w:link w:val="Rafiliacja"/>
    <w:rsid w:val="00F500BE"/>
    <w:rPr>
      <w:rFonts w:ascii="Times New Roman" w:hAnsi="Times New Roman" w:cs="Times New Roman"/>
      <w:i/>
      <w:sz w:val="20"/>
      <w:szCs w:val="28"/>
    </w:rPr>
  </w:style>
  <w:style w:type="paragraph" w:customStyle="1" w:styleId="Rauco">
    <w:name w:val="R_au_co"/>
    <w:basedOn w:val="Rafiliacja"/>
    <w:autoRedefine/>
    <w:qFormat/>
    <w:rsid w:val="00F500BE"/>
    <w:pPr>
      <w:spacing w:before="120"/>
    </w:pPr>
    <w:rPr>
      <w:lang w:val="en-GB"/>
    </w:rPr>
  </w:style>
  <w:style w:type="paragraph" w:customStyle="1" w:styleId="Rn1">
    <w:name w:val="R_n1"/>
    <w:basedOn w:val="Normalny"/>
    <w:link w:val="Rn1Znak"/>
    <w:qFormat/>
    <w:rsid w:val="00F500BE"/>
    <w:pPr>
      <w:suppressAutoHyphens/>
      <w:spacing w:before="240" w:after="120"/>
      <w:ind w:firstLine="0"/>
    </w:pPr>
    <w:rPr>
      <w:b/>
      <w:sz w:val="24"/>
    </w:rPr>
  </w:style>
  <w:style w:type="character" w:customStyle="1" w:styleId="Rn1Znak">
    <w:name w:val="R_n1 Znak"/>
    <w:basedOn w:val="Domylnaczcionkaakapitu"/>
    <w:link w:val="Rn1"/>
    <w:rsid w:val="00F500BE"/>
    <w:rPr>
      <w:rFonts w:ascii="Times New Roman" w:hAnsi="Times New Roman"/>
      <w:b/>
      <w:sz w:val="24"/>
    </w:rPr>
  </w:style>
  <w:style w:type="paragraph" w:customStyle="1" w:styleId="Rn2">
    <w:name w:val="R_n2"/>
    <w:basedOn w:val="Rn1"/>
    <w:link w:val="Rn2Znak"/>
    <w:qFormat/>
    <w:rsid w:val="00F500BE"/>
    <w:pPr>
      <w:spacing w:before="120"/>
      <w:jc w:val="left"/>
    </w:pPr>
    <w:rPr>
      <w:sz w:val="22"/>
    </w:rPr>
  </w:style>
  <w:style w:type="character" w:customStyle="1" w:styleId="Rn2Znak">
    <w:name w:val="R_n2 Znak"/>
    <w:link w:val="Rn2"/>
    <w:rsid w:val="00F500BE"/>
    <w:rPr>
      <w:rFonts w:ascii="Times New Roman" w:hAnsi="Times New Roman"/>
      <w:b/>
    </w:rPr>
  </w:style>
  <w:style w:type="paragraph" w:customStyle="1" w:styleId="Rtytu">
    <w:name w:val="R_tytuł"/>
    <w:basedOn w:val="Rn2"/>
    <w:link w:val="RtytuZnak"/>
    <w:autoRedefine/>
    <w:qFormat/>
    <w:rsid w:val="00F500BE"/>
    <w:pPr>
      <w:spacing w:before="240" w:after="0"/>
      <w:jc w:val="center"/>
    </w:pPr>
    <w:rPr>
      <w:sz w:val="24"/>
      <w:szCs w:val="28"/>
    </w:rPr>
  </w:style>
  <w:style w:type="character" w:customStyle="1" w:styleId="RtytuZnak">
    <w:name w:val="R_tytuł Znak"/>
    <w:basedOn w:val="Rn2Znak"/>
    <w:link w:val="Rtytu"/>
    <w:rsid w:val="00F500BE"/>
    <w:rPr>
      <w:rFonts w:ascii="Times New Roman" w:hAnsi="Times New Roman"/>
      <w:b/>
      <w:sz w:val="24"/>
      <w:szCs w:val="28"/>
    </w:rPr>
  </w:style>
  <w:style w:type="paragraph" w:customStyle="1" w:styleId="Rautor">
    <w:name w:val="R_autor"/>
    <w:basedOn w:val="Rtytu"/>
    <w:link w:val="RautorZnak"/>
    <w:autoRedefine/>
    <w:qFormat/>
    <w:rsid w:val="00F500BE"/>
    <w:pPr>
      <w:spacing w:before="120"/>
    </w:pPr>
    <w:rPr>
      <w:rFonts w:eastAsia="Calibri" w:cs="Times New Roman"/>
      <w:b w:val="0"/>
      <w:i/>
    </w:rPr>
  </w:style>
  <w:style w:type="character" w:customStyle="1" w:styleId="RautorZnak">
    <w:name w:val="R_autor Znak"/>
    <w:link w:val="Rautor"/>
    <w:rsid w:val="00F500BE"/>
    <w:rPr>
      <w:rFonts w:ascii="Times New Roman" w:eastAsia="Calibri" w:hAnsi="Times New Roman" w:cs="Times New Roman"/>
      <w:i/>
      <w:sz w:val="24"/>
      <w:szCs w:val="28"/>
    </w:rPr>
  </w:style>
  <w:style w:type="paragraph" w:customStyle="1" w:styleId="Rlit">
    <w:name w:val="R_lit"/>
    <w:basedOn w:val="Normalny"/>
    <w:link w:val="RlitZnak"/>
    <w:qFormat/>
    <w:rsid w:val="00F500BE"/>
    <w:pPr>
      <w:ind w:left="425" w:hanging="425"/>
    </w:pPr>
    <w:rPr>
      <w:rFonts w:eastAsia="Times New Roman" w:cs="Times New Roman"/>
      <w:sz w:val="20"/>
      <w:szCs w:val="20"/>
      <w:lang w:val="en-US" w:eastAsia="pl-PL"/>
    </w:rPr>
  </w:style>
  <w:style w:type="character" w:customStyle="1" w:styleId="RlitZnak">
    <w:name w:val="R_lit Znak"/>
    <w:basedOn w:val="Domylnaczcionkaakapitu"/>
    <w:link w:val="Rlit"/>
    <w:rsid w:val="00F500BE"/>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F500BE"/>
    <w:pPr>
      <w:suppressAutoHyphens/>
      <w:spacing w:after="120"/>
      <w:ind w:firstLine="0"/>
      <w:jc w:val="left"/>
    </w:pPr>
    <w:rPr>
      <w:sz w:val="20"/>
    </w:rPr>
  </w:style>
  <w:style w:type="character" w:customStyle="1" w:styleId="RtabZnak">
    <w:name w:val="R_tab Znak"/>
    <w:basedOn w:val="Domylnaczcionkaakapitu"/>
    <w:link w:val="Rtab"/>
    <w:rsid w:val="00F500BE"/>
    <w:rPr>
      <w:rFonts w:ascii="Times New Roman" w:hAnsi="Times New Roman"/>
      <w:sz w:val="20"/>
    </w:rPr>
  </w:style>
  <w:style w:type="paragraph" w:customStyle="1" w:styleId="Rn3">
    <w:name w:val="R_n3"/>
    <w:basedOn w:val="Rtab"/>
    <w:link w:val="Rn3Znak"/>
    <w:autoRedefine/>
    <w:qFormat/>
    <w:rsid w:val="00F500BE"/>
    <w:pPr>
      <w:spacing w:before="120"/>
      <w:jc w:val="both"/>
    </w:pPr>
    <w:rPr>
      <w:i/>
    </w:rPr>
  </w:style>
  <w:style w:type="character" w:customStyle="1" w:styleId="Rn3Znak">
    <w:name w:val="R_n3 Znak"/>
    <w:basedOn w:val="RtabZnak"/>
    <w:link w:val="Rn3"/>
    <w:rsid w:val="00F500BE"/>
    <w:rPr>
      <w:rFonts w:ascii="Times New Roman" w:hAnsi="Times New Roman"/>
      <w:i/>
      <w:sz w:val="20"/>
    </w:rPr>
  </w:style>
  <w:style w:type="paragraph" w:customStyle="1" w:styleId="Rrys">
    <w:name w:val="R_rys"/>
    <w:basedOn w:val="Rafiliacja"/>
    <w:link w:val="RrysZnak"/>
    <w:qFormat/>
    <w:rsid w:val="00F500BE"/>
    <w:pPr>
      <w:spacing w:before="120"/>
      <w:jc w:val="left"/>
    </w:pPr>
    <w:rPr>
      <w:i w:val="0"/>
    </w:rPr>
  </w:style>
  <w:style w:type="character" w:customStyle="1" w:styleId="RrysZnak">
    <w:name w:val="R_rys Znak"/>
    <w:basedOn w:val="RafiliacjaZnak"/>
    <w:link w:val="Rrys"/>
    <w:rsid w:val="00F500BE"/>
    <w:rPr>
      <w:rFonts w:ascii="Times New Roman" w:hAnsi="Times New Roman" w:cs="Times New Roman"/>
      <w:i w:val="0"/>
      <w:sz w:val="20"/>
      <w:szCs w:val="28"/>
    </w:rPr>
  </w:style>
  <w:style w:type="paragraph" w:styleId="Nagwek">
    <w:name w:val="header"/>
    <w:basedOn w:val="Normalny"/>
    <w:link w:val="NagwekZnak"/>
    <w:uiPriority w:val="99"/>
    <w:unhideWhenUsed/>
    <w:rsid w:val="00D11ED9"/>
    <w:pPr>
      <w:tabs>
        <w:tab w:val="center" w:pos="4536"/>
        <w:tab w:val="right" w:pos="9072"/>
      </w:tabs>
    </w:pPr>
  </w:style>
  <w:style w:type="character" w:customStyle="1" w:styleId="NagwekZnak">
    <w:name w:val="Nagłówek Znak"/>
    <w:basedOn w:val="Domylnaczcionkaakapitu"/>
    <w:link w:val="Nagwek"/>
    <w:uiPriority w:val="99"/>
    <w:rsid w:val="00D11ED9"/>
    <w:rPr>
      <w:rFonts w:ascii="Times New Roman" w:hAnsi="Times New Roman"/>
    </w:rPr>
  </w:style>
  <w:style w:type="paragraph" w:styleId="Stopka">
    <w:name w:val="footer"/>
    <w:basedOn w:val="Normalny"/>
    <w:link w:val="StopkaZnak"/>
    <w:uiPriority w:val="99"/>
    <w:unhideWhenUsed/>
    <w:rsid w:val="00D11ED9"/>
    <w:pPr>
      <w:tabs>
        <w:tab w:val="center" w:pos="4536"/>
        <w:tab w:val="right" w:pos="9072"/>
      </w:tabs>
    </w:pPr>
  </w:style>
  <w:style w:type="character" w:customStyle="1" w:styleId="StopkaZnak">
    <w:name w:val="Stopka Znak"/>
    <w:basedOn w:val="Domylnaczcionkaakapitu"/>
    <w:link w:val="Stopka"/>
    <w:uiPriority w:val="99"/>
    <w:rsid w:val="00D11ED9"/>
    <w:rPr>
      <w:rFonts w:ascii="Times New Roman" w:hAnsi="Times New Roman"/>
    </w:rPr>
  </w:style>
  <w:style w:type="paragraph" w:styleId="Tekstpodstawowy">
    <w:name w:val="Body Text"/>
    <w:basedOn w:val="Normalny"/>
    <w:link w:val="TekstpodstawowyZnak"/>
    <w:uiPriority w:val="99"/>
    <w:semiHidden/>
    <w:unhideWhenUsed/>
    <w:rsid w:val="00C214C4"/>
    <w:pPr>
      <w:spacing w:after="120"/>
    </w:pPr>
  </w:style>
  <w:style w:type="character" w:customStyle="1" w:styleId="TekstpodstawowyZnak">
    <w:name w:val="Tekst podstawowy Znak"/>
    <w:basedOn w:val="Domylnaczcionkaakapitu"/>
    <w:link w:val="Tekstpodstawowy"/>
    <w:uiPriority w:val="99"/>
    <w:semiHidden/>
    <w:rsid w:val="00C214C4"/>
    <w:rPr>
      <w:rFonts w:ascii="Times New Roman" w:hAnsi="Times New Roman"/>
    </w:rPr>
  </w:style>
  <w:style w:type="paragraph" w:customStyle="1" w:styleId="TableParagraph">
    <w:name w:val="Table Paragraph"/>
    <w:basedOn w:val="Normalny"/>
    <w:uiPriority w:val="1"/>
    <w:qFormat/>
    <w:rsid w:val="00C214C4"/>
    <w:pPr>
      <w:widowControl w:val="0"/>
      <w:autoSpaceDE w:val="0"/>
      <w:autoSpaceDN w:val="0"/>
      <w:ind w:firstLine="0"/>
      <w:jc w:val="left"/>
    </w:pPr>
    <w:rPr>
      <w:rFonts w:eastAsia="Times New Roman" w:cs="Times New Roman"/>
      <w:kern w:val="0"/>
      <w:lang w:val="en-US"/>
    </w:rPr>
  </w:style>
  <w:style w:type="table" w:styleId="Tabela-Siatka">
    <w:name w:val="Table Grid"/>
    <w:basedOn w:val="Standardowy"/>
    <w:uiPriority w:val="39"/>
    <w:rsid w:val="00866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5A9F"/>
    <w:pPr>
      <w:autoSpaceDE w:val="0"/>
      <w:autoSpaceDN w:val="0"/>
      <w:adjustRightInd w:val="0"/>
      <w:spacing w:after="0" w:line="240" w:lineRule="auto"/>
    </w:pPr>
    <w:rPr>
      <w:rFonts w:ascii="Times New Roman" w:eastAsia="Calibri" w:hAnsi="Times New Roman" w:cs="Times New Roman"/>
      <w:color w:val="000000"/>
      <w:kern w:val="0"/>
      <w:sz w:val="24"/>
      <w:szCs w:val="24"/>
      <w:lang w:val="uk-UA" w:eastAsia="uk-UA"/>
    </w:rPr>
  </w:style>
  <w:style w:type="paragraph" w:customStyle="1" w:styleId="CPOTETablecontent">
    <w:name w:val="CPOTE_Table_content"/>
    <w:basedOn w:val="Normalny"/>
    <w:rsid w:val="00A27EDF"/>
    <w:pPr>
      <w:overflowPunct w:val="0"/>
      <w:autoSpaceDE w:val="0"/>
      <w:autoSpaceDN w:val="0"/>
      <w:adjustRightInd w:val="0"/>
      <w:ind w:firstLine="0"/>
      <w:jc w:val="left"/>
      <w:textAlignment w:val="baseline"/>
    </w:pPr>
    <w:rPr>
      <w:rFonts w:eastAsia="Times New Roman" w:cs="Times New Roman"/>
      <w:kern w:val="0"/>
      <w:lang w:val="en-GB" w:eastAsia="pl-PL"/>
    </w:rPr>
  </w:style>
  <w:style w:type="character" w:styleId="UyteHipercze">
    <w:name w:val="FollowedHyperlink"/>
    <w:basedOn w:val="Domylnaczcionkaakapitu"/>
    <w:uiPriority w:val="99"/>
    <w:semiHidden/>
    <w:unhideWhenUsed/>
    <w:rsid w:val="00C677E6"/>
    <w:rPr>
      <w:color w:val="954F72" w:themeColor="followedHyperlink"/>
      <w:u w:val="single"/>
    </w:rPr>
  </w:style>
  <w:style w:type="character" w:customStyle="1" w:styleId="Nagwek2Znak">
    <w:name w:val="Nagłówek 2 Znak"/>
    <w:basedOn w:val="Domylnaczcionkaakapitu"/>
    <w:link w:val="Nagwek2"/>
    <w:uiPriority w:val="9"/>
    <w:semiHidden/>
    <w:rsid w:val="00DC3198"/>
    <w:rPr>
      <w:rFonts w:asciiTheme="majorHAnsi" w:eastAsiaTheme="majorEastAsia" w:hAnsiTheme="majorHAnsi" w:cstheme="majorBidi"/>
      <w:color w:val="2F5496" w:themeColor="accent1" w:themeShade="BF"/>
      <w:sz w:val="26"/>
      <w:szCs w:val="26"/>
    </w:rPr>
  </w:style>
  <w:style w:type="paragraph" w:styleId="Tekstdymka">
    <w:name w:val="Balloon Text"/>
    <w:basedOn w:val="Normalny"/>
    <w:link w:val="TekstdymkaZnak"/>
    <w:uiPriority w:val="99"/>
    <w:semiHidden/>
    <w:unhideWhenUsed/>
    <w:rsid w:val="00D96DE5"/>
    <w:rPr>
      <w:rFonts w:ascii="Tahoma" w:hAnsi="Tahoma" w:cs="Tahoma"/>
      <w:sz w:val="16"/>
      <w:szCs w:val="16"/>
    </w:rPr>
  </w:style>
  <w:style w:type="character" w:customStyle="1" w:styleId="TekstdymkaZnak">
    <w:name w:val="Tekst dymka Znak"/>
    <w:basedOn w:val="Domylnaczcionkaakapitu"/>
    <w:link w:val="Tekstdymka"/>
    <w:uiPriority w:val="99"/>
    <w:semiHidden/>
    <w:rsid w:val="00D96DE5"/>
    <w:rPr>
      <w:rFonts w:ascii="Tahoma" w:hAnsi="Tahoma" w:cs="Tahoma"/>
      <w:sz w:val="16"/>
      <w:szCs w:val="16"/>
    </w:rPr>
  </w:style>
  <w:style w:type="character" w:styleId="Nierozpoznanawzmianka">
    <w:name w:val="Unresolved Mention"/>
    <w:basedOn w:val="Domylnaczcionkaakapitu"/>
    <w:uiPriority w:val="99"/>
    <w:semiHidden/>
    <w:unhideWhenUsed/>
    <w:rsid w:val="00076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2633">
      <w:bodyDiv w:val="1"/>
      <w:marLeft w:val="0"/>
      <w:marRight w:val="0"/>
      <w:marTop w:val="0"/>
      <w:marBottom w:val="0"/>
      <w:divBdr>
        <w:top w:val="none" w:sz="0" w:space="0" w:color="auto"/>
        <w:left w:val="none" w:sz="0" w:space="0" w:color="auto"/>
        <w:bottom w:val="none" w:sz="0" w:space="0" w:color="auto"/>
        <w:right w:val="none" w:sz="0" w:space="0" w:color="auto"/>
      </w:divBdr>
    </w:div>
    <w:div w:id="60638758">
      <w:bodyDiv w:val="1"/>
      <w:marLeft w:val="0"/>
      <w:marRight w:val="0"/>
      <w:marTop w:val="0"/>
      <w:marBottom w:val="0"/>
      <w:divBdr>
        <w:top w:val="none" w:sz="0" w:space="0" w:color="auto"/>
        <w:left w:val="none" w:sz="0" w:space="0" w:color="auto"/>
        <w:bottom w:val="none" w:sz="0" w:space="0" w:color="auto"/>
        <w:right w:val="none" w:sz="0" w:space="0" w:color="auto"/>
      </w:divBdr>
    </w:div>
    <w:div w:id="244001005">
      <w:bodyDiv w:val="1"/>
      <w:marLeft w:val="0"/>
      <w:marRight w:val="0"/>
      <w:marTop w:val="0"/>
      <w:marBottom w:val="0"/>
      <w:divBdr>
        <w:top w:val="none" w:sz="0" w:space="0" w:color="auto"/>
        <w:left w:val="none" w:sz="0" w:space="0" w:color="auto"/>
        <w:bottom w:val="none" w:sz="0" w:space="0" w:color="auto"/>
        <w:right w:val="none" w:sz="0" w:space="0" w:color="auto"/>
      </w:divBdr>
      <w:divsChild>
        <w:div w:id="2021196844">
          <w:marLeft w:val="0"/>
          <w:marRight w:val="0"/>
          <w:marTop w:val="0"/>
          <w:marBottom w:val="120"/>
          <w:divBdr>
            <w:top w:val="none" w:sz="0" w:space="0" w:color="auto"/>
            <w:left w:val="none" w:sz="0" w:space="0" w:color="auto"/>
            <w:bottom w:val="none" w:sz="0" w:space="0" w:color="auto"/>
            <w:right w:val="none" w:sz="0" w:space="0" w:color="auto"/>
          </w:divBdr>
          <w:divsChild>
            <w:div w:id="400058465">
              <w:marLeft w:val="0"/>
              <w:marRight w:val="0"/>
              <w:marTop w:val="0"/>
              <w:marBottom w:val="0"/>
              <w:divBdr>
                <w:top w:val="none" w:sz="0" w:space="0" w:color="auto"/>
                <w:left w:val="none" w:sz="0" w:space="0" w:color="auto"/>
                <w:bottom w:val="none" w:sz="0" w:space="0" w:color="auto"/>
                <w:right w:val="none" w:sz="0" w:space="0" w:color="auto"/>
              </w:divBdr>
              <w:divsChild>
                <w:div w:id="1914774077">
                  <w:marLeft w:val="0"/>
                  <w:marRight w:val="0"/>
                  <w:marTop w:val="0"/>
                  <w:marBottom w:val="0"/>
                  <w:divBdr>
                    <w:top w:val="none" w:sz="0" w:space="0" w:color="auto"/>
                    <w:left w:val="none" w:sz="0" w:space="0" w:color="auto"/>
                    <w:bottom w:val="none" w:sz="0" w:space="0" w:color="auto"/>
                    <w:right w:val="none" w:sz="0" w:space="0" w:color="auto"/>
                  </w:divBdr>
                  <w:divsChild>
                    <w:div w:id="18997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45248">
      <w:bodyDiv w:val="1"/>
      <w:marLeft w:val="0"/>
      <w:marRight w:val="0"/>
      <w:marTop w:val="0"/>
      <w:marBottom w:val="0"/>
      <w:divBdr>
        <w:top w:val="none" w:sz="0" w:space="0" w:color="auto"/>
        <w:left w:val="none" w:sz="0" w:space="0" w:color="auto"/>
        <w:bottom w:val="none" w:sz="0" w:space="0" w:color="auto"/>
        <w:right w:val="none" w:sz="0" w:space="0" w:color="auto"/>
      </w:divBdr>
    </w:div>
    <w:div w:id="811214259">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26964818">
      <w:bodyDiv w:val="1"/>
      <w:marLeft w:val="0"/>
      <w:marRight w:val="0"/>
      <w:marTop w:val="0"/>
      <w:marBottom w:val="0"/>
      <w:divBdr>
        <w:top w:val="none" w:sz="0" w:space="0" w:color="auto"/>
        <w:left w:val="none" w:sz="0" w:space="0" w:color="auto"/>
        <w:bottom w:val="none" w:sz="0" w:space="0" w:color="auto"/>
        <w:right w:val="none" w:sz="0" w:space="0" w:color="auto"/>
      </w:divBdr>
    </w:div>
    <w:div w:id="1159275010">
      <w:bodyDiv w:val="1"/>
      <w:marLeft w:val="0"/>
      <w:marRight w:val="0"/>
      <w:marTop w:val="0"/>
      <w:marBottom w:val="0"/>
      <w:divBdr>
        <w:top w:val="none" w:sz="0" w:space="0" w:color="auto"/>
        <w:left w:val="none" w:sz="0" w:space="0" w:color="auto"/>
        <w:bottom w:val="none" w:sz="0" w:space="0" w:color="auto"/>
        <w:right w:val="none" w:sz="0" w:space="0" w:color="auto"/>
      </w:divBdr>
    </w:div>
    <w:div w:id="1574656382">
      <w:bodyDiv w:val="1"/>
      <w:marLeft w:val="0"/>
      <w:marRight w:val="0"/>
      <w:marTop w:val="0"/>
      <w:marBottom w:val="0"/>
      <w:divBdr>
        <w:top w:val="none" w:sz="0" w:space="0" w:color="auto"/>
        <w:left w:val="none" w:sz="0" w:space="0" w:color="auto"/>
        <w:bottom w:val="none" w:sz="0" w:space="0" w:color="auto"/>
        <w:right w:val="none" w:sz="0" w:space="0" w:color="auto"/>
      </w:divBdr>
    </w:div>
    <w:div w:id="1709138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pi-ua.translate.goog/en/tef?_x_tr_sl=uk&amp;_x_tr_tl=ru&amp;_x_tr_hl=ru&amp;_x_tr_pto=sc"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sv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kpi-ua.translate.goog/en/tef?_x_tr_sl=uk&amp;_x_tr_tl=ru&amp;_x_tr_hl=ru&amp;_x_tr_pto=sc"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svg"/><Relationship Id="rId41" Type="http://schemas.openxmlformats.org/officeDocument/2006/relationships/image" Target="media/image2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6640-103X" TargetMode="External"/><Relationship Id="rId24" Type="http://schemas.openxmlformats.org/officeDocument/2006/relationships/image" Target="media/image10.svg"/><Relationship Id="rId32" Type="http://schemas.openxmlformats.org/officeDocument/2006/relationships/image" Target="media/image18.png"/><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image" Target="media/image31.svg"/><Relationship Id="rId5" Type="http://schemas.openxmlformats.org/officeDocument/2006/relationships/webSettings" Target="webSettings.xml"/><Relationship Id="rId15" Type="http://schemas.openxmlformats.org/officeDocument/2006/relationships/hyperlink" Target="https://kpi-ua.translate.goog/en/tef?_x_tr_sl=uk&amp;_x_tr_tl=ru&amp;_x_tr_hl=ru&amp;_x_tr_pto=sc"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hyperlink" Target="https://kpi-ua.translate.goog/en/tef?_x_tr_sl=uk&amp;_x_tr_tl=ru&amp;_x_tr_hl=ru&amp;_x_tr_pto=sc" TargetMode="External"/><Relationship Id="rId19" Type="http://schemas.openxmlformats.org/officeDocument/2006/relationships/image" Target="media/image5.png"/><Relationship Id="rId31" Type="http://schemas.openxmlformats.org/officeDocument/2006/relationships/image" Target="media/image17.sv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kpi-ua.translate.goog/en/tef?_x_tr_sl=uk&amp;_x_tr_tl=ru&amp;_x_tr_hl=ru&amp;_x_tr_pto=sc" TargetMode="External"/><Relationship Id="rId14" Type="http://schemas.openxmlformats.org/officeDocument/2006/relationships/hyperlink" Target="https://kpi-ua.translate.goog/en/tef?_x_tr_sl=uk&amp;_x_tr_tl=ru&amp;_x_tr_hl=ru&amp;_x_tr_pto=sc" TargetMode="External"/><Relationship Id="rId22" Type="http://schemas.openxmlformats.org/officeDocument/2006/relationships/image" Target="media/image8.sv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image" Target="media/image29.sv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5E058-35E4-466E-BC7E-4CCA1A6C8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5453</Words>
  <Characters>32724</Characters>
  <Application>Microsoft Office Word</Application>
  <DocSecurity>0</DocSecurity>
  <Lines>272</Lines>
  <Paragraphs>76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Ireneusz Wyczałek</dc:creator>
  <cp:lastModifiedBy>Janusz Dabrowski NA</cp:lastModifiedBy>
  <cp:revision>14</cp:revision>
  <cp:lastPrinted>2025-02-26T10:38:00Z</cp:lastPrinted>
  <dcterms:created xsi:type="dcterms:W3CDTF">2025-02-26T09:38:00Z</dcterms:created>
  <dcterms:modified xsi:type="dcterms:W3CDTF">2025-03-07T10:40:00Z</dcterms:modified>
</cp:coreProperties>
</file>