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2B42CB" w:rsidRPr="002B42CB" w14:paraId="433725D5" w14:textId="77777777" w:rsidTr="00FE4B27">
        <w:trPr>
          <w:trHeight w:hRule="exact" w:val="142"/>
        </w:trPr>
        <w:tc>
          <w:tcPr>
            <w:tcW w:w="709" w:type="dxa"/>
            <w:vMerge w:val="restart"/>
            <w:shd w:val="clear" w:color="auto" w:fill="auto"/>
            <w:vAlign w:val="center"/>
          </w:tcPr>
          <w:p w14:paraId="7D44D53A" w14:textId="77777777" w:rsidR="002B42CB" w:rsidRPr="002B42CB" w:rsidRDefault="002B42CB" w:rsidP="002B42CB">
            <w:pPr>
              <w:spacing w:after="0" w:line="240" w:lineRule="auto"/>
              <w:rPr>
                <w:rFonts w:ascii="Times New Roman" w:hAnsi="Times New Roman" w:cs="Times New Roman"/>
                <w:lang w:val="en-GB"/>
              </w:rPr>
            </w:pPr>
            <w:bookmarkStart w:id="0" w:name="_Hlk145412337"/>
            <w:bookmarkStart w:id="1" w:name="_Hlk103340665"/>
            <w:bookmarkStart w:id="2" w:name="_Hlk24804592"/>
            <w:bookmarkEnd w:id="0"/>
            <w:bookmarkEnd w:id="1"/>
            <w:r w:rsidRPr="002B42CB">
              <w:rPr>
                <w:rFonts w:ascii="Times New Roman" w:hAnsi="Times New Roman" w:cs="Times New Roman"/>
                <w:noProof/>
                <w:lang w:val="en-GB"/>
              </w:rPr>
              <w:drawing>
                <wp:anchor distT="0" distB="0" distL="114300" distR="114300" simplePos="0" relativeHeight="251659264" behindDoc="0" locked="0" layoutInCell="1" allowOverlap="1" wp14:anchorId="584C363E" wp14:editId="7EC9CC83">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54B51D70" w14:textId="77777777" w:rsidR="002B42CB" w:rsidRPr="002B42CB" w:rsidRDefault="002B42CB" w:rsidP="002B42CB">
            <w:pPr>
              <w:spacing w:after="0" w:line="240" w:lineRule="auto"/>
              <w:jc w:val="center"/>
              <w:rPr>
                <w:rFonts w:ascii="Times New Roman" w:hAnsi="Times New Roman" w:cs="Times New Roman"/>
                <w:lang w:val="en-GB"/>
              </w:rPr>
            </w:pPr>
          </w:p>
        </w:tc>
      </w:tr>
      <w:tr w:rsidR="002B42CB" w:rsidRPr="002B42CB" w14:paraId="79DFBDD3" w14:textId="77777777" w:rsidTr="00FE4B27">
        <w:trPr>
          <w:trHeight w:hRule="exact" w:val="283"/>
        </w:trPr>
        <w:tc>
          <w:tcPr>
            <w:tcW w:w="709" w:type="dxa"/>
            <w:vMerge/>
            <w:shd w:val="clear" w:color="auto" w:fill="auto"/>
          </w:tcPr>
          <w:p w14:paraId="35B3358B" w14:textId="77777777" w:rsidR="002B42CB" w:rsidRPr="002B42CB" w:rsidRDefault="002B42CB" w:rsidP="002B42CB">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3719F52E" w14:textId="77777777" w:rsidR="002B42CB" w:rsidRPr="002B42CB" w:rsidRDefault="002B42CB" w:rsidP="002B42CB">
            <w:pPr>
              <w:spacing w:after="0" w:line="240" w:lineRule="auto"/>
              <w:jc w:val="center"/>
              <w:rPr>
                <w:rFonts w:ascii="Times New Roman" w:hAnsi="Times New Roman" w:cs="Times New Roman"/>
                <w:lang w:val="en-GB"/>
              </w:rPr>
            </w:pPr>
            <w:proofErr w:type="spellStart"/>
            <w:r w:rsidRPr="002B42CB">
              <w:rPr>
                <w:rFonts w:ascii="Times New Roman" w:hAnsi="Times New Roman" w:cs="Times New Roman"/>
                <w:b/>
                <w:sz w:val="20"/>
                <w:szCs w:val="20"/>
                <w:lang w:val="en-GB"/>
              </w:rPr>
              <w:t>Rocznik</w:t>
            </w:r>
            <w:proofErr w:type="spellEnd"/>
            <w:r w:rsidRPr="002B42CB">
              <w:rPr>
                <w:rFonts w:ascii="Times New Roman" w:hAnsi="Times New Roman" w:cs="Times New Roman"/>
                <w:b/>
                <w:sz w:val="20"/>
                <w:szCs w:val="20"/>
                <w:lang w:val="en-GB"/>
              </w:rPr>
              <w:t xml:space="preserve"> </w:t>
            </w:r>
            <w:proofErr w:type="spellStart"/>
            <w:r w:rsidRPr="002B42CB">
              <w:rPr>
                <w:rFonts w:ascii="Times New Roman" w:hAnsi="Times New Roman" w:cs="Times New Roman"/>
                <w:b/>
                <w:sz w:val="20"/>
                <w:szCs w:val="20"/>
                <w:lang w:val="en-GB"/>
              </w:rPr>
              <w:t>Ochrona</w:t>
            </w:r>
            <w:proofErr w:type="spellEnd"/>
            <w:r w:rsidRPr="002B42CB">
              <w:rPr>
                <w:rFonts w:ascii="Times New Roman" w:hAnsi="Times New Roman" w:cs="Times New Roman"/>
                <w:b/>
                <w:sz w:val="20"/>
                <w:szCs w:val="20"/>
                <w:lang w:val="en-GB"/>
              </w:rPr>
              <w:t xml:space="preserve"> </w:t>
            </w:r>
            <w:proofErr w:type="spellStart"/>
            <w:r w:rsidRPr="002B42CB">
              <w:rPr>
                <w:rFonts w:ascii="Times New Roman" w:hAnsi="Times New Roman" w:cs="Times New Roman"/>
                <w:b/>
                <w:sz w:val="20"/>
                <w:szCs w:val="20"/>
                <w:lang w:val="en-GB"/>
              </w:rPr>
              <w:t>Środowiska</w:t>
            </w:r>
            <w:proofErr w:type="spellEnd"/>
          </w:p>
        </w:tc>
      </w:tr>
      <w:tr w:rsidR="002B42CB" w:rsidRPr="002B42CB" w14:paraId="0323E3A4" w14:textId="77777777" w:rsidTr="00FE4B27">
        <w:trPr>
          <w:trHeight w:hRule="exact" w:val="283"/>
        </w:trPr>
        <w:tc>
          <w:tcPr>
            <w:tcW w:w="709" w:type="dxa"/>
            <w:vMerge/>
            <w:shd w:val="clear" w:color="auto" w:fill="auto"/>
          </w:tcPr>
          <w:p w14:paraId="178238DF" w14:textId="77777777" w:rsidR="002B42CB" w:rsidRPr="002B42CB" w:rsidRDefault="002B42CB" w:rsidP="002B42CB">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79CC882B" w14:textId="600553CA" w:rsidR="002B42CB" w:rsidRPr="002B42CB" w:rsidRDefault="002B42CB" w:rsidP="002B42CB">
            <w:pPr>
              <w:spacing w:after="0" w:line="240" w:lineRule="auto"/>
              <w:rPr>
                <w:rFonts w:ascii="Times New Roman" w:hAnsi="Times New Roman" w:cs="Times New Roman"/>
                <w:sz w:val="18"/>
                <w:szCs w:val="18"/>
                <w:lang w:val="en-GB"/>
              </w:rPr>
            </w:pPr>
            <w:r w:rsidRPr="002B42CB">
              <w:rPr>
                <w:rFonts w:ascii="Times New Roman" w:hAnsi="Times New Roman" w:cs="Times New Roman"/>
                <w:sz w:val="18"/>
                <w:szCs w:val="18"/>
                <w:lang w:val="en-GB"/>
              </w:rPr>
              <w:t>Volume 2</w:t>
            </w:r>
            <w:r w:rsidR="009D5B6C">
              <w:rPr>
                <w:rFonts w:ascii="Times New Roman" w:hAnsi="Times New Roman" w:cs="Times New Roman"/>
                <w:sz w:val="18"/>
                <w:szCs w:val="18"/>
                <w:lang w:val="en-GB"/>
              </w:rPr>
              <w:t>7</w:t>
            </w:r>
          </w:p>
        </w:tc>
        <w:tc>
          <w:tcPr>
            <w:tcW w:w="6304" w:type="dxa"/>
            <w:tcBorders>
              <w:top w:val="single" w:sz="2" w:space="0" w:color="auto"/>
              <w:bottom w:val="single" w:sz="2" w:space="0" w:color="auto"/>
            </w:tcBorders>
            <w:shd w:val="clear" w:color="auto" w:fill="auto"/>
            <w:vAlign w:val="center"/>
          </w:tcPr>
          <w:p w14:paraId="3690CC90" w14:textId="24C55138" w:rsidR="002B42CB" w:rsidRPr="002B42CB" w:rsidRDefault="002B42CB" w:rsidP="002B42CB">
            <w:pPr>
              <w:tabs>
                <w:tab w:val="left" w:pos="3057"/>
              </w:tabs>
              <w:spacing w:after="0" w:line="240" w:lineRule="auto"/>
              <w:ind w:left="141"/>
              <w:rPr>
                <w:rFonts w:ascii="Times New Roman" w:hAnsi="Times New Roman" w:cs="Times New Roman"/>
                <w:sz w:val="18"/>
                <w:szCs w:val="18"/>
                <w:lang w:val="en-GB"/>
              </w:rPr>
            </w:pPr>
            <w:r w:rsidRPr="002B42CB">
              <w:rPr>
                <w:rFonts w:ascii="Times New Roman" w:hAnsi="Times New Roman" w:cs="Times New Roman"/>
                <w:sz w:val="18"/>
                <w:szCs w:val="18"/>
                <w:lang w:val="en-GB"/>
              </w:rPr>
              <w:t>Year 202</w:t>
            </w:r>
            <w:r w:rsidR="009D5B6C">
              <w:rPr>
                <w:rFonts w:ascii="Times New Roman" w:hAnsi="Times New Roman" w:cs="Times New Roman"/>
                <w:sz w:val="18"/>
                <w:szCs w:val="18"/>
                <w:lang w:val="en-GB"/>
              </w:rPr>
              <w:t>5</w:t>
            </w:r>
            <w:r w:rsidRPr="002B42CB">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6C047C5D" w14:textId="42CBB5F8" w:rsidR="002B42CB" w:rsidRPr="002B42CB" w:rsidRDefault="002B42CB" w:rsidP="002B42CB">
            <w:pPr>
              <w:spacing w:after="0" w:line="240" w:lineRule="auto"/>
              <w:jc w:val="right"/>
              <w:rPr>
                <w:rFonts w:ascii="Times New Roman" w:hAnsi="Times New Roman" w:cs="Times New Roman"/>
                <w:sz w:val="18"/>
                <w:szCs w:val="18"/>
                <w:lang w:val="en-GB"/>
              </w:rPr>
            </w:pPr>
            <w:r w:rsidRPr="002B42CB">
              <w:rPr>
                <w:rFonts w:ascii="Times New Roman" w:hAnsi="Times New Roman" w:cs="Times New Roman"/>
                <w:sz w:val="18"/>
                <w:szCs w:val="18"/>
                <w:lang w:val="en-GB"/>
              </w:rPr>
              <w:t xml:space="preserve">pp. </w:t>
            </w:r>
            <w:r w:rsidR="00931CF8">
              <w:rPr>
                <w:rFonts w:ascii="Times New Roman" w:hAnsi="Times New Roman" w:cs="Times New Roman"/>
                <w:sz w:val="18"/>
                <w:szCs w:val="18"/>
                <w:lang w:val="en-GB"/>
              </w:rPr>
              <w:t>37</w:t>
            </w:r>
            <w:r w:rsidRPr="002B42CB">
              <w:rPr>
                <w:rFonts w:ascii="Times New Roman" w:hAnsi="Times New Roman" w:cs="Times New Roman"/>
                <w:sz w:val="18"/>
                <w:szCs w:val="18"/>
                <w:lang w:val="en-GB"/>
              </w:rPr>
              <w:t>-</w:t>
            </w:r>
            <w:r w:rsidR="00931CF8">
              <w:rPr>
                <w:rFonts w:ascii="Times New Roman" w:hAnsi="Times New Roman" w:cs="Times New Roman"/>
                <w:sz w:val="18"/>
                <w:szCs w:val="18"/>
                <w:lang w:val="en-GB"/>
              </w:rPr>
              <w:t>52</w:t>
            </w:r>
          </w:p>
        </w:tc>
      </w:tr>
      <w:tr w:rsidR="002B42CB" w:rsidRPr="002B42CB" w14:paraId="3CF0E86D" w14:textId="77777777" w:rsidTr="00FE4B27">
        <w:trPr>
          <w:trHeight w:hRule="exact" w:val="283"/>
        </w:trPr>
        <w:tc>
          <w:tcPr>
            <w:tcW w:w="709" w:type="dxa"/>
            <w:shd w:val="clear" w:color="auto" w:fill="auto"/>
          </w:tcPr>
          <w:p w14:paraId="12E0B4C4" w14:textId="77777777" w:rsidR="002B42CB" w:rsidRPr="002B42CB" w:rsidRDefault="002B42CB" w:rsidP="002B42CB">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518380CC" w14:textId="2F5DD5CC" w:rsidR="002B42CB" w:rsidRPr="002B42CB" w:rsidRDefault="002B42CB" w:rsidP="002B42CB">
            <w:pPr>
              <w:tabs>
                <w:tab w:val="right" w:pos="8928"/>
              </w:tabs>
              <w:spacing w:after="0" w:line="240" w:lineRule="auto"/>
              <w:rPr>
                <w:rFonts w:ascii="Times New Roman" w:hAnsi="Times New Roman" w:cs="Times New Roman"/>
                <w:sz w:val="18"/>
                <w:szCs w:val="18"/>
                <w:lang w:val="en-GB"/>
              </w:rPr>
            </w:pPr>
            <w:r w:rsidRPr="002B42CB">
              <w:rPr>
                <w:rFonts w:ascii="Times New Roman" w:hAnsi="Times New Roman" w:cs="Times New Roman"/>
                <w:sz w:val="18"/>
                <w:szCs w:val="18"/>
                <w:lang w:val="en-GB"/>
              </w:rPr>
              <w:t>https://doi.org/10.54740/ros.202</w:t>
            </w:r>
            <w:r w:rsidR="009D5B6C">
              <w:rPr>
                <w:rFonts w:ascii="Times New Roman" w:hAnsi="Times New Roman" w:cs="Times New Roman"/>
                <w:sz w:val="18"/>
                <w:szCs w:val="18"/>
                <w:lang w:val="en-GB"/>
              </w:rPr>
              <w:t>5</w:t>
            </w:r>
            <w:r w:rsidRPr="002B42CB">
              <w:rPr>
                <w:rFonts w:ascii="Times New Roman" w:hAnsi="Times New Roman" w:cs="Times New Roman"/>
                <w:sz w:val="18"/>
                <w:szCs w:val="18"/>
                <w:lang w:val="en-GB"/>
              </w:rPr>
              <w:t>.0</w:t>
            </w:r>
            <w:r w:rsidR="007F7A86">
              <w:rPr>
                <w:rFonts w:ascii="Times New Roman" w:hAnsi="Times New Roman" w:cs="Times New Roman"/>
                <w:sz w:val="18"/>
                <w:szCs w:val="18"/>
                <w:lang w:val="en-GB"/>
              </w:rPr>
              <w:t>0</w:t>
            </w:r>
            <w:r w:rsidR="0062544B">
              <w:rPr>
                <w:rFonts w:ascii="Times New Roman" w:hAnsi="Times New Roman" w:cs="Times New Roman"/>
                <w:sz w:val="18"/>
                <w:szCs w:val="18"/>
                <w:lang w:val="en-GB"/>
              </w:rPr>
              <w:t>5</w:t>
            </w:r>
            <w:r w:rsidRPr="002B42CB">
              <w:rPr>
                <w:rFonts w:ascii="Times New Roman" w:hAnsi="Times New Roman" w:cs="Times New Roman"/>
                <w:sz w:val="18"/>
                <w:szCs w:val="18"/>
                <w:lang w:val="en-GB"/>
              </w:rPr>
              <w:tab/>
              <w:t>open access</w:t>
            </w:r>
          </w:p>
        </w:tc>
      </w:tr>
      <w:tr w:rsidR="002B42CB" w:rsidRPr="002B42CB" w14:paraId="017DF5D2" w14:textId="77777777" w:rsidTr="00FE4B27">
        <w:trPr>
          <w:trHeight w:hRule="exact" w:val="283"/>
        </w:trPr>
        <w:tc>
          <w:tcPr>
            <w:tcW w:w="709" w:type="dxa"/>
            <w:shd w:val="clear" w:color="auto" w:fill="auto"/>
          </w:tcPr>
          <w:p w14:paraId="01118108" w14:textId="77777777" w:rsidR="002B42CB" w:rsidRPr="002B42CB" w:rsidRDefault="002B42CB" w:rsidP="002B42CB">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178FC4CF" w14:textId="73B3ACAC" w:rsidR="002B42CB" w:rsidRPr="002B42CB" w:rsidRDefault="002B42CB" w:rsidP="002B42CB">
            <w:pPr>
              <w:tabs>
                <w:tab w:val="left" w:pos="3731"/>
                <w:tab w:val="right" w:pos="8928"/>
              </w:tabs>
              <w:spacing w:after="0" w:line="240" w:lineRule="auto"/>
              <w:rPr>
                <w:rFonts w:ascii="Times New Roman" w:hAnsi="Times New Roman" w:cs="Times New Roman"/>
                <w:sz w:val="18"/>
                <w:szCs w:val="18"/>
                <w:lang w:val="en-GB"/>
              </w:rPr>
            </w:pPr>
            <w:r w:rsidRPr="002B42CB">
              <w:rPr>
                <w:rFonts w:ascii="Times New Roman" w:hAnsi="Times New Roman" w:cs="Times New Roman"/>
                <w:sz w:val="18"/>
                <w:szCs w:val="18"/>
                <w:lang w:val="en-GB"/>
              </w:rPr>
              <w:t xml:space="preserve">Received: </w:t>
            </w:r>
            <w:r w:rsidR="00397075" w:rsidRPr="00397075">
              <w:rPr>
                <w:rFonts w:ascii="Times New Roman" w:hAnsi="Times New Roman" w:cs="Times New Roman"/>
                <w:sz w:val="18"/>
                <w:szCs w:val="18"/>
                <w:lang w:val="en-GB"/>
              </w:rPr>
              <w:t>September</w:t>
            </w:r>
            <w:r w:rsidRPr="002B42CB">
              <w:rPr>
                <w:rFonts w:ascii="Times New Roman" w:hAnsi="Times New Roman" w:cs="Times New Roman"/>
                <w:sz w:val="18"/>
                <w:szCs w:val="18"/>
                <w:lang w:val="en-GB"/>
              </w:rPr>
              <w:t xml:space="preserve"> 2024</w:t>
            </w:r>
            <w:r w:rsidRPr="002B42CB">
              <w:rPr>
                <w:rFonts w:ascii="Times New Roman" w:hAnsi="Times New Roman" w:cs="Times New Roman"/>
                <w:sz w:val="18"/>
                <w:szCs w:val="18"/>
                <w:lang w:val="en-GB"/>
              </w:rPr>
              <w:tab/>
              <w:t>Accepted: October 2024</w:t>
            </w:r>
            <w:r w:rsidRPr="002B42CB">
              <w:rPr>
                <w:rFonts w:ascii="Times New Roman" w:hAnsi="Times New Roman" w:cs="Times New Roman"/>
                <w:sz w:val="18"/>
                <w:szCs w:val="18"/>
                <w:lang w:val="en-GB"/>
              </w:rPr>
              <w:tab/>
              <w:t xml:space="preserve">Published: </w:t>
            </w:r>
            <w:r w:rsidR="00505FD2">
              <w:rPr>
                <w:rFonts w:ascii="Times New Roman" w:hAnsi="Times New Roman" w:cs="Times New Roman"/>
                <w:sz w:val="18"/>
                <w:szCs w:val="18"/>
                <w:lang w:val="en-GB"/>
              </w:rPr>
              <w:t>February</w:t>
            </w:r>
            <w:r w:rsidRPr="002B42CB">
              <w:rPr>
                <w:rFonts w:ascii="Times New Roman" w:hAnsi="Times New Roman" w:cs="Times New Roman"/>
                <w:sz w:val="18"/>
                <w:szCs w:val="18"/>
                <w:lang w:val="en-GB"/>
              </w:rPr>
              <w:t xml:space="preserve"> 202</w:t>
            </w:r>
            <w:r w:rsidR="00505067">
              <w:rPr>
                <w:rFonts w:ascii="Times New Roman" w:hAnsi="Times New Roman" w:cs="Times New Roman"/>
                <w:sz w:val="18"/>
                <w:szCs w:val="18"/>
                <w:lang w:val="en-GB"/>
              </w:rPr>
              <w:t>5</w:t>
            </w:r>
          </w:p>
        </w:tc>
      </w:tr>
    </w:tbl>
    <w:bookmarkEnd w:id="2"/>
    <w:p w14:paraId="4E483B35" w14:textId="72D403F2" w:rsidR="0052659A" w:rsidRPr="001075BA" w:rsidRDefault="0062544B" w:rsidP="00E129E5">
      <w:pPr>
        <w:pStyle w:val="Rtytu"/>
        <w:rPr>
          <w:lang w:val="en-GB"/>
        </w:rPr>
      </w:pPr>
      <w:r w:rsidRPr="0062544B">
        <w:rPr>
          <w:lang w:val="en-GB"/>
        </w:rPr>
        <w:t xml:space="preserve">Utilizing Industrial Fennel Seed Waste and Brilliant Green from Nutraceuticals </w:t>
      </w:r>
      <w:r w:rsidR="0052184A">
        <w:rPr>
          <w:lang w:val="en-GB"/>
        </w:rPr>
        <w:br/>
      </w:r>
      <w:r w:rsidRPr="0062544B">
        <w:rPr>
          <w:lang w:val="en-GB"/>
        </w:rPr>
        <w:t>for a Sustainable Wastewater Dye Adsorption System</w:t>
      </w:r>
    </w:p>
    <w:p w14:paraId="57D19335" w14:textId="57C4DB4A" w:rsidR="0052659A" w:rsidRPr="001075BA" w:rsidRDefault="0052659A" w:rsidP="00E129E5">
      <w:pPr>
        <w:pStyle w:val="Rautor"/>
        <w:rPr>
          <w:lang w:val="en-GB"/>
        </w:rPr>
      </w:pPr>
      <w:r w:rsidRPr="001075BA">
        <w:rPr>
          <w:lang w:val="en-GB"/>
        </w:rPr>
        <w:t>Razia Sulthana</w:t>
      </w:r>
      <w:r w:rsidRPr="001075BA">
        <w:rPr>
          <w:vertAlign w:val="superscript"/>
          <w:lang w:val="en-GB"/>
        </w:rPr>
        <w:t>1</w:t>
      </w:r>
      <w:r w:rsidR="00222234">
        <w:rPr>
          <w:lang w:val="en-GB"/>
        </w:rPr>
        <w:t xml:space="preserve">, </w:t>
      </w:r>
      <w:r w:rsidRPr="001075BA">
        <w:rPr>
          <w:lang w:val="en-GB"/>
        </w:rPr>
        <w:t>H C Basavaraju</w:t>
      </w:r>
      <w:r w:rsidRPr="001075BA">
        <w:rPr>
          <w:vertAlign w:val="superscript"/>
          <w:lang w:val="en-GB"/>
        </w:rPr>
        <w:t>2</w:t>
      </w:r>
      <w:r w:rsidRPr="001075BA">
        <w:rPr>
          <w:lang w:val="en-GB"/>
        </w:rPr>
        <w:t>,</w:t>
      </w:r>
      <w:r w:rsidRPr="001075BA">
        <w:rPr>
          <w:vertAlign w:val="superscript"/>
          <w:lang w:val="en-GB"/>
        </w:rPr>
        <w:t xml:space="preserve"> </w:t>
      </w:r>
      <w:r w:rsidRPr="001075BA">
        <w:rPr>
          <w:lang w:val="en-GB"/>
        </w:rPr>
        <w:t xml:space="preserve">Syed </w:t>
      </w:r>
      <w:proofErr w:type="spellStart"/>
      <w:r w:rsidRPr="001075BA">
        <w:rPr>
          <w:lang w:val="en-GB"/>
        </w:rPr>
        <w:t>Noeman</w:t>
      </w:r>
      <w:proofErr w:type="spellEnd"/>
      <w:r w:rsidRPr="001075BA">
        <w:rPr>
          <w:lang w:val="en-GB"/>
        </w:rPr>
        <w:t xml:space="preserve"> Taqui</w:t>
      </w:r>
      <w:r w:rsidR="00B20985">
        <w:rPr>
          <w:vertAlign w:val="superscript"/>
          <w:lang w:val="en-GB"/>
        </w:rPr>
        <w:t>2</w:t>
      </w:r>
      <w:r w:rsidRPr="001075BA">
        <w:rPr>
          <w:lang w:val="en-GB"/>
        </w:rPr>
        <w:t>, H N Deepakumari</w:t>
      </w:r>
      <w:r w:rsidR="00B20985">
        <w:rPr>
          <w:vertAlign w:val="superscript"/>
          <w:lang w:val="en-GB"/>
        </w:rPr>
        <w:t>3</w:t>
      </w:r>
      <w:r w:rsidRPr="001075BA">
        <w:rPr>
          <w:lang w:val="en-GB"/>
        </w:rPr>
        <w:t xml:space="preserve">, </w:t>
      </w:r>
      <w:r w:rsidR="00865B82">
        <w:rPr>
          <w:lang w:val="en-GB"/>
        </w:rPr>
        <w:br/>
      </w:r>
      <w:r w:rsidRPr="001075BA">
        <w:rPr>
          <w:lang w:val="en-GB"/>
        </w:rPr>
        <w:t>Rayees Afzal Mir</w:t>
      </w:r>
      <w:r w:rsidR="00B20985">
        <w:rPr>
          <w:vertAlign w:val="superscript"/>
          <w:lang w:val="en-GB"/>
        </w:rPr>
        <w:t>4</w:t>
      </w:r>
      <w:r w:rsidRPr="001075BA">
        <w:rPr>
          <w:lang w:val="en-GB"/>
        </w:rPr>
        <w:t>,</w:t>
      </w:r>
      <w:r w:rsidRPr="00B20985">
        <w:rPr>
          <w:lang w:val="en-GB" w:eastAsia="en-IN"/>
        </w:rPr>
        <w:t xml:space="preserve"> </w:t>
      </w:r>
      <w:r w:rsidRPr="001075BA">
        <w:rPr>
          <w:lang w:val="en-GB"/>
        </w:rPr>
        <w:t>Akheel Ahmed Syed</w:t>
      </w:r>
      <w:r w:rsidR="00B20985">
        <w:rPr>
          <w:vertAlign w:val="superscript"/>
          <w:lang w:val="en-GB"/>
        </w:rPr>
        <w:t>5</w:t>
      </w:r>
      <w:r w:rsidR="00CB37FD" w:rsidRPr="00CB37FD">
        <w:rPr>
          <w:vertAlign w:val="superscript"/>
          <w:lang w:val="en-GB"/>
        </w:rPr>
        <w:t>*</w:t>
      </w:r>
      <w:r w:rsidRPr="001075BA">
        <w:rPr>
          <w:lang w:val="en-GB"/>
        </w:rPr>
        <w:t>, Khalid Ansari</w:t>
      </w:r>
      <w:r w:rsidR="00B20985">
        <w:rPr>
          <w:vertAlign w:val="superscript"/>
          <w:lang w:val="en-GB"/>
        </w:rPr>
        <w:t>6</w:t>
      </w:r>
      <w:r w:rsidR="00CB37FD" w:rsidRPr="00CB37FD">
        <w:rPr>
          <w:vertAlign w:val="superscript"/>
          <w:lang w:val="en-GB"/>
        </w:rPr>
        <w:t>**</w:t>
      </w:r>
      <w:r w:rsidRPr="001075BA">
        <w:rPr>
          <w:lang w:val="en-GB"/>
        </w:rPr>
        <w:t xml:space="preserve">, </w:t>
      </w:r>
      <w:proofErr w:type="spellStart"/>
      <w:r w:rsidRPr="001075BA">
        <w:rPr>
          <w:lang w:val="en-GB"/>
        </w:rPr>
        <w:t>Shareefraza</w:t>
      </w:r>
      <w:proofErr w:type="spellEnd"/>
      <w:r w:rsidRPr="001075BA">
        <w:rPr>
          <w:lang w:val="en-GB"/>
        </w:rPr>
        <w:t xml:space="preserve"> J. Ukkund</w:t>
      </w:r>
      <w:r w:rsidR="00B20985">
        <w:rPr>
          <w:vertAlign w:val="superscript"/>
          <w:lang w:val="en-GB"/>
        </w:rPr>
        <w:t>7</w:t>
      </w:r>
      <w:r w:rsidRPr="001075BA">
        <w:rPr>
          <w:lang w:val="en-GB"/>
        </w:rPr>
        <w:t xml:space="preserve">, </w:t>
      </w:r>
      <w:r w:rsidR="00865B82">
        <w:rPr>
          <w:lang w:val="en-GB"/>
        </w:rPr>
        <w:br/>
      </w:r>
      <w:r w:rsidR="00B20985" w:rsidRPr="00B20985">
        <w:rPr>
          <w:lang w:val="en-GB"/>
        </w:rPr>
        <w:t>Majed Alsubih</w:t>
      </w:r>
      <w:r w:rsidR="00B20985">
        <w:rPr>
          <w:vertAlign w:val="superscript"/>
          <w:lang w:val="en-GB"/>
        </w:rPr>
        <w:t>8</w:t>
      </w:r>
      <w:r w:rsidRPr="001075BA">
        <w:rPr>
          <w:lang w:val="en-GB"/>
        </w:rPr>
        <w:t xml:space="preserve">, </w:t>
      </w:r>
      <w:r w:rsidR="00AE16B2" w:rsidRPr="00AE16B2">
        <w:rPr>
          <w:lang w:val="en-GB"/>
        </w:rPr>
        <w:t>Saiful Islam</w:t>
      </w:r>
      <w:r w:rsidR="00505FD2">
        <w:rPr>
          <w:vertAlign w:val="superscript"/>
          <w:lang w:val="en-GB"/>
        </w:rPr>
        <w:t>8</w:t>
      </w:r>
    </w:p>
    <w:p w14:paraId="63E75C77" w14:textId="51EAD145" w:rsidR="0052659A" w:rsidRPr="001075BA" w:rsidRDefault="0052659A" w:rsidP="00E129E5">
      <w:pPr>
        <w:pStyle w:val="Rafiliacja"/>
        <w:rPr>
          <w:lang w:val="en-GB"/>
        </w:rPr>
      </w:pPr>
      <w:r w:rsidRPr="001075BA">
        <w:rPr>
          <w:vertAlign w:val="superscript"/>
          <w:lang w:val="en-GB"/>
        </w:rPr>
        <w:t>1</w:t>
      </w:r>
      <w:r w:rsidRPr="001075BA">
        <w:rPr>
          <w:lang w:val="en-GB"/>
        </w:rPr>
        <w:t xml:space="preserve">Department of Studies in Chemistry, University of Mysore, Manasa </w:t>
      </w:r>
      <w:proofErr w:type="spellStart"/>
      <w:r w:rsidRPr="001075BA">
        <w:rPr>
          <w:lang w:val="en-GB"/>
        </w:rPr>
        <w:t>Gangothri</w:t>
      </w:r>
      <w:proofErr w:type="spellEnd"/>
      <w:r w:rsidRPr="001075BA">
        <w:rPr>
          <w:lang w:val="en-GB"/>
        </w:rPr>
        <w:t>, Mysuru, India</w:t>
      </w:r>
    </w:p>
    <w:p w14:paraId="3DD31F7E" w14:textId="31ABC32E" w:rsidR="0052659A" w:rsidRPr="001075BA" w:rsidRDefault="0052659A" w:rsidP="00E129E5">
      <w:pPr>
        <w:pStyle w:val="Rafiliacja"/>
        <w:rPr>
          <w:lang w:val="en-GB"/>
        </w:rPr>
      </w:pPr>
      <w:r w:rsidRPr="001075BA">
        <w:rPr>
          <w:vertAlign w:val="superscript"/>
          <w:lang w:val="en-GB"/>
        </w:rPr>
        <w:t>2</w:t>
      </w:r>
      <w:r w:rsidRPr="001075BA">
        <w:rPr>
          <w:lang w:val="en-GB"/>
        </w:rPr>
        <w:t xml:space="preserve">Department of Studies in Chemistry, Bharathi College </w:t>
      </w:r>
      <w:r w:rsidR="00222234">
        <w:rPr>
          <w:lang w:val="en-GB"/>
        </w:rPr>
        <w:t>–</w:t>
      </w:r>
      <w:r w:rsidRPr="001075BA">
        <w:rPr>
          <w:lang w:val="en-GB"/>
        </w:rPr>
        <w:t xml:space="preserve"> Post Graduate and Research Centre, </w:t>
      </w:r>
      <w:r w:rsidR="00222234">
        <w:rPr>
          <w:lang w:val="en-GB"/>
        </w:rPr>
        <w:br/>
      </w:r>
      <w:r w:rsidRPr="001075BA">
        <w:rPr>
          <w:lang w:val="en-GB"/>
        </w:rPr>
        <w:t>Bharathi Nagara, Karnataka, India</w:t>
      </w:r>
    </w:p>
    <w:p w14:paraId="32397F8F" w14:textId="02DB0DA1" w:rsidR="0052659A" w:rsidRPr="001075BA" w:rsidRDefault="00B20985" w:rsidP="00222234">
      <w:pPr>
        <w:pStyle w:val="Rafiliacja"/>
        <w:rPr>
          <w:lang w:val="en-GB"/>
        </w:rPr>
      </w:pPr>
      <w:r>
        <w:rPr>
          <w:vertAlign w:val="superscript"/>
          <w:lang w:val="en-GB"/>
        </w:rPr>
        <w:t>3</w:t>
      </w:r>
      <w:r w:rsidR="0052659A" w:rsidRPr="001075BA">
        <w:rPr>
          <w:lang w:val="en-GB"/>
        </w:rPr>
        <w:t xml:space="preserve">Department of Chemistry, Regional </w:t>
      </w:r>
      <w:proofErr w:type="spellStart"/>
      <w:r w:rsidR="0052659A" w:rsidRPr="00222234">
        <w:t>Institute</w:t>
      </w:r>
      <w:proofErr w:type="spellEnd"/>
      <w:r w:rsidR="0052659A" w:rsidRPr="001075BA">
        <w:rPr>
          <w:lang w:val="en-GB"/>
        </w:rPr>
        <w:t xml:space="preserve"> of Education, Bhubaneswar, Odisha, India</w:t>
      </w:r>
    </w:p>
    <w:p w14:paraId="62DF4EEA" w14:textId="1FE3B731" w:rsidR="0052659A" w:rsidRPr="001075BA" w:rsidRDefault="00B20985" w:rsidP="00E129E5">
      <w:pPr>
        <w:pStyle w:val="Rafiliacja"/>
        <w:rPr>
          <w:lang w:val="en-GB" w:eastAsia="en-IN"/>
        </w:rPr>
      </w:pPr>
      <w:r>
        <w:rPr>
          <w:vertAlign w:val="superscript"/>
          <w:lang w:val="en-GB"/>
        </w:rPr>
        <w:t>4</w:t>
      </w:r>
      <w:r w:rsidR="0052659A" w:rsidRPr="001075BA">
        <w:rPr>
          <w:lang w:val="en-GB"/>
        </w:rPr>
        <w:t xml:space="preserve">Glocal School of Agricultural Science, </w:t>
      </w:r>
      <w:proofErr w:type="spellStart"/>
      <w:r w:rsidR="0052659A" w:rsidRPr="001075BA">
        <w:rPr>
          <w:lang w:val="en-GB"/>
        </w:rPr>
        <w:t>Glocal</w:t>
      </w:r>
      <w:proofErr w:type="spellEnd"/>
      <w:r w:rsidR="0052659A" w:rsidRPr="001075BA">
        <w:rPr>
          <w:lang w:val="en-GB"/>
        </w:rPr>
        <w:t xml:space="preserve"> University, Mirzapur pole, Saharanpur, </w:t>
      </w:r>
      <w:r w:rsidR="0052659A" w:rsidRPr="001075BA">
        <w:rPr>
          <w:lang w:val="en-GB" w:eastAsia="en-IN"/>
        </w:rPr>
        <w:t>Uttar Pradesh, India</w:t>
      </w:r>
    </w:p>
    <w:p w14:paraId="2BE3492A" w14:textId="2AEA85DA" w:rsidR="0052659A" w:rsidRPr="001075BA" w:rsidRDefault="00B20985" w:rsidP="00E129E5">
      <w:pPr>
        <w:pStyle w:val="Rafiliacja"/>
        <w:rPr>
          <w:rStyle w:val="Hipercze"/>
          <w:i w:val="0"/>
          <w:iCs/>
          <w:color w:val="auto"/>
          <w:u w:val="none"/>
          <w:lang w:val="en-GB"/>
        </w:rPr>
      </w:pPr>
      <w:r>
        <w:rPr>
          <w:vertAlign w:val="superscript"/>
          <w:lang w:val="en-GB"/>
        </w:rPr>
        <w:t>5</w:t>
      </w:r>
      <w:r w:rsidR="0052659A" w:rsidRPr="001075BA">
        <w:rPr>
          <w:lang w:val="en-GB"/>
        </w:rPr>
        <w:t xml:space="preserve">Centre for Advanced Research and Innovation, </w:t>
      </w:r>
      <w:proofErr w:type="spellStart"/>
      <w:r w:rsidR="0052659A" w:rsidRPr="001075BA">
        <w:rPr>
          <w:lang w:val="en-GB"/>
        </w:rPr>
        <w:t>Glocal</w:t>
      </w:r>
      <w:proofErr w:type="spellEnd"/>
      <w:r w:rsidR="0052659A" w:rsidRPr="001075BA">
        <w:rPr>
          <w:lang w:val="en-GB"/>
        </w:rPr>
        <w:t xml:space="preserve"> University, Delhi-</w:t>
      </w:r>
      <w:proofErr w:type="spellStart"/>
      <w:r w:rsidR="0052659A" w:rsidRPr="001075BA">
        <w:rPr>
          <w:lang w:val="en-GB"/>
        </w:rPr>
        <w:t>Yamunotri</w:t>
      </w:r>
      <w:proofErr w:type="spellEnd"/>
      <w:r w:rsidR="0052659A" w:rsidRPr="001075BA">
        <w:rPr>
          <w:lang w:val="en-GB"/>
        </w:rPr>
        <w:t xml:space="preserve"> Marg, Mirzapur Pole, </w:t>
      </w:r>
      <w:r w:rsidR="00BC54F8">
        <w:rPr>
          <w:lang w:val="en-GB"/>
        </w:rPr>
        <w:br/>
      </w:r>
      <w:r w:rsidR="0052659A" w:rsidRPr="001075BA">
        <w:rPr>
          <w:lang w:val="en-GB"/>
        </w:rPr>
        <w:t>Saharanpur District, Uttar Pradesh, India</w:t>
      </w:r>
    </w:p>
    <w:p w14:paraId="497AA826" w14:textId="777225C9" w:rsidR="0052659A" w:rsidRPr="001075BA" w:rsidRDefault="00B20985" w:rsidP="00CB37FD">
      <w:pPr>
        <w:pStyle w:val="Rafiliacja"/>
        <w:rPr>
          <w:sz w:val="24"/>
          <w:szCs w:val="24"/>
          <w:lang w:val="en-GB"/>
        </w:rPr>
      </w:pPr>
      <w:r>
        <w:rPr>
          <w:vertAlign w:val="superscript"/>
          <w:lang w:val="en-GB"/>
        </w:rPr>
        <w:t>6</w:t>
      </w:r>
      <w:r w:rsidR="0052659A" w:rsidRPr="001075BA">
        <w:rPr>
          <w:lang w:val="en-GB"/>
        </w:rPr>
        <w:t xml:space="preserve">Department of Civil Engineering, </w:t>
      </w:r>
      <w:proofErr w:type="spellStart"/>
      <w:r w:rsidR="0052659A" w:rsidRPr="001075BA">
        <w:rPr>
          <w:lang w:val="en-GB"/>
        </w:rPr>
        <w:t>Yeshwantrao</w:t>
      </w:r>
      <w:proofErr w:type="spellEnd"/>
      <w:r w:rsidR="0052659A" w:rsidRPr="001075BA">
        <w:rPr>
          <w:lang w:val="en-GB"/>
        </w:rPr>
        <w:t xml:space="preserve"> Chavan College of Engineering, Nagpur, Maharashtra, India</w:t>
      </w:r>
    </w:p>
    <w:p w14:paraId="0191961F" w14:textId="15505807" w:rsidR="0052659A" w:rsidRPr="001075BA" w:rsidRDefault="00B20985" w:rsidP="00E129E5">
      <w:pPr>
        <w:pStyle w:val="Rafiliacja"/>
        <w:rPr>
          <w:iCs/>
          <w:lang w:val="en-GB"/>
        </w:rPr>
      </w:pPr>
      <w:r>
        <w:rPr>
          <w:vertAlign w:val="superscript"/>
          <w:lang w:val="en-GB"/>
        </w:rPr>
        <w:t>7</w:t>
      </w:r>
      <w:r w:rsidR="0052659A" w:rsidRPr="001075BA">
        <w:rPr>
          <w:lang w:val="en-GB"/>
        </w:rPr>
        <w:t xml:space="preserve">Department of Biotechnology, P. A. College of Engineering, </w:t>
      </w:r>
      <w:proofErr w:type="spellStart"/>
      <w:r w:rsidR="0052659A" w:rsidRPr="001075BA">
        <w:rPr>
          <w:lang w:val="en-GB"/>
        </w:rPr>
        <w:t>Mangaluru</w:t>
      </w:r>
      <w:proofErr w:type="spellEnd"/>
      <w:r w:rsidR="0052659A" w:rsidRPr="001075BA">
        <w:rPr>
          <w:lang w:val="en-GB"/>
        </w:rPr>
        <w:t>, India</w:t>
      </w:r>
    </w:p>
    <w:p w14:paraId="4938CE58" w14:textId="03B038E4" w:rsidR="0052659A" w:rsidRPr="001075BA" w:rsidRDefault="00B20985" w:rsidP="00E129E5">
      <w:pPr>
        <w:pStyle w:val="Rafiliacja"/>
        <w:rPr>
          <w:lang w:val="en-GB"/>
        </w:rPr>
      </w:pPr>
      <w:r>
        <w:rPr>
          <w:vertAlign w:val="superscript"/>
          <w:lang w:val="en-GB"/>
        </w:rPr>
        <w:t>8</w:t>
      </w:r>
      <w:r w:rsidRPr="00B20985">
        <w:rPr>
          <w:lang w:val="en-GB"/>
        </w:rPr>
        <w:t>Civil Engineering Department</w:t>
      </w:r>
      <w:r w:rsidR="0052659A" w:rsidRPr="001075BA">
        <w:rPr>
          <w:lang w:val="en-GB"/>
        </w:rPr>
        <w:t xml:space="preserve">, College of Engineering, King </w:t>
      </w:r>
      <w:r w:rsidRPr="00B20985">
        <w:rPr>
          <w:lang w:val="en-GB"/>
        </w:rPr>
        <w:t xml:space="preserve">Khalid </w:t>
      </w:r>
      <w:r w:rsidR="0052659A" w:rsidRPr="001075BA">
        <w:rPr>
          <w:lang w:val="en-GB"/>
        </w:rPr>
        <w:t xml:space="preserve">University, </w:t>
      </w:r>
      <w:r w:rsidRPr="00B20985">
        <w:rPr>
          <w:lang w:val="en-GB"/>
        </w:rPr>
        <w:t>Abha</w:t>
      </w:r>
      <w:r w:rsidR="0052659A" w:rsidRPr="001075BA">
        <w:rPr>
          <w:lang w:val="en-GB"/>
        </w:rPr>
        <w:t>, Saudi Arabia</w:t>
      </w:r>
    </w:p>
    <w:p w14:paraId="2205175A" w14:textId="0A6ABAC7" w:rsidR="0052659A" w:rsidRPr="001075BA" w:rsidRDefault="0052659A" w:rsidP="00CB37FD">
      <w:pPr>
        <w:pStyle w:val="Rauco"/>
        <w:rPr>
          <w:rStyle w:val="Hipercze"/>
          <w:i w:val="0"/>
          <w:color w:val="auto"/>
          <w:u w:val="none"/>
        </w:rPr>
      </w:pPr>
      <w:r w:rsidRPr="00CB37FD">
        <w:rPr>
          <w:vertAlign w:val="superscript"/>
          <w:lang w:eastAsia="en-GB"/>
        </w:rPr>
        <w:t>*</w:t>
      </w:r>
      <w:r w:rsidR="00CB37FD" w:rsidRPr="00FA525C">
        <w:t xml:space="preserve">corresponding author's e-mail: </w:t>
      </w:r>
      <w:hyperlink r:id="rId10" w:history="1">
        <w:r w:rsidR="00CB37FD" w:rsidRPr="001075BA">
          <w:rPr>
            <w:rStyle w:val="Hipercze"/>
            <w:color w:val="auto"/>
            <w:u w:val="none"/>
          </w:rPr>
          <w:t>akheelahmed54@gmail.com</w:t>
        </w:r>
      </w:hyperlink>
      <w:r w:rsidR="00CB37FD">
        <w:rPr>
          <w:iCs/>
          <w:lang w:eastAsia="en-GB"/>
        </w:rPr>
        <w:br/>
      </w:r>
      <w:r w:rsidR="00CB37FD" w:rsidRPr="00CB37FD">
        <w:rPr>
          <w:vertAlign w:val="superscript"/>
        </w:rPr>
        <w:t>**</w:t>
      </w:r>
      <w:r w:rsidR="00CB37FD" w:rsidRPr="00FA525C">
        <w:t xml:space="preserve">corresponding author's e-mail: </w:t>
      </w:r>
      <w:r w:rsidR="00CB37FD" w:rsidRPr="001075BA">
        <w:rPr>
          <w:iCs/>
          <w:lang w:eastAsia="en-GB"/>
        </w:rPr>
        <w:t>ksansari@ycce.edu</w:t>
      </w:r>
    </w:p>
    <w:p w14:paraId="29FC5BB8" w14:textId="6AC1E4D1" w:rsidR="007F03C8" w:rsidRPr="001075BA" w:rsidRDefault="005F41A3" w:rsidP="00E129E5">
      <w:pPr>
        <w:pStyle w:val="Rab1"/>
      </w:pPr>
      <w:r w:rsidRPr="001075BA">
        <w:rPr>
          <w:rFonts w:eastAsia="Times New Roman"/>
          <w:b/>
          <w:szCs w:val="24"/>
        </w:rPr>
        <w:t>Abstract</w:t>
      </w:r>
      <w:r w:rsidR="002931AC" w:rsidRPr="001075BA">
        <w:rPr>
          <w:rFonts w:eastAsia="Times New Roman"/>
          <w:b/>
          <w:szCs w:val="24"/>
        </w:rPr>
        <w:t>:</w:t>
      </w:r>
      <w:r w:rsidR="002931AC" w:rsidRPr="001075BA">
        <w:rPr>
          <w:rFonts w:eastAsia="Times New Roman"/>
          <w:bCs/>
          <w:szCs w:val="24"/>
        </w:rPr>
        <w:t xml:space="preserve"> </w:t>
      </w:r>
      <w:r w:rsidR="00505FD2" w:rsidRPr="00505FD2">
        <w:t xml:space="preserve">The possibility of using nutraceutical fennel seed spent (NIFSS) as an affordable biosorbent to extract brilliant green (BG) from aqueous solutions. Various factors were examined to assess their impact on the adsorption route. Several isotherm models were recycled to assess experimental equilibrium data. The </w:t>
      </w:r>
      <w:proofErr w:type="spellStart"/>
      <w:r w:rsidR="00505FD2" w:rsidRPr="00505FD2">
        <w:t>Brouers</w:t>
      </w:r>
      <w:proofErr w:type="spellEnd"/>
      <w:r w:rsidR="00505FD2" w:rsidRPr="00505FD2">
        <w:t>–Sotolongo isotherm model demonstrated a maximum adsorption ability. The pseudo-second order model provided an exceptional fit. The adsorption practice was both spontaneous and endothermic. Potential interactions occurring in the BG-NIFSS system were discussed. Overall, this investigation highlights NIFSS as an effective and reasonably priced biosorbent for removing dangerous BG from water-based systems.</w:t>
      </w:r>
    </w:p>
    <w:p w14:paraId="31FF7EF7" w14:textId="24CEB15D" w:rsidR="006D5F9E" w:rsidRPr="001075BA" w:rsidRDefault="006D5F9E" w:rsidP="00E129E5">
      <w:pPr>
        <w:pStyle w:val="Rab2"/>
      </w:pPr>
      <w:r w:rsidRPr="001075BA">
        <w:rPr>
          <w:rFonts w:eastAsia="GulliverRM" w:cstheme="minorHAnsi"/>
          <w:b/>
          <w:szCs w:val="24"/>
        </w:rPr>
        <w:t>Keywords</w:t>
      </w:r>
      <w:r w:rsidRPr="001075BA">
        <w:rPr>
          <w:rFonts w:eastAsia="GulliverRM" w:cstheme="minorHAnsi"/>
          <w:b/>
          <w:bCs/>
          <w:szCs w:val="24"/>
        </w:rPr>
        <w:t>:</w:t>
      </w:r>
      <w:r w:rsidRPr="001075BA">
        <w:rPr>
          <w:rFonts w:eastAsia="GulliverRM" w:cstheme="minorHAnsi"/>
          <w:szCs w:val="24"/>
        </w:rPr>
        <w:t xml:space="preserve"> </w:t>
      </w:r>
      <w:r w:rsidR="00505FD2">
        <w:t>n</w:t>
      </w:r>
      <w:r w:rsidR="008F31CC" w:rsidRPr="008F31CC">
        <w:t xml:space="preserve">utraceutical </w:t>
      </w:r>
      <w:r w:rsidR="00505FD2">
        <w:t>i</w:t>
      </w:r>
      <w:r w:rsidR="008F31CC" w:rsidRPr="008F31CC">
        <w:t xml:space="preserve">ndustrial </w:t>
      </w:r>
      <w:r w:rsidR="00505FD2">
        <w:t>f</w:t>
      </w:r>
      <w:r w:rsidR="008F31CC" w:rsidRPr="008F31CC">
        <w:t xml:space="preserve">ennel </w:t>
      </w:r>
      <w:r w:rsidR="00505FD2">
        <w:t>s</w:t>
      </w:r>
      <w:r w:rsidR="008F31CC" w:rsidRPr="008F31CC">
        <w:t xml:space="preserve">eed </w:t>
      </w:r>
      <w:r w:rsidR="00505FD2">
        <w:t>s</w:t>
      </w:r>
      <w:r w:rsidR="008F31CC" w:rsidRPr="008F31CC">
        <w:t>pent</w:t>
      </w:r>
      <w:r w:rsidRPr="001075BA">
        <w:t xml:space="preserve">, </w:t>
      </w:r>
      <w:r w:rsidR="001075BA" w:rsidRPr="001075BA">
        <w:t>b</w:t>
      </w:r>
      <w:r w:rsidRPr="001075BA">
        <w:t xml:space="preserve">rilliant green, </w:t>
      </w:r>
      <w:r w:rsidR="001075BA" w:rsidRPr="001075BA">
        <w:t>k</w:t>
      </w:r>
      <w:r w:rsidRPr="001075BA">
        <w:t xml:space="preserve">inetics, </w:t>
      </w:r>
      <w:r w:rsidR="001075BA" w:rsidRPr="001075BA">
        <w:t>m</w:t>
      </w:r>
      <w:r w:rsidRPr="001075BA">
        <w:t>ode</w:t>
      </w:r>
      <w:r w:rsidR="00971179">
        <w:t>l</w:t>
      </w:r>
      <w:r w:rsidRPr="001075BA">
        <w:t xml:space="preserve">ling, </w:t>
      </w:r>
      <w:r w:rsidR="001075BA" w:rsidRPr="001075BA">
        <w:t>t</w:t>
      </w:r>
      <w:r w:rsidRPr="001075BA">
        <w:t>hermodynamics</w:t>
      </w:r>
    </w:p>
    <w:p w14:paraId="76D637B7" w14:textId="77777777" w:rsidR="000D3EB4" w:rsidRPr="001075BA" w:rsidRDefault="00645320" w:rsidP="002311B1">
      <w:pPr>
        <w:pStyle w:val="Rn1"/>
        <w:rPr>
          <w:lang w:val="en-GB"/>
        </w:rPr>
      </w:pPr>
      <w:r w:rsidRPr="001075BA">
        <w:rPr>
          <w:lang w:val="en-GB"/>
        </w:rPr>
        <w:t xml:space="preserve">1. </w:t>
      </w:r>
      <w:r w:rsidR="000D3EB4" w:rsidRPr="001075BA">
        <w:rPr>
          <w:lang w:val="en-GB"/>
        </w:rPr>
        <w:t>Introduction</w:t>
      </w:r>
    </w:p>
    <w:p w14:paraId="132464FD" w14:textId="782358EB" w:rsidR="00547BBF" w:rsidRPr="001075BA" w:rsidRDefault="00547BBF" w:rsidP="002931AC">
      <w:pPr>
        <w:spacing w:after="0" w:line="240" w:lineRule="auto"/>
        <w:ind w:firstLine="284"/>
        <w:jc w:val="both"/>
        <w:rPr>
          <w:rFonts w:ascii="Times New Roman" w:eastAsia="AdvGulliv-R" w:hAnsi="Times New Roman" w:cs="Times New Roman"/>
          <w:lang w:val="en-GB"/>
        </w:rPr>
      </w:pPr>
      <w:r w:rsidRPr="001075BA">
        <w:rPr>
          <w:rFonts w:ascii="Times New Roman" w:eastAsia="AdvGulliv-R" w:hAnsi="Times New Roman" w:cs="Times New Roman"/>
          <w:lang w:val="en-GB"/>
        </w:rPr>
        <w:t xml:space="preserve">Environmental pollution, particularly in aquatic environments, </w:t>
      </w:r>
      <w:r w:rsidR="002C350C">
        <w:rPr>
          <w:rFonts w:ascii="Times New Roman" w:eastAsia="AdvGulliv-R" w:hAnsi="Times New Roman" w:cs="Times New Roman"/>
          <w:lang w:val="en-GB"/>
        </w:rPr>
        <w:t>threatens all living organisms significantly</w:t>
      </w:r>
      <w:r w:rsidRPr="001075BA">
        <w:rPr>
          <w:rFonts w:ascii="Times New Roman" w:eastAsia="AdvGulliv-R" w:hAnsi="Times New Roman" w:cs="Times New Roman"/>
          <w:lang w:val="en-GB"/>
        </w:rPr>
        <w:t xml:space="preserve"> (Nandi et al. 2009). Textiles, pulp and paper, paint, and leather industries employ many dyes and pigments in their manufacturing processes. Textile industries, in particular, consume substantial amounts of water and organic chemicals for colouring purposes</w:t>
      </w:r>
      <w:r w:rsidR="007C3635">
        <w:rPr>
          <w:rFonts w:ascii="Times New Roman" w:eastAsia="AdvGulliv-R" w:hAnsi="Times New Roman" w:cs="Times New Roman"/>
          <w:lang w:val="en-GB"/>
        </w:rPr>
        <w:t xml:space="preserve"> </w:t>
      </w:r>
      <w:r w:rsidR="007C3635" w:rsidRPr="007C3635">
        <w:rPr>
          <w:rFonts w:ascii="Times New Roman" w:eastAsia="AdvGulliv-R" w:hAnsi="Times New Roman" w:cs="Times New Roman"/>
          <w:lang w:val="en-GB"/>
        </w:rPr>
        <w:t>(Waghmare et al. 2023)</w:t>
      </w:r>
      <w:r w:rsidRPr="001075BA">
        <w:rPr>
          <w:rFonts w:ascii="Times New Roman" w:eastAsia="AdvGulliv-R" w:hAnsi="Times New Roman" w:cs="Times New Roman"/>
          <w:lang w:val="en-GB"/>
        </w:rPr>
        <w:t xml:space="preserve">. When this coloured wastewater discharges into ecosystems, it contributes to aesthetic pollution and disrupts aquatic life. </w:t>
      </w:r>
      <w:r w:rsidR="008B5630" w:rsidRPr="001075BA">
        <w:rPr>
          <w:rFonts w:ascii="Times New Roman" w:eastAsia="AdvGulliv-R" w:hAnsi="Times New Roman" w:cs="Times New Roman"/>
          <w:lang w:val="en-GB"/>
        </w:rPr>
        <w:t>C</w:t>
      </w:r>
      <w:r w:rsidRPr="001075BA">
        <w:rPr>
          <w:rFonts w:ascii="Times New Roman" w:eastAsia="AdvGulliv-R" w:hAnsi="Times New Roman" w:cs="Times New Roman"/>
          <w:lang w:val="en-GB"/>
        </w:rPr>
        <w:t>oloured waste in rivers and streams hinders sunlight penetration, subsequently reducing photosynthesis (</w:t>
      </w:r>
      <w:proofErr w:type="spellStart"/>
      <w:r w:rsidRPr="001075BA">
        <w:rPr>
          <w:rFonts w:ascii="Times New Roman" w:eastAsia="AdvGulliv-R" w:hAnsi="Times New Roman" w:cs="Times New Roman"/>
          <w:lang w:val="en-GB"/>
        </w:rPr>
        <w:t>Namasivayam</w:t>
      </w:r>
      <w:proofErr w:type="spellEnd"/>
      <w:r w:rsidRPr="001075BA">
        <w:rPr>
          <w:rFonts w:ascii="Times New Roman" w:eastAsia="AdvGulliv-R" w:hAnsi="Times New Roman" w:cs="Times New Roman"/>
          <w:lang w:val="en-GB"/>
        </w:rPr>
        <w:t xml:space="preserve"> 2001</w:t>
      </w:r>
      <w:r w:rsidR="007C3635">
        <w:rPr>
          <w:rFonts w:ascii="Times New Roman" w:eastAsia="AdvGulliv-R" w:hAnsi="Times New Roman" w:cs="Times New Roman"/>
          <w:lang w:val="en-GB"/>
        </w:rPr>
        <w:t xml:space="preserve">, </w:t>
      </w:r>
      <w:r w:rsidR="007C3635" w:rsidRPr="007C3635">
        <w:rPr>
          <w:rFonts w:ascii="Times New Roman" w:eastAsia="AdvGulliv-R" w:hAnsi="Times New Roman" w:cs="Times New Roman"/>
          <w:lang w:val="en-GB"/>
        </w:rPr>
        <w:t>Gupta et al. 2022</w:t>
      </w:r>
      <w:r w:rsidRPr="001075BA">
        <w:rPr>
          <w:rFonts w:ascii="Times New Roman" w:eastAsia="AdvGulliv-R" w:hAnsi="Times New Roman" w:cs="Times New Roman"/>
          <w:lang w:val="en-GB"/>
        </w:rPr>
        <w:t>). Synthetic dyes are extensively used in industries like paper, textiles, food, and pharmaceuticals. Unfortunately, due to improper processing and dyeing methods, around 40,000</w:t>
      </w:r>
      <w:r w:rsidR="001075BA" w:rsidRPr="001075BA">
        <w:rPr>
          <w:rFonts w:ascii="Times New Roman" w:eastAsia="AdvGulliv-R" w:hAnsi="Times New Roman" w:cs="Times New Roman"/>
          <w:lang w:val="en-GB"/>
        </w:rPr>
        <w:t>-</w:t>
      </w:r>
      <w:r w:rsidRPr="001075BA">
        <w:rPr>
          <w:rFonts w:ascii="Times New Roman" w:eastAsia="AdvGulliv-R" w:hAnsi="Times New Roman" w:cs="Times New Roman"/>
          <w:lang w:val="en-GB"/>
        </w:rPr>
        <w:t>50,000 tons of these dyes continuously enter water systems. These dyes possess aromatic structures that make them exceedingly stable and deterioration-resistant</w:t>
      </w:r>
      <w:r w:rsidR="007C3635">
        <w:rPr>
          <w:rFonts w:ascii="Times New Roman" w:eastAsia="AdvGulliv-R" w:hAnsi="Times New Roman" w:cs="Times New Roman"/>
          <w:lang w:val="en-GB"/>
        </w:rPr>
        <w:t xml:space="preserve"> </w:t>
      </w:r>
      <w:r w:rsidR="007C3635" w:rsidRPr="007C3635">
        <w:rPr>
          <w:rFonts w:ascii="Times New Roman" w:eastAsia="AdvGulliv-R" w:hAnsi="Times New Roman" w:cs="Times New Roman"/>
          <w:lang w:val="en-GB"/>
        </w:rPr>
        <w:t>(Waghmare et. al. 2024)</w:t>
      </w:r>
      <w:r w:rsidRPr="001075BA">
        <w:rPr>
          <w:rFonts w:ascii="Times New Roman" w:eastAsia="AdvGulliv-R" w:hAnsi="Times New Roman" w:cs="Times New Roman"/>
          <w:lang w:val="en-GB"/>
        </w:rPr>
        <w:t xml:space="preserve">. The primary contributors to dye consumption are textile dyes. A </w:t>
      </w:r>
      <w:r w:rsidR="00971179">
        <w:rPr>
          <w:rFonts w:ascii="Times New Roman" w:eastAsia="AdvGulliv-R" w:hAnsi="Times New Roman" w:cs="Times New Roman"/>
          <w:lang w:val="en-GB"/>
        </w:rPr>
        <w:t>12% or more loss</w:t>
      </w:r>
      <w:r w:rsidRPr="001075BA">
        <w:rPr>
          <w:rFonts w:ascii="Times New Roman" w:eastAsia="AdvGulliv-R" w:hAnsi="Times New Roman" w:cs="Times New Roman"/>
          <w:lang w:val="en-GB"/>
        </w:rPr>
        <w:t xml:space="preserve"> of synthetic dyes occurs during production and processing, </w:t>
      </w:r>
      <w:r w:rsidR="008B5630" w:rsidRPr="001075BA">
        <w:rPr>
          <w:rFonts w:ascii="Times New Roman" w:eastAsia="AdvGulliv-R" w:hAnsi="Times New Roman" w:cs="Times New Roman"/>
          <w:lang w:val="en-GB"/>
        </w:rPr>
        <w:t>and </w:t>
      </w:r>
      <w:r w:rsidRPr="001075BA">
        <w:rPr>
          <w:rFonts w:ascii="Times New Roman" w:eastAsia="AdvGulliv-R" w:hAnsi="Times New Roman" w:cs="Times New Roman"/>
          <w:lang w:val="en-GB"/>
        </w:rPr>
        <w:t>20% find their way into industrial wastewater (Filipkowska et al. 2002). Moreover, these dyes have been identified as carcinogenic, mutagenic, or teratogenic to various microorganisms. They can also inflict severe harm on human health, leading to kidney dysfunction, reproductive issues, liver problems, and damage to the brain and central nervous system (</w:t>
      </w:r>
      <w:proofErr w:type="spellStart"/>
      <w:r w:rsidRPr="001075BA">
        <w:rPr>
          <w:rFonts w:ascii="Times New Roman" w:eastAsia="AdvGulliv-R" w:hAnsi="Times New Roman" w:cs="Times New Roman"/>
          <w:lang w:val="en-GB"/>
        </w:rPr>
        <w:t>Kadirvelu</w:t>
      </w:r>
      <w:proofErr w:type="spellEnd"/>
      <w:r w:rsidRPr="001075BA">
        <w:rPr>
          <w:rFonts w:ascii="Times New Roman" w:eastAsia="AdvGulliv-R" w:hAnsi="Times New Roman" w:cs="Times New Roman"/>
          <w:lang w:val="en-GB"/>
        </w:rPr>
        <w:t xml:space="preserve"> et al. 2003). Over 10,000 distinct compounds comprise more than 7 × 10</w:t>
      </w:r>
      <w:r w:rsidRPr="001075BA">
        <w:rPr>
          <w:rFonts w:ascii="Times New Roman" w:eastAsia="AdvGulliv-R" w:hAnsi="Times New Roman" w:cs="Times New Roman"/>
          <w:vertAlign w:val="superscript"/>
          <w:lang w:val="en-GB"/>
        </w:rPr>
        <w:t>5</w:t>
      </w:r>
      <w:r w:rsidRPr="001075BA">
        <w:rPr>
          <w:rFonts w:ascii="Times New Roman" w:eastAsia="AdvGulliv-R" w:hAnsi="Times New Roman" w:cs="Times New Roman"/>
          <w:lang w:val="en-GB"/>
        </w:rPr>
        <w:t xml:space="preserve"> tons of dyes and pigments shaped yearly global</w:t>
      </w:r>
      <w:r w:rsidR="008B5630" w:rsidRPr="001075BA">
        <w:rPr>
          <w:rFonts w:ascii="Times New Roman" w:eastAsia="AdvGulliv-R" w:hAnsi="Times New Roman" w:cs="Times New Roman"/>
          <w:lang w:val="en-GB"/>
        </w:rPr>
        <w:t>ly</w:t>
      </w:r>
      <w:r w:rsidRPr="001075BA">
        <w:rPr>
          <w:rFonts w:ascii="Times New Roman" w:eastAsia="AdvGulliv-R" w:hAnsi="Times New Roman" w:cs="Times New Roman"/>
          <w:lang w:val="en-GB"/>
        </w:rPr>
        <w:t xml:space="preserve"> (Zollinger 2002). Therefore, removing these colours from textile effluents is crucial before releasing them into natural water bodies.</w:t>
      </w:r>
    </w:p>
    <w:p w14:paraId="7642FAF9" w14:textId="7B7F982B" w:rsidR="00547BBF" w:rsidRPr="001075BA" w:rsidRDefault="00547BBF" w:rsidP="002931AC">
      <w:pPr>
        <w:spacing w:after="0" w:line="240" w:lineRule="auto"/>
        <w:ind w:firstLine="284"/>
        <w:jc w:val="both"/>
        <w:rPr>
          <w:rFonts w:ascii="Times New Roman" w:eastAsia="AdvGulliv-R" w:hAnsi="Times New Roman" w:cs="Times New Roman"/>
          <w:lang w:val="en-GB"/>
        </w:rPr>
      </w:pPr>
      <w:r w:rsidRPr="001075BA">
        <w:rPr>
          <w:rFonts w:ascii="Times New Roman" w:eastAsia="AdvGulliv-R" w:hAnsi="Times New Roman" w:cs="Times New Roman"/>
          <w:lang w:val="en-GB"/>
        </w:rPr>
        <w:t>Brilliant green (BG) is a hazardous cationic dye containing triphenyl nitrogen. It finds application in various manufacturing sectors</w:t>
      </w:r>
      <w:r w:rsidR="008B5630" w:rsidRPr="001075BA">
        <w:rPr>
          <w:rFonts w:ascii="Times New Roman" w:eastAsia="AdvGulliv-R" w:hAnsi="Times New Roman" w:cs="Times New Roman"/>
          <w:lang w:val="en-GB"/>
        </w:rPr>
        <w:t>,</w:t>
      </w:r>
      <w:r w:rsidRPr="001075BA">
        <w:rPr>
          <w:rFonts w:ascii="Times New Roman" w:eastAsia="AdvGulliv-R" w:hAnsi="Times New Roman" w:cs="Times New Roman"/>
          <w:lang w:val="en-GB"/>
        </w:rPr>
        <w:t xml:space="preserve"> such as paper, green ink, and textiles. However, BG dye is known to be toxic, mutagenic, and carcinogenic, posing risks to aquatic life and humans (Bhattacharyya </w:t>
      </w:r>
      <w:r w:rsidR="00F21832">
        <w:rPr>
          <w:rFonts w:ascii="Times New Roman" w:eastAsia="AdvGulliv-R" w:hAnsi="Times New Roman" w:cs="Times New Roman"/>
          <w:lang w:val="en-GB"/>
        </w:rPr>
        <w:t>&amp;</w:t>
      </w:r>
      <w:r w:rsidRPr="001075BA">
        <w:rPr>
          <w:rFonts w:ascii="Times New Roman" w:eastAsia="AdvGulliv-R" w:hAnsi="Times New Roman" w:cs="Times New Roman"/>
          <w:lang w:val="en-GB"/>
        </w:rPr>
        <w:t xml:space="preserve"> Sarma 2003). One particularly concerning effect is its potential to produce eye burns, which could lead to long-term harm to people's and animals' eyes (Mittal et al. 2008). BG dye is utilised per ton of paper produced</w:t>
      </w:r>
      <w:r w:rsidR="008B5630" w:rsidRPr="001075BA">
        <w:rPr>
          <w:rFonts w:ascii="Times New Roman" w:eastAsia="AdvGulliv-R" w:hAnsi="Times New Roman" w:cs="Times New Roman"/>
          <w:lang w:val="en-GB"/>
        </w:rPr>
        <w:t xml:space="preserve"> in the paper industry</w:t>
      </w:r>
      <w:r w:rsidRPr="001075BA">
        <w:rPr>
          <w:rFonts w:ascii="Times New Roman" w:eastAsia="AdvGulliv-R" w:hAnsi="Times New Roman" w:cs="Times New Roman"/>
          <w:lang w:val="en-GB"/>
        </w:rPr>
        <w:t>, and</w:t>
      </w:r>
      <w:r w:rsidR="00BC54F8">
        <w:rPr>
          <w:rFonts w:ascii="Times New Roman" w:eastAsia="AdvGulliv-R" w:hAnsi="Times New Roman" w:cs="Times New Roman"/>
          <w:lang w:val="en-GB"/>
        </w:rPr>
        <w:t> </w:t>
      </w:r>
      <w:r w:rsidRPr="001075BA">
        <w:rPr>
          <w:rFonts w:ascii="Times New Roman" w:eastAsia="AdvGulliv-R" w:hAnsi="Times New Roman" w:cs="Times New Roman"/>
          <w:lang w:val="en-GB"/>
        </w:rPr>
        <w:t>0.8</w:t>
      </w:r>
      <w:r w:rsidR="001075BA" w:rsidRPr="001075BA">
        <w:rPr>
          <w:rFonts w:ascii="Times New Roman" w:eastAsia="AdvGulliv-R" w:hAnsi="Times New Roman" w:cs="Times New Roman"/>
          <w:lang w:val="en-GB"/>
        </w:rPr>
        <w:t>-</w:t>
      </w:r>
      <w:r w:rsidRPr="001075BA">
        <w:rPr>
          <w:rFonts w:ascii="Times New Roman" w:eastAsia="AdvGulliv-R" w:hAnsi="Times New Roman" w:cs="Times New Roman"/>
          <w:lang w:val="en-GB"/>
        </w:rPr>
        <w:t xml:space="preserve">1.0 kilograms of BG are consumed. Unfortunately, exposure to BG can cause intestinal irritation </w:t>
      </w:r>
      <w:r w:rsidRPr="001075BA">
        <w:rPr>
          <w:rFonts w:ascii="Times New Roman" w:eastAsia="AdvGulliv-R" w:hAnsi="Times New Roman" w:cs="Times New Roman"/>
          <w:lang w:val="en-GB"/>
        </w:rPr>
        <w:lastRenderedPageBreak/>
        <w:t>in</w:t>
      </w:r>
      <w:r w:rsidR="00BC54F8">
        <w:rPr>
          <w:rFonts w:ascii="Times New Roman" w:eastAsia="AdvGulliv-R" w:hAnsi="Times New Roman" w:cs="Times New Roman"/>
          <w:lang w:val="en-GB"/>
        </w:rPr>
        <w:t> </w:t>
      </w:r>
      <w:r w:rsidRPr="001075BA">
        <w:rPr>
          <w:rFonts w:ascii="Times New Roman" w:eastAsia="AdvGulliv-R" w:hAnsi="Times New Roman" w:cs="Times New Roman"/>
          <w:lang w:val="en-GB"/>
        </w:rPr>
        <w:t>humans, which can result in symptoms including both diarrhoea and vomiting. Additionally, it might irritate the respiratory system, causing coughing and shortness of breath (Mane et al. 2007).</w:t>
      </w:r>
    </w:p>
    <w:p w14:paraId="02A32416" w14:textId="7EF15C7D" w:rsidR="00547BBF" w:rsidRPr="001075BA" w:rsidRDefault="00547BBF" w:rsidP="002931AC">
      <w:pPr>
        <w:pStyle w:val="NormalnyWeb"/>
        <w:spacing w:before="0" w:beforeAutospacing="0" w:after="0" w:afterAutospacing="0"/>
        <w:ind w:firstLine="284"/>
        <w:jc w:val="both"/>
        <w:rPr>
          <w:rFonts w:eastAsia="AdvGulliv-R"/>
          <w:sz w:val="22"/>
          <w:szCs w:val="22"/>
          <w:lang w:val="en-GB" w:eastAsia="en-US"/>
        </w:rPr>
      </w:pPr>
      <w:r w:rsidRPr="001075BA">
        <w:rPr>
          <w:rFonts w:eastAsia="AdvGulliv-R"/>
          <w:sz w:val="22"/>
          <w:szCs w:val="22"/>
          <w:lang w:val="en-GB" w:eastAsia="en-US"/>
        </w:rPr>
        <w:t>The efficacy has been highlighted by numerous research published in the literature on colour removal methods, with adsorption emerging as the most economically viable and commonly employed technique. A growing number are interested in utilising easily accessible, affordable adsorbents for this purpose, as indicated by research by Salman and Hameed (2010) and Garg et al. (2003). But because regeneration is expensive and complicated, scientists have been looking for cheaper alternatives to adsorbents for a while now. Consequently, eliminating colo</w:t>
      </w:r>
      <w:r w:rsidR="00971179">
        <w:rPr>
          <w:rFonts w:eastAsia="AdvGulliv-R"/>
          <w:sz w:val="22"/>
          <w:szCs w:val="22"/>
          <w:lang w:val="en-GB" w:eastAsia="en-US"/>
        </w:rPr>
        <w:t>u</w:t>
      </w:r>
      <w:r w:rsidRPr="001075BA">
        <w:rPr>
          <w:rFonts w:eastAsia="AdvGulliv-R"/>
          <w:sz w:val="22"/>
          <w:szCs w:val="22"/>
          <w:lang w:val="en-GB" w:eastAsia="en-US"/>
        </w:rPr>
        <w:t>r from wastewater remains a significant environmental challenge confronting our society. In</w:t>
      </w:r>
      <w:r w:rsidR="00835F5B">
        <w:rPr>
          <w:rFonts w:eastAsia="AdvGulliv-R"/>
          <w:sz w:val="22"/>
          <w:szCs w:val="22"/>
          <w:lang w:val="en-GB" w:eastAsia="en-US"/>
        </w:rPr>
        <w:t> </w:t>
      </w:r>
      <w:r w:rsidRPr="001075BA">
        <w:rPr>
          <w:rFonts w:eastAsia="AdvGulliv-R"/>
          <w:sz w:val="22"/>
          <w:szCs w:val="22"/>
          <w:lang w:val="en-GB" w:eastAsia="en-US"/>
        </w:rPr>
        <w:t xml:space="preserve">addressing this issue, the adsorption process </w:t>
      </w:r>
      <w:r w:rsidR="00971179">
        <w:rPr>
          <w:rFonts w:eastAsia="AdvGulliv-R"/>
          <w:sz w:val="22"/>
          <w:szCs w:val="22"/>
          <w:lang w:val="en-GB" w:eastAsia="en-US"/>
        </w:rPr>
        <w:t>i</w:t>
      </w:r>
      <w:r w:rsidRPr="001075BA">
        <w:rPr>
          <w:rFonts w:eastAsia="AdvGulliv-R"/>
          <w:sz w:val="22"/>
          <w:szCs w:val="22"/>
          <w:lang w:val="en-GB" w:eastAsia="en-US"/>
        </w:rPr>
        <w:t xml:space="preserve">s an attractive alternative and highly effective </w:t>
      </w:r>
      <w:r w:rsidR="00971179">
        <w:rPr>
          <w:rFonts w:eastAsia="AdvGulliv-R"/>
          <w:sz w:val="22"/>
          <w:szCs w:val="22"/>
          <w:lang w:val="en-GB" w:eastAsia="en-US"/>
        </w:rPr>
        <w:t>wastewater treatment and management method</w:t>
      </w:r>
      <w:r w:rsidRPr="001075BA">
        <w:rPr>
          <w:rFonts w:eastAsia="AdvGulliv-R"/>
          <w:sz w:val="22"/>
          <w:szCs w:val="22"/>
          <w:lang w:val="en-GB" w:eastAsia="en-US"/>
        </w:rPr>
        <w:t>.</w:t>
      </w:r>
    </w:p>
    <w:p w14:paraId="47AC1CC2" w14:textId="052DBCAF" w:rsidR="00547BBF" w:rsidRPr="001075BA" w:rsidRDefault="00547BBF" w:rsidP="002931AC">
      <w:pPr>
        <w:spacing w:after="0" w:line="240" w:lineRule="auto"/>
        <w:ind w:firstLine="284"/>
        <w:jc w:val="both"/>
        <w:rPr>
          <w:rFonts w:ascii="Times New Roman" w:eastAsia="AdvGulliv-R" w:hAnsi="Times New Roman" w:cs="Times New Roman"/>
          <w:lang w:val="en-GB"/>
        </w:rPr>
      </w:pPr>
      <w:r w:rsidRPr="001075BA">
        <w:rPr>
          <w:rFonts w:ascii="Times New Roman" w:eastAsia="AdvGulliv-R" w:hAnsi="Times New Roman" w:cs="Times New Roman"/>
          <w:lang w:val="en-GB"/>
        </w:rPr>
        <w:t xml:space="preserve">The Nutraceutical Industry, which falls under the agro-industrial sector, is experiencing significant growth. Following the research "Emerging Indian Nutraceutical Market" </w:t>
      </w:r>
      <w:r w:rsidR="007F03C8" w:rsidRPr="001075BA">
        <w:rPr>
          <w:rFonts w:ascii="Times New Roman" w:eastAsia="AdvGulliv-R" w:hAnsi="Times New Roman" w:cs="Times New Roman"/>
          <w:lang w:val="en-GB"/>
        </w:rPr>
        <w:t>touched</w:t>
      </w:r>
      <w:r w:rsidRPr="001075BA">
        <w:rPr>
          <w:rFonts w:ascii="Times New Roman" w:eastAsia="AdvGulliv-R" w:hAnsi="Times New Roman" w:cs="Times New Roman"/>
          <w:lang w:val="en-GB"/>
        </w:rPr>
        <w:t xml:space="preserve"> 6.1 billion US$ by the year 2020 (</w:t>
      </w:r>
      <w:hyperlink r:id="rId11" w:tgtFrame="_new" w:history="1">
        <w:r w:rsidRPr="001075BA">
          <w:rPr>
            <w:rFonts w:ascii="Times New Roman" w:eastAsia="AdvGulliv-R" w:hAnsi="Times New Roman" w:cs="Times New Roman"/>
            <w:lang w:val="en-GB"/>
          </w:rPr>
          <w:t>www.ibef.org</w:t>
        </w:r>
      </w:hyperlink>
      <w:r w:rsidRPr="001075BA">
        <w:rPr>
          <w:rFonts w:ascii="Times New Roman" w:eastAsia="AdvGulliv-R" w:hAnsi="Times New Roman" w:cs="Times New Roman"/>
          <w:lang w:val="en-GB"/>
        </w:rPr>
        <w:t xml:space="preserve">). However, a significant challenge </w:t>
      </w:r>
      <w:r w:rsidR="00971179">
        <w:rPr>
          <w:rFonts w:ascii="Times New Roman" w:eastAsia="AdvGulliv-R" w:hAnsi="Times New Roman" w:cs="Times New Roman"/>
          <w:lang w:val="en-GB"/>
        </w:rPr>
        <w:t>this industry faces</w:t>
      </w:r>
      <w:r w:rsidRPr="001075BA">
        <w:rPr>
          <w:rFonts w:ascii="Times New Roman" w:eastAsia="AdvGulliv-R" w:hAnsi="Times New Roman" w:cs="Times New Roman"/>
          <w:lang w:val="en-GB"/>
        </w:rPr>
        <w:t xml:space="preserve"> pertains to </w:t>
      </w:r>
      <w:r w:rsidR="00971179">
        <w:rPr>
          <w:rFonts w:ascii="Times New Roman" w:eastAsia="AdvGulliv-R" w:hAnsi="Times New Roman" w:cs="Times New Roman"/>
          <w:lang w:val="en-GB"/>
        </w:rPr>
        <w:t>waste management</w:t>
      </w:r>
      <w:r w:rsidRPr="001075BA">
        <w:rPr>
          <w:rFonts w:ascii="Times New Roman" w:eastAsia="AdvGulliv-R" w:hAnsi="Times New Roman" w:cs="Times New Roman"/>
          <w:lang w:val="en-GB"/>
        </w:rPr>
        <w:t>, which accounts for a substantial portion</w:t>
      </w:r>
      <w:r w:rsidR="00971179">
        <w:rPr>
          <w:rFonts w:ascii="Times New Roman" w:eastAsia="AdvGulliv-R" w:hAnsi="Times New Roman" w:cs="Times New Roman"/>
          <w:lang w:val="en-GB"/>
        </w:rPr>
        <w:t xml:space="preserve"> of the total waste</w:t>
      </w:r>
      <w:r w:rsidRPr="001075BA">
        <w:rPr>
          <w:rFonts w:ascii="Times New Roman" w:eastAsia="AdvGulliv-R" w:hAnsi="Times New Roman" w:cs="Times New Roman"/>
          <w:lang w:val="en-GB"/>
        </w:rPr>
        <w:t>. To extract the active ingredient(s), the volume of managed herbs, shrubs, seeds, and/or roots ranges from 50% to 95%.</w:t>
      </w:r>
    </w:p>
    <w:p w14:paraId="30D8243C" w14:textId="02A2DA15" w:rsidR="00547BBF" w:rsidRPr="001075BA" w:rsidRDefault="00547BBF" w:rsidP="002931AC">
      <w:pPr>
        <w:pStyle w:val="NormalnyWeb"/>
        <w:spacing w:before="0" w:beforeAutospacing="0" w:after="0" w:afterAutospacing="0"/>
        <w:ind w:firstLine="284"/>
        <w:jc w:val="both"/>
        <w:rPr>
          <w:rFonts w:eastAsia="AdvGulliv-R"/>
          <w:sz w:val="22"/>
          <w:szCs w:val="22"/>
          <w:lang w:val="en-GB" w:eastAsia="en-US"/>
        </w:rPr>
      </w:pPr>
      <w:r w:rsidRPr="001075BA">
        <w:rPr>
          <w:rFonts w:eastAsia="AdvGulliv-R"/>
          <w:sz w:val="22"/>
          <w:szCs w:val="22"/>
          <w:lang w:val="en-GB" w:eastAsia="en-US"/>
        </w:rPr>
        <w:t xml:space="preserve">Fennel, scientifically known as Foeniculum vulgare, is an herbaceous herb belonging to the </w:t>
      </w:r>
      <w:proofErr w:type="spellStart"/>
      <w:r w:rsidRPr="001075BA">
        <w:rPr>
          <w:rFonts w:eastAsia="AdvGulliv-R"/>
          <w:sz w:val="22"/>
          <w:szCs w:val="22"/>
          <w:lang w:val="en-GB" w:eastAsia="en-US"/>
        </w:rPr>
        <w:t>Umbelliferae</w:t>
      </w:r>
      <w:proofErr w:type="spellEnd"/>
      <w:r w:rsidRPr="001075BA">
        <w:rPr>
          <w:rFonts w:eastAsia="AdvGulliv-R"/>
          <w:sz w:val="22"/>
          <w:szCs w:val="22"/>
          <w:lang w:val="en-GB" w:eastAsia="en-US"/>
        </w:rPr>
        <w:t xml:space="preserve"> family. It can grow up to 2 meters in height. India is the leading manufacturer of fennel seeds, churning out a</w:t>
      </w:r>
      <w:r w:rsidR="00835F5B">
        <w:rPr>
          <w:rFonts w:eastAsia="AdvGulliv-R"/>
          <w:sz w:val="22"/>
          <w:szCs w:val="22"/>
          <w:lang w:val="en-GB" w:eastAsia="en-US"/>
        </w:rPr>
        <w:t> </w:t>
      </w:r>
      <w:r w:rsidRPr="001075BA">
        <w:rPr>
          <w:rFonts w:eastAsia="AdvGulliv-R"/>
          <w:sz w:val="22"/>
          <w:szCs w:val="22"/>
          <w:lang w:val="en-GB" w:eastAsia="en-US"/>
        </w:rPr>
        <w:t>whopping 11 x 10</w:t>
      </w:r>
      <w:r w:rsidRPr="001075BA">
        <w:rPr>
          <w:rFonts w:eastAsia="AdvGulliv-R"/>
          <w:sz w:val="22"/>
          <w:szCs w:val="22"/>
          <w:vertAlign w:val="superscript"/>
          <w:lang w:val="en-GB" w:eastAsia="en-US"/>
        </w:rPr>
        <w:t>4</w:t>
      </w:r>
      <w:r w:rsidRPr="001075BA">
        <w:rPr>
          <w:rFonts w:eastAsia="AdvGulliv-R"/>
          <w:sz w:val="22"/>
          <w:szCs w:val="22"/>
          <w:lang w:val="en-GB" w:eastAsia="en-US"/>
        </w:rPr>
        <w:t xml:space="preserve"> tons </w:t>
      </w:r>
      <w:r w:rsidR="00971179">
        <w:rPr>
          <w:rFonts w:eastAsia="AdvGulliv-R"/>
          <w:sz w:val="22"/>
          <w:szCs w:val="22"/>
          <w:lang w:val="en-GB" w:eastAsia="en-US"/>
        </w:rPr>
        <w:t>annually</w:t>
      </w:r>
      <w:r w:rsidRPr="001075BA">
        <w:rPr>
          <w:rFonts w:eastAsia="AdvGulliv-R"/>
          <w:sz w:val="22"/>
          <w:szCs w:val="22"/>
          <w:lang w:val="en-GB" w:eastAsia="en-US"/>
        </w:rPr>
        <w:t xml:space="preserve">. Fennel seeds are notably rich in dietary fibre, containing approximately </w:t>
      </w:r>
      <w:r w:rsidR="00BC54F8">
        <w:rPr>
          <w:rFonts w:eastAsia="AdvGulliv-R"/>
          <w:sz w:val="22"/>
          <w:szCs w:val="22"/>
          <w:lang w:val="en-GB" w:eastAsia="en-US"/>
        </w:rPr>
        <w:t xml:space="preserve"> </w:t>
      </w:r>
      <w:r w:rsidRPr="001075BA">
        <w:rPr>
          <w:rFonts w:eastAsia="AdvGulliv-R"/>
          <w:sz w:val="22"/>
          <w:szCs w:val="22"/>
          <w:lang w:val="en-GB" w:eastAsia="en-US"/>
        </w:rPr>
        <w:t>1-3% impulsive oil (</w:t>
      </w:r>
      <w:hyperlink r:id="rId12" w:tgtFrame="_new" w:history="1">
        <w:r w:rsidRPr="001075BA">
          <w:rPr>
            <w:rFonts w:eastAsia="AdvGulliv-R"/>
            <w:sz w:val="22"/>
            <w:szCs w:val="22"/>
            <w:lang w:val="en-GB" w:eastAsia="en-US"/>
          </w:rPr>
          <w:t>www.spices.res.in</w:t>
        </w:r>
      </w:hyperlink>
      <w:r w:rsidRPr="001075BA">
        <w:rPr>
          <w:rFonts w:eastAsia="AdvGulliv-R"/>
          <w:sz w:val="22"/>
          <w:szCs w:val="22"/>
          <w:lang w:val="en-GB" w:eastAsia="en-US"/>
        </w:rPr>
        <w:t>). The critical nutrients in fennel include vitamins, minerals, essential oils, fibr</w:t>
      </w:r>
      <w:r w:rsidR="008B5630" w:rsidRPr="001075BA">
        <w:rPr>
          <w:rFonts w:eastAsia="AdvGulliv-R"/>
          <w:sz w:val="22"/>
          <w:szCs w:val="22"/>
          <w:lang w:val="en-GB" w:eastAsia="en-US"/>
        </w:rPr>
        <w:t>e</w:t>
      </w:r>
      <w:r w:rsidRPr="001075BA">
        <w:rPr>
          <w:rFonts w:eastAsia="AdvGulliv-R"/>
          <w:sz w:val="22"/>
          <w:szCs w:val="22"/>
          <w:lang w:val="en-GB" w:eastAsia="en-US"/>
        </w:rPr>
        <w:t xml:space="preserve">, protein, and antioxidants. These components are necessary for protecting against oxidative stress-related harm and enhancing the immune system. However, </w:t>
      </w:r>
      <w:r w:rsidR="00971179">
        <w:rPr>
          <w:rFonts w:eastAsia="AdvGulliv-R"/>
          <w:sz w:val="22"/>
          <w:szCs w:val="22"/>
          <w:lang w:val="en-GB" w:eastAsia="en-US"/>
        </w:rPr>
        <w:t>a substantial amount of waste, known as spent, is</w:t>
      </w:r>
      <w:r w:rsidR="00835F5B">
        <w:rPr>
          <w:rFonts w:eastAsia="AdvGulliv-R"/>
          <w:sz w:val="22"/>
          <w:szCs w:val="22"/>
          <w:lang w:val="en-GB" w:eastAsia="en-US"/>
        </w:rPr>
        <w:t> </w:t>
      </w:r>
      <w:r w:rsidR="00971179">
        <w:rPr>
          <w:rFonts w:eastAsia="AdvGulliv-R"/>
          <w:sz w:val="22"/>
          <w:szCs w:val="22"/>
          <w:lang w:val="en-GB" w:eastAsia="en-US"/>
        </w:rPr>
        <w:t xml:space="preserve">generated during the industrial processes involved in extracting principal components from fennel seed </w:t>
      </w:r>
      <w:r w:rsidR="00BC54F8">
        <w:rPr>
          <w:rFonts w:eastAsia="AdvGulliv-R"/>
          <w:sz w:val="22"/>
          <w:szCs w:val="22"/>
          <w:lang w:val="en-GB" w:eastAsia="en-US"/>
        </w:rPr>
        <w:t xml:space="preserve"> </w:t>
      </w:r>
      <w:r w:rsidR="00971179">
        <w:rPr>
          <w:rFonts w:eastAsia="AdvGulliv-R"/>
          <w:sz w:val="22"/>
          <w:szCs w:val="22"/>
          <w:lang w:val="en-GB" w:eastAsia="en-US"/>
        </w:rPr>
        <w:t>production</w:t>
      </w:r>
      <w:r w:rsidRPr="001075BA">
        <w:rPr>
          <w:rFonts w:eastAsia="AdvGulliv-R"/>
          <w:sz w:val="22"/>
          <w:szCs w:val="22"/>
          <w:lang w:val="en-GB" w:eastAsia="en-US"/>
        </w:rPr>
        <w:t xml:space="preserve">. This spent </w:t>
      </w:r>
      <w:r w:rsidR="008B5630" w:rsidRPr="001075BA">
        <w:rPr>
          <w:rFonts w:eastAsia="AdvGulliv-R"/>
          <w:sz w:val="22"/>
          <w:szCs w:val="22"/>
          <w:lang w:val="en-GB" w:eastAsia="en-US"/>
        </w:rPr>
        <w:t xml:space="preserve">has undergone </w:t>
      </w:r>
      <w:r w:rsidRPr="001075BA">
        <w:rPr>
          <w:rFonts w:eastAsia="AdvGulliv-R"/>
          <w:sz w:val="22"/>
          <w:szCs w:val="22"/>
          <w:lang w:val="en-GB" w:eastAsia="en-US"/>
        </w:rPr>
        <w:t>thermal, mechanical, and chemical treatments, rendering it devoid of commercial, feed, or fertiliser value. In the present</w:t>
      </w:r>
      <w:r w:rsidR="008B5630" w:rsidRPr="001075BA">
        <w:rPr>
          <w:rFonts w:eastAsia="AdvGulliv-R"/>
          <w:sz w:val="22"/>
          <w:szCs w:val="22"/>
          <w:lang w:val="en-GB" w:eastAsia="en-US"/>
        </w:rPr>
        <w:t xml:space="preserve"> </w:t>
      </w:r>
      <w:r w:rsidRPr="001075BA">
        <w:rPr>
          <w:rFonts w:eastAsia="AdvGulliv-R"/>
          <w:sz w:val="22"/>
          <w:szCs w:val="22"/>
          <w:lang w:val="en-GB" w:eastAsia="en-US"/>
        </w:rPr>
        <w:t>study, this fennel seed spent, referred to as Nutraceutical Industrial Fennel Seed Spent (NIFSS), has been repurposed in a readily usable form for efficient adsorption of Brilliant Green (BG) from aqueous solutions. This research investigates the adsorption capacity of NIFSS, which is renewable, cost-effective, and abundantly available, owing to its unique pore structure that enhances its adsorption capabilities.</w:t>
      </w:r>
    </w:p>
    <w:p w14:paraId="6EF2CF89" w14:textId="511F9B3F" w:rsidR="00547BBF" w:rsidRPr="001075BA" w:rsidRDefault="00547BBF" w:rsidP="002931AC">
      <w:pPr>
        <w:pStyle w:val="NormalnyWeb"/>
        <w:spacing w:before="0" w:beforeAutospacing="0" w:after="0" w:afterAutospacing="0"/>
        <w:ind w:firstLine="284"/>
        <w:jc w:val="both"/>
        <w:rPr>
          <w:rFonts w:eastAsia="AdvGulliv-R"/>
          <w:sz w:val="22"/>
          <w:szCs w:val="22"/>
          <w:lang w:val="en-GB" w:eastAsia="en-US"/>
        </w:rPr>
      </w:pPr>
      <w:r w:rsidRPr="001075BA">
        <w:rPr>
          <w:rFonts w:eastAsia="AdvGulliv-R"/>
          <w:sz w:val="22"/>
          <w:szCs w:val="22"/>
          <w:lang w:val="en-GB" w:eastAsia="en-US"/>
        </w:rPr>
        <w:t xml:space="preserve">To effectively manage the substantial volume of wastewater and textile effluent produced by the textile industry, Nutraceutical Industrial Spent (NIS), available in abundant quantities, appears to be a viable solution. What sets NIS apart is its unique set of properties that other adsorbents have not been reported. Before being discarded as used in the business, nutritional supplements undergo heat, mechanical, and chemical processing to extract their essential ingredients. </w:t>
      </w:r>
      <w:r w:rsidRPr="00835F5B">
        <w:rPr>
          <w:rFonts w:eastAsia="AdvGulliv-R"/>
          <w:spacing w:val="-2"/>
          <w:sz w:val="22"/>
          <w:szCs w:val="22"/>
          <w:lang w:val="en-GB" w:eastAsia="en-US"/>
        </w:rPr>
        <w:t>Therefore, Brilliant Green (BG) from water or industrial effluents can be remedied with NIS without requiring extra chemical treatment. This property benefit</w:t>
      </w:r>
      <w:r w:rsidR="008B5630" w:rsidRPr="00835F5B">
        <w:rPr>
          <w:rFonts w:eastAsia="AdvGulliv-R"/>
          <w:spacing w:val="-2"/>
          <w:sz w:val="22"/>
          <w:szCs w:val="22"/>
          <w:lang w:val="en-GB" w:eastAsia="en-US"/>
        </w:rPr>
        <w:t>s</w:t>
      </w:r>
      <w:r w:rsidRPr="00835F5B">
        <w:rPr>
          <w:rFonts w:eastAsia="AdvGulliv-R"/>
          <w:spacing w:val="-2"/>
          <w:sz w:val="22"/>
          <w:szCs w:val="22"/>
          <w:lang w:val="en-GB" w:eastAsia="en-US"/>
        </w:rPr>
        <w:t xml:space="preserve"> </w:t>
      </w:r>
      <w:r w:rsidR="008B5630" w:rsidRPr="00835F5B">
        <w:rPr>
          <w:rFonts w:eastAsia="AdvGulliv-R"/>
          <w:spacing w:val="-2"/>
          <w:sz w:val="22"/>
          <w:szCs w:val="22"/>
          <w:lang w:val="en-GB" w:eastAsia="en-US"/>
        </w:rPr>
        <w:t>fr</w:t>
      </w:r>
      <w:r w:rsidRPr="00835F5B">
        <w:rPr>
          <w:rFonts w:eastAsia="AdvGulliv-R"/>
          <w:spacing w:val="-2"/>
          <w:sz w:val="22"/>
          <w:szCs w:val="22"/>
          <w:lang w:val="en-GB" w:eastAsia="en-US"/>
        </w:rPr>
        <w:t>o</w:t>
      </w:r>
      <w:r w:rsidR="008B5630" w:rsidRPr="00835F5B">
        <w:rPr>
          <w:rFonts w:eastAsia="AdvGulliv-R"/>
          <w:spacing w:val="-2"/>
          <w:sz w:val="22"/>
          <w:szCs w:val="22"/>
          <w:lang w:val="en-GB" w:eastAsia="en-US"/>
        </w:rPr>
        <w:t>m</w:t>
      </w:r>
      <w:r w:rsidRPr="00835F5B">
        <w:rPr>
          <w:rFonts w:eastAsia="AdvGulliv-R"/>
          <w:spacing w:val="-2"/>
          <w:sz w:val="22"/>
          <w:szCs w:val="22"/>
          <w:lang w:val="en-GB" w:eastAsia="en-US"/>
        </w:rPr>
        <w:t xml:space="preserve"> lowering the E-factor (Sheldon 1992).</w:t>
      </w:r>
      <w:r w:rsidRPr="001075BA">
        <w:rPr>
          <w:rFonts w:eastAsia="AdvGulliv-R"/>
          <w:sz w:val="22"/>
          <w:szCs w:val="22"/>
          <w:lang w:val="en-GB" w:eastAsia="en-US"/>
        </w:rPr>
        <w:t xml:space="preserve"> Furthermore, the fibril structure of NIFSS can capture moisture content, </w:t>
      </w:r>
      <w:r w:rsidR="008B5630" w:rsidRPr="001075BA">
        <w:rPr>
          <w:rFonts w:eastAsia="AdvGulliv-R"/>
          <w:sz w:val="22"/>
          <w:szCs w:val="22"/>
          <w:lang w:val="en-GB" w:eastAsia="en-US"/>
        </w:rPr>
        <w:t>cause a decline in calorific value, and cause </w:t>
      </w:r>
      <w:r w:rsidRPr="001075BA">
        <w:rPr>
          <w:rFonts w:eastAsia="AdvGulliv-R"/>
          <w:sz w:val="22"/>
          <w:szCs w:val="22"/>
          <w:lang w:val="en-GB" w:eastAsia="en-US"/>
        </w:rPr>
        <w:t>a rise in harmful emissions. It's interesting to note that this same ability can be used to improve the sorption of harmful dyes onto NIFSS.</w:t>
      </w:r>
    </w:p>
    <w:p w14:paraId="7410AE62" w14:textId="446805C6" w:rsidR="00547BBF" w:rsidRPr="001075BA" w:rsidRDefault="00547BBF" w:rsidP="002931AC">
      <w:pPr>
        <w:pStyle w:val="NormalnyWeb"/>
        <w:spacing w:before="0" w:beforeAutospacing="0" w:after="0" w:afterAutospacing="0"/>
        <w:ind w:firstLine="284"/>
        <w:jc w:val="both"/>
        <w:rPr>
          <w:rFonts w:eastAsia="AdvGulliv-R"/>
          <w:sz w:val="22"/>
          <w:szCs w:val="22"/>
          <w:lang w:val="en-GB" w:eastAsia="en-US"/>
        </w:rPr>
      </w:pPr>
      <w:r w:rsidRPr="001075BA">
        <w:rPr>
          <w:rFonts w:eastAsia="AdvGulliv-R"/>
          <w:sz w:val="22"/>
          <w:szCs w:val="22"/>
          <w:lang w:val="en-GB" w:eastAsia="en-US"/>
        </w:rPr>
        <w:t xml:space="preserve">The objective of the existing study is to ascertain whether NIFSS, a </w:t>
      </w:r>
      <w:r w:rsidR="009C759B" w:rsidRPr="001075BA">
        <w:rPr>
          <w:rFonts w:eastAsia="AdvGulliv-R"/>
          <w:sz w:val="22"/>
          <w:szCs w:val="22"/>
          <w:lang w:val="en-GB" w:eastAsia="en-US"/>
        </w:rPr>
        <w:t>by-</w:t>
      </w:r>
      <w:r w:rsidRPr="001075BA">
        <w:rPr>
          <w:rFonts w:eastAsia="AdvGulliv-R"/>
          <w:sz w:val="22"/>
          <w:szCs w:val="22"/>
          <w:lang w:val="en-GB" w:eastAsia="en-US"/>
        </w:rPr>
        <w:t>product from the nutraceutical industry, can be employed as a biosorbent that effectively and affordably remove</w:t>
      </w:r>
      <w:r w:rsidR="009C759B" w:rsidRPr="001075BA">
        <w:rPr>
          <w:rFonts w:eastAsia="AdvGulliv-R"/>
          <w:sz w:val="22"/>
          <w:szCs w:val="22"/>
          <w:lang w:val="en-GB" w:eastAsia="en-US"/>
        </w:rPr>
        <w:t>s</w:t>
      </w:r>
      <w:r w:rsidRPr="001075BA">
        <w:rPr>
          <w:rFonts w:eastAsia="AdvGulliv-R"/>
          <w:sz w:val="22"/>
          <w:szCs w:val="22"/>
          <w:lang w:val="en-GB" w:eastAsia="en-US"/>
        </w:rPr>
        <w:t xml:space="preserve"> harmful BG dye from aqueous solutions.</w:t>
      </w:r>
    </w:p>
    <w:p w14:paraId="4F9591B1" w14:textId="0383A163" w:rsidR="00032BFF" w:rsidRPr="001075BA" w:rsidRDefault="00032BFF" w:rsidP="002931AC">
      <w:pPr>
        <w:spacing w:after="0" w:line="240" w:lineRule="auto"/>
        <w:ind w:firstLine="284"/>
        <w:jc w:val="both"/>
        <w:rPr>
          <w:rFonts w:ascii="Times New Roman" w:eastAsia="Times New Roman" w:hAnsi="Times New Roman" w:cs="Times New Roman"/>
          <w:lang w:val="en-GB" w:eastAsia="en-IN"/>
        </w:rPr>
      </w:pPr>
    </w:p>
    <w:p w14:paraId="7ABFE47C" w14:textId="77777777" w:rsidR="00505FD2" w:rsidRDefault="00505FD2">
      <w:pPr>
        <w:rPr>
          <w:rFonts w:ascii="Times New Roman" w:hAnsi="Times New Roman"/>
          <w:b/>
          <w:kern w:val="2"/>
          <w:sz w:val="24"/>
          <w:lang w:val="en-GB"/>
          <w14:ligatures w14:val="standardContextual"/>
        </w:rPr>
      </w:pPr>
      <w:r>
        <w:rPr>
          <w:lang w:val="en-GB"/>
        </w:rPr>
        <w:br w:type="page"/>
      </w:r>
    </w:p>
    <w:p w14:paraId="68DC8715" w14:textId="3B385273" w:rsidR="00740C97" w:rsidRPr="001075BA" w:rsidRDefault="000D3EB4" w:rsidP="002311B1">
      <w:pPr>
        <w:pStyle w:val="Rn1"/>
        <w:rPr>
          <w:lang w:val="en-GB"/>
        </w:rPr>
      </w:pPr>
      <w:r w:rsidRPr="001075BA">
        <w:rPr>
          <w:lang w:val="en-GB"/>
        </w:rPr>
        <w:lastRenderedPageBreak/>
        <w:t>2. Materials and Methods</w:t>
      </w:r>
    </w:p>
    <w:p w14:paraId="6F3728D0" w14:textId="084F48C8" w:rsidR="00740C97" w:rsidRPr="001075BA" w:rsidRDefault="000D3EB4" w:rsidP="002311B1">
      <w:pPr>
        <w:pStyle w:val="Rn2"/>
        <w:rPr>
          <w:lang w:val="en-GB"/>
        </w:rPr>
      </w:pPr>
      <w:r w:rsidRPr="001075BA">
        <w:rPr>
          <w:lang w:val="en-GB"/>
        </w:rPr>
        <w:t>2.1</w:t>
      </w:r>
      <w:r w:rsidR="002311B1" w:rsidRPr="001075BA">
        <w:rPr>
          <w:lang w:val="en-GB"/>
        </w:rPr>
        <w:t>.</w:t>
      </w:r>
      <w:r w:rsidRPr="001075BA">
        <w:rPr>
          <w:lang w:val="en-GB"/>
        </w:rPr>
        <w:t xml:space="preserve"> Adsorbate</w:t>
      </w:r>
    </w:p>
    <w:p w14:paraId="32259AE4" w14:textId="77777777" w:rsidR="00032BFF" w:rsidRPr="001075BA" w:rsidRDefault="00547BBF" w:rsidP="002931AC">
      <w:pPr>
        <w:pStyle w:val="NormalnyWeb"/>
        <w:spacing w:before="0" w:beforeAutospacing="0" w:after="0" w:afterAutospacing="0"/>
        <w:ind w:firstLine="284"/>
        <w:jc w:val="both"/>
        <w:rPr>
          <w:sz w:val="22"/>
          <w:szCs w:val="22"/>
          <w:lang w:val="en-GB"/>
        </w:rPr>
      </w:pPr>
      <w:r w:rsidRPr="001075BA">
        <w:rPr>
          <w:sz w:val="22"/>
          <w:szCs w:val="22"/>
          <w:lang w:val="en-GB"/>
        </w:rPr>
        <w:t xml:space="preserve">Brilliant Green (BG) </w:t>
      </w:r>
      <w:r w:rsidRPr="001075BA">
        <w:rPr>
          <w:rFonts w:eastAsia="AdvGulliv-R"/>
          <w:sz w:val="22"/>
          <w:szCs w:val="22"/>
          <w:lang w:val="en-GB" w:eastAsia="en-US"/>
        </w:rPr>
        <w:t>was sourced from Sigma Aldrich Private Ltd, Mumbai, India. D</w:t>
      </w:r>
      <w:r w:rsidRPr="001075BA">
        <w:rPr>
          <w:sz w:val="22"/>
          <w:szCs w:val="22"/>
          <w:lang w:val="en-GB"/>
        </w:rPr>
        <w:t>ouble-distilled water was used to dissolve the dye in precisely the right amounts to prepare BG solutions for experimentation.</w:t>
      </w:r>
    </w:p>
    <w:p w14:paraId="7B13F1EF" w14:textId="77777777" w:rsidR="00740C97" w:rsidRPr="001075BA" w:rsidRDefault="000D3EB4" w:rsidP="002311B1">
      <w:pPr>
        <w:pStyle w:val="Rn2"/>
        <w:rPr>
          <w:lang w:val="en-GB"/>
        </w:rPr>
      </w:pPr>
      <w:r w:rsidRPr="001075BA">
        <w:rPr>
          <w:lang w:val="en-GB"/>
        </w:rPr>
        <w:t>2.2. Preparation of adsorbent</w:t>
      </w:r>
    </w:p>
    <w:p w14:paraId="47354500" w14:textId="4B3E6D08" w:rsidR="00547BBF" w:rsidRPr="001075BA" w:rsidRDefault="00547BBF" w:rsidP="002931AC">
      <w:pPr>
        <w:spacing w:after="0" w:line="240" w:lineRule="auto"/>
        <w:ind w:firstLine="284"/>
        <w:jc w:val="both"/>
        <w:rPr>
          <w:rFonts w:ascii="Times New Roman" w:eastAsia="AdvGulliv-R" w:hAnsi="Times New Roman" w:cs="Times New Roman"/>
          <w:lang w:val="en-GB"/>
        </w:rPr>
      </w:pPr>
      <w:r w:rsidRPr="001075BA">
        <w:rPr>
          <w:rFonts w:ascii="Times New Roman" w:eastAsia="AdvGulliv-R" w:hAnsi="Times New Roman" w:cs="Times New Roman"/>
          <w:lang w:val="en-GB"/>
        </w:rPr>
        <w:t xml:space="preserve">The local industry provided the Nutraceutical Industrial Fennel Seed Spent (NIFSS) used in this investigation. </w:t>
      </w:r>
      <w:r w:rsidR="00971179">
        <w:rPr>
          <w:rFonts w:ascii="Times New Roman" w:eastAsia="AdvGulliv-R" w:hAnsi="Times New Roman" w:cs="Times New Roman"/>
          <w:lang w:val="en-GB"/>
        </w:rPr>
        <w:t>T</w:t>
      </w:r>
      <w:r w:rsidR="00971179" w:rsidRPr="001075BA">
        <w:rPr>
          <w:rFonts w:ascii="Times New Roman" w:eastAsia="AdvGulliv-R" w:hAnsi="Times New Roman" w:cs="Times New Roman"/>
          <w:lang w:val="en-GB"/>
        </w:rPr>
        <w:t xml:space="preserve">he following steps were followed </w:t>
      </w:r>
      <w:r w:rsidR="00971179">
        <w:rPr>
          <w:rFonts w:ascii="Times New Roman" w:eastAsia="AdvGulliv-R" w:hAnsi="Times New Roman" w:cs="Times New Roman"/>
          <w:lang w:val="en-GB"/>
        </w:rPr>
        <w:t>t</w:t>
      </w:r>
      <w:r w:rsidRPr="001075BA">
        <w:rPr>
          <w:rFonts w:ascii="Times New Roman" w:eastAsia="AdvGulliv-R" w:hAnsi="Times New Roman" w:cs="Times New Roman"/>
          <w:lang w:val="en-GB"/>
        </w:rPr>
        <w:t>o prepare it for use in the research:</w:t>
      </w:r>
    </w:p>
    <w:p w14:paraId="61A4EF7C" w14:textId="77777777" w:rsidR="00547BBF" w:rsidRPr="001075BA" w:rsidRDefault="00547BBF" w:rsidP="00346C21">
      <w:pPr>
        <w:numPr>
          <w:ilvl w:val="0"/>
          <w:numId w:val="1"/>
        </w:numPr>
        <w:spacing w:after="0" w:line="240" w:lineRule="auto"/>
        <w:jc w:val="both"/>
        <w:rPr>
          <w:rFonts w:ascii="Times New Roman" w:eastAsia="AdvGulliv-R" w:hAnsi="Times New Roman" w:cs="Times New Roman"/>
          <w:lang w:val="en-GB"/>
        </w:rPr>
      </w:pPr>
      <w:r w:rsidRPr="001075BA">
        <w:rPr>
          <w:rFonts w:ascii="Times New Roman" w:eastAsia="AdvGulliv-R" w:hAnsi="Times New Roman" w:cs="Times New Roman"/>
          <w:lang w:val="en-GB"/>
        </w:rPr>
        <w:t>Drying: The NIFSS was dried for 24 hours at 60°C in an oven.</w:t>
      </w:r>
    </w:p>
    <w:p w14:paraId="0F8443C3" w14:textId="77777777" w:rsidR="00547BBF" w:rsidRPr="001075BA" w:rsidRDefault="00547BBF" w:rsidP="00346C21">
      <w:pPr>
        <w:numPr>
          <w:ilvl w:val="0"/>
          <w:numId w:val="1"/>
        </w:numPr>
        <w:spacing w:after="0" w:line="240" w:lineRule="auto"/>
        <w:jc w:val="both"/>
        <w:rPr>
          <w:rFonts w:ascii="Times New Roman" w:eastAsia="AdvGulliv-R" w:hAnsi="Times New Roman" w:cs="Times New Roman"/>
          <w:lang w:val="en-GB"/>
        </w:rPr>
      </w:pPr>
      <w:r w:rsidRPr="001075BA">
        <w:rPr>
          <w:rFonts w:ascii="Times New Roman" w:eastAsia="AdvGulliv-R" w:hAnsi="Times New Roman" w:cs="Times New Roman"/>
          <w:lang w:val="en-GB"/>
        </w:rPr>
        <w:t>Grinding: The time spent after drying, the material was finely ground to a powder-like consistency.</w:t>
      </w:r>
    </w:p>
    <w:p w14:paraId="60284FE7" w14:textId="34E9A6DF" w:rsidR="00547BBF" w:rsidRPr="001075BA" w:rsidRDefault="00547BBF" w:rsidP="00346C21">
      <w:pPr>
        <w:numPr>
          <w:ilvl w:val="0"/>
          <w:numId w:val="1"/>
        </w:numPr>
        <w:spacing w:after="0" w:line="240" w:lineRule="auto"/>
        <w:jc w:val="both"/>
        <w:rPr>
          <w:rFonts w:ascii="Times New Roman" w:eastAsia="AdvGulliv-R" w:hAnsi="Times New Roman" w:cs="Times New Roman"/>
          <w:lang w:val="en-GB"/>
        </w:rPr>
      </w:pPr>
      <w:r w:rsidRPr="001075BA">
        <w:rPr>
          <w:rFonts w:ascii="Times New Roman" w:eastAsia="AdvGulliv-R" w:hAnsi="Times New Roman" w:cs="Times New Roman"/>
          <w:lang w:val="en-GB"/>
        </w:rPr>
        <w:t>Sieving: The ground material was obtained from particles s</w:t>
      </w:r>
      <w:r w:rsidR="00D850AB" w:rsidRPr="001075BA">
        <w:rPr>
          <w:rFonts w:ascii="Times New Roman" w:eastAsia="AdvGulliv-R" w:hAnsi="Times New Roman" w:cs="Times New Roman"/>
          <w:lang w:val="en-GB"/>
        </w:rPr>
        <w:t>mal</w:t>
      </w:r>
      <w:r w:rsidRPr="001075BA">
        <w:rPr>
          <w:rFonts w:ascii="Times New Roman" w:eastAsia="AdvGulliv-R" w:hAnsi="Times New Roman" w:cs="Times New Roman"/>
          <w:lang w:val="en-GB"/>
        </w:rPr>
        <w:t>le</w:t>
      </w:r>
      <w:r w:rsidR="00D850AB" w:rsidRPr="001075BA">
        <w:rPr>
          <w:rFonts w:ascii="Times New Roman" w:eastAsia="AdvGulliv-R" w:hAnsi="Times New Roman" w:cs="Times New Roman"/>
          <w:lang w:val="en-GB"/>
        </w:rPr>
        <w:t>r</w:t>
      </w:r>
      <w:r w:rsidRPr="001075BA">
        <w:rPr>
          <w:rFonts w:ascii="Times New Roman" w:eastAsia="AdvGulliv-R" w:hAnsi="Times New Roman" w:cs="Times New Roman"/>
          <w:lang w:val="en-GB"/>
        </w:rPr>
        <w:t xml:space="preserve"> than ≤ 177 µm after being sieved with an ASTM 80 mesh sieve.</w:t>
      </w:r>
    </w:p>
    <w:p w14:paraId="1D657640" w14:textId="70456AF2" w:rsidR="00547BBF" w:rsidRPr="001075BA" w:rsidRDefault="00547BBF" w:rsidP="001075BA">
      <w:pPr>
        <w:numPr>
          <w:ilvl w:val="0"/>
          <w:numId w:val="1"/>
        </w:numPr>
        <w:tabs>
          <w:tab w:val="clear" w:pos="360"/>
        </w:tabs>
        <w:spacing w:after="0" w:line="240" w:lineRule="auto"/>
        <w:jc w:val="both"/>
        <w:rPr>
          <w:rFonts w:ascii="Times New Roman" w:eastAsia="AdvGulliv-R" w:hAnsi="Times New Roman" w:cs="Times New Roman"/>
          <w:lang w:val="en-GB"/>
        </w:rPr>
      </w:pPr>
      <w:r w:rsidRPr="001075BA">
        <w:rPr>
          <w:rFonts w:ascii="Times New Roman" w:eastAsia="AdvGulliv-R" w:hAnsi="Times New Roman" w:cs="Times New Roman"/>
          <w:lang w:val="en-GB"/>
        </w:rPr>
        <w:t>Storage: Finally, plastic containers were used to store the processed NIFSS for later use. Notably, the</w:t>
      </w:r>
      <w:r w:rsidR="009D5B6C">
        <w:rPr>
          <w:rFonts w:ascii="Times New Roman" w:eastAsia="AdvGulliv-R" w:hAnsi="Times New Roman" w:cs="Times New Roman"/>
          <w:lang w:val="en-GB"/>
        </w:rPr>
        <w:t> </w:t>
      </w:r>
      <w:r w:rsidRPr="001075BA">
        <w:rPr>
          <w:rFonts w:ascii="Times New Roman" w:eastAsia="AdvGulliv-R" w:hAnsi="Times New Roman" w:cs="Times New Roman"/>
          <w:lang w:val="en-GB"/>
        </w:rPr>
        <w:t>substrate underwent no extra physical or chemical changes before being used in the adsorption process. This procedure outlines the preparation of NIFSS for its role as an adsorbent in the research, ensuring its suitability for the intended purpose.</w:t>
      </w:r>
    </w:p>
    <w:p w14:paraId="493BAB46" w14:textId="1CA2E944" w:rsidR="00740C97" w:rsidRPr="001075BA" w:rsidRDefault="000D3EB4" w:rsidP="002311B1">
      <w:pPr>
        <w:pStyle w:val="Rn2"/>
        <w:rPr>
          <w:lang w:val="en-GB"/>
        </w:rPr>
      </w:pPr>
      <w:r w:rsidRPr="001075BA">
        <w:rPr>
          <w:lang w:val="en-GB"/>
        </w:rPr>
        <w:t>2.3. Characteri</w:t>
      </w:r>
      <w:r w:rsidR="00971179">
        <w:rPr>
          <w:lang w:val="en-GB"/>
        </w:rPr>
        <w:t>s</w:t>
      </w:r>
      <w:r w:rsidRPr="001075BA">
        <w:rPr>
          <w:lang w:val="en-GB"/>
        </w:rPr>
        <w:t xml:space="preserve">ation of </w:t>
      </w:r>
      <w:r w:rsidR="00971179">
        <w:rPr>
          <w:lang w:val="en-GB"/>
        </w:rPr>
        <w:t>s</w:t>
      </w:r>
      <w:r w:rsidRPr="001075BA">
        <w:rPr>
          <w:lang w:val="en-GB"/>
        </w:rPr>
        <w:t>pent</w:t>
      </w:r>
    </w:p>
    <w:p w14:paraId="1126851C" w14:textId="34A5CF45" w:rsidR="00547BBF" w:rsidRPr="001075BA" w:rsidRDefault="00547BBF" w:rsidP="002931AC">
      <w:pPr>
        <w:spacing w:after="0" w:line="240" w:lineRule="auto"/>
        <w:ind w:firstLine="284"/>
        <w:jc w:val="both"/>
        <w:rPr>
          <w:rFonts w:ascii="Times New Roman" w:eastAsia="AdvGulliv-R" w:hAnsi="Times New Roman" w:cs="Times New Roman"/>
          <w:lang w:val="en-GB"/>
        </w:rPr>
      </w:pPr>
      <w:r w:rsidRPr="001075BA">
        <w:rPr>
          <w:rFonts w:ascii="Times New Roman" w:eastAsia="AdvGulliv-R" w:hAnsi="Times New Roman" w:cs="Times New Roman"/>
          <w:lang w:val="en-GB"/>
        </w:rPr>
        <w:t xml:space="preserve">This study scrutinised </w:t>
      </w:r>
      <w:r w:rsidR="00D850AB" w:rsidRPr="001075BA">
        <w:rPr>
          <w:rFonts w:ascii="Times New Roman" w:eastAsia="AdvGulliv-R" w:hAnsi="Times New Roman" w:cs="Times New Roman"/>
          <w:lang w:val="en-GB"/>
        </w:rPr>
        <w:t>Nutraceutical Industrial Fennel Seed Spent (NIFSS) morphology </w:t>
      </w:r>
      <w:r w:rsidRPr="001075BA">
        <w:rPr>
          <w:rFonts w:ascii="Times New Roman" w:eastAsia="AdvGulliv-R" w:hAnsi="Times New Roman" w:cs="Times New Roman"/>
          <w:lang w:val="en-GB"/>
        </w:rPr>
        <w:t>using a Zeiss scanning electron microscope, specifically the Evo/LS15 model. Fourier-transform infrared Spectroscopy (FTIR) was employed to analyse the functional groups in the dye-adsorbed and unabsorbed material</w:t>
      </w:r>
      <w:r w:rsidR="00D850AB" w:rsidRPr="001075BA">
        <w:rPr>
          <w:rFonts w:ascii="Times New Roman" w:eastAsia="AdvGulliv-R" w:hAnsi="Times New Roman" w:cs="Times New Roman"/>
          <w:lang w:val="en-GB"/>
        </w:rPr>
        <w:t>s</w:t>
      </w:r>
      <w:r w:rsidRPr="001075BA">
        <w:rPr>
          <w:rFonts w:ascii="Times New Roman" w:eastAsia="AdvGulliv-R" w:hAnsi="Times New Roman" w:cs="Times New Roman"/>
          <w:lang w:val="en-GB"/>
        </w:rPr>
        <w:t xml:space="preserve">. </w:t>
      </w:r>
      <w:r w:rsidR="00D850AB" w:rsidRPr="001075BA">
        <w:rPr>
          <w:rFonts w:ascii="Times New Roman" w:eastAsia="AdvGulliv-R" w:hAnsi="Times New Roman" w:cs="Times New Roman"/>
          <w:lang w:val="en-GB"/>
        </w:rPr>
        <w:t>A</w:t>
      </w:r>
      <w:r w:rsidRPr="001075BA">
        <w:rPr>
          <w:rFonts w:ascii="Times New Roman" w:eastAsia="AdvGulliv-R" w:hAnsi="Times New Roman" w:cs="Times New Roman"/>
          <w:lang w:val="en-GB"/>
        </w:rPr>
        <w:t xml:space="preserve"> Perkin Elmer Spectrophotometer equipped with FTIR capabilities was utili</w:t>
      </w:r>
      <w:r w:rsidR="00971179">
        <w:rPr>
          <w:rFonts w:ascii="Times New Roman" w:eastAsia="AdvGulliv-R" w:hAnsi="Times New Roman" w:cs="Times New Roman"/>
          <w:lang w:val="en-GB"/>
        </w:rPr>
        <w:t>s</w:t>
      </w:r>
      <w:r w:rsidRPr="001075BA">
        <w:rPr>
          <w:rFonts w:ascii="Times New Roman" w:eastAsia="AdvGulliv-R" w:hAnsi="Times New Roman" w:cs="Times New Roman"/>
          <w:lang w:val="en-GB"/>
        </w:rPr>
        <w:t>ed</w:t>
      </w:r>
      <w:r w:rsidR="00D850AB" w:rsidRPr="001075BA">
        <w:rPr>
          <w:rFonts w:ascii="Times New Roman" w:eastAsia="AdvGulliv-R" w:hAnsi="Times New Roman" w:cs="Times New Roman"/>
          <w:lang w:val="en-GB"/>
        </w:rPr>
        <w:t xml:space="preserve"> for the FTIR analysis</w:t>
      </w:r>
      <w:r w:rsidRPr="001075BA">
        <w:rPr>
          <w:rFonts w:ascii="Times New Roman" w:eastAsia="AdvGulliv-R" w:hAnsi="Times New Roman" w:cs="Times New Roman"/>
          <w:lang w:val="en-GB"/>
        </w:rPr>
        <w:t>. The spectral analysis covered a range of 400 to 4000 cm</w:t>
      </w:r>
      <w:r w:rsidRPr="001075BA">
        <w:rPr>
          <w:rFonts w:ascii="Times New Roman" w:eastAsia="AdvGulliv-R" w:hAnsi="Times New Roman" w:cs="Times New Roman"/>
          <w:vertAlign w:val="superscript"/>
          <w:lang w:val="en-GB"/>
        </w:rPr>
        <w:t>-1</w:t>
      </w:r>
      <w:r w:rsidRPr="001075BA">
        <w:rPr>
          <w:rFonts w:ascii="Times New Roman" w:eastAsia="AdvGulliv-R" w:hAnsi="Times New Roman" w:cs="Times New Roman"/>
          <w:lang w:val="en-GB"/>
        </w:rPr>
        <w:t>. By equating the FTIR spectra of the absorbed and unabsorbed spent materials, insights into the changes in functional groups due to the adsorption process could be obtained. These analytical techniques provide valuable information about the structural and chemical characteristics of NIFSS and how they are affected by the adsorption of target substances of the adsorption method.</w:t>
      </w:r>
    </w:p>
    <w:p w14:paraId="13494067" w14:textId="02B59187" w:rsidR="00740C97" w:rsidRPr="001075BA" w:rsidRDefault="000D3EB4" w:rsidP="002311B1">
      <w:pPr>
        <w:pStyle w:val="Rn1"/>
        <w:rPr>
          <w:w w:val="103"/>
          <w:lang w:val="en-GB"/>
        </w:rPr>
      </w:pPr>
      <w:r w:rsidRPr="001075BA">
        <w:rPr>
          <w:w w:val="103"/>
          <w:lang w:val="en-GB"/>
        </w:rPr>
        <w:t xml:space="preserve">3. Results and </w:t>
      </w:r>
      <w:r w:rsidR="002311B1" w:rsidRPr="001075BA">
        <w:rPr>
          <w:w w:val="103"/>
          <w:lang w:val="en-GB"/>
        </w:rPr>
        <w:t>D</w:t>
      </w:r>
      <w:r w:rsidRPr="001075BA">
        <w:rPr>
          <w:w w:val="103"/>
          <w:lang w:val="en-GB"/>
        </w:rPr>
        <w:t>iscussion</w:t>
      </w:r>
    </w:p>
    <w:p w14:paraId="7C387B18" w14:textId="3A5B33A9" w:rsidR="00D471EF" w:rsidRPr="001075BA" w:rsidRDefault="00787A7E" w:rsidP="002311B1">
      <w:pPr>
        <w:pStyle w:val="Rn2"/>
        <w:rPr>
          <w:bCs/>
          <w:w w:val="103"/>
          <w:lang w:val="en-GB"/>
        </w:rPr>
      </w:pPr>
      <w:r w:rsidRPr="001075BA">
        <w:rPr>
          <w:bCs/>
          <w:w w:val="103"/>
          <w:lang w:val="en-GB"/>
        </w:rPr>
        <w:t>3.1.</w:t>
      </w:r>
      <w:r w:rsidRPr="001075BA">
        <w:rPr>
          <w:w w:val="103"/>
          <w:lang w:val="en-GB"/>
        </w:rPr>
        <w:t xml:space="preserve"> </w:t>
      </w:r>
      <w:r w:rsidR="00656FAD" w:rsidRPr="001075BA">
        <w:rPr>
          <w:w w:val="103"/>
          <w:lang w:val="en-GB"/>
        </w:rPr>
        <w:t>Exterior</w:t>
      </w:r>
      <w:r w:rsidR="00F84749" w:rsidRPr="001075BA">
        <w:rPr>
          <w:w w:val="103"/>
          <w:lang w:val="en-GB"/>
        </w:rPr>
        <w:t xml:space="preserve"> </w:t>
      </w:r>
      <w:r w:rsidR="00971179">
        <w:rPr>
          <w:w w:val="103"/>
          <w:lang w:val="en-GB"/>
        </w:rPr>
        <w:t>d</w:t>
      </w:r>
      <w:r w:rsidR="00F84749" w:rsidRPr="001075BA">
        <w:rPr>
          <w:w w:val="103"/>
          <w:lang w:val="en-GB"/>
        </w:rPr>
        <w:t xml:space="preserve">escription of </w:t>
      </w:r>
      <w:r w:rsidR="00971179">
        <w:rPr>
          <w:w w:val="103"/>
          <w:lang w:val="en-GB"/>
        </w:rPr>
        <w:t>s</w:t>
      </w:r>
      <w:r w:rsidR="00F84749" w:rsidRPr="001075BA">
        <w:rPr>
          <w:w w:val="103"/>
          <w:lang w:val="en-GB"/>
        </w:rPr>
        <w:t>pent</w:t>
      </w:r>
    </w:p>
    <w:p w14:paraId="1DD73318" w14:textId="22E2DBDA" w:rsidR="00740C97" w:rsidRPr="001075BA" w:rsidRDefault="000D3EB4" w:rsidP="002311B1">
      <w:pPr>
        <w:pStyle w:val="Rn3"/>
        <w:rPr>
          <w:bCs/>
          <w:w w:val="103"/>
          <w:lang w:val="en-GB"/>
        </w:rPr>
      </w:pPr>
      <w:r w:rsidRPr="001075BA">
        <w:rPr>
          <w:w w:val="103"/>
          <w:lang w:val="en-GB"/>
        </w:rPr>
        <w:t>3.1.1</w:t>
      </w:r>
      <w:r w:rsidR="00D471EF" w:rsidRPr="001075BA">
        <w:rPr>
          <w:w w:val="103"/>
          <w:lang w:val="en-GB"/>
        </w:rPr>
        <w:t>.</w:t>
      </w:r>
      <w:r w:rsidRPr="001075BA">
        <w:rPr>
          <w:w w:val="103"/>
          <w:lang w:val="en-GB"/>
        </w:rPr>
        <w:t xml:space="preserve"> </w:t>
      </w:r>
      <w:r w:rsidR="00787A7E" w:rsidRPr="001075BA">
        <w:rPr>
          <w:w w:val="103"/>
          <w:lang w:val="en-GB"/>
        </w:rPr>
        <w:t xml:space="preserve">Scanning </w:t>
      </w:r>
      <w:r w:rsidR="00971179">
        <w:rPr>
          <w:w w:val="103"/>
          <w:lang w:val="en-GB"/>
        </w:rPr>
        <w:t>e</w:t>
      </w:r>
      <w:r w:rsidR="00787A7E" w:rsidRPr="001075BA">
        <w:rPr>
          <w:w w:val="103"/>
          <w:lang w:val="en-GB"/>
        </w:rPr>
        <w:t xml:space="preserve">lectron </w:t>
      </w:r>
      <w:r w:rsidR="00971179">
        <w:rPr>
          <w:w w:val="103"/>
          <w:lang w:val="en-GB"/>
        </w:rPr>
        <w:t>m</w:t>
      </w:r>
      <w:r w:rsidR="00787A7E" w:rsidRPr="001075BA">
        <w:rPr>
          <w:w w:val="103"/>
          <w:lang w:val="en-GB"/>
        </w:rPr>
        <w:t>icroscopy</w:t>
      </w:r>
    </w:p>
    <w:p w14:paraId="63CFDE6F" w14:textId="5447E56C" w:rsidR="002E6815" w:rsidRPr="00835F5B" w:rsidRDefault="00FC247E" w:rsidP="002931AC">
      <w:pPr>
        <w:spacing w:after="0" w:line="240" w:lineRule="auto"/>
        <w:ind w:firstLine="284"/>
        <w:jc w:val="both"/>
        <w:rPr>
          <w:rFonts w:ascii="Times New Roman" w:eastAsia="AdvGulliv-R" w:hAnsi="Times New Roman" w:cs="Times New Roman"/>
          <w:spacing w:val="-4"/>
          <w:lang w:val="en-GB"/>
        </w:rPr>
      </w:pPr>
      <w:r w:rsidRPr="00835F5B">
        <w:rPr>
          <w:rFonts w:ascii="Times New Roman" w:eastAsia="AdvGulliv-R" w:hAnsi="Times New Roman" w:cs="Times New Roman"/>
          <w:spacing w:val="-4"/>
          <w:lang w:val="en-GB"/>
        </w:rPr>
        <w:t>As shown in Fig. 1a, the NIFSS SEM examination indicated a fibrous and porous structure</w:t>
      </w:r>
      <w:r w:rsidR="002E6815" w:rsidRPr="00835F5B">
        <w:rPr>
          <w:rFonts w:ascii="Times New Roman" w:eastAsia="AdvGulliv-R" w:hAnsi="Times New Roman" w:cs="Times New Roman"/>
          <w:spacing w:val="-4"/>
          <w:lang w:val="en-GB"/>
        </w:rPr>
        <w:t xml:space="preserve"> (</w:t>
      </w:r>
      <w:r w:rsidR="002E6815" w:rsidRPr="00835F5B">
        <w:rPr>
          <w:rFonts w:ascii="Times New Roman" w:hAnsi="Times New Roman" w:cs="Times New Roman"/>
          <w:spacing w:val="-4"/>
          <w:shd w:val="clear" w:color="auto" w:fill="FFFFFF"/>
          <w:lang w:val="en-GB"/>
        </w:rPr>
        <w:t xml:space="preserve">Haris </w:t>
      </w:r>
      <w:r w:rsidR="007A187B" w:rsidRPr="00835F5B">
        <w:rPr>
          <w:rFonts w:ascii="Times New Roman" w:hAnsi="Times New Roman" w:cs="Times New Roman"/>
          <w:spacing w:val="-4"/>
          <w:shd w:val="clear" w:color="auto" w:fill="FFFFFF"/>
          <w:lang w:val="en-GB"/>
        </w:rPr>
        <w:t>&amp;</w:t>
      </w:r>
      <w:r w:rsidR="002E6815" w:rsidRPr="00835F5B">
        <w:rPr>
          <w:rFonts w:ascii="Times New Roman" w:hAnsi="Times New Roman" w:cs="Times New Roman"/>
          <w:spacing w:val="-4"/>
          <w:shd w:val="clear" w:color="auto" w:fill="FFFFFF"/>
          <w:lang w:val="en-GB"/>
        </w:rPr>
        <w:t xml:space="preserve"> Sathasivam 2009)</w:t>
      </w:r>
      <w:r w:rsidRPr="00835F5B">
        <w:rPr>
          <w:rFonts w:ascii="Times New Roman" w:eastAsia="AdvGulliv-R" w:hAnsi="Times New Roman" w:cs="Times New Roman"/>
          <w:spacing w:val="-4"/>
          <w:lang w:val="en-GB"/>
        </w:rPr>
        <w:t xml:space="preserve">. </w:t>
      </w:r>
      <w:r w:rsidRPr="00835F5B">
        <w:rPr>
          <w:rFonts w:ascii="Times New Roman" w:eastAsia="AdvGulliv-R" w:hAnsi="Times New Roman" w:cs="Times New Roman"/>
          <w:lang w:val="en-GB"/>
        </w:rPr>
        <w:t xml:space="preserve">This particular building </w:t>
      </w:r>
      <w:r w:rsidR="00663738" w:rsidRPr="00835F5B">
        <w:rPr>
          <w:rFonts w:ascii="Times New Roman" w:eastAsia="AdvGulliv-R" w:hAnsi="Times New Roman" w:cs="Times New Roman"/>
          <w:lang w:val="en-GB"/>
        </w:rPr>
        <w:t xml:space="preserve">plays a crucial role in facilitating dye adsorption. </w:t>
      </w:r>
      <w:r w:rsidR="00547BBF" w:rsidRPr="00835F5B">
        <w:rPr>
          <w:rFonts w:ascii="Times New Roman" w:eastAsia="AdvGulliv-R" w:hAnsi="Times New Roman" w:cs="Times New Roman"/>
          <w:lang w:val="en-GB"/>
        </w:rPr>
        <w:t>In Fig. 1b, you can observe the pores and empty spaces filled with the dye.</w:t>
      </w:r>
    </w:p>
    <w:p w14:paraId="4844F91F" w14:textId="77777777" w:rsidR="002931AC" w:rsidRPr="001075BA" w:rsidRDefault="002931AC" w:rsidP="00346C21">
      <w:pPr>
        <w:spacing w:after="0" w:line="240" w:lineRule="auto"/>
        <w:jc w:val="both"/>
        <w:rPr>
          <w:rFonts w:eastAsia="AdvGulliv-R" w:cstheme="minorHAnsi"/>
          <w:lang w:val="en-GB"/>
        </w:rPr>
      </w:pPr>
    </w:p>
    <w:p w14:paraId="38952370" w14:textId="34B193D2" w:rsidR="00740C97" w:rsidRPr="001075BA" w:rsidRDefault="000D3EB4" w:rsidP="00740A04">
      <w:pPr>
        <w:tabs>
          <w:tab w:val="left" w:pos="5245"/>
        </w:tabs>
        <w:spacing w:after="0" w:line="240" w:lineRule="auto"/>
        <w:ind w:left="426"/>
        <w:jc w:val="both"/>
        <w:rPr>
          <w:rFonts w:cstheme="minorHAnsi"/>
          <w:b/>
          <w:sz w:val="24"/>
          <w:szCs w:val="24"/>
          <w:lang w:val="en-GB"/>
        </w:rPr>
      </w:pPr>
      <w:r w:rsidRPr="001075BA">
        <w:rPr>
          <w:rFonts w:eastAsia="Arial Unicode MS" w:cstheme="minorHAnsi"/>
          <w:noProof/>
          <w:w w:val="102"/>
          <w:sz w:val="24"/>
          <w:szCs w:val="24"/>
          <w:lang w:val="en-GB" w:eastAsia="en-IN"/>
        </w:rPr>
        <w:drawing>
          <wp:inline distT="0" distB="0" distL="0" distR="0" wp14:anchorId="46C6C27E" wp14:editId="1FCC79C5">
            <wp:extent cx="2844000" cy="1837791"/>
            <wp:effectExtent l="0" t="0" r="0" b="0"/>
            <wp:docPr id="369" name="Picture 369" descr="E:\SEM IMAGES FOLDER\Thesis Sem Images\pure spents\Pure FSS\FSS 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E:\SEM IMAGES FOLDER\Thesis Sem Images\pure spents\Pure FSS\FSS 0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1837791"/>
                    </a:xfrm>
                    <a:prstGeom prst="rect">
                      <a:avLst/>
                    </a:prstGeom>
                    <a:noFill/>
                    <a:ln>
                      <a:noFill/>
                    </a:ln>
                  </pic:spPr>
                </pic:pic>
              </a:graphicData>
            </a:graphic>
          </wp:inline>
        </w:drawing>
      </w:r>
      <w:r w:rsidR="002931AC" w:rsidRPr="001075BA">
        <w:rPr>
          <w:rFonts w:eastAsia="Arial Unicode MS" w:cstheme="minorHAnsi"/>
          <w:w w:val="102"/>
          <w:sz w:val="24"/>
          <w:szCs w:val="24"/>
          <w:lang w:val="en-GB"/>
        </w:rPr>
        <w:tab/>
      </w:r>
      <w:r w:rsidRPr="001075BA">
        <w:rPr>
          <w:rFonts w:eastAsia="Arial Unicode MS" w:cstheme="minorHAnsi"/>
          <w:noProof/>
          <w:w w:val="102"/>
          <w:sz w:val="24"/>
          <w:szCs w:val="24"/>
          <w:lang w:val="en-GB" w:eastAsia="en-IN"/>
        </w:rPr>
        <w:drawing>
          <wp:inline distT="0" distB="0" distL="0" distR="0" wp14:anchorId="385F5D96" wp14:editId="30670791">
            <wp:extent cx="2772000" cy="1837840"/>
            <wp:effectExtent l="0" t="0" r="0" b="0"/>
            <wp:docPr id="370" name="Picture 370" descr="E:\SEM IMAGES FOLDER\Thesis Sem Images\Brilliant Green Sem Images\BG-FSS\BG-FSS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E:\SEM IMAGES FOLDER\Thesis Sem Images\Brilliant Green Sem Images\BG-FSS\BG-FSS0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72000" cy="1837840"/>
                    </a:xfrm>
                    <a:prstGeom prst="rect">
                      <a:avLst/>
                    </a:prstGeom>
                    <a:noFill/>
                    <a:ln>
                      <a:noFill/>
                    </a:ln>
                  </pic:spPr>
                </pic:pic>
              </a:graphicData>
            </a:graphic>
          </wp:inline>
        </w:drawing>
      </w:r>
    </w:p>
    <w:p w14:paraId="769D720E" w14:textId="0C0F05A0" w:rsidR="002931AC" w:rsidRPr="001075BA" w:rsidRDefault="002931AC" w:rsidP="00740A04">
      <w:pPr>
        <w:pStyle w:val="Rrys"/>
        <w:tabs>
          <w:tab w:val="left" w:pos="5245"/>
        </w:tabs>
        <w:ind w:left="426"/>
        <w:rPr>
          <w:lang w:val="en-GB"/>
        </w:rPr>
      </w:pPr>
      <w:r w:rsidRPr="001075BA">
        <w:rPr>
          <w:b/>
          <w:lang w:val="en-GB"/>
        </w:rPr>
        <w:t>Fig. 1a.</w:t>
      </w:r>
      <w:r w:rsidRPr="001075BA">
        <w:rPr>
          <w:bCs/>
          <w:lang w:val="en-GB"/>
        </w:rPr>
        <w:t xml:space="preserve"> </w:t>
      </w:r>
      <w:r w:rsidRPr="001075BA">
        <w:rPr>
          <w:lang w:val="en-GB"/>
        </w:rPr>
        <w:t>NIFSS earlier adsorption</w:t>
      </w:r>
      <w:r w:rsidRPr="001075BA">
        <w:rPr>
          <w:lang w:val="en-GB"/>
        </w:rPr>
        <w:tab/>
      </w:r>
      <w:r w:rsidRPr="001075BA">
        <w:rPr>
          <w:b/>
          <w:lang w:val="en-GB"/>
        </w:rPr>
        <w:t>Fig. 1b.</w:t>
      </w:r>
      <w:r w:rsidRPr="001075BA">
        <w:rPr>
          <w:bCs/>
          <w:lang w:val="en-GB"/>
        </w:rPr>
        <w:t xml:space="preserve"> </w:t>
      </w:r>
      <w:r w:rsidRPr="001075BA">
        <w:rPr>
          <w:lang w:val="en-GB"/>
        </w:rPr>
        <w:t>NIFSS later adsorption</w:t>
      </w:r>
    </w:p>
    <w:p w14:paraId="5B3B8B22" w14:textId="77777777" w:rsidR="00547BBF" w:rsidRPr="00835F5B" w:rsidRDefault="00547BBF" w:rsidP="00835F5B">
      <w:pPr>
        <w:spacing w:after="0" w:line="240" w:lineRule="auto"/>
        <w:jc w:val="both"/>
        <w:rPr>
          <w:rFonts w:ascii="Times New Roman" w:hAnsi="Times New Roman" w:cs="Times New Roman"/>
          <w:bCs/>
          <w:lang w:val="en-GB"/>
        </w:rPr>
      </w:pPr>
    </w:p>
    <w:p w14:paraId="3B46E733" w14:textId="77777777" w:rsidR="00971179" w:rsidRPr="00835F5B" w:rsidRDefault="00971179" w:rsidP="00835F5B">
      <w:pPr>
        <w:pStyle w:val="Rn3"/>
        <w:spacing w:before="0" w:after="0"/>
        <w:rPr>
          <w:bCs/>
          <w:i w:val="0"/>
          <w:lang w:val="en-GB"/>
        </w:rPr>
      </w:pPr>
    </w:p>
    <w:p w14:paraId="4E2EA4E4" w14:textId="77777777" w:rsidR="00F21B33" w:rsidRDefault="00F21B33">
      <w:pPr>
        <w:rPr>
          <w:rFonts w:ascii="Times New Roman" w:hAnsi="Times New Roman"/>
          <w:i/>
          <w:kern w:val="2"/>
          <w:sz w:val="20"/>
          <w:lang w:val="en-GB"/>
          <w14:ligatures w14:val="standardContextual"/>
        </w:rPr>
      </w:pPr>
      <w:r>
        <w:rPr>
          <w:lang w:val="en-GB"/>
        </w:rPr>
        <w:br w:type="page"/>
      </w:r>
    </w:p>
    <w:p w14:paraId="16557AA2" w14:textId="625E13E8" w:rsidR="001B302C" w:rsidRPr="001075BA" w:rsidRDefault="003D2D65" w:rsidP="002311B1">
      <w:pPr>
        <w:pStyle w:val="Rn3"/>
        <w:rPr>
          <w:lang w:val="en-GB"/>
        </w:rPr>
      </w:pPr>
      <w:r w:rsidRPr="001075BA">
        <w:rPr>
          <w:lang w:val="en-GB"/>
        </w:rPr>
        <w:lastRenderedPageBreak/>
        <w:t>3.1.</w:t>
      </w:r>
      <w:r w:rsidR="00C4714A" w:rsidRPr="001075BA">
        <w:rPr>
          <w:lang w:val="en-GB"/>
        </w:rPr>
        <w:t>2</w:t>
      </w:r>
      <w:r w:rsidR="00533351" w:rsidRPr="001075BA">
        <w:rPr>
          <w:lang w:val="en-GB"/>
        </w:rPr>
        <w:t>. FTIR Spectroscopy</w:t>
      </w:r>
    </w:p>
    <w:p w14:paraId="684E662D" w14:textId="77777777" w:rsidR="00543E60" w:rsidRPr="001075BA" w:rsidRDefault="001B302C" w:rsidP="00346C21">
      <w:pPr>
        <w:spacing w:after="0" w:line="240" w:lineRule="auto"/>
        <w:jc w:val="center"/>
        <w:rPr>
          <w:rFonts w:eastAsia="GulliverRM" w:cstheme="minorHAnsi"/>
          <w:sz w:val="24"/>
          <w:szCs w:val="24"/>
          <w:lang w:val="en-GB"/>
        </w:rPr>
      </w:pPr>
      <w:r w:rsidRPr="001075BA">
        <w:rPr>
          <w:rFonts w:cstheme="minorHAnsi"/>
          <w:noProof/>
          <w:sz w:val="24"/>
          <w:szCs w:val="24"/>
          <w:lang w:val="en-GB" w:eastAsia="en-IN"/>
        </w:rPr>
        <w:drawing>
          <wp:inline distT="0" distB="0" distL="0" distR="0" wp14:anchorId="44268995" wp14:editId="157901CF">
            <wp:extent cx="3884428" cy="2750289"/>
            <wp:effectExtent l="0" t="0" r="1905" b="0"/>
            <wp:docPr id="2050" name="Picture 2" descr="C:\Users\prajwal\Desktop\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rajwal\Desktop\b.tif"/>
                    <pic:cNvPicPr>
                      <a:picLocks noChangeAspect="1" noChangeArrowheads="1"/>
                    </pic:cNvPicPr>
                  </pic:nvPicPr>
                  <pic:blipFill>
                    <a:blip r:embed="rId15"/>
                    <a:srcRect/>
                    <a:stretch>
                      <a:fillRect/>
                    </a:stretch>
                  </pic:blipFill>
                  <pic:spPr bwMode="auto">
                    <a:xfrm>
                      <a:off x="0" y="0"/>
                      <a:ext cx="3886200" cy="2751544"/>
                    </a:xfrm>
                    <a:prstGeom prst="rect">
                      <a:avLst/>
                    </a:prstGeom>
                    <a:noFill/>
                  </pic:spPr>
                </pic:pic>
              </a:graphicData>
            </a:graphic>
          </wp:inline>
        </w:drawing>
      </w:r>
    </w:p>
    <w:p w14:paraId="22B2B792" w14:textId="5E2ABAF0" w:rsidR="003623A7" w:rsidRPr="001075BA" w:rsidRDefault="00543E60" w:rsidP="002931AC">
      <w:pPr>
        <w:pStyle w:val="Rrys"/>
        <w:rPr>
          <w:lang w:val="en-GB"/>
        </w:rPr>
      </w:pPr>
      <w:r w:rsidRPr="001075BA">
        <w:rPr>
          <w:b/>
          <w:lang w:val="en-GB"/>
        </w:rPr>
        <w:t xml:space="preserve">Fig. </w:t>
      </w:r>
      <w:r w:rsidR="00854A12" w:rsidRPr="001075BA">
        <w:rPr>
          <w:b/>
          <w:lang w:val="en-GB"/>
        </w:rPr>
        <w:t>2</w:t>
      </w:r>
      <w:r w:rsidR="002931AC" w:rsidRPr="001075BA">
        <w:rPr>
          <w:b/>
          <w:lang w:val="en-GB"/>
        </w:rPr>
        <w:t>.</w:t>
      </w:r>
      <w:r w:rsidR="00277B77" w:rsidRPr="001075BA">
        <w:rPr>
          <w:b/>
          <w:bCs/>
          <w:lang w:val="en-GB"/>
        </w:rPr>
        <w:t xml:space="preserve"> </w:t>
      </w:r>
      <w:r w:rsidR="003623A7" w:rsidRPr="001075BA">
        <w:rPr>
          <w:lang w:val="en-GB"/>
        </w:rPr>
        <w:t>FTIR spectra</w:t>
      </w:r>
    </w:p>
    <w:p w14:paraId="5D4CF84C" w14:textId="77777777" w:rsidR="002931AC" w:rsidRPr="001075BA" w:rsidRDefault="002931AC" w:rsidP="00346C21">
      <w:pPr>
        <w:pStyle w:val="NormalnyWeb"/>
        <w:spacing w:before="0" w:beforeAutospacing="0" w:after="0" w:afterAutospacing="0"/>
        <w:jc w:val="both"/>
        <w:rPr>
          <w:rFonts w:eastAsia="Arial Unicode MS"/>
          <w:w w:val="106"/>
          <w:sz w:val="22"/>
          <w:szCs w:val="22"/>
          <w:lang w:val="en-GB" w:eastAsia="en-US"/>
        </w:rPr>
      </w:pPr>
    </w:p>
    <w:p w14:paraId="3D39331B" w14:textId="6F565021" w:rsidR="00547BBF" w:rsidRPr="001075BA" w:rsidRDefault="00547BBF" w:rsidP="002931AC">
      <w:pPr>
        <w:pStyle w:val="NormalnyWeb"/>
        <w:spacing w:before="0" w:beforeAutospacing="0" w:after="0" w:afterAutospacing="0"/>
        <w:ind w:firstLine="284"/>
        <w:jc w:val="both"/>
        <w:rPr>
          <w:rFonts w:eastAsia="Arial Unicode MS"/>
          <w:w w:val="106"/>
          <w:sz w:val="22"/>
          <w:szCs w:val="22"/>
          <w:lang w:val="en-GB" w:eastAsia="en-US"/>
        </w:rPr>
      </w:pPr>
      <w:r w:rsidRPr="001075BA">
        <w:rPr>
          <w:rFonts w:eastAsia="Arial Unicode MS"/>
          <w:w w:val="106"/>
          <w:sz w:val="22"/>
          <w:szCs w:val="22"/>
          <w:lang w:val="en-GB" w:eastAsia="en-US"/>
        </w:rPr>
        <w:t>As shown in Fig. 2, the spectral study provided valuable information regarding chemical interactions during adsorption. Here's a breakdown of the key findings from the FTIR analysis:</w:t>
      </w:r>
    </w:p>
    <w:p w14:paraId="566A6F32" w14:textId="24FC7BBD" w:rsidR="00547BBF" w:rsidRPr="001075BA" w:rsidRDefault="00547BBF" w:rsidP="00346C21">
      <w:pPr>
        <w:pStyle w:val="NormalnyWeb"/>
        <w:numPr>
          <w:ilvl w:val="0"/>
          <w:numId w:val="7"/>
        </w:numPr>
        <w:spacing w:before="0" w:beforeAutospacing="0" w:after="0" w:afterAutospacing="0"/>
        <w:jc w:val="both"/>
        <w:rPr>
          <w:rFonts w:eastAsia="Arial Unicode MS"/>
          <w:w w:val="106"/>
          <w:sz w:val="22"/>
          <w:szCs w:val="22"/>
          <w:lang w:val="en-GB" w:eastAsia="en-US"/>
        </w:rPr>
      </w:pPr>
      <w:r w:rsidRPr="001075BA">
        <w:rPr>
          <w:sz w:val="22"/>
          <w:szCs w:val="22"/>
          <w:lang w:val="en-GB"/>
        </w:rPr>
        <w:t>C=C stretching in olefins was identified by a band at 1742 cm</w:t>
      </w:r>
      <w:r w:rsidRPr="001075BA">
        <w:rPr>
          <w:sz w:val="22"/>
          <w:szCs w:val="22"/>
          <w:vertAlign w:val="superscript"/>
          <w:lang w:val="en-GB"/>
        </w:rPr>
        <w:t>-1</w:t>
      </w:r>
      <w:r w:rsidRPr="001075BA">
        <w:rPr>
          <w:sz w:val="22"/>
          <w:szCs w:val="22"/>
          <w:lang w:val="en-GB"/>
        </w:rPr>
        <w:t>, whereas a band indicated the occurrence of methyl groups at 1411 cm</w:t>
      </w:r>
      <w:r w:rsidRPr="001075BA">
        <w:rPr>
          <w:sz w:val="22"/>
          <w:szCs w:val="22"/>
          <w:vertAlign w:val="superscript"/>
          <w:lang w:val="en-GB"/>
        </w:rPr>
        <w:t>-1</w:t>
      </w:r>
      <w:r w:rsidRPr="001075BA">
        <w:rPr>
          <w:sz w:val="22"/>
          <w:szCs w:val="22"/>
          <w:lang w:val="en-GB"/>
        </w:rPr>
        <w:t>.</w:t>
      </w:r>
    </w:p>
    <w:p w14:paraId="4C38A994" w14:textId="603D268B" w:rsidR="00547BBF" w:rsidRPr="001075BA" w:rsidRDefault="00547BBF" w:rsidP="00346C21">
      <w:pPr>
        <w:pStyle w:val="NormalnyWeb"/>
        <w:numPr>
          <w:ilvl w:val="0"/>
          <w:numId w:val="7"/>
        </w:numPr>
        <w:spacing w:before="0" w:beforeAutospacing="0" w:after="0" w:afterAutospacing="0"/>
        <w:jc w:val="both"/>
        <w:rPr>
          <w:rFonts w:eastAsia="Arial Unicode MS"/>
          <w:w w:val="106"/>
          <w:sz w:val="22"/>
          <w:szCs w:val="22"/>
          <w:lang w:val="en-GB" w:eastAsia="en-US"/>
        </w:rPr>
      </w:pPr>
      <w:r w:rsidRPr="001075BA">
        <w:rPr>
          <w:rFonts w:eastAsia="Arial Unicode MS"/>
          <w:w w:val="106"/>
          <w:sz w:val="22"/>
          <w:szCs w:val="22"/>
          <w:lang w:val="en-GB" w:eastAsia="en-US"/>
        </w:rPr>
        <w:t>A wide band around 3284 cm</w:t>
      </w:r>
      <w:r w:rsidRPr="001075BA">
        <w:rPr>
          <w:rFonts w:eastAsia="Arial Unicode MS"/>
          <w:w w:val="106"/>
          <w:sz w:val="22"/>
          <w:szCs w:val="22"/>
          <w:vertAlign w:val="superscript"/>
          <w:lang w:val="en-GB" w:eastAsia="en-US"/>
        </w:rPr>
        <w:t>-1</w:t>
      </w:r>
      <w:r w:rsidRPr="001075BA">
        <w:rPr>
          <w:rFonts w:eastAsia="Arial Unicode MS"/>
          <w:w w:val="106"/>
          <w:sz w:val="22"/>
          <w:szCs w:val="22"/>
          <w:lang w:val="en-GB" w:eastAsia="en-US"/>
        </w:rPr>
        <w:t xml:space="preserve"> was identified, credited to surface hydroxyl groups,</w:t>
      </w:r>
      <w:r w:rsidR="001075BA">
        <w:rPr>
          <w:rFonts w:eastAsia="Arial Unicode MS"/>
          <w:w w:val="106"/>
          <w:sz w:val="22"/>
          <w:szCs w:val="22"/>
          <w:lang w:val="en-GB" w:eastAsia="en-US"/>
        </w:rPr>
        <w:t xml:space="preserve"> </w:t>
      </w:r>
      <w:r w:rsidRPr="001075BA">
        <w:rPr>
          <w:sz w:val="22"/>
          <w:szCs w:val="22"/>
          <w:lang w:val="en-GB"/>
        </w:rPr>
        <w:t>typically joined in cellulose, and absorbed water bands at 2925 cm</w:t>
      </w:r>
      <w:r w:rsidRPr="001075BA">
        <w:rPr>
          <w:sz w:val="22"/>
          <w:szCs w:val="22"/>
          <w:vertAlign w:val="superscript"/>
          <w:lang w:val="en-GB"/>
        </w:rPr>
        <w:t>-1</w:t>
      </w:r>
      <w:r w:rsidRPr="001075BA">
        <w:rPr>
          <w:sz w:val="22"/>
          <w:szCs w:val="22"/>
          <w:lang w:val="en-GB"/>
        </w:rPr>
        <w:t>, indicating stretching vibrations in the -CH bonds of alkane and alkyl groups. The band is 1056 cm</w:t>
      </w:r>
      <w:r w:rsidRPr="001075BA">
        <w:rPr>
          <w:sz w:val="22"/>
          <w:szCs w:val="22"/>
          <w:vertAlign w:val="superscript"/>
          <w:lang w:val="en-GB"/>
        </w:rPr>
        <w:t>-1</w:t>
      </w:r>
      <w:r w:rsidRPr="001075BA">
        <w:rPr>
          <w:sz w:val="22"/>
          <w:szCs w:val="22"/>
          <w:lang w:val="en-GB"/>
        </w:rPr>
        <w:t xml:space="preserve"> in the suggested size of the </w:t>
      </w:r>
      <w:r w:rsidRPr="001075BA">
        <w:rPr>
          <w:rFonts w:eastAsia="Arial Unicode MS"/>
          <w:w w:val="106"/>
          <w:sz w:val="22"/>
          <w:szCs w:val="22"/>
          <w:lang w:val="en-GB" w:eastAsia="en-US"/>
        </w:rPr>
        <w:t>adsorbent that included cellulose.</w:t>
      </w:r>
    </w:p>
    <w:p w14:paraId="34CE797E" w14:textId="0268462C" w:rsidR="00547BBF" w:rsidRPr="001075BA" w:rsidRDefault="00547BBF" w:rsidP="00346C21">
      <w:pPr>
        <w:pStyle w:val="NormalnyWeb"/>
        <w:numPr>
          <w:ilvl w:val="0"/>
          <w:numId w:val="7"/>
        </w:numPr>
        <w:spacing w:before="0" w:beforeAutospacing="0" w:after="0" w:afterAutospacing="0"/>
        <w:jc w:val="both"/>
        <w:rPr>
          <w:rFonts w:eastAsia="Arial Unicode MS"/>
          <w:w w:val="106"/>
          <w:sz w:val="22"/>
          <w:szCs w:val="22"/>
          <w:lang w:val="en-GB" w:eastAsia="en-US"/>
        </w:rPr>
      </w:pPr>
      <w:r w:rsidRPr="001075BA">
        <w:rPr>
          <w:rFonts w:eastAsia="Arial Unicode MS"/>
          <w:w w:val="106"/>
          <w:sz w:val="22"/>
          <w:szCs w:val="22"/>
          <w:lang w:val="en-GB" w:eastAsia="en-US"/>
        </w:rPr>
        <w:t>Following the adsorption process shifts in certain bands were observed. For instance, the shift from 2925 to 2967 cm</w:t>
      </w:r>
      <w:r w:rsidRPr="001075BA">
        <w:rPr>
          <w:rFonts w:eastAsia="Arial Unicode MS"/>
          <w:w w:val="106"/>
          <w:sz w:val="22"/>
          <w:szCs w:val="22"/>
          <w:vertAlign w:val="superscript"/>
          <w:lang w:val="en-GB" w:eastAsia="en-US"/>
        </w:rPr>
        <w:t>-1</w:t>
      </w:r>
      <w:r w:rsidRPr="001075BA">
        <w:rPr>
          <w:rFonts w:eastAsia="Arial Unicode MS"/>
          <w:w w:val="106"/>
          <w:sz w:val="22"/>
          <w:szCs w:val="22"/>
          <w:lang w:val="en-GB" w:eastAsia="en-US"/>
        </w:rPr>
        <w:t xml:space="preserve"> confirmed the involvement of BG. </w:t>
      </w:r>
      <w:r w:rsidRPr="001075BA">
        <w:rPr>
          <w:sz w:val="22"/>
          <w:szCs w:val="22"/>
          <w:lang w:val="en-GB"/>
        </w:rPr>
        <w:t>The band at 2881 cm</w:t>
      </w:r>
      <w:r w:rsidRPr="001075BA">
        <w:rPr>
          <w:sz w:val="22"/>
          <w:szCs w:val="22"/>
          <w:vertAlign w:val="superscript"/>
          <w:lang w:val="en-GB"/>
        </w:rPr>
        <w:t>-1</w:t>
      </w:r>
      <w:r w:rsidRPr="001075BA">
        <w:rPr>
          <w:sz w:val="22"/>
          <w:szCs w:val="22"/>
          <w:lang w:val="en-GB"/>
        </w:rPr>
        <w:t xml:space="preserve"> in alkane and alkyl groups having carbon and hydrogen is linked to the stretching vibrations of the -CH bonds</w:t>
      </w:r>
      <w:r w:rsidRPr="001075BA">
        <w:rPr>
          <w:rFonts w:eastAsia="Arial Unicode MS"/>
          <w:w w:val="106"/>
          <w:sz w:val="22"/>
          <w:szCs w:val="22"/>
          <w:lang w:val="en-GB" w:eastAsia="en-US"/>
        </w:rPr>
        <w:t>, further supporting the interaction of BG during adsorption.</w:t>
      </w:r>
    </w:p>
    <w:p w14:paraId="7017B1BC" w14:textId="39E3F5FC" w:rsidR="00547BBF" w:rsidRPr="001075BA" w:rsidRDefault="00547BBF" w:rsidP="00346C21">
      <w:pPr>
        <w:pStyle w:val="NormalnyWeb"/>
        <w:numPr>
          <w:ilvl w:val="0"/>
          <w:numId w:val="7"/>
        </w:numPr>
        <w:spacing w:before="0" w:beforeAutospacing="0" w:after="0" w:afterAutospacing="0"/>
        <w:ind w:left="426" w:hanging="426"/>
        <w:jc w:val="both"/>
        <w:rPr>
          <w:rFonts w:eastAsia="Arial Unicode MS"/>
          <w:w w:val="106"/>
          <w:sz w:val="22"/>
          <w:szCs w:val="22"/>
          <w:lang w:val="en-GB" w:eastAsia="en-US"/>
        </w:rPr>
      </w:pPr>
      <w:r w:rsidRPr="001075BA">
        <w:rPr>
          <w:rFonts w:eastAsia="Arial Unicode MS"/>
          <w:w w:val="106"/>
          <w:sz w:val="22"/>
          <w:szCs w:val="22"/>
          <w:lang w:val="en-GB" w:eastAsia="en-US"/>
        </w:rPr>
        <w:t>Notably, a decrease in occurrence from 1569 cm</w:t>
      </w:r>
      <w:r w:rsidRPr="001075BA">
        <w:rPr>
          <w:rFonts w:eastAsia="Arial Unicode MS"/>
          <w:w w:val="106"/>
          <w:sz w:val="22"/>
          <w:szCs w:val="22"/>
          <w:vertAlign w:val="superscript"/>
          <w:lang w:val="en-GB" w:eastAsia="en-US"/>
        </w:rPr>
        <w:t>-1</w:t>
      </w:r>
      <w:r w:rsidRPr="001075BA">
        <w:rPr>
          <w:rFonts w:eastAsia="Arial Unicode MS"/>
          <w:w w:val="106"/>
          <w:sz w:val="22"/>
          <w:szCs w:val="22"/>
          <w:lang w:val="en-GB" w:eastAsia="en-US"/>
        </w:rPr>
        <w:t xml:space="preserve"> to 1467 cm</w:t>
      </w:r>
      <w:r w:rsidRPr="001075BA">
        <w:rPr>
          <w:rFonts w:eastAsia="Arial Unicode MS"/>
          <w:w w:val="106"/>
          <w:sz w:val="22"/>
          <w:szCs w:val="22"/>
          <w:vertAlign w:val="superscript"/>
          <w:lang w:val="en-GB" w:eastAsia="en-US"/>
        </w:rPr>
        <w:t>-1</w:t>
      </w:r>
      <w:r w:rsidRPr="001075BA">
        <w:rPr>
          <w:rFonts w:eastAsia="Arial Unicode MS"/>
          <w:w w:val="106"/>
          <w:sz w:val="22"/>
          <w:szCs w:val="22"/>
          <w:lang w:val="en-GB" w:eastAsia="en-US"/>
        </w:rPr>
        <w:t xml:space="preserve"> was observed, attributed to stretch vibrations of C=C bonds in the quinoid structure assembly of BG.</w:t>
      </w:r>
    </w:p>
    <w:p w14:paraId="580A66C4" w14:textId="77777777" w:rsidR="00547BBF" w:rsidRPr="001075BA" w:rsidRDefault="00547BBF" w:rsidP="00346C21">
      <w:pPr>
        <w:pStyle w:val="NormalnyWeb"/>
        <w:numPr>
          <w:ilvl w:val="0"/>
          <w:numId w:val="7"/>
        </w:numPr>
        <w:spacing w:before="0" w:beforeAutospacing="0" w:after="0" w:afterAutospacing="0"/>
        <w:jc w:val="both"/>
        <w:rPr>
          <w:rFonts w:eastAsia="Arial Unicode MS"/>
          <w:w w:val="106"/>
          <w:sz w:val="22"/>
          <w:szCs w:val="22"/>
          <w:lang w:val="en-GB" w:eastAsia="en-US"/>
        </w:rPr>
      </w:pPr>
      <w:r w:rsidRPr="001075BA">
        <w:rPr>
          <w:rFonts w:eastAsia="Arial Unicode MS"/>
          <w:w w:val="106"/>
          <w:sz w:val="22"/>
          <w:szCs w:val="22"/>
          <w:lang w:val="en-GB" w:eastAsia="en-US"/>
        </w:rPr>
        <w:t>The dye molecule's C-N stretching and C-H distortion were responsible for the bands at 1467 cm</w:t>
      </w:r>
      <w:r w:rsidRPr="001075BA">
        <w:rPr>
          <w:rFonts w:eastAsia="Arial Unicode MS"/>
          <w:w w:val="106"/>
          <w:sz w:val="22"/>
          <w:szCs w:val="22"/>
          <w:vertAlign w:val="superscript"/>
          <w:lang w:val="en-GB" w:eastAsia="en-US"/>
        </w:rPr>
        <w:t>-1</w:t>
      </w:r>
      <w:r w:rsidRPr="001075BA">
        <w:rPr>
          <w:rFonts w:eastAsia="Arial Unicode MS"/>
          <w:w w:val="106"/>
          <w:sz w:val="22"/>
          <w:szCs w:val="22"/>
          <w:lang w:val="en-GB" w:eastAsia="en-US"/>
        </w:rPr>
        <w:t xml:space="preserve"> and 1385 cm</w:t>
      </w:r>
      <w:r w:rsidRPr="001075BA">
        <w:rPr>
          <w:rFonts w:eastAsia="Arial Unicode MS"/>
          <w:w w:val="106"/>
          <w:sz w:val="22"/>
          <w:szCs w:val="22"/>
          <w:vertAlign w:val="superscript"/>
          <w:lang w:val="en-GB" w:eastAsia="en-US"/>
        </w:rPr>
        <w:t>-1</w:t>
      </w:r>
      <w:r w:rsidRPr="001075BA">
        <w:rPr>
          <w:rFonts w:eastAsia="Arial Unicode MS"/>
          <w:w w:val="106"/>
          <w:sz w:val="22"/>
          <w:szCs w:val="22"/>
          <w:lang w:val="en-GB" w:eastAsia="en-US"/>
        </w:rPr>
        <w:t>, respectively, and they did not undergo any substantial post-adsorption changes.</w:t>
      </w:r>
    </w:p>
    <w:p w14:paraId="22155595" w14:textId="77777777" w:rsidR="00547BBF" w:rsidRPr="001075BA" w:rsidRDefault="00547BBF" w:rsidP="00346C21">
      <w:pPr>
        <w:pStyle w:val="NormalnyWeb"/>
        <w:numPr>
          <w:ilvl w:val="0"/>
          <w:numId w:val="7"/>
        </w:numPr>
        <w:spacing w:before="0" w:beforeAutospacing="0" w:after="0" w:afterAutospacing="0"/>
        <w:jc w:val="both"/>
        <w:rPr>
          <w:rFonts w:eastAsia="Arial Unicode MS"/>
          <w:w w:val="106"/>
          <w:sz w:val="22"/>
          <w:szCs w:val="22"/>
          <w:lang w:val="en-GB" w:eastAsia="en-US"/>
        </w:rPr>
      </w:pPr>
      <w:r w:rsidRPr="001075BA">
        <w:rPr>
          <w:rFonts w:eastAsia="Arial Unicode MS"/>
          <w:w w:val="106"/>
          <w:sz w:val="22"/>
          <w:szCs w:val="22"/>
          <w:lang w:val="en-GB" w:eastAsia="en-US"/>
        </w:rPr>
        <w:t>The analysis revealed shifts in specific peaks, some disappearance, and new peaks' appearance. These spectral changes showed the participation of particular functional groups in the adsorption method.</w:t>
      </w:r>
    </w:p>
    <w:p w14:paraId="2780E995" w14:textId="77777777" w:rsidR="00547BBF" w:rsidRPr="001075BA" w:rsidRDefault="00547BBF" w:rsidP="00346C21">
      <w:pPr>
        <w:pStyle w:val="NormalnyWeb"/>
        <w:numPr>
          <w:ilvl w:val="0"/>
          <w:numId w:val="7"/>
        </w:numPr>
        <w:spacing w:before="0" w:beforeAutospacing="0" w:after="0" w:afterAutospacing="0"/>
        <w:jc w:val="both"/>
        <w:rPr>
          <w:rFonts w:eastAsia="Arial Unicode MS"/>
          <w:w w:val="106"/>
          <w:sz w:val="22"/>
          <w:szCs w:val="22"/>
          <w:lang w:val="en-GB" w:eastAsia="en-US"/>
        </w:rPr>
      </w:pPr>
      <w:r w:rsidRPr="001075BA">
        <w:rPr>
          <w:rFonts w:eastAsia="Arial Unicode MS"/>
          <w:w w:val="106"/>
          <w:sz w:val="22"/>
          <w:szCs w:val="22"/>
          <w:lang w:val="en-GB" w:eastAsia="en-US"/>
        </w:rPr>
        <w:t xml:space="preserve">Importantly, </w:t>
      </w:r>
      <w:r w:rsidRPr="001075BA">
        <w:rPr>
          <w:sz w:val="22"/>
          <w:szCs w:val="22"/>
          <w:lang w:val="en-GB"/>
        </w:rPr>
        <w:t>absorption groups of 1000 cm</w:t>
      </w:r>
      <w:r w:rsidRPr="001075BA">
        <w:rPr>
          <w:sz w:val="22"/>
          <w:szCs w:val="22"/>
          <w:vertAlign w:val="superscript"/>
          <w:lang w:val="en-GB"/>
        </w:rPr>
        <w:t>-1</w:t>
      </w:r>
      <w:r w:rsidRPr="001075BA">
        <w:rPr>
          <w:sz w:val="22"/>
          <w:szCs w:val="22"/>
          <w:lang w:val="en-GB"/>
        </w:rPr>
        <w:t xml:space="preserve"> and 800 cm</w:t>
      </w:r>
      <w:r w:rsidRPr="001075BA">
        <w:rPr>
          <w:sz w:val="22"/>
          <w:szCs w:val="22"/>
          <w:vertAlign w:val="superscript"/>
          <w:lang w:val="en-GB"/>
        </w:rPr>
        <w:t>-1</w:t>
      </w:r>
      <w:r w:rsidRPr="001075BA">
        <w:rPr>
          <w:sz w:val="22"/>
          <w:szCs w:val="22"/>
          <w:lang w:val="en-GB"/>
        </w:rPr>
        <w:t xml:space="preserve"> were detected, indicating changes in the chemical transformation</w:t>
      </w:r>
      <w:r w:rsidRPr="001075BA">
        <w:rPr>
          <w:rFonts w:eastAsia="Arial Unicode MS"/>
          <w:w w:val="106"/>
          <w:sz w:val="22"/>
          <w:szCs w:val="22"/>
          <w:lang w:val="en-GB" w:eastAsia="en-US"/>
        </w:rPr>
        <w:t>. This FTIR spectroscopy technique allowed for identifying adsorbent and adsorbate groups responsible for the dye adsorption process.</w:t>
      </w:r>
    </w:p>
    <w:p w14:paraId="7200C7A1" w14:textId="77777777" w:rsidR="002931AC" w:rsidRPr="001075BA" w:rsidRDefault="002931AC" w:rsidP="002931AC">
      <w:pPr>
        <w:pStyle w:val="NormalnyWeb"/>
        <w:spacing w:before="0" w:beforeAutospacing="0" w:after="0" w:afterAutospacing="0"/>
        <w:ind w:firstLine="284"/>
        <w:jc w:val="both"/>
        <w:rPr>
          <w:rFonts w:eastAsia="Arial Unicode MS"/>
          <w:w w:val="106"/>
          <w:sz w:val="22"/>
          <w:szCs w:val="22"/>
          <w:lang w:val="en-GB" w:eastAsia="en-US"/>
        </w:rPr>
      </w:pPr>
    </w:p>
    <w:p w14:paraId="178DB24D" w14:textId="04314A6C" w:rsidR="00840E0D" w:rsidRPr="001075BA" w:rsidRDefault="00547BBF" w:rsidP="002931AC">
      <w:pPr>
        <w:pStyle w:val="NormalnyWeb"/>
        <w:spacing w:before="0" w:beforeAutospacing="0" w:after="0" w:afterAutospacing="0"/>
        <w:ind w:firstLine="284"/>
        <w:jc w:val="both"/>
        <w:rPr>
          <w:rFonts w:eastAsia="Arial Unicode MS"/>
          <w:w w:val="106"/>
          <w:sz w:val="22"/>
          <w:szCs w:val="22"/>
          <w:lang w:val="en-GB" w:eastAsia="en-US"/>
        </w:rPr>
      </w:pPr>
      <w:r w:rsidRPr="001075BA">
        <w:rPr>
          <w:rFonts w:eastAsia="Arial Unicode MS"/>
          <w:w w:val="106"/>
          <w:sz w:val="22"/>
          <w:szCs w:val="22"/>
          <w:lang w:val="en-GB" w:eastAsia="en-US"/>
        </w:rPr>
        <w:t>In conclusion, the FTIR analysis offered insightful information about the chemical transformations and interactions occurring during the dye's adsorption, shedding light on the mechanisms and including functional groups in the method.</w:t>
      </w:r>
    </w:p>
    <w:p w14:paraId="780BF143" w14:textId="77777777" w:rsidR="00740C97" w:rsidRPr="001075BA" w:rsidRDefault="000D3EB4" w:rsidP="002311B1">
      <w:pPr>
        <w:pStyle w:val="Rn2"/>
        <w:rPr>
          <w:lang w:val="en-GB"/>
        </w:rPr>
      </w:pPr>
      <w:r w:rsidRPr="001075BA">
        <w:rPr>
          <w:w w:val="103"/>
          <w:lang w:val="en-GB"/>
        </w:rPr>
        <w:t>3.2.</w:t>
      </w:r>
      <w:r w:rsidRPr="001075BA">
        <w:rPr>
          <w:lang w:val="en-GB"/>
        </w:rPr>
        <w:t xml:space="preserve"> Batch adsorption studies</w:t>
      </w:r>
    </w:p>
    <w:p w14:paraId="7D338209" w14:textId="33F6F362" w:rsidR="00740C97" w:rsidRPr="001075BA" w:rsidRDefault="000D3EB4" w:rsidP="002311B1">
      <w:pPr>
        <w:pStyle w:val="Rn3"/>
        <w:rPr>
          <w:w w:val="101"/>
          <w:lang w:val="en-GB"/>
        </w:rPr>
      </w:pPr>
      <w:r w:rsidRPr="001075BA">
        <w:rPr>
          <w:w w:val="101"/>
          <w:lang w:val="en-GB"/>
        </w:rPr>
        <w:t xml:space="preserve">3.2.1. </w:t>
      </w:r>
      <w:r w:rsidR="00D850AB" w:rsidRPr="001075BA">
        <w:rPr>
          <w:w w:val="101"/>
          <w:lang w:val="en-GB"/>
        </w:rPr>
        <w:t>Result</w:t>
      </w:r>
      <w:r w:rsidRPr="001075BA">
        <w:rPr>
          <w:w w:val="101"/>
          <w:lang w:val="en-GB"/>
        </w:rPr>
        <w:t xml:space="preserve"> of initial dye concentration and contact time</w:t>
      </w:r>
    </w:p>
    <w:p w14:paraId="3C108649" w14:textId="77777777" w:rsidR="00547BBF" w:rsidRPr="001075BA" w:rsidRDefault="00547BBF" w:rsidP="002931AC">
      <w:pPr>
        <w:spacing w:after="0" w:line="240" w:lineRule="auto"/>
        <w:ind w:firstLine="284"/>
        <w:jc w:val="both"/>
        <w:rPr>
          <w:rFonts w:ascii="Times New Roman" w:eastAsia="Arial Unicode MS" w:hAnsi="Times New Roman" w:cs="Times New Roman"/>
          <w:w w:val="106"/>
          <w:lang w:val="en-GB"/>
        </w:rPr>
      </w:pPr>
      <w:r w:rsidRPr="001075BA">
        <w:rPr>
          <w:rFonts w:ascii="Times New Roman" w:eastAsia="Arial Unicode MS" w:hAnsi="Times New Roman" w:cs="Times New Roman"/>
          <w:w w:val="106"/>
          <w:lang w:val="en-GB"/>
        </w:rPr>
        <w:t>Taking up of the dye exhibited an increase, reaching up to 150 mg g</w:t>
      </w:r>
      <w:r w:rsidRPr="001075BA">
        <w:rPr>
          <w:rFonts w:ascii="Times New Roman" w:eastAsia="Arial Unicode MS" w:hAnsi="Times New Roman" w:cs="Times New Roman"/>
          <w:w w:val="106"/>
          <w:vertAlign w:val="superscript"/>
          <w:lang w:val="en-GB"/>
        </w:rPr>
        <w:t>-1</w:t>
      </w:r>
      <w:r w:rsidRPr="001075BA">
        <w:rPr>
          <w:rFonts w:ascii="Times New Roman" w:eastAsia="Arial Unicode MS" w:hAnsi="Times New Roman" w:cs="Times New Roman"/>
          <w:w w:val="106"/>
          <w:lang w:val="en-GB"/>
        </w:rPr>
        <w:t xml:space="preserve"> for pepper seed spent, </w:t>
      </w:r>
      <w:r w:rsidRPr="001075BA">
        <w:rPr>
          <w:rFonts w:ascii="Times New Roman" w:hAnsi="Times New Roman" w:cs="Times New Roman"/>
          <w:lang w:val="en-GB"/>
        </w:rPr>
        <w:t>when the solution's initial dye concentration improved from 25 to 300 mg L</w:t>
      </w:r>
      <w:r w:rsidRPr="001075BA">
        <w:rPr>
          <w:rFonts w:ascii="Times New Roman" w:hAnsi="Times New Roman" w:cs="Times New Roman"/>
          <w:vertAlign w:val="superscript"/>
          <w:lang w:val="en-GB"/>
        </w:rPr>
        <w:t>-1</w:t>
      </w:r>
      <w:r w:rsidRPr="001075BA">
        <w:rPr>
          <w:rFonts w:ascii="Times New Roman" w:hAnsi="Times New Roman" w:cs="Times New Roman"/>
          <w:lang w:val="en-GB"/>
        </w:rPr>
        <w:t>.</w:t>
      </w:r>
      <w:r w:rsidRPr="001075BA">
        <w:rPr>
          <w:rFonts w:ascii="Times New Roman" w:eastAsia="Arial Unicode MS" w:hAnsi="Times New Roman" w:cs="Times New Roman"/>
          <w:w w:val="106"/>
          <w:lang w:val="en-GB"/>
        </w:rPr>
        <w:t xml:space="preserve"> The higher driving force caused by the gradient of concentrations that develops as the initial dye concentration grows can be used to explain these phenomena. Fig. 3a illustrates the uptake of Brilliant Green (BG) over time, and it's evident that the uptake rises with longer contact times. </w:t>
      </w:r>
      <w:r w:rsidRPr="001075BA">
        <w:rPr>
          <w:rFonts w:ascii="Times New Roman" w:hAnsi="Times New Roman" w:cs="Times New Roman"/>
          <w:lang w:val="en-GB"/>
        </w:rPr>
        <w:t>The longest period of BG removal from the aqueous solution during contact time was achieved after 180 minutes.</w:t>
      </w:r>
      <w:r w:rsidRPr="001075BA">
        <w:rPr>
          <w:rFonts w:ascii="Times New Roman" w:eastAsia="Arial Unicode MS" w:hAnsi="Times New Roman" w:cs="Times New Roman"/>
          <w:w w:val="106"/>
          <w:lang w:val="en-GB"/>
        </w:rPr>
        <w:t xml:space="preserve"> The subsequent, relatively delayed process for dye molecules to permeate holes (interior surface) caused the process to slow down.</w:t>
      </w:r>
    </w:p>
    <w:p w14:paraId="60FC7177" w14:textId="62CE5609" w:rsidR="00547BBF" w:rsidRPr="001075BA" w:rsidRDefault="00547BBF" w:rsidP="002931AC">
      <w:pPr>
        <w:spacing w:after="0" w:line="240" w:lineRule="auto"/>
        <w:ind w:firstLine="284"/>
        <w:jc w:val="both"/>
        <w:rPr>
          <w:rFonts w:ascii="Times New Roman" w:eastAsia="Arial Unicode MS" w:hAnsi="Times New Roman" w:cs="Times New Roman"/>
          <w:w w:val="106"/>
          <w:lang w:val="en-GB"/>
        </w:rPr>
      </w:pPr>
      <w:r w:rsidRPr="001075BA">
        <w:rPr>
          <w:rFonts w:ascii="Times New Roman" w:eastAsia="Arial Unicode MS" w:hAnsi="Times New Roman" w:cs="Times New Roman"/>
          <w:w w:val="106"/>
          <w:lang w:val="en-GB"/>
        </w:rPr>
        <w:lastRenderedPageBreak/>
        <w:t xml:space="preserve">The adsorption of BG continued to increase with increasing concentration until it reached a plateau after reaching equilibrium. At this point, the biosorption rates levelled off to a constant value as all available adsorption sites became occupied, leaving no active sites for further binding of dye molecules to the biosorbent's surface. Early on, there are a lot of open surface areas that are suitable for adsorption. </w:t>
      </w:r>
      <w:r w:rsidRPr="001075BA">
        <w:rPr>
          <w:rFonts w:ascii="Times New Roman" w:hAnsi="Times New Roman" w:cs="Times New Roman"/>
          <w:lang w:val="en-GB"/>
        </w:rPr>
        <w:t>The remaining open surface areas are still available for use</w:t>
      </w:r>
      <w:r w:rsidRPr="001075BA">
        <w:rPr>
          <w:rFonts w:ascii="Times New Roman" w:eastAsia="Arial Unicode MS" w:hAnsi="Times New Roman" w:cs="Times New Roman"/>
          <w:w w:val="106"/>
          <w:lang w:val="en-GB"/>
        </w:rPr>
        <w:t>, but it becomes more progressively challenging because of the antagonistic interactions that arise between the bulk and solid phases of </w:t>
      </w:r>
      <w:r w:rsidRPr="001075BA">
        <w:rPr>
          <w:rFonts w:ascii="Times New Roman" w:hAnsi="Times New Roman" w:cs="Times New Roman"/>
          <w:lang w:val="en-GB"/>
        </w:rPr>
        <w:t>solute molecules</w:t>
      </w:r>
      <w:r w:rsidRPr="001075BA">
        <w:rPr>
          <w:rFonts w:ascii="Times New Roman" w:eastAsia="Arial Unicode MS" w:hAnsi="Times New Roman" w:cs="Times New Roman"/>
          <w:w w:val="106"/>
          <w:lang w:val="en-GB"/>
        </w:rPr>
        <w:t>. This behaviour is consistent with prior research findings (Nandi et al. 2009a</w:t>
      </w:r>
      <w:r w:rsidR="007A187B">
        <w:rPr>
          <w:rFonts w:ascii="Times New Roman" w:eastAsia="Arial Unicode MS" w:hAnsi="Times New Roman" w:cs="Times New Roman"/>
          <w:w w:val="106"/>
          <w:lang w:val="en-GB"/>
        </w:rPr>
        <w:t>,</w:t>
      </w:r>
      <w:r w:rsidRPr="001075BA">
        <w:rPr>
          <w:rFonts w:ascii="Times New Roman" w:eastAsia="Arial Unicode MS" w:hAnsi="Times New Roman" w:cs="Times New Roman"/>
          <w:w w:val="106"/>
          <w:lang w:val="en-GB"/>
        </w:rPr>
        <w:t xml:space="preserve"> Asadullah et al. 2010).</w:t>
      </w:r>
    </w:p>
    <w:p w14:paraId="4F99BEFE" w14:textId="7558C406" w:rsidR="00547BBF" w:rsidRPr="001075BA" w:rsidRDefault="00547BBF" w:rsidP="002931AC">
      <w:pPr>
        <w:spacing w:after="0" w:line="240" w:lineRule="auto"/>
        <w:ind w:firstLine="284"/>
        <w:jc w:val="both"/>
        <w:rPr>
          <w:rFonts w:ascii="Times New Roman" w:eastAsia="Arial Unicode MS" w:hAnsi="Times New Roman" w:cs="Times New Roman"/>
          <w:w w:val="106"/>
          <w:lang w:val="en-GB"/>
        </w:rPr>
      </w:pPr>
      <w:r w:rsidRPr="001075BA">
        <w:rPr>
          <w:rFonts w:ascii="Times New Roman" w:eastAsia="Arial Unicode MS" w:hAnsi="Times New Roman" w:cs="Times New Roman"/>
          <w:w w:val="106"/>
          <w:lang w:val="en-GB"/>
        </w:rPr>
        <w:t>In summary, the uptake of BG was influenced by both initial concentration and contact time, with adsorption being most effective when equilibrium was achieved and all available adsorption sites were utili</w:t>
      </w:r>
      <w:r w:rsidR="00971179">
        <w:rPr>
          <w:rFonts w:ascii="Times New Roman" w:eastAsia="Arial Unicode MS" w:hAnsi="Times New Roman" w:cs="Times New Roman"/>
          <w:w w:val="106"/>
          <w:lang w:val="en-GB"/>
        </w:rPr>
        <w:t>s</w:t>
      </w:r>
      <w:r w:rsidRPr="001075BA">
        <w:rPr>
          <w:rFonts w:ascii="Times New Roman" w:eastAsia="Arial Unicode MS" w:hAnsi="Times New Roman" w:cs="Times New Roman"/>
          <w:w w:val="106"/>
          <w:lang w:val="en-GB"/>
        </w:rPr>
        <w:t>ed.</w:t>
      </w:r>
    </w:p>
    <w:p w14:paraId="4D8AA2BE" w14:textId="7F0324BD" w:rsidR="00740C97" w:rsidRPr="001075BA" w:rsidRDefault="000D3EB4" w:rsidP="002311B1">
      <w:pPr>
        <w:pStyle w:val="Rn3"/>
        <w:rPr>
          <w:lang w:val="en-GB"/>
        </w:rPr>
      </w:pPr>
      <w:r w:rsidRPr="001075BA">
        <w:rPr>
          <w:lang w:val="en-GB"/>
        </w:rPr>
        <w:t>3.2.2</w:t>
      </w:r>
      <w:r w:rsidR="00BC69FE">
        <w:rPr>
          <w:lang w:val="en-GB"/>
        </w:rPr>
        <w:t>.</w:t>
      </w:r>
      <w:r w:rsidRPr="001075BA">
        <w:rPr>
          <w:lang w:val="en-GB"/>
        </w:rPr>
        <w:t xml:space="preserve"> </w:t>
      </w:r>
      <w:r w:rsidR="003116A5" w:rsidRPr="001075BA">
        <w:rPr>
          <w:lang w:val="en-GB"/>
        </w:rPr>
        <w:t>Outcome</w:t>
      </w:r>
      <w:r w:rsidRPr="001075BA">
        <w:rPr>
          <w:lang w:val="en-GB"/>
        </w:rPr>
        <w:t xml:space="preserve"> of adsorbent dosage</w:t>
      </w:r>
    </w:p>
    <w:p w14:paraId="5A922FDC" w14:textId="6965034E" w:rsidR="00547BBF" w:rsidRPr="001075BA" w:rsidRDefault="00547BBF" w:rsidP="002931AC">
      <w:pPr>
        <w:spacing w:after="0" w:line="240" w:lineRule="auto"/>
        <w:ind w:firstLine="284"/>
        <w:jc w:val="both"/>
        <w:rPr>
          <w:rFonts w:ascii="Times New Roman" w:eastAsia="Arial Unicode MS" w:hAnsi="Times New Roman" w:cs="Times New Roman"/>
          <w:spacing w:val="-1"/>
          <w:lang w:val="en-GB"/>
        </w:rPr>
      </w:pPr>
      <w:r w:rsidRPr="001075BA">
        <w:rPr>
          <w:rFonts w:ascii="Times New Roman" w:eastAsia="Arial Unicode MS" w:hAnsi="Times New Roman" w:cs="Times New Roman"/>
          <w:spacing w:val="-1"/>
          <w:lang w:val="en-GB"/>
        </w:rPr>
        <w:t xml:space="preserve">The significant aspect inspected in the batch tests was the effect of the adsorbent dose. This parameter was studied within the series of 0.025 to 0.2 g. As depicted in Fig. 3b, the results clearly illustrate that the yield of BG adsorption onto NIFSS increased as the adsorbent dosage was elevated. </w:t>
      </w:r>
      <w:r w:rsidRPr="001075BA">
        <w:rPr>
          <w:rFonts w:ascii="Times New Roman" w:hAnsi="Times New Roman" w:cs="Times New Roman"/>
          <w:lang w:val="en-GB"/>
        </w:rPr>
        <w:t>This effect is brought about by the larger adsorbent's increased surface area and better adsorption site disposal</w:t>
      </w:r>
      <w:r w:rsidRPr="001075BA">
        <w:rPr>
          <w:rFonts w:ascii="Times New Roman" w:eastAsia="Arial Unicode MS" w:hAnsi="Times New Roman" w:cs="Times New Roman"/>
          <w:spacing w:val="-1"/>
          <w:lang w:val="en-GB"/>
        </w:rPr>
        <w:t xml:space="preserve">. Nevertheless, it's interesting to observe that further increases in the adsorbent dose had no discernible impact on the adsorption yield. Since almost all of the dye molecules are attached, </w:t>
      </w:r>
      <w:r w:rsidR="00971179">
        <w:rPr>
          <w:rFonts w:ascii="Times New Roman" w:eastAsia="Arial Unicode MS" w:hAnsi="Times New Roman" w:cs="Times New Roman"/>
          <w:spacing w:val="-1"/>
          <w:lang w:val="en-GB"/>
        </w:rPr>
        <w:t xml:space="preserve">a </w:t>
      </w:r>
      <w:r w:rsidRPr="001075BA">
        <w:rPr>
          <w:rFonts w:ascii="Times New Roman" w:eastAsia="Arial Unicode MS" w:hAnsi="Times New Roman" w:cs="Times New Roman"/>
          <w:spacing w:val="-1"/>
          <w:lang w:val="en-GB"/>
        </w:rPr>
        <w:t>balance am</w:t>
      </w:r>
      <w:r w:rsidR="00D850AB" w:rsidRPr="001075BA">
        <w:rPr>
          <w:rFonts w:ascii="Times New Roman" w:eastAsia="Arial Unicode MS" w:hAnsi="Times New Roman" w:cs="Times New Roman"/>
          <w:spacing w:val="-1"/>
          <w:lang w:val="en-GB"/>
        </w:rPr>
        <w:t>ong</w:t>
      </w:r>
      <w:r w:rsidRPr="001075BA">
        <w:rPr>
          <w:rFonts w:ascii="Times New Roman" w:eastAsia="Arial Unicode MS" w:hAnsi="Times New Roman" w:cs="Times New Roman"/>
          <w:spacing w:val="-1"/>
          <w:lang w:val="en-GB"/>
        </w:rPr>
        <w:t xml:space="preserve"> the molecules of the </w:t>
      </w:r>
      <w:r w:rsidRPr="001075BA">
        <w:rPr>
          <w:rFonts w:ascii="Times New Roman" w:hAnsi="Times New Roman" w:cs="Times New Roman"/>
          <w:lang w:val="en-GB"/>
        </w:rPr>
        <w:t xml:space="preserve">adsorbent surface is established </w:t>
      </w:r>
      <w:r w:rsidR="00D850AB" w:rsidRPr="001075BA">
        <w:rPr>
          <w:rFonts w:ascii="Times New Roman" w:hAnsi="Times New Roman" w:cs="Times New Roman"/>
          <w:lang w:val="en-GB"/>
        </w:rPr>
        <w:t>f</w:t>
      </w:r>
      <w:r w:rsidRPr="001075BA">
        <w:rPr>
          <w:rFonts w:ascii="Times New Roman" w:hAnsi="Times New Roman" w:cs="Times New Roman"/>
          <w:lang w:val="en-GB"/>
        </w:rPr>
        <w:t>o</w:t>
      </w:r>
      <w:r w:rsidR="00D850AB" w:rsidRPr="001075BA">
        <w:rPr>
          <w:rFonts w:ascii="Times New Roman" w:hAnsi="Times New Roman" w:cs="Times New Roman"/>
          <w:lang w:val="en-GB"/>
        </w:rPr>
        <w:t>r</w:t>
      </w:r>
      <w:r w:rsidRPr="001075BA">
        <w:rPr>
          <w:rFonts w:ascii="Times New Roman" w:hAnsi="Times New Roman" w:cs="Times New Roman"/>
          <w:lang w:val="en-GB"/>
        </w:rPr>
        <w:t xml:space="preserve"> the dye in the solution and on the adsorbent</w:t>
      </w:r>
      <w:r w:rsidRPr="001075BA">
        <w:rPr>
          <w:rFonts w:ascii="Times New Roman" w:eastAsia="Arial Unicode MS" w:hAnsi="Times New Roman" w:cs="Times New Roman"/>
          <w:spacing w:val="-1"/>
          <w:lang w:val="en-GB"/>
        </w:rPr>
        <w:t>. This observation aligns with previous research findings (Hiroyuki et al. 1994).</w:t>
      </w:r>
    </w:p>
    <w:p w14:paraId="3542E6C9" w14:textId="77777777" w:rsidR="00547BBF" w:rsidRPr="001075BA" w:rsidRDefault="00547BBF" w:rsidP="002931AC">
      <w:pPr>
        <w:spacing w:after="0" w:line="240" w:lineRule="auto"/>
        <w:ind w:firstLine="284"/>
        <w:jc w:val="both"/>
        <w:rPr>
          <w:rFonts w:ascii="Times New Roman" w:eastAsia="Arial Unicode MS" w:hAnsi="Times New Roman" w:cs="Times New Roman"/>
          <w:spacing w:val="-1"/>
          <w:lang w:val="en-GB"/>
        </w:rPr>
      </w:pPr>
      <w:r w:rsidRPr="001075BA">
        <w:rPr>
          <w:rFonts w:ascii="Times New Roman" w:eastAsia="Arial Unicode MS" w:hAnsi="Times New Roman" w:cs="Times New Roman"/>
          <w:spacing w:val="-1"/>
          <w:lang w:val="en-GB"/>
        </w:rPr>
        <w:t>In summary, the dye's sorption directly correlated with the adsorbent dosage, reaching an equilibrium value after a certain level of adsorbent dosage was attained. Beyond this point, additional adsorbent did not significantly enhance the adsorption yield.</w:t>
      </w:r>
    </w:p>
    <w:p w14:paraId="28284C07" w14:textId="2A89AFCB" w:rsidR="00740C97" w:rsidRPr="001075BA" w:rsidRDefault="00D471EF" w:rsidP="002311B1">
      <w:pPr>
        <w:pStyle w:val="Rn3"/>
        <w:rPr>
          <w:lang w:val="en-GB"/>
        </w:rPr>
      </w:pPr>
      <w:r w:rsidRPr="001075BA">
        <w:rPr>
          <w:lang w:val="en-GB"/>
        </w:rPr>
        <w:t>3.2.3</w:t>
      </w:r>
      <w:r w:rsidR="000D3EB4" w:rsidRPr="001075BA">
        <w:rPr>
          <w:lang w:val="en-GB"/>
        </w:rPr>
        <w:t xml:space="preserve">. </w:t>
      </w:r>
      <w:r w:rsidR="003116A5" w:rsidRPr="001075BA">
        <w:rPr>
          <w:lang w:val="en-GB"/>
        </w:rPr>
        <w:t>Outcome</w:t>
      </w:r>
      <w:r w:rsidR="000D3EB4" w:rsidRPr="001075BA">
        <w:rPr>
          <w:lang w:val="en-GB"/>
        </w:rPr>
        <w:t xml:space="preserve"> of </w:t>
      </w:r>
      <w:r w:rsidR="00971179">
        <w:rPr>
          <w:lang w:val="en-GB"/>
        </w:rPr>
        <w:t>t</w:t>
      </w:r>
      <w:r w:rsidR="000D3EB4" w:rsidRPr="001075BA">
        <w:rPr>
          <w:lang w:val="en-GB"/>
        </w:rPr>
        <w:t>emperature</w:t>
      </w:r>
    </w:p>
    <w:p w14:paraId="7AD23DDB" w14:textId="03F3C923" w:rsidR="00967904" w:rsidRPr="001075BA" w:rsidRDefault="00773032" w:rsidP="002931AC">
      <w:pPr>
        <w:spacing w:after="0" w:line="240" w:lineRule="auto"/>
        <w:ind w:firstLine="284"/>
        <w:jc w:val="both"/>
        <w:rPr>
          <w:rFonts w:ascii="Times New Roman" w:eastAsia="Arial Unicode MS" w:hAnsi="Times New Roman" w:cs="Times New Roman"/>
          <w:iCs/>
          <w:lang w:val="en-GB"/>
        </w:rPr>
      </w:pPr>
      <w:r w:rsidRPr="001075BA">
        <w:rPr>
          <w:rFonts w:ascii="Times New Roman" w:eastAsia="Arial Unicode MS" w:hAnsi="Times New Roman" w:cs="Times New Roman"/>
          <w:iCs/>
          <w:lang w:val="en-GB"/>
        </w:rPr>
        <w:t xml:space="preserve">Every adsorption process is influenced by temperature, and in this study, adsorption studies </w:t>
      </w:r>
      <w:r w:rsidR="00D518CE" w:rsidRPr="001075BA">
        <w:rPr>
          <w:rFonts w:ascii="Times New Roman" w:eastAsia="Arial Unicode MS" w:hAnsi="Times New Roman" w:cs="Times New Roman"/>
          <w:iCs/>
          <w:lang w:val="en-GB"/>
        </w:rPr>
        <w:t>were executed</w:t>
      </w:r>
      <w:r w:rsidRPr="001075BA">
        <w:rPr>
          <w:rFonts w:ascii="Times New Roman" w:eastAsia="Arial Unicode MS" w:hAnsi="Times New Roman" w:cs="Times New Roman"/>
          <w:iCs/>
          <w:lang w:val="en-GB"/>
        </w:rPr>
        <w:t xml:space="preserve"> in the 30°C to 50°C range,</w:t>
      </w:r>
      <w:r w:rsidR="009463EF" w:rsidRPr="001075BA">
        <w:rPr>
          <w:rFonts w:ascii="Times New Roman" w:eastAsia="Arial Unicode MS" w:hAnsi="Times New Roman" w:cs="Times New Roman"/>
          <w:iCs/>
          <w:lang w:val="en-GB"/>
        </w:rPr>
        <w:t xml:space="preserve"> with the results depicted in Fig. </w:t>
      </w:r>
      <w:r w:rsidR="00854A12" w:rsidRPr="001075BA">
        <w:rPr>
          <w:rFonts w:ascii="Times New Roman" w:eastAsia="Arial Unicode MS" w:hAnsi="Times New Roman" w:cs="Times New Roman"/>
          <w:iCs/>
          <w:lang w:val="en-GB"/>
        </w:rPr>
        <w:t>3</w:t>
      </w:r>
      <w:r w:rsidR="009463EF" w:rsidRPr="001075BA">
        <w:rPr>
          <w:rFonts w:ascii="Times New Roman" w:eastAsia="Arial Unicode MS" w:hAnsi="Times New Roman" w:cs="Times New Roman"/>
          <w:iCs/>
          <w:lang w:val="en-GB"/>
        </w:rPr>
        <w:t xml:space="preserve">c. Notably, higher temperatures </w:t>
      </w:r>
      <w:r w:rsidR="00971179">
        <w:rPr>
          <w:rFonts w:ascii="Times New Roman" w:eastAsia="Arial Unicode MS" w:hAnsi="Times New Roman" w:cs="Times New Roman"/>
          <w:iCs/>
          <w:lang w:val="en-GB"/>
        </w:rPr>
        <w:t>accelerated</w:t>
      </w:r>
      <w:r w:rsidR="009463EF" w:rsidRPr="001075BA">
        <w:rPr>
          <w:rFonts w:ascii="Times New Roman" w:eastAsia="Arial Unicode MS" w:hAnsi="Times New Roman" w:cs="Times New Roman"/>
          <w:iCs/>
          <w:lang w:val="en-GB"/>
        </w:rPr>
        <w:t xml:space="preserve"> the adsorption</w:t>
      </w:r>
      <w:r w:rsidR="00D850AB" w:rsidRPr="001075BA">
        <w:rPr>
          <w:rFonts w:ascii="Times New Roman" w:eastAsia="Arial Unicode MS" w:hAnsi="Times New Roman" w:cs="Times New Roman"/>
          <w:iCs/>
          <w:lang w:val="en-GB"/>
        </w:rPr>
        <w:t xml:space="preserve"> rate</w:t>
      </w:r>
      <w:r w:rsidR="009463EF" w:rsidRPr="001075BA">
        <w:rPr>
          <w:rFonts w:ascii="Times New Roman" w:eastAsia="Arial Unicode MS" w:hAnsi="Times New Roman" w:cs="Times New Roman"/>
          <w:iCs/>
          <w:lang w:val="en-GB"/>
        </w:rPr>
        <w:t xml:space="preserve">. </w:t>
      </w:r>
      <w:r w:rsidRPr="001075BA">
        <w:rPr>
          <w:rFonts w:ascii="Times New Roman" w:eastAsia="Arial Unicode MS" w:hAnsi="Times New Roman" w:cs="Times New Roman"/>
          <w:iCs/>
          <w:lang w:val="en-GB"/>
        </w:rPr>
        <w:t xml:space="preserve">This discovery </w:t>
      </w:r>
      <w:r w:rsidR="00D518CE" w:rsidRPr="001075BA">
        <w:rPr>
          <w:rFonts w:ascii="Times New Roman" w:eastAsia="Arial Unicode MS" w:hAnsi="Times New Roman" w:cs="Times New Roman"/>
          <w:iCs/>
          <w:lang w:val="en-GB"/>
        </w:rPr>
        <w:t xml:space="preserve">is explicable given that greater temperatures </w:t>
      </w:r>
      <w:r w:rsidRPr="001075BA">
        <w:rPr>
          <w:rFonts w:ascii="Times New Roman" w:eastAsia="Arial Unicode MS" w:hAnsi="Times New Roman" w:cs="Times New Roman"/>
          <w:iCs/>
          <w:lang w:val="en-GB"/>
        </w:rPr>
        <w:t xml:space="preserve">promote </w:t>
      </w:r>
      <w:r w:rsidR="004112F9" w:rsidRPr="001075BA">
        <w:rPr>
          <w:rFonts w:ascii="Times New Roman" w:eastAsia="Arial Unicode MS" w:hAnsi="Times New Roman" w:cs="Times New Roman"/>
          <w:iCs/>
          <w:lang w:val="en-GB"/>
        </w:rPr>
        <w:t xml:space="preserve">the ions in the solution moving thermally, </w:t>
      </w:r>
      <w:r w:rsidRPr="001075BA">
        <w:rPr>
          <w:rFonts w:ascii="Times New Roman" w:eastAsia="Arial Unicode MS" w:hAnsi="Times New Roman" w:cs="Times New Roman"/>
          <w:iCs/>
          <w:lang w:val="en-GB"/>
        </w:rPr>
        <w:t xml:space="preserve">which raises the adsorbent's capacity. Additionally, a </w:t>
      </w:r>
      <w:r w:rsidR="00971179">
        <w:rPr>
          <w:rFonts w:ascii="Times New Roman" w:eastAsia="Arial Unicode MS" w:hAnsi="Times New Roman" w:cs="Times New Roman"/>
          <w:iCs/>
          <w:lang w:val="en-GB"/>
        </w:rPr>
        <w:t>rise in temperature</w:t>
      </w:r>
      <w:r w:rsidR="00D518CE" w:rsidRPr="001075BA">
        <w:rPr>
          <w:rFonts w:ascii="Times New Roman" w:eastAsia="Arial Unicode MS" w:hAnsi="Times New Roman" w:cs="Times New Roman"/>
          <w:iCs/>
          <w:lang w:val="en-GB"/>
        </w:rPr>
        <w:t xml:space="preserve"> accelerates the pace at which adsorbate mo</w:t>
      </w:r>
      <w:r w:rsidR="00D850AB" w:rsidRPr="001075BA">
        <w:rPr>
          <w:rFonts w:ascii="Times New Roman" w:eastAsia="Arial Unicode MS" w:hAnsi="Times New Roman" w:cs="Times New Roman"/>
          <w:iCs/>
          <w:lang w:val="en-GB"/>
        </w:rPr>
        <w:t>lecules mo</w:t>
      </w:r>
      <w:r w:rsidR="00D518CE" w:rsidRPr="001075BA">
        <w:rPr>
          <w:rFonts w:ascii="Times New Roman" w:eastAsia="Arial Unicode MS" w:hAnsi="Times New Roman" w:cs="Times New Roman"/>
          <w:iCs/>
          <w:lang w:val="en-GB"/>
        </w:rPr>
        <w:t xml:space="preserve">ve through the </w:t>
      </w:r>
      <w:r w:rsidR="00D850AB" w:rsidRPr="001075BA">
        <w:rPr>
          <w:rFonts w:ascii="Times New Roman" w:eastAsia="Arial Unicode MS" w:hAnsi="Times New Roman" w:cs="Times New Roman"/>
          <w:iCs/>
          <w:lang w:val="en-GB"/>
        </w:rPr>
        <w:t xml:space="preserve">adsorbent's </w:t>
      </w:r>
      <w:r w:rsidR="00D518CE" w:rsidRPr="001075BA">
        <w:rPr>
          <w:rFonts w:ascii="Times New Roman" w:eastAsia="Arial Unicode MS" w:hAnsi="Times New Roman" w:cs="Times New Roman"/>
          <w:iCs/>
          <w:lang w:val="en-GB"/>
        </w:rPr>
        <w:t xml:space="preserve">external </w:t>
      </w:r>
      <w:r w:rsidR="00840E0D" w:rsidRPr="001075BA">
        <w:rPr>
          <w:rFonts w:ascii="Times New Roman" w:eastAsia="Arial Unicode MS" w:hAnsi="Times New Roman" w:cs="Times New Roman"/>
          <w:iCs/>
          <w:lang w:val="en-GB"/>
        </w:rPr>
        <w:t>border</w:t>
      </w:r>
      <w:r w:rsidR="00D518CE" w:rsidRPr="001075BA">
        <w:rPr>
          <w:rFonts w:ascii="Times New Roman" w:eastAsia="Arial Unicode MS" w:hAnsi="Times New Roman" w:cs="Times New Roman"/>
          <w:iCs/>
          <w:lang w:val="en-GB"/>
        </w:rPr>
        <w:t xml:space="preserve"> </w:t>
      </w:r>
      <w:r w:rsidR="00840E0D" w:rsidRPr="001075BA">
        <w:rPr>
          <w:rFonts w:ascii="Times New Roman" w:eastAsia="Arial Unicode MS" w:hAnsi="Times New Roman" w:cs="Times New Roman"/>
          <w:iCs/>
          <w:lang w:val="en-GB"/>
        </w:rPr>
        <w:t>level</w:t>
      </w:r>
      <w:r w:rsidR="00D518CE" w:rsidRPr="001075BA">
        <w:rPr>
          <w:rFonts w:ascii="Times New Roman" w:eastAsia="Arial Unicode MS" w:hAnsi="Times New Roman" w:cs="Times New Roman"/>
          <w:iCs/>
          <w:lang w:val="en-GB"/>
        </w:rPr>
        <w:t xml:space="preserve">. It was fascinating to observe </w:t>
      </w:r>
      <w:r w:rsidR="004112F9" w:rsidRPr="001075BA">
        <w:rPr>
          <w:rFonts w:ascii="Times New Roman" w:eastAsia="Arial Unicode MS" w:hAnsi="Times New Roman" w:cs="Times New Roman"/>
          <w:iCs/>
          <w:lang w:val="en-GB"/>
        </w:rPr>
        <w:t xml:space="preserve">that when the temperature rose, </w:t>
      </w:r>
      <w:r w:rsidR="00547BBF" w:rsidRPr="001075BA">
        <w:rPr>
          <w:rFonts w:ascii="Times New Roman" w:eastAsia="Arial Unicode MS" w:hAnsi="Times New Roman" w:cs="Times New Roman"/>
          <w:iCs/>
          <w:lang w:val="en-GB"/>
        </w:rPr>
        <w:t>the adsorption capability fell and also showed a modest rise</w:t>
      </w:r>
      <w:r w:rsidRPr="001075BA">
        <w:rPr>
          <w:rFonts w:ascii="Times New Roman" w:eastAsia="Arial Unicode MS" w:hAnsi="Times New Roman" w:cs="Times New Roman"/>
          <w:iCs/>
          <w:lang w:val="en-GB"/>
        </w:rPr>
        <w:t>. The adsorption process may be exothermic,</w:t>
      </w:r>
      <w:r w:rsidRPr="001075BA">
        <w:rPr>
          <w:rFonts w:eastAsia="Arial Unicode MS" w:cstheme="minorHAnsi"/>
          <w:iCs/>
          <w:lang w:val="en-GB"/>
        </w:rPr>
        <w:t xml:space="preserve"> </w:t>
      </w:r>
      <w:r w:rsidRPr="001075BA">
        <w:rPr>
          <w:rFonts w:ascii="Times New Roman" w:eastAsia="Arial Unicode MS" w:hAnsi="Times New Roman" w:cs="Times New Roman"/>
          <w:iCs/>
          <w:lang w:val="en-GB"/>
        </w:rPr>
        <w:t xml:space="preserve">according to this indication. </w:t>
      </w:r>
      <w:r w:rsidR="009463EF" w:rsidRPr="001075BA">
        <w:rPr>
          <w:rFonts w:ascii="Times New Roman" w:eastAsia="Arial Unicode MS" w:hAnsi="Times New Roman" w:cs="Times New Roman"/>
          <w:iCs/>
          <w:lang w:val="en-GB"/>
        </w:rPr>
        <w:t>In summary, the study indicates that higher temperatures enhance the adsorption rate by increasing thermal motion and mass transfer, and it also suggests that the adsorption process releases heat, classifying it as exothermic.</w:t>
      </w:r>
    </w:p>
    <w:p w14:paraId="6E9C0001" w14:textId="366E7792" w:rsidR="00740C97" w:rsidRPr="001075BA" w:rsidRDefault="00D471EF" w:rsidP="002311B1">
      <w:pPr>
        <w:pStyle w:val="Rn3"/>
        <w:rPr>
          <w:lang w:val="en-GB"/>
        </w:rPr>
      </w:pPr>
      <w:r w:rsidRPr="001075BA">
        <w:rPr>
          <w:lang w:val="en-GB"/>
        </w:rPr>
        <w:t>3.2.4</w:t>
      </w:r>
      <w:r w:rsidR="000D3EB4" w:rsidRPr="001075BA">
        <w:rPr>
          <w:lang w:val="en-GB"/>
        </w:rPr>
        <w:t xml:space="preserve">. </w:t>
      </w:r>
      <w:r w:rsidR="003116A5" w:rsidRPr="001075BA">
        <w:rPr>
          <w:lang w:val="en-GB"/>
        </w:rPr>
        <w:t>Outcome</w:t>
      </w:r>
      <w:r w:rsidR="000D3EB4" w:rsidRPr="001075BA">
        <w:rPr>
          <w:lang w:val="en-GB"/>
        </w:rPr>
        <w:t xml:space="preserve"> of pH</w:t>
      </w:r>
    </w:p>
    <w:p w14:paraId="71B91388" w14:textId="703A028F" w:rsidR="00342E68" w:rsidRPr="001075BA" w:rsidRDefault="00D850AB" w:rsidP="002931AC">
      <w:pPr>
        <w:spacing w:after="0" w:line="240" w:lineRule="auto"/>
        <w:ind w:firstLine="284"/>
        <w:jc w:val="both"/>
        <w:rPr>
          <w:rFonts w:ascii="Times New Roman" w:hAnsi="Times New Roman" w:cs="Times New Roman"/>
          <w:sz w:val="20"/>
          <w:szCs w:val="20"/>
          <w:lang w:val="en-GB"/>
        </w:rPr>
      </w:pPr>
      <w:r w:rsidRPr="001075BA">
        <w:rPr>
          <w:rFonts w:ascii="Times New Roman" w:eastAsia="Arial Unicode MS" w:hAnsi="Times New Roman" w:cs="Times New Roman"/>
          <w:iCs/>
          <w:lang w:val="en-GB"/>
        </w:rPr>
        <w:t>A</w:t>
      </w:r>
      <w:r w:rsidR="00D518CE" w:rsidRPr="001075BA">
        <w:rPr>
          <w:rFonts w:ascii="Times New Roman" w:eastAsia="Arial Unicode MS" w:hAnsi="Times New Roman" w:cs="Times New Roman"/>
          <w:iCs/>
          <w:lang w:val="en-GB"/>
        </w:rPr>
        <w:t xml:space="preserve"> solution</w:t>
      </w:r>
      <w:r w:rsidRPr="001075BA">
        <w:rPr>
          <w:rFonts w:ascii="Times New Roman" w:eastAsia="Arial Unicode MS" w:hAnsi="Times New Roman" w:cs="Times New Roman"/>
          <w:iCs/>
          <w:lang w:val="en-GB"/>
        </w:rPr>
        <w:t>'</w:t>
      </w:r>
      <w:r w:rsidR="00D518CE" w:rsidRPr="001075BA">
        <w:rPr>
          <w:rFonts w:ascii="Times New Roman" w:eastAsia="Arial Unicode MS" w:hAnsi="Times New Roman" w:cs="Times New Roman"/>
          <w:iCs/>
          <w:lang w:val="en-GB"/>
        </w:rPr>
        <w:t xml:space="preserve">s </w:t>
      </w:r>
      <w:r w:rsidRPr="001075BA">
        <w:rPr>
          <w:rFonts w:ascii="Times New Roman" w:eastAsia="Arial Unicode MS" w:hAnsi="Times New Roman" w:cs="Times New Roman"/>
          <w:iCs/>
          <w:lang w:val="en-GB"/>
        </w:rPr>
        <w:t>pH</w:t>
      </w:r>
      <w:r w:rsidR="00D518CE" w:rsidRPr="001075BA">
        <w:rPr>
          <w:rFonts w:ascii="Times New Roman" w:eastAsia="Arial Unicode MS" w:hAnsi="Times New Roman" w:cs="Times New Roman"/>
          <w:iCs/>
          <w:lang w:val="en-GB"/>
        </w:rPr>
        <w:t xml:space="preserve"> </w:t>
      </w:r>
      <w:r w:rsidRPr="001075BA">
        <w:rPr>
          <w:rFonts w:ascii="Times New Roman" w:eastAsia="Arial Unicode MS" w:hAnsi="Times New Roman" w:cs="Times New Roman"/>
          <w:iCs/>
          <w:lang w:val="en-GB"/>
        </w:rPr>
        <w:t>si</w:t>
      </w:r>
      <w:r w:rsidR="00D518CE" w:rsidRPr="001075BA">
        <w:rPr>
          <w:rFonts w:ascii="Times New Roman" w:eastAsia="Arial Unicode MS" w:hAnsi="Times New Roman" w:cs="Times New Roman"/>
          <w:iCs/>
          <w:lang w:val="en-GB"/>
        </w:rPr>
        <w:t>g</w:t>
      </w:r>
      <w:r w:rsidRPr="001075BA">
        <w:rPr>
          <w:rFonts w:ascii="Times New Roman" w:eastAsia="Arial Unicode MS" w:hAnsi="Times New Roman" w:cs="Times New Roman"/>
          <w:iCs/>
          <w:lang w:val="en-GB"/>
        </w:rPr>
        <w:t>nificantly</w:t>
      </w:r>
      <w:r w:rsidR="00D518CE" w:rsidRPr="001075BA">
        <w:rPr>
          <w:rFonts w:ascii="Times New Roman" w:eastAsia="Arial Unicode MS" w:hAnsi="Times New Roman" w:cs="Times New Roman"/>
          <w:iCs/>
          <w:lang w:val="en-GB"/>
        </w:rPr>
        <w:t xml:space="preserve"> impact</w:t>
      </w:r>
      <w:r w:rsidRPr="001075BA">
        <w:rPr>
          <w:rFonts w:ascii="Times New Roman" w:eastAsia="Arial Unicode MS" w:hAnsi="Times New Roman" w:cs="Times New Roman"/>
          <w:iCs/>
          <w:lang w:val="en-GB"/>
        </w:rPr>
        <w:t>s</w:t>
      </w:r>
      <w:r w:rsidR="00D518CE" w:rsidRPr="001075BA">
        <w:rPr>
          <w:rFonts w:ascii="Times New Roman" w:eastAsia="Arial Unicode MS" w:hAnsi="Times New Roman" w:cs="Times New Roman"/>
          <w:iCs/>
          <w:lang w:val="en-GB"/>
        </w:rPr>
        <w:t xml:space="preserve"> the </w:t>
      </w:r>
      <w:r w:rsidRPr="001075BA">
        <w:rPr>
          <w:rFonts w:ascii="Times New Roman" w:eastAsia="Arial Unicode MS" w:hAnsi="Times New Roman" w:cs="Times New Roman"/>
          <w:iCs/>
          <w:lang w:val="en-GB"/>
        </w:rPr>
        <w:t xml:space="preserve">adsorbent's </w:t>
      </w:r>
      <w:r w:rsidR="00840E0D" w:rsidRPr="001075BA">
        <w:rPr>
          <w:rFonts w:ascii="Times New Roman" w:eastAsia="Arial Unicode MS" w:hAnsi="Times New Roman" w:cs="Times New Roman"/>
          <w:iCs/>
          <w:lang w:val="en-GB"/>
        </w:rPr>
        <w:t>outward</w:t>
      </w:r>
      <w:r w:rsidR="00D518CE" w:rsidRPr="001075BA">
        <w:rPr>
          <w:rFonts w:ascii="Times New Roman" w:eastAsia="Arial Unicode MS" w:hAnsi="Times New Roman" w:cs="Times New Roman"/>
          <w:iCs/>
          <w:lang w:val="en-GB"/>
        </w:rPr>
        <w:t xml:space="preserve"> charge and the ionisation state of the chemicals in it. It is regarded as one of the most crucial adsorption process parameters because it directly affects adsorption capacity, </w:t>
      </w:r>
      <w:r w:rsidRPr="001075BA">
        <w:rPr>
          <w:rFonts w:ascii="Times New Roman" w:eastAsia="Arial Unicode MS" w:hAnsi="Times New Roman" w:cs="Times New Roman"/>
          <w:iCs/>
          <w:lang w:val="en-GB"/>
        </w:rPr>
        <w:t>external characteristics of the adsorbent, and the development of ionic dye </w:t>
      </w:r>
      <w:r w:rsidR="003116A5" w:rsidRPr="001075BA">
        <w:rPr>
          <w:rFonts w:ascii="Times New Roman" w:eastAsia="Arial Unicode MS" w:hAnsi="Times New Roman" w:cs="Times New Roman"/>
          <w:iCs/>
          <w:lang w:val="en-GB"/>
        </w:rPr>
        <w:t>in the mixture</w:t>
      </w:r>
      <w:r w:rsidR="00D518CE" w:rsidRPr="001075BA">
        <w:rPr>
          <w:rFonts w:ascii="Times New Roman" w:eastAsia="Arial Unicode MS" w:hAnsi="Times New Roman" w:cs="Times New Roman"/>
          <w:iCs/>
          <w:lang w:val="en-GB"/>
        </w:rPr>
        <w:t xml:space="preserve">. </w:t>
      </w:r>
      <w:r w:rsidR="009463EF" w:rsidRPr="001075BA">
        <w:rPr>
          <w:rFonts w:ascii="Times New Roman" w:eastAsia="Arial Unicode MS" w:hAnsi="Times New Roman" w:cs="Times New Roman"/>
          <w:iCs/>
          <w:lang w:val="en-GB"/>
        </w:rPr>
        <w:t xml:space="preserve">The pH value also has consequences for the structural stability of Brilliant Green (BG). Notably, BG solution exhibits stability within the initial pH range of 3 to 4. However, deviations from this range, whether towards higher or lower pH values, </w:t>
      </w:r>
      <w:r w:rsidR="00F6600E" w:rsidRPr="001075BA">
        <w:rPr>
          <w:rFonts w:ascii="Times New Roman" w:eastAsia="Arial Unicode MS" w:hAnsi="Times New Roman" w:cs="Times New Roman"/>
          <w:iCs/>
          <w:lang w:val="en-GB"/>
        </w:rPr>
        <w:t>cause the ability for adsorption to decline. At a pH level of 9,</w:t>
      </w:r>
      <w:r w:rsidR="009463EF" w:rsidRPr="001075BA">
        <w:rPr>
          <w:rFonts w:ascii="Times New Roman" w:eastAsia="Arial Unicode MS" w:hAnsi="Times New Roman" w:cs="Times New Roman"/>
          <w:iCs/>
          <w:lang w:val="en-GB"/>
        </w:rPr>
        <w:t xml:space="preserve"> the BG solution begins to</w:t>
      </w:r>
      <w:r w:rsidR="00547BBF" w:rsidRPr="001075BA">
        <w:rPr>
          <w:rFonts w:ascii="Times New Roman" w:eastAsia="Arial Unicode MS" w:hAnsi="Times New Roman" w:cs="Times New Roman"/>
          <w:iCs/>
          <w:lang w:val="en-GB"/>
        </w:rPr>
        <w:t xml:space="preserve"> decolouri</w:t>
      </w:r>
      <w:r w:rsidR="00971179">
        <w:rPr>
          <w:rFonts w:ascii="Times New Roman" w:eastAsia="Arial Unicode MS" w:hAnsi="Times New Roman" w:cs="Times New Roman"/>
          <w:iCs/>
          <w:lang w:val="en-GB"/>
        </w:rPr>
        <w:t>s</w:t>
      </w:r>
      <w:r w:rsidR="00547BBF" w:rsidRPr="001075BA">
        <w:rPr>
          <w:rFonts w:ascii="Times New Roman" w:eastAsia="Arial Unicode MS" w:hAnsi="Times New Roman" w:cs="Times New Roman"/>
          <w:iCs/>
          <w:lang w:val="en-GB"/>
        </w:rPr>
        <w:t>e</w:t>
      </w:r>
      <w:r w:rsidR="009463EF" w:rsidRPr="001075BA">
        <w:rPr>
          <w:rFonts w:ascii="Times New Roman" w:eastAsia="Arial Unicode MS" w:hAnsi="Times New Roman" w:cs="Times New Roman"/>
          <w:iCs/>
          <w:lang w:val="en-GB"/>
        </w:rPr>
        <w:t xml:space="preserve"> spontaneously, and at even higher pH values, </w:t>
      </w:r>
      <w:r w:rsidR="00E47002" w:rsidRPr="001075BA">
        <w:rPr>
          <w:rFonts w:ascii="Times New Roman" w:eastAsia="Arial Unicode MS" w:hAnsi="Times New Roman" w:cs="Times New Roman"/>
          <w:iCs/>
          <w:lang w:val="en-GB"/>
        </w:rPr>
        <w:t>instability in the solution causes turbidity and</w:t>
      </w:r>
      <w:r w:rsidRPr="001075BA">
        <w:rPr>
          <w:rFonts w:ascii="Times New Roman" w:eastAsia="Arial Unicode MS" w:hAnsi="Times New Roman" w:cs="Times New Roman"/>
          <w:iCs/>
          <w:lang w:val="en-GB"/>
        </w:rPr>
        <w:t>,</w:t>
      </w:r>
      <w:r w:rsidR="00E47002" w:rsidRPr="001075BA">
        <w:rPr>
          <w:rFonts w:ascii="Times New Roman" w:eastAsia="Arial Unicode MS" w:hAnsi="Times New Roman" w:cs="Times New Roman"/>
          <w:iCs/>
          <w:lang w:val="en-GB"/>
        </w:rPr>
        <w:t xml:space="preserve"> eventually</w:t>
      </w:r>
      <w:r w:rsidRPr="001075BA">
        <w:rPr>
          <w:rFonts w:ascii="Times New Roman" w:eastAsia="Arial Unicode MS" w:hAnsi="Times New Roman" w:cs="Times New Roman"/>
          <w:iCs/>
          <w:lang w:val="en-GB"/>
        </w:rPr>
        <w:t>,</w:t>
      </w:r>
      <w:r w:rsidR="00E47002" w:rsidRPr="001075BA">
        <w:rPr>
          <w:rFonts w:ascii="Times New Roman" w:eastAsia="Arial Unicode MS" w:hAnsi="Times New Roman" w:cs="Times New Roman"/>
          <w:iCs/>
          <w:lang w:val="en-GB"/>
        </w:rPr>
        <w:t xml:space="preserve"> precipitation.</w:t>
      </w:r>
      <w:r w:rsidR="009463EF" w:rsidRPr="001075BA">
        <w:rPr>
          <w:rFonts w:ascii="Times New Roman" w:eastAsia="Arial Unicode MS" w:hAnsi="Times New Roman" w:cs="Times New Roman"/>
          <w:iCs/>
          <w:lang w:val="en-GB"/>
        </w:rPr>
        <w:t xml:space="preserve"> This instability of BG in response to changes in pH alone may be attributed to structural alterations occurring within BG molecules, as depicted in Fig. </w:t>
      </w:r>
      <w:r w:rsidR="00854A12" w:rsidRPr="001075BA">
        <w:rPr>
          <w:rFonts w:ascii="Times New Roman" w:eastAsia="Arial Unicode MS" w:hAnsi="Times New Roman" w:cs="Times New Roman"/>
          <w:iCs/>
          <w:lang w:val="en-GB"/>
        </w:rPr>
        <w:t>3</w:t>
      </w:r>
      <w:r w:rsidR="009463EF" w:rsidRPr="001075BA">
        <w:rPr>
          <w:rFonts w:ascii="Times New Roman" w:eastAsia="Arial Unicode MS" w:hAnsi="Times New Roman" w:cs="Times New Roman"/>
          <w:iCs/>
          <w:lang w:val="en-GB"/>
        </w:rPr>
        <w:t>d (</w:t>
      </w:r>
      <w:proofErr w:type="spellStart"/>
      <w:r w:rsidR="009463EF" w:rsidRPr="001075BA">
        <w:rPr>
          <w:rFonts w:ascii="Times New Roman" w:eastAsia="Arial Unicode MS" w:hAnsi="Times New Roman" w:cs="Times New Roman"/>
          <w:iCs/>
          <w:lang w:val="en-GB"/>
        </w:rPr>
        <w:t>Sudamalla</w:t>
      </w:r>
      <w:proofErr w:type="spellEnd"/>
      <w:r w:rsidR="009463EF" w:rsidRPr="001075BA">
        <w:rPr>
          <w:rFonts w:ascii="Times New Roman" w:eastAsia="Arial Unicode MS" w:hAnsi="Times New Roman" w:cs="Times New Roman"/>
          <w:iCs/>
          <w:lang w:val="en-GB"/>
        </w:rPr>
        <w:t xml:space="preserve"> et al. 2012). </w:t>
      </w:r>
      <w:r w:rsidR="007E7A59" w:rsidRPr="001075BA">
        <w:rPr>
          <w:rFonts w:ascii="Times New Roman" w:hAnsi="Times New Roman" w:cs="Times New Roman"/>
          <w:lang w:val="en-GB"/>
        </w:rPr>
        <w:t>In conclusion, the pH of the solution affects both the dye solution</w:t>
      </w:r>
      <w:r w:rsidR="00FD3593" w:rsidRPr="001075BA">
        <w:rPr>
          <w:rFonts w:ascii="Times New Roman" w:hAnsi="Times New Roman" w:cs="Times New Roman"/>
          <w:lang w:val="en-GB"/>
        </w:rPr>
        <w:t>'s stability</w:t>
      </w:r>
      <w:r w:rsidR="007E7A59" w:rsidRPr="001075BA">
        <w:rPr>
          <w:rFonts w:ascii="Times New Roman" w:hAnsi="Times New Roman" w:cs="Times New Roman"/>
          <w:lang w:val="en-GB"/>
        </w:rPr>
        <w:t xml:space="preserve"> and the </w:t>
      </w:r>
      <w:r w:rsidR="00FD3593" w:rsidRPr="001075BA">
        <w:rPr>
          <w:rFonts w:ascii="Times New Roman" w:hAnsi="Times New Roman" w:cs="Times New Roman"/>
          <w:lang w:val="en-GB"/>
        </w:rPr>
        <w:t xml:space="preserve">adsorbent's </w:t>
      </w:r>
      <w:r w:rsidR="007E7A59" w:rsidRPr="001075BA">
        <w:rPr>
          <w:rFonts w:ascii="Times New Roman" w:hAnsi="Times New Roman" w:cs="Times New Roman"/>
          <w:lang w:val="en-GB"/>
        </w:rPr>
        <w:t>surface characteristics, which is particularly significant given the changes to the BG molecule</w:t>
      </w:r>
      <w:r w:rsidR="00FD3593" w:rsidRPr="001075BA">
        <w:rPr>
          <w:rFonts w:ascii="Times New Roman" w:hAnsi="Times New Roman" w:cs="Times New Roman"/>
          <w:lang w:val="en-GB"/>
        </w:rPr>
        <w:t>'</w:t>
      </w:r>
      <w:r w:rsidR="007E7A59" w:rsidRPr="001075BA">
        <w:rPr>
          <w:rFonts w:ascii="Times New Roman" w:hAnsi="Times New Roman" w:cs="Times New Roman"/>
          <w:lang w:val="en-GB"/>
        </w:rPr>
        <w:t>s structures.</w:t>
      </w:r>
      <w:r w:rsidR="007E7A59" w:rsidRPr="001075BA">
        <w:rPr>
          <w:rFonts w:ascii="Times New Roman" w:hAnsi="Times New Roman" w:cs="Times New Roman"/>
          <w:sz w:val="20"/>
          <w:szCs w:val="20"/>
          <w:lang w:val="en-GB"/>
        </w:rPr>
        <w:t xml:space="preserve"> </w:t>
      </w:r>
    </w:p>
    <w:p w14:paraId="0301B171" w14:textId="77777777" w:rsidR="00740C97" w:rsidRPr="001075BA" w:rsidRDefault="00D471EF" w:rsidP="002311B1">
      <w:pPr>
        <w:pStyle w:val="Rn3"/>
        <w:rPr>
          <w:lang w:val="en-GB"/>
        </w:rPr>
      </w:pPr>
      <w:r w:rsidRPr="001075BA">
        <w:rPr>
          <w:lang w:val="en-GB"/>
        </w:rPr>
        <w:t>3.2.5</w:t>
      </w:r>
      <w:r w:rsidR="000D3EB4" w:rsidRPr="001075BA">
        <w:rPr>
          <w:lang w:val="en-GB"/>
        </w:rPr>
        <w:t xml:space="preserve">. </w:t>
      </w:r>
      <w:r w:rsidR="003116A5" w:rsidRPr="001075BA">
        <w:rPr>
          <w:lang w:val="en-GB"/>
        </w:rPr>
        <w:t>Outcome</w:t>
      </w:r>
      <w:r w:rsidR="000D3EB4" w:rsidRPr="001075BA">
        <w:rPr>
          <w:lang w:val="en-GB"/>
        </w:rPr>
        <w:t xml:space="preserve"> of particle size</w:t>
      </w:r>
    </w:p>
    <w:p w14:paraId="7300FAB0" w14:textId="1E9B0843" w:rsidR="00555BB6" w:rsidRPr="001075BA" w:rsidRDefault="00555BB6" w:rsidP="002931AC">
      <w:pPr>
        <w:spacing w:after="0" w:line="240" w:lineRule="auto"/>
        <w:ind w:firstLine="284"/>
        <w:jc w:val="both"/>
        <w:rPr>
          <w:rFonts w:ascii="Times New Roman" w:eastAsia="SimSun" w:hAnsi="Times New Roman" w:cs="Times New Roman"/>
          <w:bCs/>
          <w:lang w:val="en-GB" w:eastAsia="en-IN"/>
        </w:rPr>
      </w:pPr>
      <w:r w:rsidRPr="001075BA">
        <w:rPr>
          <w:rFonts w:ascii="Times New Roman" w:eastAsia="SimSun" w:hAnsi="Times New Roman" w:cs="Times New Roman"/>
          <w:bCs/>
          <w:lang w:val="en-GB" w:eastAsia="en-IN"/>
        </w:rPr>
        <w:t xml:space="preserve">The results, as illustrated in Fig. </w:t>
      </w:r>
      <w:r w:rsidR="00854A12" w:rsidRPr="001075BA">
        <w:rPr>
          <w:rFonts w:ascii="Times New Roman" w:eastAsia="SimSun" w:hAnsi="Times New Roman" w:cs="Times New Roman"/>
          <w:bCs/>
          <w:lang w:val="en-GB" w:eastAsia="en-IN"/>
        </w:rPr>
        <w:t>3</w:t>
      </w:r>
      <w:r w:rsidRPr="001075BA">
        <w:rPr>
          <w:rFonts w:ascii="Times New Roman" w:eastAsia="SimSun" w:hAnsi="Times New Roman" w:cs="Times New Roman"/>
          <w:bCs/>
          <w:lang w:val="en-GB" w:eastAsia="en-IN"/>
        </w:rPr>
        <w:t xml:space="preserve">e, reveal that </w:t>
      </w:r>
      <w:r w:rsidR="00E47002" w:rsidRPr="001075BA">
        <w:rPr>
          <w:rFonts w:ascii="Times New Roman" w:eastAsia="SimSun" w:hAnsi="Times New Roman" w:cs="Times New Roman"/>
          <w:bCs/>
          <w:lang w:val="en-GB" w:eastAsia="en-IN"/>
        </w:rPr>
        <w:t xml:space="preserve">a fall in the proportion of dye removal results from a decrease in dye adsorption as particle size increases. Because smaller particles have more surface area accessible for adsorption, this </w:t>
      </w:r>
      <w:r w:rsidR="00547BBF" w:rsidRPr="001075BA">
        <w:rPr>
          <w:rFonts w:ascii="Times New Roman" w:eastAsia="SimSun" w:hAnsi="Times New Roman" w:cs="Times New Roman"/>
          <w:bCs/>
          <w:lang w:val="en-GB" w:eastAsia="en-IN"/>
        </w:rPr>
        <w:t>phenomenon</w:t>
      </w:r>
      <w:r w:rsidR="00E47002" w:rsidRPr="001075BA">
        <w:rPr>
          <w:rFonts w:ascii="Times New Roman" w:eastAsia="SimSun" w:hAnsi="Times New Roman" w:cs="Times New Roman"/>
          <w:bCs/>
          <w:lang w:val="en-GB" w:eastAsia="en-IN"/>
        </w:rPr>
        <w:t xml:space="preserve"> can be explained. Larger particles, on the other hand, </w:t>
      </w:r>
      <w:r w:rsidR="003116A5" w:rsidRPr="001075BA">
        <w:rPr>
          <w:rFonts w:ascii="Times New Roman" w:hAnsi="Times New Roman" w:cs="Times New Roman"/>
          <w:lang w:val="en-GB"/>
        </w:rPr>
        <w:t xml:space="preserve">possess </w:t>
      </w:r>
      <w:r w:rsidR="00FD3593" w:rsidRPr="001075BA">
        <w:rPr>
          <w:rFonts w:ascii="Times New Roman" w:hAnsi="Times New Roman" w:cs="Times New Roman"/>
          <w:lang w:val="en-GB"/>
        </w:rPr>
        <w:t>mo</w:t>
      </w:r>
      <w:r w:rsidR="003116A5" w:rsidRPr="001075BA">
        <w:rPr>
          <w:rFonts w:ascii="Times New Roman" w:hAnsi="Times New Roman" w:cs="Times New Roman"/>
          <w:lang w:val="en-GB"/>
        </w:rPr>
        <w:t>re</w:t>
      </w:r>
      <w:r w:rsidR="00FD3593" w:rsidRPr="001075BA">
        <w:rPr>
          <w:rFonts w:ascii="Times New Roman" w:hAnsi="Times New Roman" w:cs="Times New Roman"/>
          <w:lang w:val="en-GB"/>
        </w:rPr>
        <w:t xml:space="preserve"> excellen</w:t>
      </w:r>
      <w:r w:rsidR="003116A5" w:rsidRPr="001075BA">
        <w:rPr>
          <w:rFonts w:ascii="Times New Roman" w:hAnsi="Times New Roman" w:cs="Times New Roman"/>
          <w:lang w:val="en-GB"/>
        </w:rPr>
        <w:t xml:space="preserve">t mass transfer diffusion resistance, and most of the inner surface might not be </w:t>
      </w:r>
      <w:r w:rsidR="00FD3593" w:rsidRPr="001075BA">
        <w:rPr>
          <w:rFonts w:ascii="Times New Roman" w:hAnsi="Times New Roman" w:cs="Times New Roman"/>
          <w:lang w:val="en-GB"/>
        </w:rPr>
        <w:t xml:space="preserve">efficiently </w:t>
      </w:r>
      <w:r w:rsidR="003116A5" w:rsidRPr="001075BA">
        <w:rPr>
          <w:rFonts w:ascii="Times New Roman" w:hAnsi="Times New Roman" w:cs="Times New Roman"/>
          <w:lang w:val="en-GB"/>
        </w:rPr>
        <w:t>utilised for adsorption</w:t>
      </w:r>
      <w:r w:rsidR="00E47002" w:rsidRPr="001075BA">
        <w:rPr>
          <w:rFonts w:ascii="Times New Roman" w:eastAsia="SimSun" w:hAnsi="Times New Roman" w:cs="Times New Roman"/>
          <w:bCs/>
          <w:lang w:val="en-GB" w:eastAsia="en-IN"/>
        </w:rPr>
        <w:t xml:space="preserve">. As a result, in the case of bigger particles, the </w:t>
      </w:r>
      <w:r w:rsidR="00F6600E" w:rsidRPr="001075BA">
        <w:rPr>
          <w:rFonts w:ascii="Times New Roman" w:eastAsia="SimSun" w:hAnsi="Times New Roman" w:cs="Times New Roman"/>
          <w:bCs/>
          <w:lang w:val="en-GB" w:eastAsia="en-IN"/>
        </w:rPr>
        <w:t>quantity</w:t>
      </w:r>
      <w:r w:rsidR="00E47002" w:rsidRPr="001075BA">
        <w:rPr>
          <w:rFonts w:ascii="Times New Roman" w:eastAsia="SimSun" w:hAnsi="Times New Roman" w:cs="Times New Roman"/>
          <w:bCs/>
          <w:lang w:val="en-GB" w:eastAsia="en-IN"/>
        </w:rPr>
        <w:t xml:space="preserve"> of dye adsorbed is decreased (Wang et al. 2006). In</w:t>
      </w:r>
      <w:r w:rsidR="00835F5B">
        <w:rPr>
          <w:rFonts w:ascii="Times New Roman" w:eastAsia="SimSun" w:hAnsi="Times New Roman" w:cs="Times New Roman"/>
          <w:bCs/>
          <w:lang w:val="en-GB" w:eastAsia="en-IN"/>
        </w:rPr>
        <w:t> </w:t>
      </w:r>
      <w:r w:rsidR="00E47002" w:rsidRPr="001075BA">
        <w:rPr>
          <w:rFonts w:ascii="Times New Roman" w:eastAsia="SimSun" w:hAnsi="Times New Roman" w:cs="Times New Roman"/>
          <w:bCs/>
          <w:lang w:val="en-GB" w:eastAsia="en-IN"/>
        </w:rPr>
        <w:t>conclusion, particle size affects adsorption significantly, with smaller particles off</w:t>
      </w:r>
      <w:r w:rsidR="00F455D3" w:rsidRPr="001075BA">
        <w:rPr>
          <w:rFonts w:ascii="Times New Roman" w:eastAsia="SimSun" w:hAnsi="Times New Roman" w:cs="Times New Roman"/>
          <w:bCs/>
          <w:lang w:val="en-GB" w:eastAsia="en-IN"/>
        </w:rPr>
        <w:t xml:space="preserve">ering a greater surface area </w:t>
      </w:r>
      <w:r w:rsidRPr="001075BA">
        <w:rPr>
          <w:rFonts w:ascii="Times New Roman" w:eastAsia="SimSun" w:hAnsi="Times New Roman" w:cs="Times New Roman"/>
          <w:bCs/>
          <w:lang w:val="en-GB" w:eastAsia="en-IN"/>
        </w:rPr>
        <w:t>and better adsorption capacity</w:t>
      </w:r>
      <w:r w:rsidR="00FD3593" w:rsidRPr="001075BA">
        <w:rPr>
          <w:rFonts w:ascii="Times New Roman" w:eastAsia="SimSun" w:hAnsi="Times New Roman" w:cs="Times New Roman"/>
          <w:bCs/>
          <w:lang w:val="en-GB" w:eastAsia="en-IN"/>
        </w:rPr>
        <w:t>. In</w:t>
      </w:r>
      <w:r w:rsidRPr="001075BA">
        <w:rPr>
          <w:rFonts w:ascii="Times New Roman" w:eastAsia="SimSun" w:hAnsi="Times New Roman" w:cs="Times New Roman"/>
          <w:bCs/>
          <w:lang w:val="en-GB" w:eastAsia="en-IN"/>
        </w:rPr>
        <w:t xml:space="preserve"> </w:t>
      </w:r>
      <w:r w:rsidR="00FD3593" w:rsidRPr="001075BA">
        <w:rPr>
          <w:rFonts w:ascii="Times New Roman" w:eastAsia="SimSun" w:hAnsi="Times New Roman" w:cs="Times New Roman"/>
          <w:bCs/>
          <w:lang w:val="en-GB" w:eastAsia="en-IN"/>
        </w:rPr>
        <w:t>compar</w:t>
      </w:r>
      <w:r w:rsidRPr="001075BA">
        <w:rPr>
          <w:rFonts w:ascii="Times New Roman" w:eastAsia="SimSun" w:hAnsi="Times New Roman" w:cs="Times New Roman"/>
          <w:bCs/>
          <w:lang w:val="en-GB" w:eastAsia="en-IN"/>
        </w:rPr>
        <w:t>i</w:t>
      </w:r>
      <w:r w:rsidR="00FD3593" w:rsidRPr="001075BA">
        <w:rPr>
          <w:rFonts w:ascii="Times New Roman" w:eastAsia="SimSun" w:hAnsi="Times New Roman" w:cs="Times New Roman"/>
          <w:bCs/>
          <w:lang w:val="en-GB" w:eastAsia="en-IN"/>
        </w:rPr>
        <w:t>son,</w:t>
      </w:r>
      <w:r w:rsidRPr="001075BA">
        <w:rPr>
          <w:rFonts w:ascii="Times New Roman" w:eastAsia="SimSun" w:hAnsi="Times New Roman" w:cs="Times New Roman"/>
          <w:bCs/>
          <w:lang w:val="en-GB" w:eastAsia="en-IN"/>
        </w:rPr>
        <w:t xml:space="preserve"> larger particles exhibit decreased adsorption due to higher mass transfer resistance.</w:t>
      </w:r>
    </w:p>
    <w:p w14:paraId="5A1C0195" w14:textId="77777777" w:rsidR="00967904" w:rsidRPr="001075BA" w:rsidRDefault="00967904" w:rsidP="00346C21">
      <w:pPr>
        <w:autoSpaceDE w:val="0"/>
        <w:autoSpaceDN w:val="0"/>
        <w:adjustRightInd w:val="0"/>
        <w:spacing w:after="0" w:line="240" w:lineRule="auto"/>
        <w:jc w:val="center"/>
        <w:rPr>
          <w:rFonts w:cstheme="minorHAnsi"/>
          <w:sz w:val="24"/>
          <w:szCs w:val="24"/>
          <w:lang w:val="en-GB"/>
        </w:rPr>
      </w:pPr>
      <w:r w:rsidRPr="001075BA">
        <w:rPr>
          <w:rFonts w:cstheme="minorHAnsi"/>
          <w:noProof/>
          <w:sz w:val="24"/>
          <w:szCs w:val="24"/>
          <w:lang w:val="en-GB" w:eastAsia="en-IN"/>
        </w:rPr>
        <w:lastRenderedPageBreak/>
        <w:drawing>
          <wp:inline distT="0" distB="0" distL="0" distR="0" wp14:anchorId="5E470C28" wp14:editId="66AA4FF1">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7587BE" w14:textId="426EBEB2" w:rsidR="00967904" w:rsidRPr="001075BA" w:rsidRDefault="00967904" w:rsidP="002931AC">
      <w:pPr>
        <w:pStyle w:val="Rrys"/>
        <w:rPr>
          <w:lang w:val="en-GB"/>
        </w:rPr>
      </w:pPr>
      <w:r w:rsidRPr="001075BA">
        <w:rPr>
          <w:b/>
          <w:bCs/>
          <w:lang w:val="en-GB"/>
        </w:rPr>
        <w:t>Fig. 3a</w:t>
      </w:r>
      <w:r w:rsidR="002931AC" w:rsidRPr="001075BA">
        <w:rPr>
          <w:b/>
          <w:bCs/>
          <w:lang w:val="en-GB"/>
        </w:rPr>
        <w:t>.</w:t>
      </w:r>
      <w:r w:rsidRPr="001075BA">
        <w:rPr>
          <w:lang w:val="en-GB"/>
        </w:rPr>
        <w:t xml:space="preserve"> Outcome of initial concentration</w:t>
      </w:r>
    </w:p>
    <w:p w14:paraId="0508F1FC" w14:textId="77777777" w:rsidR="002931AC" w:rsidRPr="001075BA" w:rsidRDefault="002931AC" w:rsidP="002931AC">
      <w:pPr>
        <w:widowControl w:val="0"/>
        <w:tabs>
          <w:tab w:val="left" w:pos="1427"/>
        </w:tabs>
        <w:autoSpaceDE w:val="0"/>
        <w:autoSpaceDN w:val="0"/>
        <w:adjustRightInd w:val="0"/>
        <w:spacing w:before="5" w:after="0" w:line="240" w:lineRule="auto"/>
        <w:jc w:val="both"/>
        <w:rPr>
          <w:rFonts w:ascii="Times New Roman" w:eastAsia="Arial Unicode MS" w:hAnsi="Times New Roman" w:cs="Times New Roman"/>
          <w:lang w:val="en-GB"/>
        </w:rPr>
      </w:pPr>
    </w:p>
    <w:p w14:paraId="5AE58353" w14:textId="2D969618" w:rsidR="00967904" w:rsidRPr="001075BA" w:rsidRDefault="00967904" w:rsidP="00346C21">
      <w:pPr>
        <w:widowControl w:val="0"/>
        <w:tabs>
          <w:tab w:val="left" w:pos="1427"/>
        </w:tabs>
        <w:autoSpaceDE w:val="0"/>
        <w:autoSpaceDN w:val="0"/>
        <w:adjustRightInd w:val="0"/>
        <w:spacing w:before="5" w:after="0" w:line="240" w:lineRule="auto"/>
        <w:jc w:val="center"/>
        <w:rPr>
          <w:rFonts w:eastAsia="Arial Unicode MS" w:cstheme="minorHAnsi"/>
          <w:sz w:val="24"/>
          <w:szCs w:val="24"/>
          <w:lang w:val="en-GB"/>
        </w:rPr>
      </w:pPr>
      <w:r w:rsidRPr="001075BA">
        <w:rPr>
          <w:rFonts w:cstheme="minorHAnsi"/>
          <w:noProof/>
          <w:sz w:val="24"/>
          <w:szCs w:val="24"/>
          <w:lang w:val="en-GB" w:eastAsia="en-IN"/>
        </w:rPr>
        <w:drawing>
          <wp:inline distT="0" distB="0" distL="0" distR="0" wp14:anchorId="2EC9C298" wp14:editId="4132917D">
            <wp:extent cx="4723075" cy="2743200"/>
            <wp:effectExtent l="0" t="0" r="190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EBF85F" w14:textId="158825C3" w:rsidR="00967904" w:rsidRPr="001075BA" w:rsidRDefault="00967904" w:rsidP="002931AC">
      <w:pPr>
        <w:pStyle w:val="Rrys"/>
        <w:rPr>
          <w:rFonts w:eastAsia="Arial Unicode MS"/>
          <w:lang w:val="en-GB"/>
        </w:rPr>
      </w:pPr>
      <w:r w:rsidRPr="001075BA">
        <w:rPr>
          <w:b/>
          <w:bCs/>
          <w:lang w:val="en-GB"/>
        </w:rPr>
        <w:t>Fig. 3b</w:t>
      </w:r>
      <w:r w:rsidR="002931AC" w:rsidRPr="001075BA">
        <w:rPr>
          <w:b/>
          <w:bCs/>
          <w:lang w:val="en-GB"/>
        </w:rPr>
        <w:t>.</w:t>
      </w:r>
      <w:r w:rsidRPr="001075BA">
        <w:rPr>
          <w:lang w:val="en-GB"/>
        </w:rPr>
        <w:t xml:space="preserve"> Outcome of adsorbent dosage</w:t>
      </w:r>
    </w:p>
    <w:p w14:paraId="44A41998" w14:textId="77777777" w:rsidR="00967904" w:rsidRPr="001075BA" w:rsidRDefault="00967904" w:rsidP="002931AC">
      <w:pPr>
        <w:widowControl w:val="0"/>
        <w:autoSpaceDE w:val="0"/>
        <w:autoSpaceDN w:val="0"/>
        <w:adjustRightInd w:val="0"/>
        <w:spacing w:before="5" w:after="0" w:line="240" w:lineRule="auto"/>
        <w:ind w:firstLine="284"/>
        <w:jc w:val="both"/>
        <w:rPr>
          <w:rFonts w:ascii="Times New Roman" w:eastAsia="Arial Unicode MS" w:hAnsi="Times New Roman" w:cs="Times New Roman"/>
          <w:lang w:val="en-GB"/>
        </w:rPr>
      </w:pPr>
    </w:p>
    <w:p w14:paraId="6676C830" w14:textId="77777777" w:rsidR="00967904" w:rsidRPr="001075BA" w:rsidRDefault="00967904" w:rsidP="00346C21">
      <w:pPr>
        <w:widowControl w:val="0"/>
        <w:autoSpaceDE w:val="0"/>
        <w:autoSpaceDN w:val="0"/>
        <w:adjustRightInd w:val="0"/>
        <w:spacing w:before="46" w:after="0" w:line="240" w:lineRule="auto"/>
        <w:jc w:val="center"/>
        <w:rPr>
          <w:rFonts w:eastAsia="Arial Unicode MS" w:cstheme="minorHAnsi"/>
          <w:sz w:val="24"/>
          <w:szCs w:val="24"/>
          <w:lang w:val="en-GB"/>
        </w:rPr>
      </w:pPr>
      <w:r w:rsidRPr="001075BA">
        <w:rPr>
          <w:rFonts w:cstheme="minorHAnsi"/>
          <w:noProof/>
          <w:sz w:val="24"/>
          <w:szCs w:val="24"/>
          <w:lang w:val="en-GB" w:eastAsia="en-IN"/>
        </w:rPr>
        <w:drawing>
          <wp:inline distT="0" distB="0" distL="0" distR="0" wp14:anchorId="2C6AC413" wp14:editId="4C044805">
            <wp:extent cx="4572000" cy="2530549"/>
            <wp:effectExtent l="0" t="0" r="0" b="31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EACFD2" w14:textId="2375F728" w:rsidR="00967904" w:rsidRPr="001075BA" w:rsidRDefault="00967904" w:rsidP="002931AC">
      <w:pPr>
        <w:pStyle w:val="Rrys"/>
        <w:rPr>
          <w:lang w:val="en-GB"/>
        </w:rPr>
      </w:pPr>
      <w:r w:rsidRPr="001075BA">
        <w:rPr>
          <w:b/>
          <w:bCs/>
          <w:lang w:val="en-GB"/>
        </w:rPr>
        <w:t>Fig. 3c</w:t>
      </w:r>
      <w:r w:rsidR="002931AC" w:rsidRPr="001075BA">
        <w:rPr>
          <w:b/>
          <w:bCs/>
          <w:lang w:val="en-GB"/>
        </w:rPr>
        <w:t>.</w:t>
      </w:r>
      <w:r w:rsidRPr="001075BA">
        <w:rPr>
          <w:lang w:val="en-GB"/>
        </w:rPr>
        <w:t xml:space="preserve"> Outcome of </w:t>
      </w:r>
      <w:r w:rsidR="00971179">
        <w:rPr>
          <w:lang w:val="en-GB"/>
        </w:rPr>
        <w:t>t</w:t>
      </w:r>
      <w:r w:rsidRPr="001075BA">
        <w:rPr>
          <w:lang w:val="en-GB"/>
        </w:rPr>
        <w:t>emperature</w:t>
      </w:r>
    </w:p>
    <w:p w14:paraId="4C33AB31" w14:textId="77777777" w:rsidR="00967904" w:rsidRPr="001075BA" w:rsidRDefault="00967904" w:rsidP="002931AC">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Cs/>
          <w:lang w:val="en-GB"/>
        </w:rPr>
      </w:pPr>
    </w:p>
    <w:p w14:paraId="753B5309" w14:textId="77777777" w:rsidR="00967904" w:rsidRPr="001075BA" w:rsidRDefault="00967904" w:rsidP="00346C21">
      <w:pPr>
        <w:spacing w:after="0" w:line="240" w:lineRule="auto"/>
        <w:jc w:val="center"/>
        <w:rPr>
          <w:rFonts w:eastAsia="Arial Unicode MS" w:cstheme="minorHAnsi"/>
          <w:sz w:val="24"/>
          <w:szCs w:val="24"/>
          <w:lang w:val="en-GB"/>
        </w:rPr>
      </w:pPr>
      <w:r w:rsidRPr="001075BA">
        <w:rPr>
          <w:rFonts w:cstheme="minorHAnsi"/>
          <w:noProof/>
          <w:sz w:val="24"/>
          <w:szCs w:val="24"/>
          <w:lang w:val="en-GB" w:eastAsia="en-IN"/>
        </w:rPr>
        <w:lastRenderedPageBreak/>
        <w:drawing>
          <wp:inline distT="0" distB="0" distL="0" distR="0" wp14:anchorId="31F66286" wp14:editId="542E8E5D">
            <wp:extent cx="4550735" cy="2353339"/>
            <wp:effectExtent l="0" t="0" r="254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192E4A" w14:textId="50EA275C" w:rsidR="00967904" w:rsidRPr="001075BA" w:rsidRDefault="00967904" w:rsidP="002931AC">
      <w:pPr>
        <w:pStyle w:val="Rrys"/>
        <w:rPr>
          <w:rFonts w:eastAsia="Calibri"/>
          <w:lang w:val="en-GB"/>
        </w:rPr>
      </w:pPr>
      <w:r w:rsidRPr="001075BA">
        <w:rPr>
          <w:b/>
          <w:bCs/>
          <w:lang w:val="en-GB"/>
        </w:rPr>
        <w:t>Fig. 3d</w:t>
      </w:r>
      <w:r w:rsidR="002931AC" w:rsidRPr="001075BA">
        <w:rPr>
          <w:b/>
          <w:bCs/>
          <w:lang w:val="en-GB"/>
        </w:rPr>
        <w:t>.</w:t>
      </w:r>
      <w:r w:rsidRPr="001075BA">
        <w:rPr>
          <w:lang w:val="en-GB"/>
        </w:rPr>
        <w:t xml:space="preserve"> Outcome of pH</w:t>
      </w:r>
      <w:r w:rsidRPr="001075BA">
        <w:rPr>
          <w:rFonts w:eastAsia="Calibri"/>
          <w:lang w:val="en-GB"/>
        </w:rPr>
        <w:t xml:space="preserve"> on</w:t>
      </w:r>
      <w:r w:rsidRPr="001075BA">
        <w:rPr>
          <w:rFonts w:eastAsia="Arial Unicode MS"/>
          <w:lang w:val="en-GB"/>
        </w:rPr>
        <w:t xml:space="preserve"> B</w:t>
      </w:r>
      <w:r w:rsidRPr="001075BA">
        <w:rPr>
          <w:rFonts w:eastAsia="Calibri"/>
          <w:lang w:val="en-GB"/>
        </w:rPr>
        <w:t>G</w:t>
      </w:r>
    </w:p>
    <w:p w14:paraId="0811B51D" w14:textId="77777777" w:rsidR="00967904" w:rsidRPr="001075BA" w:rsidRDefault="00967904" w:rsidP="002931AC">
      <w:pPr>
        <w:autoSpaceDE w:val="0"/>
        <w:autoSpaceDN w:val="0"/>
        <w:adjustRightInd w:val="0"/>
        <w:spacing w:after="0" w:line="240" w:lineRule="auto"/>
        <w:ind w:firstLine="284"/>
        <w:jc w:val="both"/>
        <w:rPr>
          <w:rFonts w:ascii="Times New Roman" w:hAnsi="Times New Roman" w:cs="Times New Roman"/>
          <w:lang w:val="en-GB"/>
        </w:rPr>
      </w:pPr>
    </w:p>
    <w:p w14:paraId="2A5DC00D" w14:textId="77777777" w:rsidR="005727A3" w:rsidRPr="001075BA" w:rsidRDefault="005727A3" w:rsidP="00346C21">
      <w:pPr>
        <w:autoSpaceDE w:val="0"/>
        <w:autoSpaceDN w:val="0"/>
        <w:adjustRightInd w:val="0"/>
        <w:spacing w:after="0" w:line="240" w:lineRule="auto"/>
        <w:jc w:val="center"/>
        <w:rPr>
          <w:rFonts w:cstheme="minorHAnsi"/>
          <w:sz w:val="24"/>
          <w:szCs w:val="24"/>
          <w:lang w:val="en-GB"/>
        </w:rPr>
      </w:pPr>
      <w:r w:rsidRPr="001075BA">
        <w:rPr>
          <w:rFonts w:cstheme="minorHAnsi"/>
          <w:noProof/>
          <w:sz w:val="24"/>
          <w:szCs w:val="24"/>
          <w:lang w:val="en-GB" w:eastAsia="en-IN"/>
        </w:rPr>
        <w:drawing>
          <wp:inline distT="0" distB="0" distL="0" distR="0" wp14:anchorId="19185DE7" wp14:editId="481A2753">
            <wp:extent cx="4746928"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9D7422" w14:textId="52CD4BAE" w:rsidR="00DD3F1D" w:rsidRPr="001075BA" w:rsidRDefault="007855F4" w:rsidP="002931AC">
      <w:pPr>
        <w:pStyle w:val="Rrys"/>
        <w:rPr>
          <w:rFonts w:eastAsia="Calibri"/>
          <w:lang w:val="en-GB"/>
        </w:rPr>
      </w:pPr>
      <w:r w:rsidRPr="001075BA">
        <w:rPr>
          <w:b/>
          <w:bCs/>
          <w:lang w:val="en-GB"/>
        </w:rPr>
        <w:t xml:space="preserve">Fig. </w:t>
      </w:r>
      <w:r w:rsidR="00854A12" w:rsidRPr="001075BA">
        <w:rPr>
          <w:b/>
          <w:bCs/>
          <w:lang w:val="en-GB"/>
        </w:rPr>
        <w:t>3</w:t>
      </w:r>
      <w:r w:rsidR="00732DC1" w:rsidRPr="001075BA">
        <w:rPr>
          <w:b/>
          <w:bCs/>
          <w:lang w:val="en-GB"/>
        </w:rPr>
        <w:t>e</w:t>
      </w:r>
      <w:r w:rsidR="002931AC" w:rsidRPr="001075BA">
        <w:rPr>
          <w:b/>
          <w:bCs/>
          <w:lang w:val="en-GB"/>
        </w:rPr>
        <w:t>.</w:t>
      </w:r>
      <w:r w:rsidR="00732DC1" w:rsidRPr="001075BA">
        <w:rPr>
          <w:lang w:val="en-GB"/>
        </w:rPr>
        <w:t xml:space="preserve"> </w:t>
      </w:r>
      <w:r w:rsidR="003116A5" w:rsidRPr="001075BA">
        <w:rPr>
          <w:lang w:val="en-GB"/>
        </w:rPr>
        <w:t>Outcome</w:t>
      </w:r>
      <w:r w:rsidR="00DD3F1D" w:rsidRPr="001075BA">
        <w:rPr>
          <w:lang w:val="en-GB"/>
        </w:rPr>
        <w:t xml:space="preserve"> of particle size</w:t>
      </w:r>
    </w:p>
    <w:p w14:paraId="55136194" w14:textId="48882501" w:rsidR="00E970AF" w:rsidRPr="001075BA" w:rsidRDefault="003D2D65" w:rsidP="002311B1">
      <w:pPr>
        <w:pStyle w:val="Rn2"/>
        <w:rPr>
          <w:lang w:val="en-GB"/>
        </w:rPr>
      </w:pPr>
      <w:r w:rsidRPr="001075BA">
        <w:rPr>
          <w:lang w:val="en-GB"/>
        </w:rPr>
        <w:t xml:space="preserve">3.3. </w:t>
      </w:r>
      <w:r w:rsidR="00E970AF" w:rsidRPr="001075BA">
        <w:rPr>
          <w:lang w:val="en-GB"/>
        </w:rPr>
        <w:t>Adsorption isotherms</w:t>
      </w:r>
    </w:p>
    <w:p w14:paraId="6393584F" w14:textId="70C785AE" w:rsidR="00555BB6" w:rsidRPr="001075BA" w:rsidRDefault="00555BB6" w:rsidP="002311B1">
      <w:pPr>
        <w:spacing w:after="0" w:line="240" w:lineRule="auto"/>
        <w:ind w:firstLine="284"/>
        <w:jc w:val="both"/>
        <w:rPr>
          <w:rFonts w:ascii="Times New Roman" w:eastAsia="SimSun" w:hAnsi="Times New Roman" w:cs="Times New Roman"/>
          <w:lang w:val="en-GB" w:eastAsia="en-IN"/>
        </w:rPr>
      </w:pPr>
      <w:r w:rsidRPr="001075BA">
        <w:rPr>
          <w:rFonts w:ascii="Times New Roman" w:eastAsia="SimSun" w:hAnsi="Times New Roman" w:cs="Times New Roman"/>
          <w:lang w:val="en-GB" w:eastAsia="en-IN"/>
        </w:rPr>
        <w:t xml:space="preserve">Adsorption isotherms provide crucial insights into </w:t>
      </w:r>
      <w:r w:rsidR="00F455D3" w:rsidRPr="001075BA">
        <w:rPr>
          <w:rFonts w:ascii="Times New Roman" w:eastAsia="SimSun" w:hAnsi="Times New Roman" w:cs="Times New Roman"/>
          <w:lang w:val="en-GB" w:eastAsia="en-IN"/>
        </w:rPr>
        <w:t xml:space="preserve">the equilibrium between the adsorbent material and the adsorbate when temperature, pressure, and concentration are constant. They clarify the </w:t>
      </w:r>
      <w:r w:rsidR="00390061" w:rsidRPr="001075BA">
        <w:rPr>
          <w:rFonts w:ascii="Times New Roman" w:eastAsia="SimSun" w:hAnsi="Times New Roman" w:cs="Times New Roman"/>
          <w:lang w:val="en-GB" w:eastAsia="en-IN"/>
        </w:rPr>
        <w:t>exchanges</w:t>
      </w:r>
      <w:r w:rsidR="00F455D3" w:rsidRPr="001075BA">
        <w:rPr>
          <w:rFonts w:ascii="Times New Roman" w:eastAsia="SimSun" w:hAnsi="Times New Roman" w:cs="Times New Roman"/>
          <w:lang w:val="en-GB" w:eastAsia="en-IN"/>
        </w:rPr>
        <w:t xml:space="preserve"> between adsorbate molecules and the adsorbent's surface. </w:t>
      </w:r>
      <w:r w:rsidR="00547BBF" w:rsidRPr="001075BA">
        <w:rPr>
          <w:rFonts w:ascii="Times New Roman" w:hAnsi="Times New Roman" w:cs="Times New Roman"/>
          <w:lang w:val="en-GB"/>
        </w:rPr>
        <w:t xml:space="preserve">This work inspected the adsorption of BG onto NIFSS using </w:t>
      </w:r>
      <w:r w:rsidR="00971179">
        <w:rPr>
          <w:rFonts w:ascii="Times New Roman" w:hAnsi="Times New Roman" w:cs="Times New Roman"/>
          <w:lang w:val="en-GB"/>
        </w:rPr>
        <w:t>various</w:t>
      </w:r>
      <w:r w:rsidR="00547BBF" w:rsidRPr="001075BA">
        <w:rPr>
          <w:rFonts w:ascii="Times New Roman" w:hAnsi="Times New Roman" w:cs="Times New Roman"/>
          <w:lang w:val="en-GB"/>
        </w:rPr>
        <w:t xml:space="preserve"> adsorption isotherm models.</w:t>
      </w:r>
    </w:p>
    <w:p w14:paraId="26AFBDF8" w14:textId="2CF08EB7" w:rsidR="00555BB6" w:rsidRPr="001075BA" w:rsidRDefault="00555BB6" w:rsidP="002311B1">
      <w:pPr>
        <w:spacing w:after="0" w:line="240" w:lineRule="auto"/>
        <w:ind w:firstLine="284"/>
        <w:jc w:val="both"/>
        <w:rPr>
          <w:rFonts w:ascii="Times New Roman" w:eastAsia="SimSun" w:hAnsi="Times New Roman" w:cs="Times New Roman"/>
          <w:lang w:val="en-GB" w:eastAsia="en-IN"/>
        </w:rPr>
      </w:pPr>
      <w:r w:rsidRPr="001075BA">
        <w:rPr>
          <w:rFonts w:ascii="Times New Roman" w:eastAsia="SimSun" w:hAnsi="Times New Roman" w:cs="Times New Roman"/>
          <w:lang w:val="en-GB" w:eastAsia="en-IN"/>
        </w:rPr>
        <w:t xml:space="preserve">The Langmuir model </w:t>
      </w:r>
      <w:r w:rsidR="00F455D3" w:rsidRPr="001075BA">
        <w:rPr>
          <w:rFonts w:ascii="Times New Roman" w:eastAsia="SimSun" w:hAnsi="Times New Roman" w:cs="Times New Roman"/>
          <w:lang w:val="en-GB" w:eastAsia="en-IN"/>
        </w:rPr>
        <w:t>suggests</w:t>
      </w:r>
      <w:r w:rsidRPr="001075BA">
        <w:rPr>
          <w:rFonts w:ascii="Times New Roman" w:eastAsia="SimSun" w:hAnsi="Times New Roman" w:cs="Times New Roman"/>
          <w:lang w:val="en-GB" w:eastAsia="en-IN"/>
        </w:rPr>
        <w:t xml:space="preserve"> </w:t>
      </w:r>
      <w:r w:rsidR="00F455D3" w:rsidRPr="001075BA">
        <w:rPr>
          <w:rFonts w:ascii="Times New Roman" w:eastAsia="SimSun" w:hAnsi="Times New Roman" w:cs="Times New Roman"/>
          <w:lang w:val="en-GB" w:eastAsia="en-IN"/>
        </w:rPr>
        <w:t xml:space="preserve">monolayer adsorption on the adsorbent's surface based on the </w:t>
      </w:r>
      <w:r w:rsidR="00390061" w:rsidRPr="001075BA">
        <w:rPr>
          <w:rFonts w:ascii="Times New Roman" w:eastAsia="SimSun" w:hAnsi="Times New Roman" w:cs="Times New Roman"/>
          <w:lang w:val="en-GB" w:eastAsia="en-IN"/>
        </w:rPr>
        <w:t>notion</w:t>
      </w:r>
      <w:r w:rsidR="00F455D3" w:rsidRPr="001075BA">
        <w:rPr>
          <w:rFonts w:ascii="Times New Roman" w:eastAsia="SimSun" w:hAnsi="Times New Roman" w:cs="Times New Roman"/>
          <w:lang w:val="en-GB" w:eastAsia="en-IN"/>
        </w:rPr>
        <w:t xml:space="preserve"> that there </w:t>
      </w:r>
      <w:r w:rsidR="00390061" w:rsidRPr="001075BA">
        <w:rPr>
          <w:rFonts w:ascii="Times New Roman" w:eastAsia="SimSun" w:hAnsi="Times New Roman" w:cs="Times New Roman"/>
          <w:lang w:val="en-GB" w:eastAsia="en-IN"/>
        </w:rPr>
        <w:t>is a fixed sum</w:t>
      </w:r>
      <w:r w:rsidR="00F455D3" w:rsidRPr="001075BA">
        <w:rPr>
          <w:rFonts w:ascii="Times New Roman" w:eastAsia="SimSun" w:hAnsi="Times New Roman" w:cs="Times New Roman"/>
          <w:lang w:val="en-GB" w:eastAsia="en-IN"/>
        </w:rPr>
        <w:t xml:space="preserve"> of identical adsorption </w:t>
      </w:r>
      <w:r w:rsidR="00390061" w:rsidRPr="001075BA">
        <w:rPr>
          <w:rFonts w:ascii="Times New Roman" w:eastAsia="SimSun" w:hAnsi="Times New Roman" w:cs="Times New Roman"/>
          <w:lang w:val="en-GB" w:eastAsia="en-IN"/>
        </w:rPr>
        <w:t>spots</w:t>
      </w:r>
      <w:r w:rsidR="00F455D3" w:rsidRPr="001075BA">
        <w:rPr>
          <w:rFonts w:ascii="Times New Roman" w:eastAsia="SimSun" w:hAnsi="Times New Roman" w:cs="Times New Roman"/>
          <w:lang w:val="en-GB" w:eastAsia="en-IN"/>
        </w:rPr>
        <w:t xml:space="preserve"> with a homogeneous amount of energy</w:t>
      </w:r>
      <w:r w:rsidRPr="001075BA">
        <w:rPr>
          <w:rFonts w:ascii="Times New Roman" w:eastAsia="SimSun" w:hAnsi="Times New Roman" w:cs="Times New Roman"/>
          <w:lang w:val="en-GB" w:eastAsia="en-IN"/>
        </w:rPr>
        <w:t xml:space="preserve"> (Langmuir 1916). </w:t>
      </w:r>
      <w:r w:rsidR="00FD3593" w:rsidRPr="001075BA">
        <w:rPr>
          <w:rFonts w:ascii="Times New Roman" w:eastAsia="SimSun" w:hAnsi="Times New Roman" w:cs="Times New Roman"/>
          <w:lang w:val="en-GB" w:eastAsia="en-IN"/>
        </w:rPr>
        <w:t>T</w:t>
      </w:r>
      <w:r w:rsidRPr="001075BA">
        <w:rPr>
          <w:rFonts w:ascii="Times New Roman" w:eastAsia="SimSun" w:hAnsi="Times New Roman" w:cs="Times New Roman"/>
          <w:lang w:val="en-GB" w:eastAsia="en-IN"/>
        </w:rPr>
        <w:t>his study</w:t>
      </w:r>
      <w:r w:rsidR="00FD3593" w:rsidRPr="001075BA">
        <w:rPr>
          <w:rFonts w:ascii="Times New Roman" w:eastAsia="SimSun" w:hAnsi="Times New Roman" w:cs="Times New Roman"/>
          <w:lang w:val="en-GB" w:eastAsia="en-IN"/>
        </w:rPr>
        <w:t xml:space="preserve"> shows</w:t>
      </w:r>
      <w:r w:rsidRPr="001075BA">
        <w:rPr>
          <w:rFonts w:ascii="Times New Roman" w:eastAsia="SimSun" w:hAnsi="Times New Roman" w:cs="Times New Roman"/>
          <w:lang w:val="en-GB" w:eastAsia="en-IN"/>
        </w:rPr>
        <w:t xml:space="preserve"> </w:t>
      </w:r>
      <w:r w:rsidR="00390061" w:rsidRPr="001075BA">
        <w:rPr>
          <w:rFonts w:ascii="Times New Roman" w:eastAsia="SimSun" w:hAnsi="Times New Roman" w:cs="Times New Roman"/>
          <w:i/>
          <w:lang w:val="en-GB" w:eastAsia="en-IN"/>
        </w:rPr>
        <w:t>R</w:t>
      </w:r>
      <w:r w:rsidR="00390061" w:rsidRPr="001075BA">
        <w:rPr>
          <w:rFonts w:ascii="Times New Roman" w:eastAsia="SimSun" w:hAnsi="Times New Roman" w:cs="Times New Roman"/>
          <w:i/>
          <w:vertAlign w:val="subscript"/>
          <w:lang w:val="en-GB" w:eastAsia="en-IN"/>
        </w:rPr>
        <w:t>L</w:t>
      </w:r>
      <w:r w:rsidR="00390061" w:rsidRPr="001075BA">
        <w:rPr>
          <w:rFonts w:ascii="Times New Roman" w:eastAsia="SimSun" w:hAnsi="Times New Roman" w:cs="Times New Roman"/>
          <w:lang w:val="en-GB" w:eastAsia="en-IN"/>
        </w:rPr>
        <w:t xml:space="preserve"> values </w:t>
      </w:r>
      <w:r w:rsidR="00FD3593" w:rsidRPr="001075BA">
        <w:rPr>
          <w:rFonts w:ascii="Times New Roman" w:eastAsia="SimSun" w:hAnsi="Times New Roman" w:cs="Times New Roman"/>
          <w:lang w:val="en-GB" w:eastAsia="en-IN"/>
        </w:rPr>
        <w:t>of</w:t>
      </w:r>
      <w:r w:rsidRPr="001075BA">
        <w:rPr>
          <w:rFonts w:ascii="Times New Roman" w:eastAsia="SimSun" w:hAnsi="Times New Roman" w:cs="Times New Roman"/>
          <w:lang w:val="en-GB" w:eastAsia="en-IN"/>
        </w:rPr>
        <w:t xml:space="preserve"> 0.222 to 0.774, </w:t>
      </w:r>
      <w:r w:rsidR="00390061" w:rsidRPr="001075BA">
        <w:rPr>
          <w:rFonts w:ascii="Times New Roman" w:eastAsia="SimSun" w:hAnsi="Times New Roman" w:cs="Times New Roman"/>
          <w:lang w:val="en-GB" w:eastAsia="en-IN"/>
        </w:rPr>
        <w:t>representing</w:t>
      </w:r>
      <w:r w:rsidRPr="001075BA">
        <w:rPr>
          <w:rFonts w:ascii="Times New Roman" w:eastAsia="SimSun" w:hAnsi="Times New Roman" w:cs="Times New Roman"/>
          <w:lang w:val="en-GB" w:eastAsia="en-IN"/>
        </w:rPr>
        <w:t xml:space="preserve"> </w:t>
      </w:r>
      <w:r w:rsidR="00FD3593" w:rsidRPr="001075BA">
        <w:rPr>
          <w:rFonts w:ascii="Times New Roman" w:eastAsia="SimSun" w:hAnsi="Times New Roman" w:cs="Times New Roman"/>
          <w:lang w:val="en-GB" w:eastAsia="en-IN"/>
        </w:rPr>
        <w:t>fa</w:t>
      </w:r>
      <w:r w:rsidR="00F455D3" w:rsidRPr="001075BA">
        <w:rPr>
          <w:rFonts w:ascii="Times New Roman" w:eastAsia="SimSun" w:hAnsi="Times New Roman" w:cs="Times New Roman"/>
          <w:lang w:val="en-GB" w:eastAsia="en-IN"/>
        </w:rPr>
        <w:t>v</w:t>
      </w:r>
      <w:r w:rsidR="00FD3593" w:rsidRPr="001075BA">
        <w:rPr>
          <w:rFonts w:ascii="Times New Roman" w:eastAsia="SimSun" w:hAnsi="Times New Roman" w:cs="Times New Roman"/>
          <w:lang w:val="en-GB" w:eastAsia="en-IN"/>
        </w:rPr>
        <w:t>ourabl</w:t>
      </w:r>
      <w:r w:rsidR="00F455D3" w:rsidRPr="001075BA">
        <w:rPr>
          <w:rFonts w:ascii="Times New Roman" w:eastAsia="SimSun" w:hAnsi="Times New Roman" w:cs="Times New Roman"/>
          <w:lang w:val="en-GB" w:eastAsia="en-IN"/>
        </w:rPr>
        <w:t xml:space="preserve">e BG adsorption to NIFSS. The fact that </w:t>
      </w:r>
      <w:r w:rsidR="00F455D3" w:rsidRPr="001075BA">
        <w:rPr>
          <w:rFonts w:ascii="Times New Roman" w:eastAsia="SimSun" w:hAnsi="Times New Roman" w:cs="Times New Roman"/>
          <w:i/>
          <w:lang w:val="en-GB" w:eastAsia="en-IN"/>
        </w:rPr>
        <w:t>R</w:t>
      </w:r>
      <w:r w:rsidR="00F455D3" w:rsidRPr="001075BA">
        <w:rPr>
          <w:rFonts w:ascii="Times New Roman" w:eastAsia="SimSun" w:hAnsi="Times New Roman" w:cs="Times New Roman"/>
          <w:i/>
          <w:vertAlign w:val="subscript"/>
          <w:lang w:val="en-GB" w:eastAsia="en-IN"/>
        </w:rPr>
        <w:t>L</w:t>
      </w:r>
      <w:r w:rsidR="00F455D3" w:rsidRPr="001075BA">
        <w:rPr>
          <w:rFonts w:ascii="Times New Roman" w:eastAsia="SimSun" w:hAnsi="Times New Roman" w:cs="Times New Roman"/>
          <w:lang w:val="en-GB" w:eastAsia="en-IN"/>
        </w:rPr>
        <w:t xml:space="preserve"> falls off as </w:t>
      </w:r>
      <w:r w:rsidR="00547BBF" w:rsidRPr="001075BA">
        <w:rPr>
          <w:rFonts w:ascii="Times New Roman" w:eastAsia="SimSun" w:hAnsi="Times New Roman" w:cs="Times New Roman"/>
          <w:lang w:val="en-GB" w:eastAsia="en-IN"/>
        </w:rPr>
        <w:t xml:space="preserve">the </w:t>
      </w:r>
      <w:r w:rsidR="00F455D3" w:rsidRPr="001075BA">
        <w:rPr>
          <w:rFonts w:ascii="Times New Roman" w:eastAsia="SimSun" w:hAnsi="Times New Roman" w:cs="Times New Roman"/>
          <w:lang w:val="en-GB" w:eastAsia="en-IN"/>
        </w:rPr>
        <w:t xml:space="preserve">initial concentration rises </w:t>
      </w:r>
      <w:r w:rsidR="00390061" w:rsidRPr="001075BA">
        <w:rPr>
          <w:rFonts w:ascii="Times New Roman" w:eastAsia="SimSun" w:hAnsi="Times New Roman" w:cs="Times New Roman"/>
          <w:lang w:val="en-GB" w:eastAsia="en-IN"/>
        </w:rPr>
        <w:t>demonstrates</w:t>
      </w:r>
      <w:r w:rsidR="00F455D3" w:rsidRPr="001075BA">
        <w:rPr>
          <w:rFonts w:ascii="Times New Roman" w:eastAsia="SimSun" w:hAnsi="Times New Roman" w:cs="Times New Roman"/>
          <w:lang w:val="en-GB" w:eastAsia="en-IN"/>
        </w:rPr>
        <w:t xml:space="preserve"> that adsorption is more advantageous at </w:t>
      </w:r>
      <w:r w:rsidR="00390061" w:rsidRPr="001075BA">
        <w:rPr>
          <w:rFonts w:ascii="Times New Roman" w:eastAsia="SimSun" w:hAnsi="Times New Roman" w:cs="Times New Roman"/>
          <w:lang w:val="en-GB" w:eastAsia="en-IN"/>
        </w:rPr>
        <w:t>upper</w:t>
      </w:r>
      <w:r w:rsidR="00F455D3" w:rsidRPr="001075BA">
        <w:rPr>
          <w:rFonts w:ascii="Times New Roman" w:eastAsia="SimSun" w:hAnsi="Times New Roman" w:cs="Times New Roman"/>
          <w:lang w:val="en-GB" w:eastAsia="en-IN"/>
        </w:rPr>
        <w:t xml:space="preserve"> concentrations. </w:t>
      </w:r>
      <w:r w:rsidR="00F455D3" w:rsidRPr="00F850CE">
        <w:rPr>
          <w:rFonts w:ascii="Times New Roman" w:eastAsia="SimSun" w:hAnsi="Times New Roman" w:cs="Times New Roman"/>
          <w:spacing w:val="-2"/>
          <w:lang w:val="en-GB" w:eastAsia="en-IN"/>
        </w:rPr>
        <w:t xml:space="preserve">The significant discrepancy between </w:t>
      </w:r>
      <w:proofErr w:type="spellStart"/>
      <w:r w:rsidR="00F455D3" w:rsidRPr="00F850CE">
        <w:rPr>
          <w:rFonts w:ascii="Times New Roman" w:eastAsia="SimSun" w:hAnsi="Times New Roman" w:cs="Times New Roman"/>
          <w:i/>
          <w:spacing w:val="-2"/>
          <w:lang w:val="en-GB" w:eastAsia="en-IN"/>
        </w:rPr>
        <w:t>Q</w:t>
      </w:r>
      <w:r w:rsidR="00F455D3" w:rsidRPr="00F850CE">
        <w:rPr>
          <w:rFonts w:ascii="Times New Roman" w:eastAsia="SimSun" w:hAnsi="Times New Roman" w:cs="Times New Roman"/>
          <w:i/>
          <w:spacing w:val="-2"/>
          <w:vertAlign w:val="subscript"/>
          <w:lang w:val="en-GB" w:eastAsia="en-IN"/>
        </w:rPr>
        <w:t>m</w:t>
      </w:r>
      <w:proofErr w:type="spellEnd"/>
      <w:r w:rsidR="00F455D3" w:rsidRPr="00F850CE">
        <w:rPr>
          <w:rFonts w:ascii="Times New Roman" w:eastAsia="SimSun" w:hAnsi="Times New Roman" w:cs="Times New Roman"/>
          <w:i/>
          <w:spacing w:val="-2"/>
          <w:lang w:val="en-GB" w:eastAsia="en-IN"/>
        </w:rPr>
        <w:t xml:space="preserve"> </w:t>
      </w:r>
      <w:r w:rsidR="00F455D3" w:rsidRPr="00F850CE">
        <w:rPr>
          <w:rFonts w:ascii="Times New Roman" w:eastAsia="SimSun" w:hAnsi="Times New Roman" w:cs="Times New Roman"/>
          <w:spacing w:val="-2"/>
          <w:lang w:val="en-GB" w:eastAsia="en-IN"/>
        </w:rPr>
        <w:t>227.8 mg g</w:t>
      </w:r>
      <w:r w:rsidR="00F455D3" w:rsidRPr="00F850CE">
        <w:rPr>
          <w:rFonts w:ascii="Times New Roman" w:eastAsia="SimSun" w:hAnsi="Times New Roman" w:cs="Times New Roman"/>
          <w:spacing w:val="-2"/>
          <w:vertAlign w:val="superscript"/>
          <w:lang w:val="en-GB" w:eastAsia="en-IN"/>
        </w:rPr>
        <w:t>-1</w:t>
      </w:r>
      <w:r w:rsidR="00390061" w:rsidRPr="00F850CE">
        <w:rPr>
          <w:rFonts w:ascii="Times New Roman" w:eastAsia="SimSun" w:hAnsi="Times New Roman" w:cs="Times New Roman"/>
          <w:spacing w:val="-2"/>
          <w:lang w:val="en-GB" w:eastAsia="en-IN"/>
        </w:rPr>
        <w:t xml:space="preserve"> </w:t>
      </w:r>
      <w:r w:rsidR="00F455D3" w:rsidRPr="00F850CE">
        <w:rPr>
          <w:rFonts w:ascii="Times New Roman" w:eastAsia="SimSun" w:hAnsi="Times New Roman" w:cs="Times New Roman"/>
          <w:spacing w:val="-2"/>
          <w:lang w:val="en-GB" w:eastAsia="en-IN"/>
        </w:rPr>
        <w:t xml:space="preserve">and </w:t>
      </w:r>
      <w:proofErr w:type="spellStart"/>
      <w:r w:rsidR="00F455D3" w:rsidRPr="00F850CE">
        <w:rPr>
          <w:rFonts w:ascii="Times New Roman" w:eastAsia="SimSun" w:hAnsi="Times New Roman" w:cs="Times New Roman"/>
          <w:i/>
          <w:spacing w:val="-2"/>
          <w:lang w:val="en-GB" w:eastAsia="en-IN"/>
        </w:rPr>
        <w:t>q</w:t>
      </w:r>
      <w:r w:rsidR="00F455D3" w:rsidRPr="00F850CE">
        <w:rPr>
          <w:rFonts w:ascii="Times New Roman" w:eastAsia="SimSun" w:hAnsi="Times New Roman" w:cs="Times New Roman"/>
          <w:i/>
          <w:spacing w:val="-2"/>
          <w:vertAlign w:val="subscript"/>
          <w:lang w:val="en-GB" w:eastAsia="en-IN"/>
        </w:rPr>
        <w:t>e</w:t>
      </w:r>
      <w:proofErr w:type="spellEnd"/>
      <w:r w:rsidR="00390061" w:rsidRPr="00F850CE">
        <w:rPr>
          <w:rFonts w:ascii="Times New Roman" w:eastAsia="SimSun" w:hAnsi="Times New Roman" w:cs="Times New Roman"/>
          <w:spacing w:val="-2"/>
          <w:lang w:val="en-GB" w:eastAsia="en-IN"/>
        </w:rPr>
        <w:t xml:space="preserve"> </w:t>
      </w:r>
      <w:r w:rsidR="00F455D3" w:rsidRPr="00F850CE">
        <w:rPr>
          <w:rFonts w:ascii="Times New Roman" w:eastAsia="SimSun" w:hAnsi="Times New Roman" w:cs="Times New Roman"/>
          <w:spacing w:val="-2"/>
          <w:lang w:val="en-GB" w:eastAsia="en-IN"/>
        </w:rPr>
        <w:t>150 mg g</w:t>
      </w:r>
      <w:r w:rsidR="00F455D3" w:rsidRPr="00F850CE">
        <w:rPr>
          <w:rFonts w:ascii="Times New Roman" w:eastAsia="SimSun" w:hAnsi="Times New Roman" w:cs="Times New Roman"/>
          <w:spacing w:val="-2"/>
          <w:vertAlign w:val="superscript"/>
          <w:lang w:val="en-GB" w:eastAsia="en-IN"/>
        </w:rPr>
        <w:t>-1</w:t>
      </w:r>
      <w:r w:rsidR="00FD3593" w:rsidRPr="00F850CE">
        <w:rPr>
          <w:rFonts w:ascii="Times New Roman" w:eastAsia="SimSun" w:hAnsi="Times New Roman" w:cs="Times New Roman"/>
          <w:spacing w:val="-2"/>
          <w:lang w:val="en-GB" w:eastAsia="en-IN"/>
        </w:rPr>
        <w:t xml:space="preserve"> suggests the need to investigate further adsorption isotherm models</w:t>
      </w:r>
      <w:r w:rsidR="00F455D3" w:rsidRPr="00F850CE">
        <w:rPr>
          <w:rFonts w:ascii="Times New Roman" w:eastAsia="SimSun" w:hAnsi="Times New Roman" w:cs="Times New Roman"/>
          <w:spacing w:val="-2"/>
          <w:lang w:val="en-GB" w:eastAsia="en-IN"/>
        </w:rPr>
        <w:t>.</w:t>
      </w:r>
    </w:p>
    <w:p w14:paraId="3F17A2D1" w14:textId="2F41122A" w:rsidR="00555BB6" w:rsidRPr="001075BA" w:rsidRDefault="00F455D3" w:rsidP="002311B1">
      <w:pPr>
        <w:spacing w:after="0" w:line="240" w:lineRule="auto"/>
        <w:ind w:firstLine="284"/>
        <w:jc w:val="both"/>
        <w:rPr>
          <w:rFonts w:ascii="Times New Roman" w:eastAsia="SimSun" w:hAnsi="Times New Roman" w:cs="Times New Roman"/>
          <w:lang w:val="en-GB" w:eastAsia="en-IN"/>
        </w:rPr>
      </w:pPr>
      <w:r w:rsidRPr="001075BA">
        <w:rPr>
          <w:rFonts w:ascii="Times New Roman" w:eastAsia="SimSun" w:hAnsi="Times New Roman" w:cs="Times New Roman"/>
          <w:lang w:val="en-GB" w:eastAsia="en-IN"/>
        </w:rPr>
        <w:t xml:space="preserve">The empirical Freundlich isotherm model </w:t>
      </w:r>
      <w:r w:rsidR="004112F9" w:rsidRPr="001075BA">
        <w:rPr>
          <w:rFonts w:ascii="Times New Roman" w:eastAsia="SimSun" w:hAnsi="Times New Roman" w:cs="Times New Roman"/>
          <w:lang w:val="en-GB" w:eastAsia="en-IN"/>
        </w:rPr>
        <w:t>agrees</w:t>
      </w:r>
      <w:r w:rsidRPr="001075BA">
        <w:rPr>
          <w:rFonts w:ascii="Times New Roman" w:eastAsia="SimSun" w:hAnsi="Times New Roman" w:cs="Times New Roman"/>
          <w:lang w:val="en-GB" w:eastAsia="en-IN"/>
        </w:rPr>
        <w:t xml:space="preserve"> that adsorption </w:t>
      </w:r>
      <w:r w:rsidR="00390061" w:rsidRPr="001075BA">
        <w:rPr>
          <w:rFonts w:ascii="Times New Roman" w:eastAsia="SimSun" w:hAnsi="Times New Roman" w:cs="Times New Roman"/>
          <w:lang w:val="en-GB" w:eastAsia="en-IN"/>
        </w:rPr>
        <w:t>is</w:t>
      </w:r>
      <w:r w:rsidRPr="001075BA">
        <w:rPr>
          <w:rFonts w:ascii="Times New Roman" w:eastAsia="SimSun" w:hAnsi="Times New Roman" w:cs="Times New Roman"/>
          <w:lang w:val="en-GB" w:eastAsia="en-IN"/>
        </w:rPr>
        <w:t xml:space="preserve"> heterogeneous </w:t>
      </w:r>
      <w:r w:rsidR="00555BB6" w:rsidRPr="001075BA">
        <w:rPr>
          <w:rFonts w:ascii="Times New Roman" w:eastAsia="SimSun" w:hAnsi="Times New Roman" w:cs="Times New Roman"/>
          <w:lang w:val="en-GB" w:eastAsia="en-IN"/>
        </w:rPr>
        <w:t>(Freundlich 1906). In</w:t>
      </w:r>
      <w:r w:rsidR="00F850CE">
        <w:rPr>
          <w:rFonts w:ascii="Times New Roman" w:eastAsia="SimSun" w:hAnsi="Times New Roman" w:cs="Times New Roman"/>
          <w:lang w:val="en-GB" w:eastAsia="en-IN"/>
        </w:rPr>
        <w:t> </w:t>
      </w:r>
      <w:r w:rsidR="00555BB6" w:rsidRPr="001075BA">
        <w:rPr>
          <w:rFonts w:ascii="Times New Roman" w:eastAsia="SimSun" w:hAnsi="Times New Roman" w:cs="Times New Roman"/>
          <w:lang w:val="en-GB" w:eastAsia="en-IN"/>
        </w:rPr>
        <w:t xml:space="preserve">this study, </w:t>
      </w:r>
      <w:proofErr w:type="spellStart"/>
      <w:r w:rsidR="00555BB6" w:rsidRPr="001075BA">
        <w:rPr>
          <w:rFonts w:ascii="Times New Roman" w:eastAsia="SimSun" w:hAnsi="Times New Roman" w:cs="Times New Roman"/>
          <w:i/>
          <w:lang w:val="en-GB" w:eastAsia="en-IN"/>
        </w:rPr>
        <w:t>n</w:t>
      </w:r>
      <w:r w:rsidR="00555BB6" w:rsidRPr="001075BA">
        <w:rPr>
          <w:rFonts w:ascii="Times New Roman" w:eastAsia="SimSun" w:hAnsi="Times New Roman" w:cs="Times New Roman"/>
          <w:i/>
          <w:vertAlign w:val="subscript"/>
          <w:lang w:val="en-GB" w:eastAsia="en-IN"/>
        </w:rPr>
        <w:t>F</w:t>
      </w:r>
      <w:proofErr w:type="spellEnd"/>
      <w:r w:rsidR="00555BB6" w:rsidRPr="001075BA">
        <w:rPr>
          <w:rFonts w:ascii="Times New Roman" w:eastAsia="SimSun" w:hAnsi="Times New Roman" w:cs="Times New Roman"/>
          <w:lang w:val="en-GB" w:eastAsia="en-IN"/>
        </w:rPr>
        <w:t xml:space="preserve"> was found to be 1.831, and 1/</w:t>
      </w:r>
      <w:proofErr w:type="spellStart"/>
      <w:r w:rsidR="00555BB6" w:rsidRPr="001075BA">
        <w:rPr>
          <w:rFonts w:ascii="Times New Roman" w:eastAsia="SimSun" w:hAnsi="Times New Roman" w:cs="Times New Roman"/>
          <w:i/>
          <w:lang w:val="en-GB" w:eastAsia="en-IN"/>
        </w:rPr>
        <w:t>n</w:t>
      </w:r>
      <w:r w:rsidR="00555BB6" w:rsidRPr="001075BA">
        <w:rPr>
          <w:rFonts w:ascii="Times New Roman" w:eastAsia="SimSun" w:hAnsi="Times New Roman" w:cs="Times New Roman"/>
          <w:i/>
          <w:vertAlign w:val="subscript"/>
          <w:lang w:val="en-GB" w:eastAsia="en-IN"/>
        </w:rPr>
        <w:t>F</w:t>
      </w:r>
      <w:proofErr w:type="spellEnd"/>
      <w:r w:rsidR="00555BB6" w:rsidRPr="001075BA">
        <w:rPr>
          <w:rFonts w:ascii="Times New Roman" w:eastAsia="SimSun" w:hAnsi="Times New Roman" w:cs="Times New Roman"/>
          <w:lang w:val="en-GB" w:eastAsia="en-IN"/>
        </w:rPr>
        <w:t xml:space="preserve"> was 0.546, suggesting that adsorption is physisorption, favo</w:t>
      </w:r>
      <w:r w:rsidRPr="001075BA">
        <w:rPr>
          <w:rFonts w:ascii="Times New Roman" w:eastAsia="SimSun" w:hAnsi="Times New Roman" w:cs="Times New Roman"/>
          <w:lang w:val="en-GB" w:eastAsia="en-IN"/>
        </w:rPr>
        <w:t>u</w:t>
      </w:r>
      <w:r w:rsidR="00555BB6" w:rsidRPr="001075BA">
        <w:rPr>
          <w:rFonts w:ascii="Times New Roman" w:eastAsia="SimSun" w:hAnsi="Times New Roman" w:cs="Times New Roman"/>
          <w:lang w:val="en-GB" w:eastAsia="en-IN"/>
        </w:rPr>
        <w:t>ring a</w:t>
      </w:r>
      <w:r w:rsidR="00F850CE">
        <w:rPr>
          <w:rFonts w:ascii="Times New Roman" w:eastAsia="SimSun" w:hAnsi="Times New Roman" w:cs="Times New Roman"/>
          <w:lang w:val="en-GB" w:eastAsia="en-IN"/>
        </w:rPr>
        <w:t> </w:t>
      </w:r>
      <w:r w:rsidR="00555BB6" w:rsidRPr="001075BA">
        <w:rPr>
          <w:rFonts w:ascii="Times New Roman" w:eastAsia="SimSun" w:hAnsi="Times New Roman" w:cs="Times New Roman"/>
          <w:lang w:val="en-GB" w:eastAsia="en-IN"/>
        </w:rPr>
        <w:t>typical Langmuir Isotherm.</w:t>
      </w:r>
    </w:p>
    <w:p w14:paraId="08CE0FF5" w14:textId="7E0B9EA8" w:rsidR="00555BB6" w:rsidRPr="001075BA" w:rsidRDefault="00555BB6" w:rsidP="002311B1">
      <w:pPr>
        <w:spacing w:after="0" w:line="240" w:lineRule="auto"/>
        <w:ind w:firstLine="284"/>
        <w:jc w:val="both"/>
        <w:rPr>
          <w:rFonts w:ascii="Times New Roman" w:eastAsia="SimSun" w:hAnsi="Times New Roman" w:cs="Times New Roman"/>
          <w:lang w:val="en-GB" w:eastAsia="en-IN"/>
        </w:rPr>
      </w:pPr>
      <w:r w:rsidRPr="001075BA">
        <w:rPr>
          <w:rFonts w:ascii="Times New Roman" w:eastAsia="SimSun" w:hAnsi="Times New Roman" w:cs="Times New Roman"/>
          <w:lang w:val="en-GB" w:eastAsia="en-IN"/>
        </w:rPr>
        <w:t xml:space="preserve">Overall, the Langmuir and Freundlich isotherms exhibited </w:t>
      </w:r>
      <w:r w:rsidR="00F455D3" w:rsidRPr="001075BA">
        <w:rPr>
          <w:rFonts w:ascii="Times New Roman" w:eastAsia="SimSun" w:hAnsi="Times New Roman" w:cs="Times New Roman"/>
          <w:lang w:val="en-GB" w:eastAsia="en-IN"/>
        </w:rPr>
        <w:t>correlation coefficients (</w:t>
      </w:r>
      <w:r w:rsidR="00F455D3" w:rsidRPr="001075BA">
        <w:rPr>
          <w:rFonts w:ascii="Times New Roman" w:eastAsia="SimSun" w:hAnsi="Times New Roman" w:cs="Times New Roman"/>
          <w:i/>
          <w:lang w:val="en-GB" w:eastAsia="en-IN"/>
        </w:rPr>
        <w:t>R</w:t>
      </w:r>
      <w:r w:rsidR="00F455D3" w:rsidRPr="001075BA">
        <w:rPr>
          <w:rFonts w:ascii="Times New Roman" w:eastAsia="SimSun" w:hAnsi="Times New Roman" w:cs="Times New Roman"/>
          <w:i/>
          <w:vertAlign w:val="superscript"/>
          <w:lang w:val="en-GB" w:eastAsia="en-IN"/>
        </w:rPr>
        <w:t>2</w:t>
      </w:r>
      <w:r w:rsidR="00F455D3" w:rsidRPr="001075BA">
        <w:rPr>
          <w:rFonts w:ascii="Times New Roman" w:eastAsia="SimSun" w:hAnsi="Times New Roman" w:cs="Times New Roman"/>
          <w:lang w:val="en-GB" w:eastAsia="en-IN"/>
        </w:rPr>
        <w:t xml:space="preserve">) </w:t>
      </w:r>
      <w:r w:rsidR="00547BBF" w:rsidRPr="001075BA">
        <w:rPr>
          <w:rFonts w:ascii="Times New Roman" w:eastAsia="SimSun" w:hAnsi="Times New Roman" w:cs="Times New Roman"/>
          <w:lang w:val="en-GB" w:eastAsia="en-IN"/>
        </w:rPr>
        <w:t>of 0.99 and 0.94, respectively, indicating</w:t>
      </w:r>
      <w:r w:rsidR="00F455D3" w:rsidRPr="001075BA">
        <w:rPr>
          <w:rFonts w:ascii="Times New Roman" w:eastAsia="SimSun" w:hAnsi="Times New Roman" w:cs="Times New Roman"/>
          <w:lang w:val="en-GB" w:eastAsia="en-IN"/>
        </w:rPr>
        <w:t xml:space="preserve"> a linear process. Under the </w:t>
      </w:r>
      <w:r w:rsidR="009C61A2" w:rsidRPr="001075BA">
        <w:rPr>
          <w:rFonts w:ascii="Times New Roman" w:eastAsia="SimSun" w:hAnsi="Times New Roman" w:cs="Times New Roman"/>
          <w:lang w:val="en-GB" w:eastAsia="en-IN"/>
        </w:rPr>
        <w:t>investigational</w:t>
      </w:r>
      <w:r w:rsidR="00F455D3" w:rsidRPr="001075BA">
        <w:rPr>
          <w:rFonts w:ascii="Times New Roman" w:eastAsia="SimSun" w:hAnsi="Times New Roman" w:cs="Times New Roman"/>
          <w:lang w:val="en-GB" w:eastAsia="en-IN"/>
        </w:rPr>
        <w:t xml:space="preserve"> circumstances, it was determined that the adsorption of BG onto NIFSS was favourable </w:t>
      </w:r>
      <w:r w:rsidRPr="001075BA">
        <w:rPr>
          <w:rFonts w:ascii="Times New Roman" w:eastAsia="SimSun" w:hAnsi="Times New Roman" w:cs="Times New Roman"/>
          <w:lang w:val="en-GB" w:eastAsia="en-IN"/>
        </w:rPr>
        <w:t>and was primarily characteri</w:t>
      </w:r>
      <w:r w:rsidR="00971179">
        <w:rPr>
          <w:rFonts w:ascii="Times New Roman" w:eastAsia="SimSun" w:hAnsi="Times New Roman" w:cs="Times New Roman"/>
          <w:lang w:val="en-GB" w:eastAsia="en-IN"/>
        </w:rPr>
        <w:t>s</w:t>
      </w:r>
      <w:r w:rsidRPr="001075BA">
        <w:rPr>
          <w:rFonts w:ascii="Times New Roman" w:eastAsia="SimSun" w:hAnsi="Times New Roman" w:cs="Times New Roman"/>
          <w:lang w:val="en-GB" w:eastAsia="en-IN"/>
        </w:rPr>
        <w:t>ed as physisorption.</w:t>
      </w:r>
    </w:p>
    <w:p w14:paraId="6446F049" w14:textId="77777777" w:rsidR="00555BB6" w:rsidRPr="001075BA" w:rsidRDefault="00555BB6" w:rsidP="002311B1">
      <w:pPr>
        <w:spacing w:after="0" w:line="240" w:lineRule="auto"/>
        <w:ind w:firstLine="284"/>
        <w:jc w:val="both"/>
        <w:rPr>
          <w:rFonts w:ascii="Times New Roman" w:eastAsia="SimSun" w:hAnsi="Times New Roman" w:cs="Times New Roman"/>
          <w:lang w:val="en-GB" w:eastAsia="en-IN"/>
        </w:rPr>
      </w:pPr>
      <w:r w:rsidRPr="001075BA">
        <w:rPr>
          <w:rFonts w:ascii="Times New Roman" w:eastAsia="SimSun" w:hAnsi="Times New Roman" w:cs="Times New Roman"/>
          <w:lang w:val="en-GB" w:eastAsia="en-IN"/>
        </w:rPr>
        <w:t xml:space="preserve">In summary, the study provides valuable insights into </w:t>
      </w:r>
      <w:r w:rsidR="00F455D3" w:rsidRPr="001075BA">
        <w:rPr>
          <w:rFonts w:ascii="Times New Roman" w:eastAsia="SimSun" w:hAnsi="Times New Roman" w:cs="Times New Roman"/>
          <w:lang w:val="en-GB" w:eastAsia="en-IN"/>
        </w:rPr>
        <w:t>the favourable adsorption behaviour of BG onto NIFSS, indicating that it is largely physisorption as determined by the Langmuir and Freundlich isotherm models.</w:t>
      </w:r>
    </w:p>
    <w:p w14:paraId="107D08E6" w14:textId="454D190D" w:rsidR="001D5908" w:rsidRPr="001075BA" w:rsidRDefault="001D5908" w:rsidP="002311B1">
      <w:pPr>
        <w:spacing w:after="0" w:line="240" w:lineRule="auto"/>
        <w:ind w:firstLine="284"/>
        <w:jc w:val="both"/>
        <w:rPr>
          <w:rFonts w:ascii="Times New Roman" w:eastAsia="Times New Roman" w:hAnsi="Times New Roman" w:cs="Times New Roman"/>
          <w:bCs/>
          <w:lang w:val="en-GB" w:eastAsia="en-IN"/>
        </w:rPr>
      </w:pPr>
      <w:r w:rsidRPr="001075BA">
        <w:rPr>
          <w:rFonts w:ascii="Times New Roman" w:eastAsia="Times New Roman" w:hAnsi="Times New Roman" w:cs="Times New Roman"/>
          <w:bCs/>
          <w:lang w:val="en-GB" w:eastAsia="en-IN"/>
        </w:rPr>
        <w:lastRenderedPageBreak/>
        <w:t xml:space="preserve">The Jovanovic isotherm, an </w:t>
      </w:r>
      <w:r w:rsidR="00F455D3" w:rsidRPr="001075BA">
        <w:rPr>
          <w:rFonts w:ascii="Times New Roman" w:eastAsia="Times New Roman" w:hAnsi="Times New Roman" w:cs="Times New Roman"/>
          <w:bCs/>
          <w:lang w:val="en-GB" w:eastAsia="en-IN"/>
        </w:rPr>
        <w:t>extended</w:t>
      </w:r>
      <w:r w:rsidRPr="001075BA">
        <w:rPr>
          <w:rFonts w:ascii="Times New Roman" w:eastAsia="Times New Roman" w:hAnsi="Times New Roman" w:cs="Times New Roman"/>
          <w:bCs/>
          <w:lang w:val="en-GB" w:eastAsia="en-IN"/>
        </w:rPr>
        <w:t xml:space="preserve"> </w:t>
      </w:r>
      <w:r w:rsidR="00F455D3" w:rsidRPr="001075BA">
        <w:rPr>
          <w:rFonts w:ascii="Times New Roman" w:eastAsia="Times New Roman" w:hAnsi="Times New Roman" w:cs="Times New Roman"/>
          <w:bCs/>
          <w:lang w:val="en-GB" w:eastAsia="en-IN"/>
        </w:rPr>
        <w:t>method</w:t>
      </w:r>
      <w:r w:rsidRPr="001075BA">
        <w:rPr>
          <w:rFonts w:ascii="Times New Roman" w:eastAsia="Times New Roman" w:hAnsi="Times New Roman" w:cs="Times New Roman"/>
          <w:bCs/>
          <w:lang w:val="en-GB" w:eastAsia="en-IN"/>
        </w:rPr>
        <w:t xml:space="preserve"> of the Langmuir isotherm </w:t>
      </w:r>
      <w:r w:rsidR="00F455D3" w:rsidRPr="001075BA">
        <w:rPr>
          <w:rFonts w:ascii="Times New Roman" w:eastAsia="Times New Roman" w:hAnsi="Times New Roman" w:cs="Times New Roman"/>
          <w:bCs/>
          <w:lang w:val="en-GB" w:eastAsia="en-IN"/>
        </w:rPr>
        <w:t xml:space="preserve">(Jovanović </w:t>
      </w:r>
      <w:r w:rsidRPr="001075BA">
        <w:rPr>
          <w:rFonts w:ascii="Times New Roman" w:eastAsia="Times New Roman" w:hAnsi="Times New Roman" w:cs="Times New Roman"/>
          <w:bCs/>
          <w:lang w:val="en-GB" w:eastAsia="en-IN"/>
        </w:rPr>
        <w:t>1969</w:t>
      </w:r>
      <w:r w:rsidR="00F455D3" w:rsidRPr="001075BA">
        <w:rPr>
          <w:rFonts w:ascii="Times New Roman" w:eastAsia="Times New Roman" w:hAnsi="Times New Roman" w:cs="Times New Roman"/>
          <w:bCs/>
          <w:lang w:val="en-GB" w:eastAsia="en-IN"/>
        </w:rPr>
        <w:t>)</w:t>
      </w:r>
      <w:r w:rsidRPr="001075BA">
        <w:rPr>
          <w:rFonts w:ascii="Times New Roman" w:eastAsia="Times New Roman" w:hAnsi="Times New Roman" w:cs="Times New Roman"/>
          <w:bCs/>
          <w:lang w:val="en-GB" w:eastAsia="en-IN"/>
        </w:rPr>
        <w:t xml:space="preserve">, posits a monolayer adsorption process with no lateral interactions. </w:t>
      </w:r>
      <w:r w:rsidR="00FD3593" w:rsidRPr="001075BA">
        <w:rPr>
          <w:rFonts w:ascii="Times New Roman" w:eastAsia="Times New Roman" w:hAnsi="Times New Roman" w:cs="Times New Roman"/>
          <w:bCs/>
          <w:lang w:val="en-GB" w:eastAsia="en-IN"/>
        </w:rPr>
        <w:t>An additional exponential term is introduced in this model t</w:t>
      </w:r>
      <w:r w:rsidRPr="001075BA">
        <w:rPr>
          <w:rFonts w:ascii="Times New Roman" w:eastAsia="Times New Roman" w:hAnsi="Times New Roman" w:cs="Times New Roman"/>
          <w:bCs/>
          <w:lang w:val="en-GB" w:eastAsia="en-IN"/>
        </w:rPr>
        <w:t>o account for deviations observed in experimental results from the Langmuir isotherm. Notably, the maximum adsorption capacity (</w:t>
      </w:r>
      <w:proofErr w:type="spellStart"/>
      <w:r w:rsidRPr="001075BA">
        <w:rPr>
          <w:rFonts w:ascii="Times New Roman" w:eastAsia="Times New Roman" w:hAnsi="Times New Roman" w:cs="Times New Roman"/>
          <w:bCs/>
          <w:i/>
          <w:lang w:val="en-GB" w:eastAsia="en-IN"/>
        </w:rPr>
        <w:t>Q</w:t>
      </w:r>
      <w:r w:rsidRPr="001075BA">
        <w:rPr>
          <w:rFonts w:ascii="Times New Roman" w:eastAsia="Times New Roman" w:hAnsi="Times New Roman" w:cs="Times New Roman"/>
          <w:bCs/>
          <w:i/>
          <w:vertAlign w:val="subscript"/>
          <w:lang w:val="en-GB" w:eastAsia="en-IN"/>
        </w:rPr>
        <w:t>m</w:t>
      </w:r>
      <w:proofErr w:type="spellEnd"/>
      <w:r w:rsidRPr="001075BA">
        <w:rPr>
          <w:rFonts w:ascii="Times New Roman" w:eastAsia="Times New Roman" w:hAnsi="Times New Roman" w:cs="Times New Roman"/>
          <w:bCs/>
          <w:lang w:val="en-GB" w:eastAsia="en-IN"/>
        </w:rPr>
        <w:t xml:space="preserve">) </w:t>
      </w:r>
      <w:r w:rsidR="004112F9" w:rsidRPr="001075BA">
        <w:rPr>
          <w:rFonts w:ascii="Times New Roman" w:eastAsia="Times New Roman" w:hAnsi="Times New Roman" w:cs="Times New Roman"/>
          <w:bCs/>
          <w:lang w:val="en-GB" w:eastAsia="en-IN"/>
        </w:rPr>
        <w:t>designed</w:t>
      </w:r>
      <w:r w:rsidRPr="001075BA">
        <w:rPr>
          <w:rFonts w:ascii="Times New Roman" w:eastAsia="Times New Roman" w:hAnsi="Times New Roman" w:cs="Times New Roman"/>
          <w:bCs/>
          <w:lang w:val="en-GB" w:eastAsia="en-IN"/>
        </w:rPr>
        <w:t xml:space="preserve"> from the Jovanovic isotherm (163.38 mg g</w:t>
      </w:r>
      <w:r w:rsidRPr="001075BA">
        <w:rPr>
          <w:rFonts w:ascii="Times New Roman" w:eastAsia="Times New Roman" w:hAnsi="Times New Roman" w:cs="Times New Roman"/>
          <w:bCs/>
          <w:vertAlign w:val="superscript"/>
          <w:lang w:val="en-GB" w:eastAsia="en-IN"/>
        </w:rPr>
        <w:t>-1</w:t>
      </w:r>
      <w:r w:rsidRPr="001075BA">
        <w:rPr>
          <w:rFonts w:ascii="Times New Roman" w:eastAsia="Times New Roman" w:hAnsi="Times New Roman" w:cs="Times New Roman"/>
          <w:bCs/>
          <w:lang w:val="en-GB" w:eastAsia="en-IN"/>
        </w:rPr>
        <w:t xml:space="preserve">) is </w:t>
      </w:r>
      <w:r w:rsidR="009C61A2" w:rsidRPr="001075BA">
        <w:rPr>
          <w:rFonts w:ascii="Times New Roman" w:eastAsia="Times New Roman" w:hAnsi="Times New Roman" w:cs="Times New Roman"/>
          <w:bCs/>
          <w:lang w:val="en-GB" w:eastAsia="en-IN"/>
        </w:rPr>
        <w:t>nearer</w:t>
      </w:r>
      <w:r w:rsidRPr="001075BA">
        <w:rPr>
          <w:rFonts w:ascii="Times New Roman" w:eastAsia="Times New Roman" w:hAnsi="Times New Roman" w:cs="Times New Roman"/>
          <w:bCs/>
          <w:lang w:val="en-GB" w:eastAsia="en-IN"/>
        </w:rPr>
        <w:t xml:space="preserve"> to </w:t>
      </w:r>
      <w:proofErr w:type="spellStart"/>
      <w:r w:rsidRPr="001075BA">
        <w:rPr>
          <w:rFonts w:ascii="Times New Roman" w:eastAsia="Times New Roman" w:hAnsi="Times New Roman" w:cs="Times New Roman"/>
          <w:bCs/>
          <w:i/>
          <w:lang w:val="en-GB" w:eastAsia="en-IN"/>
        </w:rPr>
        <w:t>q</w:t>
      </w:r>
      <w:r w:rsidRPr="001075BA">
        <w:rPr>
          <w:rFonts w:ascii="Times New Roman" w:eastAsia="Times New Roman" w:hAnsi="Times New Roman" w:cs="Times New Roman"/>
          <w:bCs/>
          <w:i/>
          <w:vertAlign w:val="subscript"/>
          <w:lang w:val="en-GB" w:eastAsia="en-IN"/>
        </w:rPr>
        <w:t>e</w:t>
      </w:r>
      <w:proofErr w:type="spellEnd"/>
      <w:r w:rsidR="009C61A2" w:rsidRPr="001075BA">
        <w:rPr>
          <w:rFonts w:ascii="Times New Roman" w:eastAsia="Times New Roman" w:hAnsi="Times New Roman" w:cs="Times New Roman"/>
          <w:bCs/>
          <w:lang w:val="en-GB" w:eastAsia="en-IN"/>
        </w:rPr>
        <w:t xml:space="preserve"> value</w:t>
      </w:r>
      <w:r w:rsidRPr="001075BA">
        <w:rPr>
          <w:rFonts w:ascii="Times New Roman" w:eastAsia="Times New Roman" w:hAnsi="Times New Roman" w:cs="Times New Roman"/>
          <w:bCs/>
          <w:lang w:val="en-GB" w:eastAsia="en-IN"/>
        </w:rPr>
        <w:t>.</w:t>
      </w:r>
    </w:p>
    <w:p w14:paraId="27CB1402" w14:textId="39C6D221" w:rsidR="001D5908" w:rsidRPr="001075BA" w:rsidRDefault="001D5908" w:rsidP="002311B1">
      <w:pPr>
        <w:spacing w:after="0" w:line="240" w:lineRule="auto"/>
        <w:ind w:firstLine="284"/>
        <w:jc w:val="both"/>
        <w:rPr>
          <w:rFonts w:ascii="Times New Roman" w:eastAsia="Times New Roman" w:hAnsi="Times New Roman" w:cs="Times New Roman"/>
          <w:bCs/>
          <w:lang w:val="en-GB" w:eastAsia="en-IN"/>
        </w:rPr>
      </w:pPr>
      <w:r w:rsidRPr="001075BA">
        <w:rPr>
          <w:rFonts w:ascii="Times New Roman" w:eastAsia="Times New Roman" w:hAnsi="Times New Roman" w:cs="Times New Roman"/>
          <w:bCs/>
          <w:lang w:val="en-GB" w:eastAsia="en-IN"/>
        </w:rPr>
        <w:t>On the other hand, the Dubinin-</w:t>
      </w:r>
      <w:proofErr w:type="spellStart"/>
      <w:r w:rsidRPr="001075BA">
        <w:rPr>
          <w:rFonts w:ascii="Times New Roman" w:eastAsia="Times New Roman" w:hAnsi="Times New Roman" w:cs="Times New Roman"/>
          <w:bCs/>
          <w:lang w:val="en-GB" w:eastAsia="en-IN"/>
        </w:rPr>
        <w:t>Radushkevich</w:t>
      </w:r>
      <w:proofErr w:type="spellEnd"/>
      <w:r w:rsidRPr="001075BA">
        <w:rPr>
          <w:rFonts w:ascii="Times New Roman" w:eastAsia="Times New Roman" w:hAnsi="Times New Roman" w:cs="Times New Roman"/>
          <w:bCs/>
          <w:lang w:val="en-GB" w:eastAsia="en-IN"/>
        </w:rPr>
        <w:t xml:space="preserve"> isotherm</w:t>
      </w:r>
      <w:r w:rsidR="002E6815" w:rsidRPr="001075BA">
        <w:rPr>
          <w:rFonts w:ascii="Times New Roman" w:eastAsia="Times New Roman" w:hAnsi="Times New Roman" w:cs="Times New Roman"/>
          <w:bCs/>
          <w:lang w:val="en-GB" w:eastAsia="en-IN"/>
        </w:rPr>
        <w:t xml:space="preserve"> (Dubinin 1947)</w:t>
      </w:r>
      <w:r w:rsidRPr="001075BA">
        <w:rPr>
          <w:rFonts w:ascii="Times New Roman" w:eastAsia="Times New Roman" w:hAnsi="Times New Roman" w:cs="Times New Roman"/>
          <w:bCs/>
          <w:lang w:val="en-GB" w:eastAsia="en-IN"/>
        </w:rPr>
        <w:t xml:space="preserve">, </w:t>
      </w:r>
      <w:r w:rsidR="00F455D3" w:rsidRPr="001075BA">
        <w:rPr>
          <w:rFonts w:ascii="Times New Roman" w:eastAsia="Times New Roman" w:hAnsi="Times New Roman" w:cs="Times New Roman"/>
          <w:bCs/>
          <w:lang w:val="en-GB" w:eastAsia="en-IN"/>
        </w:rPr>
        <w:t xml:space="preserve">an empirical model that was first developed for </w:t>
      </w:r>
      <w:r w:rsidR="00265AD2" w:rsidRPr="001075BA">
        <w:rPr>
          <w:rFonts w:ascii="Times New Roman" w:eastAsia="Times New Roman" w:hAnsi="Times New Roman" w:cs="Times New Roman"/>
          <w:bCs/>
          <w:lang w:val="en-GB" w:eastAsia="en-IN"/>
        </w:rPr>
        <w:t xml:space="preserve">pore-filling-based </w:t>
      </w:r>
      <w:r w:rsidR="00F455D3" w:rsidRPr="001075BA">
        <w:rPr>
          <w:rFonts w:ascii="Times New Roman" w:eastAsia="Times New Roman" w:hAnsi="Times New Roman" w:cs="Times New Roman"/>
          <w:bCs/>
          <w:lang w:val="en-GB" w:eastAsia="en-IN"/>
        </w:rPr>
        <w:t>adsorption processes</w:t>
      </w:r>
      <w:r w:rsidR="00FD3593" w:rsidRPr="001075BA">
        <w:rPr>
          <w:rFonts w:ascii="Times New Roman" w:eastAsia="Times New Roman" w:hAnsi="Times New Roman" w:cs="Times New Roman"/>
          <w:bCs/>
          <w:lang w:val="en-GB" w:eastAsia="en-IN"/>
        </w:rPr>
        <w:t>,</w:t>
      </w:r>
      <w:r w:rsidR="00F455D3" w:rsidRPr="001075BA">
        <w:rPr>
          <w:rFonts w:ascii="Times New Roman" w:eastAsia="Times New Roman" w:hAnsi="Times New Roman" w:cs="Times New Roman"/>
          <w:bCs/>
          <w:lang w:val="en-GB" w:eastAsia="en-IN"/>
        </w:rPr>
        <w:t xml:space="preserve"> produces a </w:t>
      </w:r>
      <w:r w:rsidR="00F455D3" w:rsidRPr="001075BA">
        <w:rPr>
          <w:rFonts w:ascii="Times New Roman" w:eastAsia="Times New Roman" w:hAnsi="Times New Roman" w:cs="Times New Roman"/>
          <w:bCs/>
          <w:i/>
          <w:lang w:val="en-GB" w:eastAsia="en-IN"/>
        </w:rPr>
        <w:t>Q</w:t>
      </w:r>
      <w:r w:rsidR="00F455D3" w:rsidRPr="001075BA">
        <w:rPr>
          <w:rFonts w:ascii="Times New Roman" w:eastAsia="Times New Roman" w:hAnsi="Times New Roman" w:cs="Times New Roman"/>
          <w:bCs/>
          <w:i/>
          <w:vertAlign w:val="subscript"/>
          <w:lang w:val="en-GB" w:eastAsia="en-IN"/>
        </w:rPr>
        <w:t>s</w:t>
      </w:r>
      <w:r w:rsidR="00F455D3" w:rsidRPr="001075BA">
        <w:rPr>
          <w:rFonts w:ascii="Times New Roman" w:eastAsia="Times New Roman" w:hAnsi="Times New Roman" w:cs="Times New Roman"/>
          <w:bCs/>
          <w:i/>
          <w:lang w:val="en-GB" w:eastAsia="en-IN"/>
        </w:rPr>
        <w:t xml:space="preserve"> </w:t>
      </w:r>
      <w:r w:rsidR="00F455D3" w:rsidRPr="001075BA">
        <w:rPr>
          <w:rFonts w:ascii="Times New Roman" w:eastAsia="Times New Roman" w:hAnsi="Times New Roman" w:cs="Times New Roman"/>
          <w:bCs/>
          <w:lang w:val="en-GB" w:eastAsia="en-IN"/>
        </w:rPr>
        <w:t>value of 136.17 mg g</w:t>
      </w:r>
      <w:r w:rsidR="00F455D3" w:rsidRPr="001075BA">
        <w:rPr>
          <w:rFonts w:ascii="Times New Roman" w:eastAsia="Times New Roman" w:hAnsi="Times New Roman" w:cs="Times New Roman"/>
          <w:bCs/>
          <w:vertAlign w:val="superscript"/>
          <w:lang w:val="en-GB" w:eastAsia="en-IN"/>
        </w:rPr>
        <w:t>-1</w:t>
      </w:r>
      <w:r w:rsidR="00F455D3" w:rsidRPr="001075BA">
        <w:rPr>
          <w:rFonts w:ascii="Times New Roman" w:eastAsia="Times New Roman" w:hAnsi="Times New Roman" w:cs="Times New Roman"/>
          <w:bCs/>
          <w:lang w:val="en-GB" w:eastAsia="en-IN"/>
        </w:rPr>
        <w:t>, which is less than the observed value. The Dubinin-</w:t>
      </w:r>
      <w:proofErr w:type="spellStart"/>
      <w:r w:rsidR="00F455D3" w:rsidRPr="001075BA">
        <w:rPr>
          <w:rFonts w:ascii="Times New Roman" w:eastAsia="Times New Roman" w:hAnsi="Times New Roman" w:cs="Times New Roman"/>
          <w:bCs/>
          <w:lang w:val="en-GB" w:eastAsia="en-IN"/>
        </w:rPr>
        <w:t>Radushkevich</w:t>
      </w:r>
      <w:proofErr w:type="spellEnd"/>
      <w:r w:rsidR="00F455D3" w:rsidRPr="001075BA">
        <w:rPr>
          <w:rFonts w:ascii="Times New Roman" w:eastAsia="Times New Roman" w:hAnsi="Times New Roman" w:cs="Times New Roman"/>
          <w:bCs/>
          <w:lang w:val="en-GB" w:eastAsia="en-IN"/>
        </w:rPr>
        <w:t xml:space="preserve"> isotherm, despite this disagreement, showed a satisfactory match to the </w:t>
      </w:r>
      <w:r w:rsidR="00D27572" w:rsidRPr="001075BA">
        <w:rPr>
          <w:rFonts w:ascii="Times New Roman" w:eastAsia="Times New Roman" w:hAnsi="Times New Roman" w:cs="Times New Roman"/>
          <w:bCs/>
          <w:lang w:val="en-GB" w:eastAsia="en-IN"/>
        </w:rPr>
        <w:t>trial</w:t>
      </w:r>
      <w:r w:rsidR="00F455D3" w:rsidRPr="001075BA">
        <w:rPr>
          <w:rFonts w:ascii="Times New Roman" w:eastAsia="Times New Roman" w:hAnsi="Times New Roman" w:cs="Times New Roman"/>
          <w:bCs/>
          <w:lang w:val="en-GB" w:eastAsia="en-IN"/>
        </w:rPr>
        <w:t xml:space="preserve"> data with an </w:t>
      </w:r>
      <w:r w:rsidR="00F455D3" w:rsidRPr="001075BA">
        <w:rPr>
          <w:rFonts w:ascii="Times New Roman" w:eastAsia="Times New Roman" w:hAnsi="Times New Roman" w:cs="Times New Roman"/>
          <w:bCs/>
          <w:i/>
          <w:lang w:val="en-GB" w:eastAsia="en-IN"/>
        </w:rPr>
        <w:t>R</w:t>
      </w:r>
      <w:r w:rsidR="00F455D3" w:rsidRPr="001075BA">
        <w:rPr>
          <w:rFonts w:ascii="Times New Roman" w:eastAsia="Times New Roman" w:hAnsi="Times New Roman" w:cs="Times New Roman"/>
          <w:bCs/>
          <w:i/>
          <w:vertAlign w:val="superscript"/>
          <w:lang w:val="en-GB" w:eastAsia="en-IN"/>
        </w:rPr>
        <w:t>2</w:t>
      </w:r>
      <w:r w:rsidR="00F455D3" w:rsidRPr="001075BA">
        <w:rPr>
          <w:rFonts w:ascii="Times New Roman" w:eastAsia="Times New Roman" w:hAnsi="Times New Roman" w:cs="Times New Roman"/>
          <w:bCs/>
          <w:lang w:val="en-GB" w:eastAsia="en-IN"/>
        </w:rPr>
        <w:t xml:space="preserve"> value of 0.94, indicating a linear relationship.</w:t>
      </w:r>
      <w:r w:rsidR="00BE44EC" w:rsidRPr="001075BA">
        <w:rPr>
          <w:rFonts w:ascii="Times New Roman" w:eastAsia="Times New Roman" w:hAnsi="Times New Roman" w:cs="Times New Roman"/>
          <w:bCs/>
          <w:lang w:val="en-GB" w:eastAsia="en-IN"/>
        </w:rPr>
        <w:t xml:space="preserve"> </w:t>
      </w:r>
      <w:r w:rsidRPr="001075BA">
        <w:rPr>
          <w:rFonts w:ascii="Times New Roman" w:eastAsia="Times New Roman" w:hAnsi="Times New Roman" w:cs="Times New Roman"/>
          <w:bCs/>
          <w:lang w:val="en-GB" w:eastAsia="en-IN"/>
        </w:rPr>
        <w:t xml:space="preserve">In summary, the Jovanovic isotherm, an extension of the Langmuir model, </w:t>
      </w:r>
      <w:r w:rsidR="009C61A2" w:rsidRPr="001075BA">
        <w:rPr>
          <w:rFonts w:ascii="Times New Roman" w:eastAsia="Times New Roman" w:hAnsi="Times New Roman" w:cs="Times New Roman"/>
          <w:bCs/>
          <w:lang w:val="en-GB" w:eastAsia="en-IN"/>
        </w:rPr>
        <w:t>offers</w:t>
      </w:r>
      <w:r w:rsidRPr="001075BA">
        <w:rPr>
          <w:rFonts w:ascii="Times New Roman" w:eastAsia="Times New Roman" w:hAnsi="Times New Roman" w:cs="Times New Roman"/>
          <w:bCs/>
          <w:lang w:val="en-GB" w:eastAsia="en-IN"/>
        </w:rPr>
        <w:t xml:space="preserve"> a </w:t>
      </w:r>
      <w:r w:rsidR="009C61A2" w:rsidRPr="001075BA">
        <w:rPr>
          <w:rFonts w:ascii="Times New Roman" w:eastAsia="Times New Roman" w:hAnsi="Times New Roman" w:cs="Times New Roman"/>
          <w:bCs/>
          <w:lang w:val="en-GB" w:eastAsia="en-IN"/>
        </w:rPr>
        <w:t>healthier</w:t>
      </w:r>
      <w:r w:rsidRPr="001075BA">
        <w:rPr>
          <w:rFonts w:ascii="Times New Roman" w:eastAsia="Times New Roman" w:hAnsi="Times New Roman" w:cs="Times New Roman"/>
          <w:bCs/>
          <w:lang w:val="en-GB" w:eastAsia="en-IN"/>
        </w:rPr>
        <w:t xml:space="preserve"> fit to the </w:t>
      </w:r>
      <w:r w:rsidR="00D27572" w:rsidRPr="001075BA">
        <w:rPr>
          <w:rFonts w:ascii="Times New Roman" w:eastAsia="Times New Roman" w:hAnsi="Times New Roman" w:cs="Times New Roman"/>
          <w:bCs/>
          <w:lang w:val="en-GB" w:eastAsia="en-IN"/>
        </w:rPr>
        <w:t>trial</w:t>
      </w:r>
      <w:r w:rsidRPr="001075BA">
        <w:rPr>
          <w:rFonts w:ascii="Times New Roman" w:eastAsia="Times New Roman" w:hAnsi="Times New Roman" w:cs="Times New Roman"/>
          <w:bCs/>
          <w:lang w:val="en-GB" w:eastAsia="en-IN"/>
        </w:rPr>
        <w:t xml:space="preserve"> </w:t>
      </w:r>
      <w:r w:rsidR="009C61A2" w:rsidRPr="001075BA">
        <w:rPr>
          <w:rFonts w:ascii="Times New Roman" w:eastAsia="Times New Roman" w:hAnsi="Times New Roman" w:cs="Times New Roman"/>
          <w:bCs/>
          <w:lang w:val="en-GB" w:eastAsia="en-IN"/>
        </w:rPr>
        <w:t>records</w:t>
      </w:r>
      <w:r w:rsidRPr="001075BA">
        <w:rPr>
          <w:rFonts w:ascii="Times New Roman" w:eastAsia="Times New Roman" w:hAnsi="Times New Roman" w:cs="Times New Roman"/>
          <w:bCs/>
          <w:lang w:val="en-GB" w:eastAsia="en-IN"/>
        </w:rPr>
        <w:t xml:space="preserve"> by incorporating an additional exponential term. The Dubinin-</w:t>
      </w:r>
      <w:proofErr w:type="spellStart"/>
      <w:r w:rsidRPr="001075BA">
        <w:rPr>
          <w:rFonts w:ascii="Times New Roman" w:eastAsia="Times New Roman" w:hAnsi="Times New Roman" w:cs="Times New Roman"/>
          <w:bCs/>
          <w:lang w:val="en-GB" w:eastAsia="en-IN"/>
        </w:rPr>
        <w:t>Radushkevich</w:t>
      </w:r>
      <w:proofErr w:type="spellEnd"/>
      <w:r w:rsidRPr="001075BA">
        <w:rPr>
          <w:rFonts w:ascii="Times New Roman" w:eastAsia="Times New Roman" w:hAnsi="Times New Roman" w:cs="Times New Roman"/>
          <w:bCs/>
          <w:lang w:val="en-GB" w:eastAsia="en-IN"/>
        </w:rPr>
        <w:t xml:space="preserve"> isotherm, while yielding a lower Qs value, also demonstrates a linear relationship with the experimental data.</w:t>
      </w:r>
    </w:p>
    <w:p w14:paraId="75DEC6BB" w14:textId="036CA6A6" w:rsidR="001D5908" w:rsidRPr="001075BA" w:rsidRDefault="001D5908" w:rsidP="002311B1">
      <w:pPr>
        <w:spacing w:after="0" w:line="240" w:lineRule="auto"/>
        <w:ind w:firstLine="284"/>
        <w:jc w:val="both"/>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In summary, the investigation involved three complementary two-parameter models: Langmuir, Freundlich, Jovanovic, and Dubinin-</w:t>
      </w:r>
      <w:proofErr w:type="spellStart"/>
      <w:r w:rsidRPr="001075BA">
        <w:rPr>
          <w:rFonts w:ascii="Times New Roman" w:eastAsia="Times New Roman" w:hAnsi="Times New Roman" w:cs="Times New Roman"/>
          <w:lang w:val="en-GB" w:eastAsia="en-IN"/>
        </w:rPr>
        <w:t>Radushkevich</w:t>
      </w:r>
      <w:proofErr w:type="spellEnd"/>
      <w:r w:rsidRPr="001075BA">
        <w:rPr>
          <w:rFonts w:ascii="Times New Roman" w:eastAsia="Times New Roman" w:hAnsi="Times New Roman" w:cs="Times New Roman"/>
          <w:lang w:val="en-GB" w:eastAsia="en-IN"/>
        </w:rPr>
        <w:t>, with results presented in Table 1</w:t>
      </w:r>
      <w:r w:rsidR="00854A12" w:rsidRPr="001075BA">
        <w:rPr>
          <w:rFonts w:ascii="Times New Roman" w:eastAsia="Times New Roman" w:hAnsi="Times New Roman" w:cs="Times New Roman"/>
          <w:lang w:val="en-GB" w:eastAsia="en-IN"/>
        </w:rPr>
        <w:t xml:space="preserve"> and Fig. 4a</w:t>
      </w:r>
      <w:r w:rsidRPr="001075BA">
        <w:rPr>
          <w:rFonts w:ascii="Times New Roman" w:eastAsia="Times New Roman" w:hAnsi="Times New Roman" w:cs="Times New Roman"/>
          <w:lang w:val="en-GB" w:eastAsia="en-IN"/>
        </w:rPr>
        <w:t xml:space="preserve">. These models collectively </w:t>
      </w:r>
      <w:r w:rsidR="00BE44EC" w:rsidRPr="001075BA">
        <w:rPr>
          <w:rFonts w:ascii="Times New Roman" w:eastAsia="Times New Roman" w:hAnsi="Times New Roman" w:cs="Times New Roman"/>
          <w:lang w:val="en-GB" w:eastAsia="en-IN"/>
        </w:rPr>
        <w:t>imply that the relationship between BG and NIFSS is linear, advantageous, an</w:t>
      </w:r>
      <w:r w:rsidR="00D27572" w:rsidRPr="001075BA">
        <w:rPr>
          <w:rFonts w:ascii="Times New Roman" w:eastAsia="Times New Roman" w:hAnsi="Times New Roman" w:cs="Times New Roman"/>
          <w:lang w:val="en-GB" w:eastAsia="en-IN"/>
        </w:rPr>
        <w:t>d physical</w:t>
      </w:r>
      <w:r w:rsidR="00BE44EC" w:rsidRPr="001075BA">
        <w:rPr>
          <w:rFonts w:ascii="Times New Roman" w:eastAsia="Times New Roman" w:hAnsi="Times New Roman" w:cs="Times New Roman"/>
          <w:lang w:val="en-GB" w:eastAsia="en-IN"/>
        </w:rPr>
        <w:t xml:space="preserve">. Notably, </w:t>
      </w:r>
      <w:r w:rsidR="00971179">
        <w:rPr>
          <w:rFonts w:ascii="Times New Roman" w:eastAsia="Times New Roman" w:hAnsi="Times New Roman" w:cs="Times New Roman"/>
          <w:lang w:val="en-GB" w:eastAsia="en-IN"/>
        </w:rPr>
        <w:t xml:space="preserve">Jovanovic offers a better fit, particularly in terms of </w:t>
      </w:r>
      <w:proofErr w:type="spellStart"/>
      <w:r w:rsidR="00971179">
        <w:rPr>
          <w:rFonts w:ascii="Times New Roman" w:eastAsia="Times New Roman" w:hAnsi="Times New Roman" w:cs="Times New Roman"/>
          <w:lang w:val="en-GB" w:eastAsia="en-IN"/>
        </w:rPr>
        <w:t>Qm</w:t>
      </w:r>
      <w:proofErr w:type="spellEnd"/>
      <w:r w:rsidR="00971179">
        <w:rPr>
          <w:rFonts w:ascii="Times New Roman" w:eastAsia="Times New Roman" w:hAnsi="Times New Roman" w:cs="Times New Roman"/>
          <w:lang w:val="en-GB" w:eastAsia="en-IN"/>
        </w:rPr>
        <w:t>, the maximum adsorption capacity, compared to the other three models</w:t>
      </w:r>
      <w:r w:rsidRPr="001075BA">
        <w:rPr>
          <w:rFonts w:ascii="Times New Roman" w:eastAsia="Times New Roman" w:hAnsi="Times New Roman" w:cs="Times New Roman"/>
          <w:lang w:val="en-GB" w:eastAsia="en-IN"/>
        </w:rPr>
        <w:t>.</w:t>
      </w:r>
    </w:p>
    <w:p w14:paraId="7E7AED64" w14:textId="6124000B" w:rsidR="001D5908" w:rsidRPr="00971179" w:rsidRDefault="001D5908" w:rsidP="002311B1">
      <w:pPr>
        <w:spacing w:after="0" w:line="240" w:lineRule="auto"/>
        <w:ind w:firstLine="284"/>
        <w:jc w:val="both"/>
        <w:rPr>
          <w:rFonts w:ascii="Times New Roman" w:eastAsia="Times New Roman" w:hAnsi="Times New Roman" w:cs="Times New Roman"/>
          <w:spacing w:val="-2"/>
          <w:lang w:val="en-GB" w:eastAsia="en-IN"/>
        </w:rPr>
      </w:pPr>
      <w:r w:rsidRPr="00971179">
        <w:rPr>
          <w:rFonts w:ascii="Times New Roman" w:eastAsia="Times New Roman" w:hAnsi="Times New Roman" w:cs="Times New Roman"/>
          <w:spacing w:val="-2"/>
          <w:lang w:val="en-GB" w:eastAsia="en-IN"/>
        </w:rPr>
        <w:t>For academic exploration, six t</w:t>
      </w:r>
      <w:r w:rsidR="004112F9" w:rsidRPr="00971179">
        <w:rPr>
          <w:rFonts w:ascii="Times New Roman" w:eastAsia="Times New Roman" w:hAnsi="Times New Roman" w:cs="Times New Roman"/>
          <w:spacing w:val="-2"/>
          <w:lang w:val="en-GB" w:eastAsia="en-IN"/>
        </w:rPr>
        <w:t xml:space="preserve">hree-parameter isotherm models </w:t>
      </w:r>
      <w:r w:rsidRPr="00971179">
        <w:rPr>
          <w:rFonts w:ascii="Times New Roman" w:eastAsia="Times New Roman" w:hAnsi="Times New Roman" w:cs="Times New Roman"/>
          <w:spacing w:val="-2"/>
          <w:lang w:val="en-GB" w:eastAsia="en-IN"/>
        </w:rPr>
        <w:t>were also examined.</w:t>
      </w:r>
      <w:r w:rsidR="00D27572" w:rsidRPr="00971179">
        <w:rPr>
          <w:rFonts w:ascii="Times New Roman" w:eastAsia="Times New Roman" w:hAnsi="Times New Roman" w:cs="Times New Roman"/>
          <w:spacing w:val="-2"/>
          <w:lang w:val="en-GB" w:eastAsia="en-IN"/>
        </w:rPr>
        <w:t xml:space="preserve"> </w:t>
      </w:r>
      <w:r w:rsidRPr="00971179">
        <w:rPr>
          <w:rFonts w:ascii="Times New Roman" w:eastAsia="Times New Roman" w:hAnsi="Times New Roman" w:cs="Times New Roman"/>
          <w:spacing w:val="-2"/>
          <w:lang w:val="en-GB" w:eastAsia="en-IN"/>
        </w:rPr>
        <w:t xml:space="preserve">The Sips isotherm (Sips 1948) combines elements of both Langmuir and Freundlich isotherms. </w:t>
      </w:r>
      <w:r w:rsidR="00FD3593" w:rsidRPr="00971179">
        <w:rPr>
          <w:rFonts w:ascii="Times New Roman" w:eastAsia="Times New Roman" w:hAnsi="Times New Roman" w:cs="Times New Roman"/>
          <w:spacing w:val="-2"/>
          <w:lang w:val="en-GB" w:eastAsia="en-IN"/>
        </w:rPr>
        <w:t>The</w:t>
      </w:r>
      <w:r w:rsidR="004112F9" w:rsidRPr="00971179">
        <w:rPr>
          <w:rFonts w:ascii="Times New Roman" w:eastAsia="Times New Roman" w:hAnsi="Times New Roman" w:cs="Times New Roman"/>
          <w:spacing w:val="-2"/>
          <w:lang w:val="en-GB" w:eastAsia="en-IN"/>
        </w:rPr>
        <w:t xml:space="preserve"> </w:t>
      </w:r>
      <w:r w:rsidR="00FD3593" w:rsidRPr="00971179">
        <w:rPr>
          <w:rFonts w:ascii="Times New Roman" w:eastAsia="Times New Roman" w:hAnsi="Times New Roman" w:cs="Times New Roman"/>
          <w:spacing w:val="-2"/>
          <w:lang w:val="en-GB" w:eastAsia="en-IN"/>
        </w:rPr>
        <w:t>F</w:t>
      </w:r>
      <w:r w:rsidR="004112F9" w:rsidRPr="00971179">
        <w:rPr>
          <w:rFonts w:ascii="Times New Roman" w:eastAsia="Times New Roman" w:hAnsi="Times New Roman" w:cs="Times New Roman"/>
          <w:spacing w:val="-2"/>
          <w:lang w:val="en-GB" w:eastAsia="en-IN"/>
        </w:rPr>
        <w:t>re</w:t>
      </w:r>
      <w:r w:rsidR="00FD3593" w:rsidRPr="00971179">
        <w:rPr>
          <w:rFonts w:ascii="Times New Roman" w:eastAsia="Times New Roman" w:hAnsi="Times New Roman" w:cs="Times New Roman"/>
          <w:spacing w:val="-2"/>
          <w:lang w:val="en-GB" w:eastAsia="en-IN"/>
        </w:rPr>
        <w:t>un</w:t>
      </w:r>
      <w:r w:rsidR="00D27572" w:rsidRPr="00971179">
        <w:rPr>
          <w:rFonts w:ascii="Times New Roman" w:eastAsia="Times New Roman" w:hAnsi="Times New Roman" w:cs="Times New Roman"/>
          <w:spacing w:val="-2"/>
          <w:lang w:val="en-GB" w:eastAsia="en-IN"/>
        </w:rPr>
        <w:t>dli</w:t>
      </w:r>
      <w:r w:rsidR="00FD3593" w:rsidRPr="00971179">
        <w:rPr>
          <w:rFonts w:ascii="Times New Roman" w:eastAsia="Times New Roman" w:hAnsi="Times New Roman" w:cs="Times New Roman"/>
          <w:spacing w:val="-2"/>
          <w:lang w:val="en-GB" w:eastAsia="en-IN"/>
        </w:rPr>
        <w:t xml:space="preserve">ch </w:t>
      </w:r>
      <w:r w:rsidR="00D27572" w:rsidRPr="00971179">
        <w:rPr>
          <w:rFonts w:ascii="Times New Roman" w:eastAsia="Times New Roman" w:hAnsi="Times New Roman" w:cs="Times New Roman"/>
          <w:spacing w:val="-2"/>
          <w:lang w:val="en-GB" w:eastAsia="en-IN"/>
        </w:rPr>
        <w:t>e</w:t>
      </w:r>
      <w:r w:rsidR="00FD3593" w:rsidRPr="00971179">
        <w:rPr>
          <w:rFonts w:ascii="Times New Roman" w:eastAsia="Times New Roman" w:hAnsi="Times New Roman" w:cs="Times New Roman"/>
          <w:spacing w:val="-2"/>
          <w:lang w:val="en-GB" w:eastAsia="en-IN"/>
        </w:rPr>
        <w:t>qu</w:t>
      </w:r>
      <w:r w:rsidR="00D27572" w:rsidRPr="00971179">
        <w:rPr>
          <w:rFonts w:ascii="Times New Roman" w:eastAsia="Times New Roman" w:hAnsi="Times New Roman" w:cs="Times New Roman"/>
          <w:spacing w:val="-2"/>
          <w:lang w:val="en-GB" w:eastAsia="en-IN"/>
        </w:rPr>
        <w:t>ation</w:t>
      </w:r>
      <w:r w:rsidR="004112F9" w:rsidRPr="00971179">
        <w:rPr>
          <w:rFonts w:ascii="Times New Roman" w:eastAsia="Times New Roman" w:hAnsi="Times New Roman" w:cs="Times New Roman"/>
          <w:spacing w:val="-2"/>
          <w:lang w:val="en-GB" w:eastAsia="en-IN"/>
        </w:rPr>
        <w:t xml:space="preserve"> describe</w:t>
      </w:r>
      <w:r w:rsidR="00FD3593" w:rsidRPr="00971179">
        <w:rPr>
          <w:rFonts w:ascii="Times New Roman" w:eastAsia="Times New Roman" w:hAnsi="Times New Roman" w:cs="Times New Roman"/>
          <w:spacing w:val="-2"/>
          <w:lang w:val="en-GB" w:eastAsia="en-IN"/>
        </w:rPr>
        <w:t>s low a</w:t>
      </w:r>
      <w:r w:rsidR="004112F9" w:rsidRPr="00971179">
        <w:rPr>
          <w:rFonts w:ascii="Times New Roman" w:eastAsia="Times New Roman" w:hAnsi="Times New Roman" w:cs="Times New Roman"/>
          <w:spacing w:val="-2"/>
          <w:lang w:val="en-GB" w:eastAsia="en-IN"/>
        </w:rPr>
        <w:t>d</w:t>
      </w:r>
      <w:r w:rsidR="00FD3593" w:rsidRPr="00971179">
        <w:rPr>
          <w:rFonts w:ascii="Times New Roman" w:eastAsia="Times New Roman" w:hAnsi="Times New Roman" w:cs="Times New Roman"/>
          <w:spacing w:val="-2"/>
          <w:lang w:val="en-GB" w:eastAsia="en-IN"/>
        </w:rPr>
        <w:t>sor</w:t>
      </w:r>
      <w:r w:rsidR="004112F9" w:rsidRPr="00971179">
        <w:rPr>
          <w:rFonts w:ascii="Times New Roman" w:eastAsia="Times New Roman" w:hAnsi="Times New Roman" w:cs="Times New Roman"/>
          <w:spacing w:val="-2"/>
          <w:lang w:val="en-GB" w:eastAsia="en-IN"/>
        </w:rPr>
        <w:t>b</w:t>
      </w:r>
      <w:r w:rsidR="00FD3593" w:rsidRPr="00971179">
        <w:rPr>
          <w:rFonts w:ascii="Times New Roman" w:eastAsia="Times New Roman" w:hAnsi="Times New Roman" w:cs="Times New Roman"/>
          <w:spacing w:val="-2"/>
          <w:lang w:val="en-GB" w:eastAsia="en-IN"/>
        </w:rPr>
        <w:t>a</w:t>
      </w:r>
      <w:r w:rsidR="004112F9" w:rsidRPr="00971179">
        <w:rPr>
          <w:rFonts w:ascii="Times New Roman" w:eastAsia="Times New Roman" w:hAnsi="Times New Roman" w:cs="Times New Roman"/>
          <w:spacing w:val="-2"/>
          <w:lang w:val="en-GB" w:eastAsia="en-IN"/>
        </w:rPr>
        <w:t xml:space="preserve">te </w:t>
      </w:r>
      <w:r w:rsidR="00FD3593" w:rsidRPr="00971179">
        <w:rPr>
          <w:rFonts w:ascii="Times New Roman" w:eastAsia="Times New Roman" w:hAnsi="Times New Roman" w:cs="Times New Roman"/>
          <w:spacing w:val="-2"/>
          <w:lang w:val="en-GB" w:eastAsia="en-IN"/>
        </w:rPr>
        <w:t>d</w:t>
      </w:r>
      <w:r w:rsidR="004112F9" w:rsidRPr="00971179">
        <w:rPr>
          <w:rFonts w:ascii="Times New Roman" w:eastAsia="Times New Roman" w:hAnsi="Times New Roman" w:cs="Times New Roman"/>
          <w:spacing w:val="-2"/>
          <w:lang w:val="en-GB" w:eastAsia="en-IN"/>
        </w:rPr>
        <w:t>eli</w:t>
      </w:r>
      <w:r w:rsidR="00FD3593" w:rsidRPr="00971179">
        <w:rPr>
          <w:rFonts w:ascii="Times New Roman" w:eastAsia="Times New Roman" w:hAnsi="Times New Roman" w:cs="Times New Roman"/>
          <w:spacing w:val="-2"/>
          <w:lang w:val="en-GB" w:eastAsia="en-IN"/>
        </w:rPr>
        <w:t>b</w:t>
      </w:r>
      <w:r w:rsidR="004112F9" w:rsidRPr="00971179">
        <w:rPr>
          <w:rFonts w:ascii="Times New Roman" w:eastAsia="Times New Roman" w:hAnsi="Times New Roman" w:cs="Times New Roman"/>
          <w:spacing w:val="-2"/>
          <w:lang w:val="en-GB" w:eastAsia="en-IN"/>
        </w:rPr>
        <w:t>e</w:t>
      </w:r>
      <w:r w:rsidR="00FD3593" w:rsidRPr="00971179">
        <w:rPr>
          <w:rFonts w:ascii="Times New Roman" w:eastAsia="Times New Roman" w:hAnsi="Times New Roman" w:cs="Times New Roman"/>
          <w:spacing w:val="-2"/>
          <w:lang w:val="en-GB" w:eastAsia="en-IN"/>
        </w:rPr>
        <w:t>r</w:t>
      </w:r>
      <w:r w:rsidR="004112F9" w:rsidRPr="00971179">
        <w:rPr>
          <w:rFonts w:ascii="Times New Roman" w:eastAsia="Times New Roman" w:hAnsi="Times New Roman" w:cs="Times New Roman"/>
          <w:spacing w:val="-2"/>
          <w:lang w:val="en-GB" w:eastAsia="en-IN"/>
        </w:rPr>
        <w:t>ation</w:t>
      </w:r>
      <w:r w:rsidR="00FD3593" w:rsidRPr="00971179">
        <w:rPr>
          <w:rFonts w:ascii="Times New Roman" w:eastAsia="Times New Roman" w:hAnsi="Times New Roman" w:cs="Times New Roman"/>
          <w:spacing w:val="-2"/>
          <w:lang w:val="en-GB" w:eastAsia="en-IN"/>
        </w:rPr>
        <w:t>s</w:t>
      </w:r>
      <w:r w:rsidR="004112F9" w:rsidRPr="00971179">
        <w:rPr>
          <w:rFonts w:ascii="Times New Roman" w:eastAsia="Times New Roman" w:hAnsi="Times New Roman" w:cs="Times New Roman"/>
          <w:spacing w:val="-2"/>
          <w:lang w:val="en-GB" w:eastAsia="en-IN"/>
        </w:rPr>
        <w:t xml:space="preserve"> and high adsorbate concentrations are c</w:t>
      </w:r>
      <w:r w:rsidR="00FD3593" w:rsidRPr="00971179">
        <w:rPr>
          <w:rFonts w:ascii="Times New Roman" w:eastAsia="Times New Roman" w:hAnsi="Times New Roman" w:cs="Times New Roman"/>
          <w:spacing w:val="-2"/>
          <w:lang w:val="en-GB" w:eastAsia="en-IN"/>
        </w:rPr>
        <w:t>haracte</w:t>
      </w:r>
      <w:r w:rsidR="004112F9" w:rsidRPr="00971179">
        <w:rPr>
          <w:rFonts w:ascii="Times New Roman" w:eastAsia="Times New Roman" w:hAnsi="Times New Roman" w:cs="Times New Roman"/>
          <w:spacing w:val="-2"/>
          <w:lang w:val="en-GB" w:eastAsia="en-IN"/>
        </w:rPr>
        <w:t>ri</w:t>
      </w:r>
      <w:r w:rsidR="00FD3593" w:rsidRPr="00971179">
        <w:rPr>
          <w:rFonts w:ascii="Times New Roman" w:eastAsia="Times New Roman" w:hAnsi="Times New Roman" w:cs="Times New Roman"/>
          <w:spacing w:val="-2"/>
          <w:lang w:val="en-GB" w:eastAsia="en-IN"/>
        </w:rPr>
        <w:t>s</w:t>
      </w:r>
      <w:r w:rsidR="004112F9" w:rsidRPr="00971179">
        <w:rPr>
          <w:rFonts w:ascii="Times New Roman" w:eastAsia="Times New Roman" w:hAnsi="Times New Roman" w:cs="Times New Roman"/>
          <w:spacing w:val="-2"/>
          <w:lang w:val="en-GB" w:eastAsia="en-IN"/>
        </w:rPr>
        <w:t>ed by an approach to the Langmuir isotherm</w:t>
      </w:r>
      <w:r w:rsidR="00971179">
        <w:rPr>
          <w:rFonts w:ascii="Times New Roman" w:eastAsia="Times New Roman" w:hAnsi="Times New Roman" w:cs="Times New Roman"/>
          <w:spacing w:val="-2"/>
          <w:lang w:val="en-GB" w:eastAsia="en-IN"/>
        </w:rPr>
        <w:t>,</w:t>
      </w:r>
      <w:r w:rsidR="004112F9" w:rsidRPr="00971179">
        <w:rPr>
          <w:rFonts w:ascii="Times New Roman" w:eastAsia="Times New Roman" w:hAnsi="Times New Roman" w:cs="Times New Roman"/>
          <w:spacing w:val="-2"/>
          <w:lang w:val="en-GB" w:eastAsia="en-IN"/>
        </w:rPr>
        <w:t xml:space="preserve"> </w:t>
      </w:r>
      <w:r w:rsidRPr="00971179">
        <w:rPr>
          <w:rFonts w:ascii="Times New Roman" w:eastAsia="Times New Roman" w:hAnsi="Times New Roman" w:cs="Times New Roman"/>
          <w:spacing w:val="-2"/>
          <w:lang w:val="en-GB" w:eastAsia="en-IN"/>
        </w:rPr>
        <w:t xml:space="preserve">as shown in Fig. </w:t>
      </w:r>
      <w:r w:rsidR="00854A12" w:rsidRPr="00971179">
        <w:rPr>
          <w:rFonts w:ascii="Times New Roman" w:eastAsia="Times New Roman" w:hAnsi="Times New Roman" w:cs="Times New Roman"/>
          <w:spacing w:val="-2"/>
          <w:lang w:val="en-GB" w:eastAsia="en-IN"/>
        </w:rPr>
        <w:t>4</w:t>
      </w:r>
      <w:r w:rsidRPr="00971179">
        <w:rPr>
          <w:rFonts w:ascii="Times New Roman" w:eastAsia="Times New Roman" w:hAnsi="Times New Roman" w:cs="Times New Roman"/>
          <w:spacing w:val="-2"/>
          <w:lang w:val="en-GB" w:eastAsia="en-IN"/>
        </w:rPr>
        <w:t>b.</w:t>
      </w:r>
      <w:r w:rsidR="00D27572" w:rsidRPr="00971179">
        <w:rPr>
          <w:rFonts w:ascii="Times New Roman" w:eastAsia="Times New Roman" w:hAnsi="Times New Roman" w:cs="Times New Roman"/>
          <w:spacing w:val="-2"/>
          <w:lang w:val="en-GB" w:eastAsia="en-IN"/>
        </w:rPr>
        <w:t xml:space="preserve"> </w:t>
      </w:r>
      <w:r w:rsidR="00BE44EC" w:rsidRPr="00971179">
        <w:rPr>
          <w:rFonts w:ascii="Times New Roman" w:eastAsia="Times New Roman" w:hAnsi="Times New Roman" w:cs="Times New Roman"/>
          <w:spacing w:val="-2"/>
          <w:lang w:val="en-GB" w:eastAsia="en-IN"/>
        </w:rPr>
        <w:t>The '</w:t>
      </w:r>
      <w:r w:rsidR="00BE44EC" w:rsidRPr="00971179">
        <w:rPr>
          <w:rFonts w:ascii="Times New Roman" w:eastAsia="Times New Roman" w:hAnsi="Times New Roman" w:cs="Times New Roman"/>
          <w:i/>
          <w:spacing w:val="-2"/>
          <w:lang w:val="en-GB" w:eastAsia="en-IN"/>
        </w:rPr>
        <w:t>g</w:t>
      </w:r>
      <w:r w:rsidR="00BE44EC" w:rsidRPr="00971179">
        <w:rPr>
          <w:rFonts w:ascii="Times New Roman" w:eastAsia="Times New Roman" w:hAnsi="Times New Roman" w:cs="Times New Roman"/>
          <w:spacing w:val="-2"/>
          <w:lang w:val="en-GB" w:eastAsia="en-IN"/>
        </w:rPr>
        <w:t xml:space="preserve">' value of 1.482 found in this investigation </w:t>
      </w:r>
      <w:r w:rsidR="00FD3593" w:rsidRPr="00971179">
        <w:rPr>
          <w:rFonts w:ascii="Times New Roman" w:eastAsia="Times New Roman" w:hAnsi="Times New Roman" w:cs="Times New Roman"/>
          <w:spacing w:val="-2"/>
          <w:lang w:val="en-GB" w:eastAsia="en-IN"/>
        </w:rPr>
        <w:t>indicate</w:t>
      </w:r>
      <w:r w:rsidR="00BE44EC" w:rsidRPr="00971179">
        <w:rPr>
          <w:rFonts w:ascii="Times New Roman" w:eastAsia="Times New Roman" w:hAnsi="Times New Roman" w:cs="Times New Roman"/>
          <w:spacing w:val="-2"/>
          <w:lang w:val="en-GB" w:eastAsia="en-IN"/>
        </w:rPr>
        <w:t xml:space="preserve">s that the adsorption is more likely to follow the Langmuir isotherm (Redlich </w:t>
      </w:r>
      <w:r w:rsidR="007A187B" w:rsidRPr="00971179">
        <w:rPr>
          <w:rFonts w:ascii="Times New Roman" w:eastAsia="Times New Roman" w:hAnsi="Times New Roman" w:cs="Times New Roman"/>
          <w:spacing w:val="-2"/>
          <w:lang w:val="en-GB" w:eastAsia="en-IN"/>
        </w:rPr>
        <w:t>&amp;</w:t>
      </w:r>
      <w:r w:rsidR="00BE44EC" w:rsidRPr="00971179">
        <w:rPr>
          <w:rFonts w:ascii="Times New Roman" w:eastAsia="Times New Roman" w:hAnsi="Times New Roman" w:cs="Times New Roman"/>
          <w:spacing w:val="-2"/>
          <w:lang w:val="en-GB" w:eastAsia="en-IN"/>
        </w:rPr>
        <w:t xml:space="preserve"> Peterson 1969)</w:t>
      </w:r>
      <w:r w:rsidRPr="00971179">
        <w:rPr>
          <w:rFonts w:ascii="Times New Roman" w:eastAsia="Times New Roman" w:hAnsi="Times New Roman" w:cs="Times New Roman"/>
          <w:spacing w:val="-2"/>
          <w:lang w:val="en-GB" w:eastAsia="en-IN"/>
        </w:rPr>
        <w:t>.</w:t>
      </w:r>
      <w:r w:rsidR="00D27572" w:rsidRPr="00971179">
        <w:rPr>
          <w:rFonts w:ascii="Times New Roman" w:eastAsia="Times New Roman" w:hAnsi="Times New Roman" w:cs="Times New Roman"/>
          <w:spacing w:val="-2"/>
          <w:lang w:val="en-GB" w:eastAsia="en-IN"/>
        </w:rPr>
        <w:t xml:space="preserve"> </w:t>
      </w:r>
      <w:r w:rsidR="00BE44EC" w:rsidRPr="00971179">
        <w:rPr>
          <w:rFonts w:ascii="Times New Roman" w:eastAsia="Times New Roman" w:hAnsi="Times New Roman" w:cs="Times New Roman"/>
          <w:spacing w:val="-2"/>
          <w:lang w:val="en-GB" w:eastAsia="en-IN"/>
        </w:rPr>
        <w:t xml:space="preserve">The Toth isotherm (Toth 1971) is another </w:t>
      </w:r>
      <w:r w:rsidR="009C61A2" w:rsidRPr="00971179">
        <w:rPr>
          <w:rFonts w:ascii="Times New Roman" w:eastAsia="Times New Roman" w:hAnsi="Times New Roman" w:cs="Times New Roman"/>
          <w:spacing w:val="-2"/>
          <w:lang w:val="en-GB" w:eastAsia="en-IN"/>
        </w:rPr>
        <w:t>realistic</w:t>
      </w:r>
      <w:r w:rsidR="00BE44EC" w:rsidRPr="00971179">
        <w:rPr>
          <w:rFonts w:ascii="Times New Roman" w:eastAsia="Times New Roman" w:hAnsi="Times New Roman" w:cs="Times New Roman"/>
          <w:spacing w:val="-2"/>
          <w:lang w:val="en-GB" w:eastAsia="en-IN"/>
        </w:rPr>
        <w:t xml:space="preserve"> </w:t>
      </w:r>
      <w:r w:rsidR="009C61A2" w:rsidRPr="00971179">
        <w:rPr>
          <w:rFonts w:ascii="Times New Roman" w:eastAsia="Times New Roman" w:hAnsi="Times New Roman" w:cs="Times New Roman"/>
          <w:spacing w:val="-2"/>
          <w:lang w:val="en-GB" w:eastAsia="en-IN"/>
        </w:rPr>
        <w:t>comparison</w:t>
      </w:r>
      <w:r w:rsidR="00BE44EC" w:rsidRPr="00971179">
        <w:rPr>
          <w:rFonts w:ascii="Times New Roman" w:eastAsia="Times New Roman" w:hAnsi="Times New Roman" w:cs="Times New Roman"/>
          <w:spacing w:val="-2"/>
          <w:lang w:val="en-GB" w:eastAsia="en-IN"/>
        </w:rPr>
        <w:t xml:space="preserve"> designed to </w:t>
      </w:r>
      <w:r w:rsidR="009C61A2" w:rsidRPr="00971179">
        <w:rPr>
          <w:rFonts w:ascii="Times New Roman" w:eastAsia="Times New Roman" w:hAnsi="Times New Roman" w:cs="Times New Roman"/>
          <w:spacing w:val="-2"/>
          <w:lang w:val="en-GB" w:eastAsia="en-IN"/>
        </w:rPr>
        <w:t>rally</w:t>
      </w:r>
      <w:r w:rsidR="00BE44EC" w:rsidRPr="00971179">
        <w:rPr>
          <w:rFonts w:ascii="Times New Roman" w:eastAsia="Times New Roman" w:hAnsi="Times New Roman" w:cs="Times New Roman"/>
          <w:spacing w:val="-2"/>
          <w:lang w:val="en-GB" w:eastAsia="en-IN"/>
        </w:rPr>
        <w:t xml:space="preserve"> the fitting of the Langmuir isotherm and </w:t>
      </w:r>
      <w:r w:rsidR="009C61A2" w:rsidRPr="00971179">
        <w:rPr>
          <w:rFonts w:ascii="Times New Roman" w:eastAsia="Times New Roman" w:hAnsi="Times New Roman" w:cs="Times New Roman"/>
          <w:spacing w:val="-2"/>
          <w:lang w:val="en-GB" w:eastAsia="en-IN"/>
        </w:rPr>
        <w:t>label</w:t>
      </w:r>
      <w:r w:rsidR="00BE44EC" w:rsidRPr="00971179">
        <w:rPr>
          <w:rFonts w:ascii="Times New Roman" w:eastAsia="Times New Roman" w:hAnsi="Times New Roman" w:cs="Times New Roman"/>
          <w:spacing w:val="-2"/>
          <w:lang w:val="en-GB" w:eastAsia="en-IN"/>
        </w:rPr>
        <w:t xml:space="preserve"> </w:t>
      </w:r>
      <w:r w:rsidR="009C61A2" w:rsidRPr="00971179">
        <w:rPr>
          <w:rFonts w:ascii="Times New Roman" w:eastAsia="Times New Roman" w:hAnsi="Times New Roman" w:cs="Times New Roman"/>
          <w:spacing w:val="-2"/>
          <w:lang w:val="en-GB" w:eastAsia="en-IN"/>
        </w:rPr>
        <w:t xml:space="preserve">the </w:t>
      </w:r>
      <w:r w:rsidR="00BE44EC" w:rsidRPr="00971179">
        <w:rPr>
          <w:rFonts w:ascii="Times New Roman" w:eastAsia="Times New Roman" w:hAnsi="Times New Roman" w:cs="Times New Roman"/>
          <w:spacing w:val="-2"/>
          <w:lang w:val="en-GB" w:eastAsia="en-IN"/>
        </w:rPr>
        <w:t xml:space="preserve">heterogeneous adsorption systems. As indicated in Table 2 and Fig. 4c, the </w:t>
      </w:r>
      <w:proofErr w:type="spellStart"/>
      <w:r w:rsidR="00BE44EC" w:rsidRPr="00971179">
        <w:rPr>
          <w:rFonts w:ascii="Times New Roman" w:eastAsia="Times New Roman" w:hAnsi="Times New Roman" w:cs="Times New Roman"/>
          <w:i/>
          <w:spacing w:val="-2"/>
          <w:lang w:val="en-GB" w:eastAsia="en-IN"/>
        </w:rPr>
        <w:t>Q</w:t>
      </w:r>
      <w:r w:rsidR="00BE44EC" w:rsidRPr="00971179">
        <w:rPr>
          <w:rFonts w:ascii="Times New Roman" w:eastAsia="Times New Roman" w:hAnsi="Times New Roman" w:cs="Times New Roman"/>
          <w:i/>
          <w:spacing w:val="-2"/>
          <w:vertAlign w:val="subscript"/>
          <w:lang w:val="en-GB" w:eastAsia="en-IN"/>
        </w:rPr>
        <w:t>m</w:t>
      </w:r>
      <w:proofErr w:type="spellEnd"/>
      <w:r w:rsidR="00BE44EC" w:rsidRPr="00971179">
        <w:rPr>
          <w:rFonts w:ascii="Times New Roman" w:eastAsia="Times New Roman" w:hAnsi="Times New Roman" w:cs="Times New Roman"/>
          <w:spacing w:val="-2"/>
          <w:lang w:val="en-GB" w:eastAsia="en-IN"/>
        </w:rPr>
        <w:t xml:space="preserve"> value of 164.5 mg g</w:t>
      </w:r>
      <w:r w:rsidR="00BE44EC" w:rsidRPr="00971179">
        <w:rPr>
          <w:rFonts w:ascii="Times New Roman" w:eastAsia="Times New Roman" w:hAnsi="Times New Roman" w:cs="Times New Roman"/>
          <w:spacing w:val="-2"/>
          <w:vertAlign w:val="superscript"/>
          <w:lang w:val="en-GB" w:eastAsia="en-IN"/>
        </w:rPr>
        <w:t>-1</w:t>
      </w:r>
      <w:r w:rsidR="00BE44EC" w:rsidRPr="00971179">
        <w:rPr>
          <w:rFonts w:ascii="Times New Roman" w:eastAsia="Times New Roman" w:hAnsi="Times New Roman" w:cs="Times New Roman"/>
          <w:spacing w:val="-2"/>
          <w:lang w:val="en-GB" w:eastAsia="en-IN"/>
        </w:rPr>
        <w:t xml:space="preserve"> closely approximates the experimental </w:t>
      </w:r>
      <w:proofErr w:type="spellStart"/>
      <w:r w:rsidR="00BE44EC" w:rsidRPr="00971179">
        <w:rPr>
          <w:rFonts w:ascii="Times New Roman" w:eastAsia="Times New Roman" w:hAnsi="Times New Roman" w:cs="Times New Roman"/>
          <w:i/>
          <w:spacing w:val="-2"/>
          <w:lang w:val="en-GB" w:eastAsia="en-IN"/>
        </w:rPr>
        <w:t>q</w:t>
      </w:r>
      <w:r w:rsidR="00BE44EC" w:rsidRPr="00971179">
        <w:rPr>
          <w:rFonts w:ascii="Times New Roman" w:eastAsia="Times New Roman" w:hAnsi="Times New Roman" w:cs="Times New Roman"/>
          <w:i/>
          <w:spacing w:val="-2"/>
          <w:vertAlign w:val="subscript"/>
          <w:lang w:val="en-GB" w:eastAsia="en-IN"/>
        </w:rPr>
        <w:t>e</w:t>
      </w:r>
      <w:proofErr w:type="spellEnd"/>
      <w:r w:rsidR="00BE44EC" w:rsidRPr="00971179">
        <w:rPr>
          <w:rFonts w:ascii="Times New Roman" w:eastAsia="Times New Roman" w:hAnsi="Times New Roman" w:cs="Times New Roman"/>
          <w:spacing w:val="-2"/>
          <w:lang w:val="en-GB" w:eastAsia="en-IN"/>
        </w:rPr>
        <w:t xml:space="preserve"> value of 150 mg g</w:t>
      </w:r>
      <w:r w:rsidR="00BE44EC" w:rsidRPr="00971179">
        <w:rPr>
          <w:rFonts w:ascii="Times New Roman" w:eastAsia="Times New Roman" w:hAnsi="Times New Roman" w:cs="Times New Roman"/>
          <w:spacing w:val="-2"/>
          <w:vertAlign w:val="superscript"/>
          <w:lang w:val="en-GB" w:eastAsia="en-IN"/>
        </w:rPr>
        <w:t>-1</w:t>
      </w:r>
      <w:r w:rsidR="00BE44EC" w:rsidRPr="00971179">
        <w:rPr>
          <w:rFonts w:ascii="Times New Roman" w:eastAsia="Times New Roman" w:hAnsi="Times New Roman" w:cs="Times New Roman"/>
          <w:spacing w:val="-2"/>
          <w:lang w:val="en-GB" w:eastAsia="en-IN"/>
        </w:rPr>
        <w:t xml:space="preserve">, in contrast to the Langmuir isotherm </w:t>
      </w:r>
      <w:r w:rsidR="00840E0D" w:rsidRPr="00971179">
        <w:rPr>
          <w:rFonts w:ascii="Times New Roman" w:eastAsia="Times New Roman" w:hAnsi="Times New Roman" w:cs="Times New Roman"/>
          <w:spacing w:val="-2"/>
          <w:lang w:val="en-GB" w:eastAsia="en-IN"/>
        </w:rPr>
        <w:t>rate</w:t>
      </w:r>
      <w:r w:rsidR="00BE44EC" w:rsidRPr="00971179">
        <w:rPr>
          <w:rFonts w:ascii="Times New Roman" w:eastAsia="Times New Roman" w:hAnsi="Times New Roman" w:cs="Times New Roman"/>
          <w:spacing w:val="-2"/>
          <w:lang w:val="en-GB" w:eastAsia="en-IN"/>
        </w:rPr>
        <w:t xml:space="preserve"> of 227.8 mg g</w:t>
      </w:r>
      <w:r w:rsidR="00BE44EC" w:rsidRPr="00971179">
        <w:rPr>
          <w:rFonts w:ascii="Times New Roman" w:eastAsia="Times New Roman" w:hAnsi="Times New Roman" w:cs="Times New Roman"/>
          <w:spacing w:val="-2"/>
          <w:vertAlign w:val="superscript"/>
          <w:lang w:val="en-GB" w:eastAsia="en-IN"/>
        </w:rPr>
        <w:t>-1</w:t>
      </w:r>
      <w:r w:rsidR="00BE44EC" w:rsidRPr="00971179">
        <w:rPr>
          <w:rFonts w:ascii="Times New Roman" w:eastAsia="Times New Roman" w:hAnsi="Times New Roman" w:cs="Times New Roman"/>
          <w:spacing w:val="-2"/>
          <w:lang w:val="en-GB" w:eastAsia="en-IN"/>
        </w:rPr>
        <w:t>.</w:t>
      </w:r>
    </w:p>
    <w:p w14:paraId="4CF2001A" w14:textId="36A564EA" w:rsidR="00717196" w:rsidRPr="001075BA" w:rsidRDefault="001D5908" w:rsidP="002311B1">
      <w:pPr>
        <w:spacing w:after="0" w:line="240" w:lineRule="auto"/>
        <w:ind w:firstLine="284"/>
        <w:jc w:val="both"/>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 xml:space="preserve">Overall, this comprehensive analysis provides insights </w:t>
      </w:r>
      <w:r w:rsidR="00265AD2" w:rsidRPr="001075BA">
        <w:rPr>
          <w:rFonts w:ascii="Times New Roman" w:eastAsia="Times New Roman" w:hAnsi="Times New Roman" w:cs="Times New Roman"/>
          <w:lang w:val="en-GB" w:eastAsia="en-IN"/>
        </w:rPr>
        <w:t xml:space="preserve">into BG's adsorption behaviour on NIFSS, </w:t>
      </w:r>
      <w:r w:rsidRPr="001075BA">
        <w:rPr>
          <w:rFonts w:ascii="Times New Roman" w:eastAsia="Times New Roman" w:hAnsi="Times New Roman" w:cs="Times New Roman"/>
          <w:lang w:val="en-GB" w:eastAsia="en-IN"/>
        </w:rPr>
        <w:t>with various isotherm models shedding light on different aspects of the adsorption process.</w:t>
      </w:r>
    </w:p>
    <w:p w14:paraId="7AFAB923" w14:textId="0689A387" w:rsidR="00286865" w:rsidRPr="001075BA" w:rsidRDefault="00286865" w:rsidP="002311B1">
      <w:pPr>
        <w:spacing w:after="0" w:line="240" w:lineRule="auto"/>
        <w:ind w:firstLine="284"/>
        <w:jc w:val="both"/>
        <w:rPr>
          <w:rFonts w:ascii="Times New Roman" w:eastAsia="Times New Roman" w:hAnsi="Times New Roman" w:cs="Times New Roman"/>
          <w:bCs/>
          <w:lang w:val="en-GB" w:eastAsia="en-IN"/>
        </w:rPr>
      </w:pPr>
      <w:r w:rsidRPr="001075BA">
        <w:rPr>
          <w:rFonts w:ascii="Times New Roman" w:eastAsia="Times New Roman" w:hAnsi="Times New Roman" w:cs="Times New Roman"/>
          <w:bCs/>
          <w:lang w:val="en-GB" w:eastAsia="en-IN"/>
        </w:rPr>
        <w:t xml:space="preserve">The Vieth-Sladek isotherm model (Vieth </w:t>
      </w:r>
      <w:r w:rsidR="007A187B">
        <w:rPr>
          <w:rFonts w:ascii="Times New Roman" w:eastAsia="Times New Roman" w:hAnsi="Times New Roman" w:cs="Times New Roman"/>
          <w:bCs/>
          <w:lang w:val="en-GB" w:eastAsia="en-IN"/>
        </w:rPr>
        <w:t>&amp;</w:t>
      </w:r>
      <w:r w:rsidRPr="001075BA">
        <w:rPr>
          <w:rFonts w:ascii="Times New Roman" w:eastAsia="Times New Roman" w:hAnsi="Times New Roman" w:cs="Times New Roman"/>
          <w:bCs/>
          <w:lang w:val="en-GB" w:eastAsia="en-IN"/>
        </w:rPr>
        <w:t xml:space="preserve"> Sladek 1965) was initially used to describe solutes that were undergoing </w:t>
      </w:r>
      <w:r w:rsidR="00265AD2" w:rsidRPr="001075BA">
        <w:rPr>
          <w:rFonts w:ascii="Times New Roman" w:eastAsia="Times New Roman" w:hAnsi="Times New Roman" w:cs="Times New Roman"/>
          <w:bCs/>
          <w:lang w:val="en-GB" w:eastAsia="en-IN"/>
        </w:rPr>
        <w:t xml:space="preserve">following particular </w:t>
      </w:r>
      <w:r w:rsidRPr="001075BA">
        <w:rPr>
          <w:rFonts w:ascii="Times New Roman" w:eastAsia="Times New Roman" w:hAnsi="Times New Roman" w:cs="Times New Roman"/>
          <w:bCs/>
          <w:lang w:val="en-GB" w:eastAsia="en-IN"/>
        </w:rPr>
        <w:t xml:space="preserve">adsorption </w:t>
      </w:r>
      <w:r w:rsidR="00971179">
        <w:rPr>
          <w:rFonts w:ascii="Times New Roman" w:eastAsia="Times New Roman" w:hAnsi="Times New Roman" w:cs="Times New Roman"/>
          <w:bCs/>
          <w:lang w:val="en-GB" w:eastAsia="en-IN"/>
        </w:rPr>
        <w:t>following</w:t>
      </w:r>
      <w:r w:rsidRPr="001075BA">
        <w:rPr>
          <w:rFonts w:ascii="Times New Roman" w:eastAsia="Times New Roman" w:hAnsi="Times New Roman" w:cs="Times New Roman"/>
          <w:bCs/>
          <w:lang w:val="en-GB" w:eastAsia="en-IN"/>
        </w:rPr>
        <w:t xml:space="preserve"> a particular isotherm that incorporated both a non</w:t>
      </w:r>
      <w:r w:rsidR="00971179">
        <w:rPr>
          <w:rFonts w:ascii="Times New Roman" w:eastAsia="Times New Roman" w:hAnsi="Times New Roman" w:cs="Times New Roman"/>
          <w:bCs/>
          <w:lang w:val="en-GB" w:eastAsia="en-IN"/>
        </w:rPr>
        <w:t>-</w:t>
      </w:r>
      <w:r w:rsidRPr="001075BA">
        <w:rPr>
          <w:rFonts w:ascii="Times New Roman" w:eastAsia="Times New Roman" w:hAnsi="Times New Roman" w:cs="Times New Roman"/>
          <w:bCs/>
          <w:lang w:val="en-GB" w:eastAsia="en-IN"/>
        </w:rPr>
        <w:t>linear (Langmuir equation) and a linear (Henry's law) component. The non</w:t>
      </w:r>
      <w:r w:rsidR="00971179">
        <w:rPr>
          <w:rFonts w:ascii="Times New Roman" w:eastAsia="Times New Roman" w:hAnsi="Times New Roman" w:cs="Times New Roman"/>
          <w:bCs/>
          <w:lang w:val="en-GB" w:eastAsia="en-IN"/>
        </w:rPr>
        <w:t>-</w:t>
      </w:r>
      <w:r w:rsidRPr="001075BA">
        <w:rPr>
          <w:rFonts w:ascii="Times New Roman" w:eastAsia="Times New Roman" w:hAnsi="Times New Roman" w:cs="Times New Roman"/>
          <w:bCs/>
          <w:lang w:val="en-GB" w:eastAsia="en-IN"/>
        </w:rPr>
        <w:t xml:space="preserve">linear component denotes solute adhesion to locations on the </w:t>
      </w:r>
      <w:r w:rsidR="009C61A2" w:rsidRPr="001075BA">
        <w:rPr>
          <w:rFonts w:ascii="Times New Roman" w:eastAsia="Times New Roman" w:hAnsi="Times New Roman" w:cs="Times New Roman"/>
          <w:bCs/>
          <w:lang w:val="en-GB" w:eastAsia="en-IN"/>
        </w:rPr>
        <w:t>exterior</w:t>
      </w:r>
      <w:r w:rsidRPr="001075BA">
        <w:rPr>
          <w:rFonts w:ascii="Times New Roman" w:eastAsia="Times New Roman" w:hAnsi="Times New Roman" w:cs="Times New Roman"/>
          <w:bCs/>
          <w:lang w:val="en-GB" w:eastAsia="en-IN"/>
        </w:rPr>
        <w:t xml:space="preserve"> of </w:t>
      </w:r>
      <w:r w:rsidR="009C61A2" w:rsidRPr="001075BA">
        <w:rPr>
          <w:rFonts w:ascii="Times New Roman" w:eastAsia="Times New Roman" w:hAnsi="Times New Roman" w:cs="Times New Roman"/>
          <w:bCs/>
          <w:lang w:val="en-GB" w:eastAsia="en-IN"/>
        </w:rPr>
        <w:t>permeable</w:t>
      </w:r>
      <w:r w:rsidRPr="001075BA">
        <w:rPr>
          <w:rFonts w:ascii="Times New Roman" w:eastAsia="Times New Roman" w:hAnsi="Times New Roman" w:cs="Times New Roman"/>
          <w:bCs/>
          <w:lang w:val="en-GB" w:eastAsia="en-IN"/>
        </w:rPr>
        <w:t xml:space="preserve"> adsorbents, whereas the linear component indicates solute dissolution in the amorphous portions of adsorbent polymers. </w:t>
      </w:r>
      <w:r w:rsidR="00265AD2" w:rsidRPr="001075BA">
        <w:rPr>
          <w:rFonts w:ascii="Times New Roman" w:eastAsia="Times New Roman" w:hAnsi="Times New Roman" w:cs="Times New Roman"/>
          <w:bCs/>
          <w:lang w:val="en-GB" w:eastAsia="en-IN"/>
        </w:rPr>
        <w:t xml:space="preserve">This model predicts the highest </w:t>
      </w:r>
      <w:proofErr w:type="spellStart"/>
      <w:r w:rsidR="00265AD2" w:rsidRPr="001075BA">
        <w:rPr>
          <w:rFonts w:ascii="Times New Roman" w:eastAsia="Times New Roman" w:hAnsi="Times New Roman" w:cs="Times New Roman"/>
          <w:bCs/>
          <w:i/>
          <w:lang w:val="en-GB" w:eastAsia="en-IN"/>
        </w:rPr>
        <w:t>Q</w:t>
      </w:r>
      <w:r w:rsidR="00265AD2" w:rsidRPr="001075BA">
        <w:rPr>
          <w:rFonts w:ascii="Times New Roman" w:eastAsia="Times New Roman" w:hAnsi="Times New Roman" w:cs="Times New Roman"/>
          <w:bCs/>
          <w:i/>
          <w:vertAlign w:val="subscript"/>
          <w:lang w:val="en-GB" w:eastAsia="en-IN"/>
        </w:rPr>
        <w:t>m</w:t>
      </w:r>
      <w:proofErr w:type="spellEnd"/>
      <w:r w:rsidR="00265AD2" w:rsidRPr="001075BA">
        <w:rPr>
          <w:rFonts w:ascii="Times New Roman" w:eastAsia="Times New Roman" w:hAnsi="Times New Roman" w:cs="Times New Roman"/>
          <w:bCs/>
          <w:lang w:val="en-GB" w:eastAsia="en-IN"/>
        </w:rPr>
        <w:t xml:space="preserve"> value among the models examined, 227.7 mg g</w:t>
      </w:r>
      <w:r w:rsidR="00265AD2" w:rsidRPr="001075BA">
        <w:rPr>
          <w:rFonts w:ascii="Times New Roman" w:eastAsia="Times New Roman" w:hAnsi="Times New Roman" w:cs="Times New Roman"/>
          <w:bCs/>
          <w:vertAlign w:val="superscript"/>
          <w:lang w:val="en-GB" w:eastAsia="en-IN"/>
        </w:rPr>
        <w:t>-1</w:t>
      </w:r>
      <w:r w:rsidR="00265AD2" w:rsidRPr="001075BA">
        <w:rPr>
          <w:rFonts w:ascii="Times New Roman" w:eastAsia="Times New Roman" w:hAnsi="Times New Roman" w:cs="Times New Roman"/>
          <w:bCs/>
          <w:lang w:val="en-GB" w:eastAsia="en-IN"/>
        </w:rPr>
        <w:t xml:space="preserve">. Transient </w:t>
      </w:r>
      <w:r w:rsidRPr="001075BA">
        <w:rPr>
          <w:rFonts w:ascii="Times New Roman" w:eastAsia="Times New Roman" w:hAnsi="Times New Roman" w:cs="Times New Roman"/>
          <w:bCs/>
          <w:lang w:val="en-GB" w:eastAsia="en-IN"/>
        </w:rPr>
        <w:t>adsorption is used to estimate diffusion rates within solid materials using the Vieth-Sladek isotherm model.</w:t>
      </w:r>
    </w:p>
    <w:p w14:paraId="7F9D6FCB" w14:textId="0C796E0F" w:rsidR="00D73919" w:rsidRPr="001075BA" w:rsidRDefault="001D5908" w:rsidP="002311B1">
      <w:pPr>
        <w:spacing w:after="0" w:line="240" w:lineRule="auto"/>
        <w:ind w:firstLine="284"/>
        <w:jc w:val="both"/>
        <w:rPr>
          <w:rFonts w:ascii="Times New Roman" w:eastAsia="Times New Roman" w:hAnsi="Times New Roman" w:cs="Times New Roman"/>
          <w:bCs/>
          <w:lang w:val="en-GB" w:eastAsia="en-IN"/>
        </w:rPr>
      </w:pPr>
      <w:r w:rsidRPr="001075BA">
        <w:rPr>
          <w:rFonts w:ascii="Times New Roman" w:eastAsia="Times New Roman" w:hAnsi="Times New Roman" w:cs="Times New Roman"/>
          <w:bCs/>
          <w:lang w:val="en-GB" w:eastAsia="en-IN"/>
        </w:rPr>
        <w:t xml:space="preserve">The </w:t>
      </w:r>
      <w:proofErr w:type="spellStart"/>
      <w:r w:rsidRPr="001075BA">
        <w:rPr>
          <w:rFonts w:ascii="Times New Roman" w:eastAsia="Times New Roman" w:hAnsi="Times New Roman" w:cs="Times New Roman"/>
          <w:bCs/>
          <w:lang w:val="en-GB" w:eastAsia="en-IN"/>
        </w:rPr>
        <w:t>Brouers</w:t>
      </w:r>
      <w:proofErr w:type="spellEnd"/>
      <w:r w:rsidRPr="001075BA">
        <w:rPr>
          <w:rFonts w:ascii="Times New Roman" w:eastAsia="Times New Roman" w:hAnsi="Times New Roman" w:cs="Times New Roman"/>
          <w:bCs/>
          <w:lang w:val="en-GB" w:eastAsia="en-IN"/>
        </w:rPr>
        <w:t>-Sotolongo isotherm (</w:t>
      </w:r>
      <w:proofErr w:type="spellStart"/>
      <w:r w:rsidRPr="001075BA">
        <w:rPr>
          <w:rFonts w:ascii="Times New Roman" w:eastAsia="Times New Roman" w:hAnsi="Times New Roman" w:cs="Times New Roman"/>
          <w:bCs/>
          <w:lang w:val="en-GB" w:eastAsia="en-IN"/>
        </w:rPr>
        <w:t>Brouers</w:t>
      </w:r>
      <w:proofErr w:type="spellEnd"/>
      <w:r w:rsidRPr="001075BA">
        <w:rPr>
          <w:rFonts w:ascii="Times New Roman" w:eastAsia="Times New Roman" w:hAnsi="Times New Roman" w:cs="Times New Roman"/>
          <w:bCs/>
          <w:lang w:val="en-GB" w:eastAsia="en-IN"/>
        </w:rPr>
        <w:t xml:space="preserve"> et al. 2005) shares similarities with the Vieth-Sladek isotherm. It employs a mathematical equation comprising the </w:t>
      </w:r>
      <w:r w:rsidRPr="001075BA">
        <w:rPr>
          <w:rFonts w:ascii="Times New Roman" w:eastAsia="Times New Roman" w:hAnsi="Times New Roman" w:cs="Times New Roman"/>
          <w:bCs/>
          <w:i/>
          <w:lang w:val="en-GB" w:eastAsia="en-IN"/>
        </w:rPr>
        <w:t>K</w:t>
      </w:r>
      <w:r w:rsidRPr="001075BA">
        <w:rPr>
          <w:rFonts w:ascii="Times New Roman" w:eastAsia="Times New Roman" w:hAnsi="Times New Roman" w:cs="Times New Roman"/>
          <w:bCs/>
          <w:i/>
          <w:vertAlign w:val="subscript"/>
          <w:lang w:val="en-GB" w:eastAsia="en-IN"/>
        </w:rPr>
        <w:t>BS</w:t>
      </w:r>
      <w:r w:rsidRPr="001075BA">
        <w:rPr>
          <w:rFonts w:ascii="Times New Roman" w:eastAsia="Times New Roman" w:hAnsi="Times New Roman" w:cs="Times New Roman"/>
          <w:bCs/>
          <w:lang w:val="en-GB" w:eastAsia="en-IN"/>
        </w:rPr>
        <w:t xml:space="preserve"> and </w:t>
      </w:r>
      <w:r w:rsidRPr="001075BA">
        <w:rPr>
          <w:rFonts w:ascii="Times New Roman" w:eastAsia="Times New Roman" w:hAnsi="Times New Roman" w:cs="Times New Roman"/>
          <w:bCs/>
          <w:i/>
          <w:lang w:val="en-GB" w:eastAsia="en-IN"/>
        </w:rPr>
        <w:t>α</w:t>
      </w:r>
      <w:r w:rsidRPr="001075BA">
        <w:rPr>
          <w:rFonts w:ascii="Times New Roman" w:eastAsia="Times New Roman" w:hAnsi="Times New Roman" w:cs="Times New Roman"/>
          <w:bCs/>
          <w:lang w:val="en-GB" w:eastAsia="en-IN"/>
        </w:rPr>
        <w:t xml:space="preserve"> </w:t>
      </w:r>
      <w:r w:rsidR="00D73919" w:rsidRPr="001075BA">
        <w:rPr>
          <w:rFonts w:ascii="Times New Roman" w:eastAsia="Times New Roman" w:hAnsi="Times New Roman" w:cs="Times New Roman"/>
          <w:bCs/>
          <w:lang w:val="en-GB" w:eastAsia="en-IN"/>
        </w:rPr>
        <w:t>variable</w:t>
      </w:r>
      <w:r w:rsidRPr="001075BA">
        <w:rPr>
          <w:rFonts w:ascii="Times New Roman" w:eastAsia="Times New Roman" w:hAnsi="Times New Roman" w:cs="Times New Roman"/>
          <w:bCs/>
          <w:lang w:val="en-GB" w:eastAsia="en-IN"/>
        </w:rPr>
        <w:t xml:space="preserve">, </w:t>
      </w:r>
      <w:r w:rsidR="005E305D" w:rsidRPr="001075BA">
        <w:rPr>
          <w:rFonts w:ascii="Times New Roman" w:hAnsi="Times New Roman" w:cs="Times New Roman"/>
          <w:lang w:val="en-GB"/>
        </w:rPr>
        <w:t xml:space="preserve">describing the adsorbent-adsorbate </w:t>
      </w:r>
      <w:r w:rsidR="005E305D" w:rsidRPr="00971179">
        <w:rPr>
          <w:rFonts w:ascii="Times New Roman" w:hAnsi="Times New Roman" w:cs="Times New Roman"/>
          <w:spacing w:val="-2"/>
          <w:lang w:val="en-GB"/>
        </w:rPr>
        <w:t>system's active site circulation and adsorption capacity</w:t>
      </w:r>
      <w:r w:rsidRPr="00971179">
        <w:rPr>
          <w:rFonts w:ascii="Times New Roman" w:eastAsia="Times New Roman" w:hAnsi="Times New Roman" w:cs="Times New Roman"/>
          <w:bCs/>
          <w:spacing w:val="-2"/>
          <w:lang w:val="en-GB" w:eastAsia="en-IN"/>
        </w:rPr>
        <w:t xml:space="preserve">. The </w:t>
      </w:r>
      <w:proofErr w:type="spellStart"/>
      <w:r w:rsidRPr="00971179">
        <w:rPr>
          <w:rFonts w:ascii="Times New Roman" w:eastAsia="Times New Roman" w:hAnsi="Times New Roman" w:cs="Times New Roman"/>
          <w:bCs/>
          <w:i/>
          <w:spacing w:val="-2"/>
          <w:lang w:val="en-GB" w:eastAsia="en-IN"/>
        </w:rPr>
        <w:t>Q</w:t>
      </w:r>
      <w:r w:rsidRPr="00971179">
        <w:rPr>
          <w:rFonts w:ascii="Times New Roman" w:eastAsia="Times New Roman" w:hAnsi="Times New Roman" w:cs="Times New Roman"/>
          <w:bCs/>
          <w:i/>
          <w:spacing w:val="-2"/>
          <w:vertAlign w:val="subscript"/>
          <w:lang w:val="en-GB" w:eastAsia="en-IN"/>
        </w:rPr>
        <w:t>m</w:t>
      </w:r>
      <w:proofErr w:type="spellEnd"/>
      <w:r w:rsidRPr="00971179">
        <w:rPr>
          <w:rFonts w:ascii="Times New Roman" w:eastAsia="Times New Roman" w:hAnsi="Times New Roman" w:cs="Times New Roman"/>
          <w:bCs/>
          <w:spacing w:val="-2"/>
          <w:lang w:val="en-GB" w:eastAsia="en-IN"/>
        </w:rPr>
        <w:t xml:space="preserve"> value </w:t>
      </w:r>
      <w:r w:rsidR="005E305D" w:rsidRPr="00971179">
        <w:rPr>
          <w:rFonts w:ascii="Times New Roman" w:eastAsia="Times New Roman" w:hAnsi="Times New Roman" w:cs="Times New Roman"/>
          <w:bCs/>
          <w:spacing w:val="-2"/>
          <w:lang w:val="en-GB" w:eastAsia="en-IN"/>
        </w:rPr>
        <w:t>attained</w:t>
      </w:r>
      <w:r w:rsidRPr="00971179">
        <w:rPr>
          <w:rFonts w:ascii="Times New Roman" w:eastAsia="Times New Roman" w:hAnsi="Times New Roman" w:cs="Times New Roman"/>
          <w:bCs/>
          <w:spacing w:val="-2"/>
          <w:lang w:val="en-GB" w:eastAsia="en-IN"/>
        </w:rPr>
        <w:t xml:space="preserve"> for this isotherm is </w:t>
      </w:r>
      <w:r w:rsidR="00D73919" w:rsidRPr="00971179">
        <w:rPr>
          <w:rFonts w:ascii="Times New Roman" w:eastAsia="Times New Roman" w:hAnsi="Times New Roman" w:cs="Times New Roman"/>
          <w:bCs/>
          <w:spacing w:val="-2"/>
          <w:lang w:val="en-GB" w:eastAsia="en-IN"/>
        </w:rPr>
        <w:t>154.5 mg g</w:t>
      </w:r>
      <w:r w:rsidRPr="00971179">
        <w:rPr>
          <w:rFonts w:ascii="Times New Roman" w:eastAsia="Times New Roman" w:hAnsi="Times New Roman" w:cs="Times New Roman"/>
          <w:bCs/>
          <w:spacing w:val="-2"/>
          <w:vertAlign w:val="superscript"/>
          <w:lang w:val="en-GB" w:eastAsia="en-IN"/>
        </w:rPr>
        <w:t>-1</w:t>
      </w:r>
      <w:r w:rsidRPr="001075BA">
        <w:rPr>
          <w:rFonts w:ascii="Times New Roman" w:eastAsia="Times New Roman" w:hAnsi="Times New Roman" w:cs="Times New Roman"/>
          <w:bCs/>
          <w:lang w:val="en-GB" w:eastAsia="en-IN"/>
        </w:rPr>
        <w:t xml:space="preserve">, which closely approximates the </w:t>
      </w:r>
      <w:r w:rsidR="00286865" w:rsidRPr="001075BA">
        <w:rPr>
          <w:rFonts w:ascii="Times New Roman" w:eastAsia="Times New Roman" w:hAnsi="Times New Roman" w:cs="Times New Roman"/>
          <w:bCs/>
          <w:lang w:val="en-GB" w:eastAsia="en-IN"/>
        </w:rPr>
        <w:t>investigational</w:t>
      </w:r>
      <w:r w:rsidRPr="001075BA">
        <w:rPr>
          <w:rFonts w:ascii="Times New Roman" w:eastAsia="Times New Roman" w:hAnsi="Times New Roman" w:cs="Times New Roman"/>
          <w:bCs/>
          <w:lang w:val="en-GB" w:eastAsia="en-IN"/>
        </w:rPr>
        <w:t xml:space="preserve"> value of </w:t>
      </w:r>
      <w:proofErr w:type="spellStart"/>
      <w:r w:rsidRPr="001075BA">
        <w:rPr>
          <w:rFonts w:ascii="Times New Roman" w:eastAsia="Times New Roman" w:hAnsi="Times New Roman" w:cs="Times New Roman"/>
          <w:bCs/>
          <w:i/>
          <w:lang w:val="en-GB" w:eastAsia="en-IN"/>
        </w:rPr>
        <w:t>q</w:t>
      </w:r>
      <w:r w:rsidRPr="001075BA">
        <w:rPr>
          <w:rFonts w:ascii="Times New Roman" w:eastAsia="Times New Roman" w:hAnsi="Times New Roman" w:cs="Times New Roman"/>
          <w:bCs/>
          <w:i/>
          <w:vertAlign w:val="subscript"/>
          <w:lang w:val="en-GB" w:eastAsia="en-IN"/>
        </w:rPr>
        <w:t>m</w:t>
      </w:r>
      <w:proofErr w:type="spellEnd"/>
      <w:r w:rsidRPr="001075BA">
        <w:rPr>
          <w:rFonts w:ascii="Times New Roman" w:eastAsia="Times New Roman" w:hAnsi="Times New Roman" w:cs="Times New Roman"/>
          <w:bCs/>
          <w:lang w:val="en-GB" w:eastAsia="en-IN"/>
        </w:rPr>
        <w:t xml:space="preserve"> </w:t>
      </w:r>
      <w:r w:rsidR="00D73919" w:rsidRPr="001075BA">
        <w:rPr>
          <w:rFonts w:ascii="Times New Roman" w:eastAsia="Times New Roman" w:hAnsi="Times New Roman" w:cs="Times New Roman"/>
          <w:bCs/>
          <w:lang w:val="en-GB" w:eastAsia="en-IN"/>
        </w:rPr>
        <w:t>(188 mg g</w:t>
      </w:r>
      <w:r w:rsidRPr="001075BA">
        <w:rPr>
          <w:rFonts w:ascii="Times New Roman" w:eastAsia="Times New Roman" w:hAnsi="Times New Roman" w:cs="Times New Roman"/>
          <w:bCs/>
          <w:vertAlign w:val="superscript"/>
          <w:lang w:val="en-GB" w:eastAsia="en-IN"/>
        </w:rPr>
        <w:t>-1</w:t>
      </w:r>
      <w:r w:rsidRPr="001075BA">
        <w:rPr>
          <w:rFonts w:ascii="Times New Roman" w:eastAsia="Times New Roman" w:hAnsi="Times New Roman" w:cs="Times New Roman"/>
          <w:bCs/>
          <w:lang w:val="en-GB" w:eastAsia="en-IN"/>
        </w:rPr>
        <w:t xml:space="preserve">). Moreover, the high </w:t>
      </w:r>
      <w:r w:rsidRPr="001075BA">
        <w:rPr>
          <w:rFonts w:ascii="Times New Roman" w:eastAsia="Times New Roman" w:hAnsi="Times New Roman" w:cs="Times New Roman"/>
          <w:bCs/>
          <w:i/>
          <w:lang w:val="en-GB" w:eastAsia="en-IN"/>
        </w:rPr>
        <w:t>R</w:t>
      </w:r>
      <w:r w:rsidRPr="001075BA">
        <w:rPr>
          <w:rFonts w:ascii="Times New Roman" w:eastAsia="Times New Roman" w:hAnsi="Times New Roman" w:cs="Times New Roman"/>
          <w:bCs/>
          <w:i/>
          <w:vertAlign w:val="superscript"/>
          <w:lang w:val="en-GB" w:eastAsia="en-IN"/>
        </w:rPr>
        <w:t>2</w:t>
      </w:r>
      <w:r w:rsidRPr="001075BA">
        <w:rPr>
          <w:rFonts w:ascii="Times New Roman" w:eastAsia="Times New Roman" w:hAnsi="Times New Roman" w:cs="Times New Roman"/>
          <w:bCs/>
          <w:lang w:val="en-GB" w:eastAsia="en-IN"/>
        </w:rPr>
        <w:t xml:space="preserve"> value of 0.99 indicates </w:t>
      </w:r>
      <w:r w:rsidR="00286865" w:rsidRPr="001075BA">
        <w:rPr>
          <w:rFonts w:ascii="Times New Roman" w:eastAsia="Times New Roman" w:hAnsi="Times New Roman" w:cs="Times New Roman"/>
          <w:bCs/>
          <w:lang w:val="en-GB" w:eastAsia="en-IN"/>
        </w:rPr>
        <w:t xml:space="preserve">a good match of the investigational data to this isotherm, </w:t>
      </w:r>
      <w:r w:rsidRPr="001075BA">
        <w:rPr>
          <w:rFonts w:ascii="Times New Roman" w:eastAsia="Times New Roman" w:hAnsi="Times New Roman" w:cs="Times New Roman"/>
          <w:bCs/>
          <w:lang w:val="en-GB" w:eastAsia="en-IN"/>
        </w:rPr>
        <w:t xml:space="preserve">as shown in Fig. </w:t>
      </w:r>
      <w:r w:rsidR="00854A12" w:rsidRPr="001075BA">
        <w:rPr>
          <w:rFonts w:ascii="Times New Roman" w:eastAsia="Times New Roman" w:hAnsi="Times New Roman" w:cs="Times New Roman"/>
          <w:bCs/>
          <w:lang w:val="en-GB" w:eastAsia="en-IN"/>
        </w:rPr>
        <w:t>4</w:t>
      </w:r>
      <w:r w:rsidRPr="001075BA">
        <w:rPr>
          <w:rFonts w:ascii="Times New Roman" w:eastAsia="Times New Roman" w:hAnsi="Times New Roman" w:cs="Times New Roman"/>
          <w:bCs/>
          <w:lang w:val="en-GB" w:eastAsia="en-IN"/>
        </w:rPr>
        <w:t>d.</w:t>
      </w:r>
    </w:p>
    <w:p w14:paraId="55D6B728" w14:textId="297FDFA3" w:rsidR="00286865" w:rsidRPr="001075BA" w:rsidRDefault="001D5908" w:rsidP="002311B1">
      <w:pPr>
        <w:spacing w:after="0" w:line="240" w:lineRule="auto"/>
        <w:ind w:firstLine="284"/>
        <w:jc w:val="both"/>
        <w:rPr>
          <w:rFonts w:ascii="Times New Roman" w:eastAsia="Times New Roman" w:hAnsi="Times New Roman" w:cs="Times New Roman"/>
          <w:bCs/>
          <w:lang w:val="en-GB" w:eastAsia="en-IN"/>
        </w:rPr>
      </w:pPr>
      <w:r w:rsidRPr="001075BA">
        <w:rPr>
          <w:rFonts w:ascii="Times New Roman" w:eastAsia="Times New Roman" w:hAnsi="Times New Roman" w:cs="Times New Roman"/>
          <w:bCs/>
          <w:lang w:val="en-GB" w:eastAsia="en-IN"/>
        </w:rPr>
        <w:t>The Radke-</w:t>
      </w:r>
      <w:proofErr w:type="spellStart"/>
      <w:r w:rsidRPr="001075BA">
        <w:rPr>
          <w:rFonts w:ascii="Times New Roman" w:eastAsia="Times New Roman" w:hAnsi="Times New Roman" w:cs="Times New Roman"/>
          <w:bCs/>
          <w:lang w:val="en-GB" w:eastAsia="en-IN"/>
        </w:rPr>
        <w:t>Prausnitz</w:t>
      </w:r>
      <w:proofErr w:type="spellEnd"/>
      <w:r w:rsidRPr="001075BA">
        <w:rPr>
          <w:rFonts w:ascii="Times New Roman" w:eastAsia="Times New Roman" w:hAnsi="Times New Roman" w:cs="Times New Roman"/>
          <w:bCs/>
          <w:lang w:val="en-GB" w:eastAsia="en-IN"/>
        </w:rPr>
        <w:t xml:space="preserve"> isotherm model (Radke </w:t>
      </w:r>
      <w:r w:rsidR="00BC69FE">
        <w:rPr>
          <w:rFonts w:ascii="Times New Roman" w:eastAsia="Times New Roman" w:hAnsi="Times New Roman" w:cs="Times New Roman"/>
          <w:bCs/>
          <w:lang w:val="en-GB" w:eastAsia="en-IN"/>
        </w:rPr>
        <w:t>&amp;</w:t>
      </w:r>
      <w:r w:rsidRPr="001075BA">
        <w:rPr>
          <w:rFonts w:ascii="Times New Roman" w:eastAsia="Times New Roman" w:hAnsi="Times New Roman" w:cs="Times New Roman"/>
          <w:bCs/>
          <w:lang w:val="en-GB" w:eastAsia="en-IN"/>
        </w:rPr>
        <w:t xml:space="preserve"> </w:t>
      </w:r>
      <w:proofErr w:type="spellStart"/>
      <w:r w:rsidRPr="001075BA">
        <w:rPr>
          <w:rFonts w:ascii="Times New Roman" w:eastAsia="Times New Roman" w:hAnsi="Times New Roman" w:cs="Times New Roman"/>
          <w:bCs/>
          <w:lang w:val="en-GB" w:eastAsia="en-IN"/>
        </w:rPr>
        <w:t>Prausnitz</w:t>
      </w:r>
      <w:proofErr w:type="spellEnd"/>
      <w:r w:rsidRPr="001075BA">
        <w:rPr>
          <w:rFonts w:ascii="Times New Roman" w:eastAsia="Times New Roman" w:hAnsi="Times New Roman" w:cs="Times New Roman"/>
          <w:bCs/>
          <w:lang w:val="en-GB" w:eastAsia="en-IN"/>
        </w:rPr>
        <w:t xml:space="preserve"> 1972) appears to be well-suited for describing the BG-NIFSS system, as it yields the maximum </w:t>
      </w:r>
      <w:proofErr w:type="spellStart"/>
      <w:r w:rsidRPr="001075BA">
        <w:rPr>
          <w:rFonts w:ascii="Times New Roman" w:eastAsia="Times New Roman" w:hAnsi="Times New Roman" w:cs="Times New Roman"/>
          <w:bCs/>
          <w:i/>
          <w:lang w:val="en-GB" w:eastAsia="en-IN"/>
        </w:rPr>
        <w:t>Q</w:t>
      </w:r>
      <w:r w:rsidRPr="001075BA">
        <w:rPr>
          <w:rFonts w:ascii="Times New Roman" w:eastAsia="Times New Roman" w:hAnsi="Times New Roman" w:cs="Times New Roman"/>
          <w:bCs/>
          <w:i/>
          <w:vertAlign w:val="subscript"/>
          <w:lang w:val="en-GB" w:eastAsia="en-IN"/>
        </w:rPr>
        <w:t>m</w:t>
      </w:r>
      <w:proofErr w:type="spellEnd"/>
      <w:r w:rsidRPr="001075BA">
        <w:rPr>
          <w:rFonts w:ascii="Times New Roman" w:eastAsia="Times New Roman" w:hAnsi="Times New Roman" w:cs="Times New Roman"/>
          <w:bCs/>
          <w:vertAlign w:val="subscript"/>
          <w:lang w:val="en-GB" w:eastAsia="en-IN"/>
        </w:rPr>
        <w:t xml:space="preserve"> </w:t>
      </w:r>
      <w:r w:rsidR="00D73919" w:rsidRPr="001075BA">
        <w:rPr>
          <w:rFonts w:ascii="Times New Roman" w:eastAsia="Times New Roman" w:hAnsi="Times New Roman" w:cs="Times New Roman"/>
          <w:bCs/>
          <w:lang w:val="en-GB" w:eastAsia="en-IN"/>
        </w:rPr>
        <w:t xml:space="preserve">value and demonstrates a good </w:t>
      </w:r>
      <w:r w:rsidR="00D73919" w:rsidRPr="001075BA">
        <w:rPr>
          <w:rFonts w:ascii="Times New Roman" w:eastAsia="Times New Roman" w:hAnsi="Times New Roman" w:cs="Times New Roman"/>
          <w:bCs/>
          <w:i/>
          <w:lang w:val="en-GB" w:eastAsia="en-IN"/>
        </w:rPr>
        <w:t>χ</w:t>
      </w:r>
      <w:r w:rsidRPr="001075BA">
        <w:rPr>
          <w:rFonts w:ascii="Times New Roman" w:eastAsia="Times New Roman" w:hAnsi="Times New Roman" w:cs="Times New Roman"/>
          <w:bCs/>
          <w:i/>
          <w:vertAlign w:val="superscript"/>
          <w:lang w:val="en-GB" w:eastAsia="en-IN"/>
        </w:rPr>
        <w:t>2</w:t>
      </w:r>
      <w:r w:rsidR="00286865" w:rsidRPr="001075BA">
        <w:rPr>
          <w:rFonts w:ascii="Times New Roman" w:eastAsia="Times New Roman" w:hAnsi="Times New Roman" w:cs="Times New Roman"/>
          <w:bCs/>
          <w:lang w:val="en-GB" w:eastAsia="en-IN"/>
        </w:rPr>
        <w:t xml:space="preserve"> value of 1.664.</w:t>
      </w:r>
    </w:p>
    <w:p w14:paraId="293D4F7A" w14:textId="7CFCE908" w:rsidR="001D5908" w:rsidRPr="001075BA" w:rsidRDefault="001D5908" w:rsidP="002311B1">
      <w:pPr>
        <w:spacing w:after="0" w:line="240" w:lineRule="auto"/>
        <w:ind w:firstLine="284"/>
        <w:jc w:val="both"/>
        <w:rPr>
          <w:rFonts w:ascii="Times New Roman" w:eastAsia="Times New Roman" w:hAnsi="Times New Roman" w:cs="Times New Roman"/>
          <w:bCs/>
          <w:lang w:val="en-GB" w:eastAsia="en-IN"/>
        </w:rPr>
      </w:pPr>
      <w:r w:rsidRPr="001075BA">
        <w:rPr>
          <w:rFonts w:ascii="Times New Roman" w:eastAsia="Times New Roman" w:hAnsi="Times New Roman" w:cs="Times New Roman"/>
          <w:bCs/>
          <w:lang w:val="en-GB" w:eastAsia="en-IN"/>
        </w:rPr>
        <w:t xml:space="preserve">In summary, these various isotherm models, including Vieth-Sladek, </w:t>
      </w:r>
      <w:proofErr w:type="spellStart"/>
      <w:r w:rsidRPr="001075BA">
        <w:rPr>
          <w:rFonts w:ascii="Times New Roman" w:eastAsia="Times New Roman" w:hAnsi="Times New Roman" w:cs="Times New Roman"/>
          <w:bCs/>
          <w:lang w:val="en-GB" w:eastAsia="en-IN"/>
        </w:rPr>
        <w:t>Brouers</w:t>
      </w:r>
      <w:proofErr w:type="spellEnd"/>
      <w:r w:rsidRPr="001075BA">
        <w:rPr>
          <w:rFonts w:ascii="Times New Roman" w:eastAsia="Times New Roman" w:hAnsi="Times New Roman" w:cs="Times New Roman"/>
          <w:bCs/>
          <w:lang w:val="en-GB" w:eastAsia="en-IN"/>
        </w:rPr>
        <w:t>-Sotolongo, and Radke-</w:t>
      </w:r>
      <w:proofErr w:type="spellStart"/>
      <w:r w:rsidRPr="001075BA">
        <w:rPr>
          <w:rFonts w:ascii="Times New Roman" w:eastAsia="Times New Roman" w:hAnsi="Times New Roman" w:cs="Times New Roman"/>
          <w:bCs/>
          <w:lang w:val="en-GB" w:eastAsia="en-IN"/>
        </w:rPr>
        <w:t>Prausnitz</w:t>
      </w:r>
      <w:proofErr w:type="spellEnd"/>
      <w:r w:rsidRPr="001075BA">
        <w:rPr>
          <w:rFonts w:ascii="Times New Roman" w:eastAsia="Times New Roman" w:hAnsi="Times New Roman" w:cs="Times New Roman"/>
          <w:bCs/>
          <w:lang w:val="en-GB" w:eastAsia="en-IN"/>
        </w:rPr>
        <w:t>, contribute to a comprehensive understanding of the adsorption process between BG and NIFSS</w:t>
      </w:r>
      <w:r w:rsidR="00FD3593" w:rsidRPr="001075BA">
        <w:rPr>
          <w:rFonts w:ascii="Times New Roman" w:eastAsia="Times New Roman" w:hAnsi="Times New Roman" w:cs="Times New Roman"/>
          <w:bCs/>
          <w:lang w:val="en-GB" w:eastAsia="en-IN"/>
        </w:rPr>
        <w:t>.</w:t>
      </w:r>
      <w:r w:rsidRPr="001075BA">
        <w:rPr>
          <w:rFonts w:ascii="Times New Roman" w:eastAsia="Times New Roman" w:hAnsi="Times New Roman" w:cs="Times New Roman"/>
          <w:bCs/>
          <w:lang w:val="en-GB" w:eastAsia="en-IN"/>
        </w:rPr>
        <w:t xml:space="preserve"> </w:t>
      </w:r>
      <w:r w:rsidR="00FD3593" w:rsidRPr="001075BA">
        <w:rPr>
          <w:rFonts w:ascii="Times New Roman" w:eastAsia="Times New Roman" w:hAnsi="Times New Roman" w:cs="Times New Roman"/>
          <w:bCs/>
          <w:lang w:val="en-GB" w:eastAsia="en-IN"/>
        </w:rPr>
        <w:t>E</w:t>
      </w:r>
      <w:r w:rsidRPr="001075BA">
        <w:rPr>
          <w:rFonts w:ascii="Times New Roman" w:eastAsia="Times New Roman" w:hAnsi="Times New Roman" w:cs="Times New Roman"/>
          <w:bCs/>
          <w:lang w:val="en-GB" w:eastAsia="en-IN"/>
        </w:rPr>
        <w:t>ach model provid</w:t>
      </w:r>
      <w:r w:rsidR="00FD3593" w:rsidRPr="001075BA">
        <w:rPr>
          <w:rFonts w:ascii="Times New Roman" w:eastAsia="Times New Roman" w:hAnsi="Times New Roman" w:cs="Times New Roman"/>
          <w:bCs/>
          <w:lang w:val="en-GB" w:eastAsia="en-IN"/>
        </w:rPr>
        <w:t>es</w:t>
      </w:r>
      <w:r w:rsidRPr="001075BA">
        <w:rPr>
          <w:rFonts w:ascii="Times New Roman" w:eastAsia="Times New Roman" w:hAnsi="Times New Roman" w:cs="Times New Roman"/>
          <w:bCs/>
          <w:lang w:val="en-GB" w:eastAsia="en-IN"/>
        </w:rPr>
        <w:t xml:space="preserve"> valuable insights into different aspects of the adsorption behavio</w:t>
      </w:r>
      <w:r w:rsidR="00D73919" w:rsidRPr="001075BA">
        <w:rPr>
          <w:rFonts w:ascii="Times New Roman" w:eastAsia="Times New Roman" w:hAnsi="Times New Roman" w:cs="Times New Roman"/>
          <w:bCs/>
          <w:lang w:val="en-GB" w:eastAsia="en-IN"/>
        </w:rPr>
        <w:t>u</w:t>
      </w:r>
      <w:r w:rsidRPr="001075BA">
        <w:rPr>
          <w:rFonts w:ascii="Times New Roman" w:eastAsia="Times New Roman" w:hAnsi="Times New Roman" w:cs="Times New Roman"/>
          <w:bCs/>
          <w:lang w:val="en-GB" w:eastAsia="en-IN"/>
        </w:rPr>
        <w:t>r.</w:t>
      </w:r>
    </w:p>
    <w:p w14:paraId="301EBBE9" w14:textId="219FC394" w:rsidR="00D73919" w:rsidRPr="001075BA" w:rsidRDefault="00D73919" w:rsidP="002311B1">
      <w:pPr>
        <w:spacing w:after="0" w:line="240" w:lineRule="auto"/>
        <w:ind w:firstLine="284"/>
        <w:jc w:val="both"/>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 xml:space="preserve">In short, among all the models, both the Jovanovich and </w:t>
      </w:r>
      <w:proofErr w:type="spellStart"/>
      <w:r w:rsidRPr="001075BA">
        <w:rPr>
          <w:rFonts w:ascii="Times New Roman" w:eastAsia="Times New Roman" w:hAnsi="Times New Roman" w:cs="Times New Roman"/>
          <w:lang w:val="en-GB" w:eastAsia="en-IN"/>
        </w:rPr>
        <w:t>Brouers</w:t>
      </w:r>
      <w:proofErr w:type="spellEnd"/>
      <w:r w:rsidRPr="001075BA">
        <w:rPr>
          <w:rFonts w:ascii="Times New Roman" w:eastAsia="Times New Roman" w:hAnsi="Times New Roman" w:cs="Times New Roman"/>
          <w:lang w:val="en-GB" w:eastAsia="en-IN"/>
        </w:rPr>
        <w:t xml:space="preserve">-Sotolongo models yield adsorption capacities very </w:t>
      </w:r>
      <w:r w:rsidR="009C61A2" w:rsidRPr="001075BA">
        <w:rPr>
          <w:rFonts w:ascii="Times New Roman" w:eastAsia="Times New Roman" w:hAnsi="Times New Roman" w:cs="Times New Roman"/>
          <w:lang w:val="en-GB" w:eastAsia="en-IN"/>
        </w:rPr>
        <w:t>near</w:t>
      </w:r>
      <w:r w:rsidRPr="001075BA">
        <w:rPr>
          <w:rFonts w:ascii="Times New Roman" w:eastAsia="Times New Roman" w:hAnsi="Times New Roman" w:cs="Times New Roman"/>
          <w:lang w:val="en-GB" w:eastAsia="en-IN"/>
        </w:rPr>
        <w:t xml:space="preserve"> the </w:t>
      </w:r>
      <w:r w:rsidR="00286865" w:rsidRPr="001075BA">
        <w:rPr>
          <w:rFonts w:ascii="Times New Roman" w:eastAsia="Times New Roman" w:hAnsi="Times New Roman" w:cs="Times New Roman"/>
          <w:lang w:val="en-GB" w:eastAsia="en-IN"/>
        </w:rPr>
        <w:t>investigational</w:t>
      </w:r>
      <w:r w:rsidRPr="001075BA">
        <w:rPr>
          <w:rFonts w:ascii="Times New Roman" w:eastAsia="Times New Roman" w:hAnsi="Times New Roman" w:cs="Times New Roman"/>
          <w:lang w:val="en-GB" w:eastAsia="en-IN"/>
        </w:rPr>
        <w:t xml:space="preserve"> </w:t>
      </w:r>
      <w:proofErr w:type="spellStart"/>
      <w:r w:rsidRPr="001075BA">
        <w:rPr>
          <w:rFonts w:ascii="Times New Roman" w:eastAsia="Times New Roman" w:hAnsi="Times New Roman" w:cs="Times New Roman"/>
          <w:i/>
          <w:lang w:val="en-GB" w:eastAsia="en-IN"/>
        </w:rPr>
        <w:t>q</w:t>
      </w:r>
      <w:r w:rsidRPr="001075BA">
        <w:rPr>
          <w:rFonts w:ascii="Times New Roman" w:eastAsia="Times New Roman" w:hAnsi="Times New Roman" w:cs="Times New Roman"/>
          <w:i/>
          <w:vertAlign w:val="subscript"/>
          <w:lang w:val="en-GB" w:eastAsia="en-IN"/>
        </w:rPr>
        <w:t>e</w:t>
      </w:r>
      <w:proofErr w:type="spellEnd"/>
      <w:r w:rsidRPr="001075BA">
        <w:rPr>
          <w:rFonts w:ascii="Times New Roman" w:eastAsia="Times New Roman" w:hAnsi="Times New Roman" w:cs="Times New Roman"/>
          <w:lang w:val="en-GB" w:eastAsia="en-IN"/>
        </w:rPr>
        <w:t xml:space="preserve"> value of 150 mg g</w:t>
      </w:r>
      <w:r w:rsidRPr="001075BA">
        <w:rPr>
          <w:rFonts w:ascii="Times New Roman" w:eastAsia="Times New Roman" w:hAnsi="Times New Roman" w:cs="Times New Roman"/>
          <w:vertAlign w:val="superscript"/>
          <w:lang w:val="en-GB" w:eastAsia="en-IN"/>
        </w:rPr>
        <w:t>-1</w:t>
      </w:r>
      <w:r w:rsidRPr="001075BA">
        <w:rPr>
          <w:rFonts w:ascii="Times New Roman" w:eastAsia="Times New Roman" w:hAnsi="Times New Roman" w:cs="Times New Roman"/>
          <w:lang w:val="en-GB" w:eastAsia="en-IN"/>
        </w:rPr>
        <w:t>. These two models demonstrate a better fit compared to the others.</w:t>
      </w:r>
    </w:p>
    <w:p w14:paraId="261BA327" w14:textId="74216107" w:rsidR="001D5908" w:rsidRPr="001075BA" w:rsidRDefault="003C0F9B" w:rsidP="002311B1">
      <w:pPr>
        <w:spacing w:after="0" w:line="240" w:lineRule="auto"/>
        <w:ind w:firstLine="284"/>
        <w:jc w:val="both"/>
        <w:rPr>
          <w:rFonts w:ascii="Times New Roman" w:eastAsia="Times New Roman" w:hAnsi="Times New Roman" w:cs="Times New Roman"/>
          <w:bCs/>
          <w:lang w:val="en-GB" w:eastAsia="en-IN"/>
        </w:rPr>
      </w:pPr>
      <w:r w:rsidRPr="001075BA">
        <w:rPr>
          <w:rFonts w:ascii="Times New Roman" w:hAnsi="Times New Roman" w:cs="Times New Roman"/>
          <w:lang w:val="en-GB"/>
        </w:rPr>
        <w:t>In conclusion, the models utilised to comprehend the adsorption mechanism use higher-order equations. In</w:t>
      </w:r>
      <w:r w:rsidR="00F850CE">
        <w:rPr>
          <w:rFonts w:ascii="Times New Roman" w:hAnsi="Times New Roman" w:cs="Times New Roman"/>
          <w:lang w:val="en-GB"/>
        </w:rPr>
        <w:t> </w:t>
      </w:r>
      <w:r w:rsidRPr="001075BA">
        <w:rPr>
          <w:rFonts w:ascii="Times New Roman" w:hAnsi="Times New Roman" w:cs="Times New Roman"/>
          <w:lang w:val="en-GB"/>
        </w:rPr>
        <w:t xml:space="preserve">isolation, the </w:t>
      </w:r>
      <w:r w:rsidRPr="001075BA">
        <w:rPr>
          <w:rFonts w:ascii="Times New Roman" w:hAnsi="Times New Roman" w:cs="Times New Roman"/>
          <w:i/>
          <w:lang w:val="en-GB"/>
        </w:rPr>
        <w:t>R</w:t>
      </w:r>
      <w:r w:rsidRPr="001075BA">
        <w:rPr>
          <w:rFonts w:ascii="Times New Roman" w:hAnsi="Times New Roman" w:cs="Times New Roman"/>
          <w:i/>
          <w:vertAlign w:val="superscript"/>
          <w:lang w:val="en-GB"/>
        </w:rPr>
        <w:t>2</w:t>
      </w:r>
      <w:r w:rsidRPr="001075BA">
        <w:rPr>
          <w:rFonts w:ascii="Times New Roman" w:hAnsi="Times New Roman" w:cs="Times New Roman"/>
          <w:lang w:val="en-GB"/>
        </w:rPr>
        <w:t xml:space="preserve"> value</w:t>
      </w:r>
      <w:r w:rsidR="002311B1" w:rsidRPr="001075BA">
        <w:rPr>
          <w:rFonts w:ascii="Times New Roman" w:hAnsi="Times New Roman" w:cs="Times New Roman"/>
          <w:lang w:val="en-GB"/>
        </w:rPr>
        <w:t xml:space="preserve"> –</w:t>
      </w:r>
      <w:r w:rsidR="00971179">
        <w:rPr>
          <w:rFonts w:ascii="Times New Roman" w:hAnsi="Times New Roman" w:cs="Times New Roman"/>
          <w:lang w:val="en-GB"/>
        </w:rPr>
        <w:t xml:space="preserve"> </w:t>
      </w:r>
      <w:r w:rsidRPr="001075BA">
        <w:rPr>
          <w:rFonts w:ascii="Times New Roman" w:hAnsi="Times New Roman" w:cs="Times New Roman"/>
          <w:lang w:val="en-GB"/>
        </w:rPr>
        <w:t>only applicable to linear models</w:t>
      </w:r>
      <w:r w:rsidR="002311B1" w:rsidRPr="001075BA">
        <w:rPr>
          <w:rFonts w:ascii="Times New Roman" w:hAnsi="Times New Roman" w:cs="Times New Roman"/>
          <w:lang w:val="en-GB"/>
        </w:rPr>
        <w:t xml:space="preserve"> – </w:t>
      </w:r>
      <w:r w:rsidRPr="001075BA">
        <w:rPr>
          <w:rFonts w:ascii="Times New Roman" w:hAnsi="Times New Roman" w:cs="Times New Roman"/>
          <w:lang w:val="en-GB"/>
        </w:rPr>
        <w:t xml:space="preserve">cannot be used to assess the quality of data fitting. </w:t>
      </w:r>
      <w:r w:rsidR="00D73919" w:rsidRPr="001075BA">
        <w:rPr>
          <w:rFonts w:ascii="Times New Roman" w:eastAsia="Times New Roman" w:hAnsi="Times New Roman" w:cs="Times New Roman"/>
          <w:lang w:val="en-GB" w:eastAsia="en-IN"/>
        </w:rPr>
        <w:t xml:space="preserve">Therefore, </w:t>
      </w:r>
      <w:r w:rsidR="00D73919" w:rsidRPr="001075BA">
        <w:rPr>
          <w:rFonts w:ascii="Times New Roman" w:eastAsia="Times New Roman" w:hAnsi="Times New Roman" w:cs="Times New Roman"/>
          <w:i/>
          <w:lang w:val="en-GB" w:eastAsia="en-IN"/>
        </w:rPr>
        <w:t>χ</w:t>
      </w:r>
      <w:r w:rsidR="00D73919" w:rsidRPr="001075BA">
        <w:rPr>
          <w:rFonts w:ascii="Times New Roman" w:eastAsia="Times New Roman" w:hAnsi="Times New Roman" w:cs="Times New Roman"/>
          <w:i/>
          <w:vertAlign w:val="superscript"/>
          <w:lang w:val="en-GB" w:eastAsia="en-IN"/>
        </w:rPr>
        <w:t>2</w:t>
      </w:r>
      <w:r w:rsidR="00D73919" w:rsidRPr="001075BA">
        <w:rPr>
          <w:rFonts w:ascii="Times New Roman" w:eastAsia="Times New Roman" w:hAnsi="Times New Roman" w:cs="Times New Roman"/>
          <w:lang w:val="en-GB" w:eastAsia="en-IN"/>
        </w:rPr>
        <w:t xml:space="preserve"> values are also </w:t>
      </w:r>
      <w:r w:rsidR="00286865" w:rsidRPr="001075BA">
        <w:rPr>
          <w:rFonts w:ascii="Times New Roman" w:eastAsia="Times New Roman" w:hAnsi="Times New Roman" w:cs="Times New Roman"/>
          <w:lang w:val="en-GB" w:eastAsia="en-IN"/>
        </w:rPr>
        <w:t>reflected</w:t>
      </w:r>
      <w:r w:rsidR="00D73919" w:rsidRPr="001075BA">
        <w:rPr>
          <w:rFonts w:ascii="Times New Roman" w:eastAsia="Times New Roman" w:hAnsi="Times New Roman" w:cs="Times New Roman"/>
          <w:lang w:val="en-GB" w:eastAsia="en-IN"/>
        </w:rPr>
        <w:t xml:space="preserve">, as they offer a more robust statistical assessment. A small </w:t>
      </w:r>
      <w:r w:rsidR="00D73919" w:rsidRPr="001075BA">
        <w:rPr>
          <w:rFonts w:ascii="Times New Roman" w:eastAsia="Times New Roman" w:hAnsi="Times New Roman" w:cs="Times New Roman"/>
          <w:i/>
          <w:lang w:val="en-GB" w:eastAsia="en-IN"/>
        </w:rPr>
        <w:t>χ</w:t>
      </w:r>
      <w:r w:rsidR="00D73919" w:rsidRPr="001075BA">
        <w:rPr>
          <w:rFonts w:ascii="Times New Roman" w:eastAsia="Times New Roman" w:hAnsi="Times New Roman" w:cs="Times New Roman"/>
          <w:i/>
          <w:vertAlign w:val="superscript"/>
          <w:lang w:val="en-GB" w:eastAsia="en-IN"/>
        </w:rPr>
        <w:t>2</w:t>
      </w:r>
      <w:r w:rsidR="00D73919" w:rsidRPr="001075BA">
        <w:rPr>
          <w:rFonts w:ascii="Times New Roman" w:eastAsia="Times New Roman" w:hAnsi="Times New Roman" w:cs="Times New Roman"/>
          <w:i/>
          <w:lang w:val="en-GB" w:eastAsia="en-IN"/>
        </w:rPr>
        <w:t xml:space="preserve"> </w:t>
      </w:r>
      <w:r w:rsidR="00D73919" w:rsidRPr="001075BA">
        <w:rPr>
          <w:rFonts w:ascii="Times New Roman" w:eastAsia="Times New Roman" w:hAnsi="Times New Roman" w:cs="Times New Roman"/>
          <w:lang w:val="en-GB" w:eastAsia="en-IN"/>
        </w:rPr>
        <w:t xml:space="preserve">value </w:t>
      </w:r>
      <w:r w:rsidR="004112F9" w:rsidRPr="001075BA">
        <w:rPr>
          <w:rFonts w:ascii="Times New Roman" w:eastAsia="Times New Roman" w:hAnsi="Times New Roman" w:cs="Times New Roman"/>
          <w:lang w:val="en-GB" w:eastAsia="en-IN"/>
        </w:rPr>
        <w:t>designates</w:t>
      </w:r>
      <w:r w:rsidR="00D73919" w:rsidRPr="001075BA">
        <w:rPr>
          <w:rFonts w:ascii="Times New Roman" w:eastAsia="Times New Roman" w:hAnsi="Times New Roman" w:cs="Times New Roman"/>
          <w:lang w:val="en-GB" w:eastAsia="en-IN"/>
        </w:rPr>
        <w:t xml:space="preserve"> that the model data closely resemble the </w:t>
      </w:r>
      <w:r w:rsidR="004112F9" w:rsidRPr="001075BA">
        <w:rPr>
          <w:rFonts w:ascii="Times New Roman" w:eastAsia="Times New Roman" w:hAnsi="Times New Roman" w:cs="Times New Roman"/>
          <w:lang w:val="en-GB" w:eastAsia="en-IN"/>
        </w:rPr>
        <w:t>investigational</w:t>
      </w:r>
      <w:r w:rsidR="00D73919" w:rsidRPr="001075BA">
        <w:rPr>
          <w:rFonts w:ascii="Times New Roman" w:eastAsia="Times New Roman" w:hAnsi="Times New Roman" w:cs="Times New Roman"/>
          <w:lang w:val="en-GB" w:eastAsia="en-IN"/>
        </w:rPr>
        <w:t xml:space="preserve"> data, while a larger value suggests the opposite. All nine isotherm models provided parameter values (</w:t>
      </w:r>
      <w:proofErr w:type="spellStart"/>
      <w:r w:rsidR="00D73919" w:rsidRPr="001075BA">
        <w:rPr>
          <w:rFonts w:ascii="Times New Roman" w:eastAsia="Times New Roman" w:hAnsi="Times New Roman" w:cs="Times New Roman"/>
          <w:i/>
          <w:lang w:val="en-GB" w:eastAsia="en-IN"/>
        </w:rPr>
        <w:t>Q</w:t>
      </w:r>
      <w:r w:rsidR="00D73919" w:rsidRPr="001075BA">
        <w:rPr>
          <w:rFonts w:ascii="Times New Roman" w:eastAsia="Times New Roman" w:hAnsi="Times New Roman" w:cs="Times New Roman"/>
          <w:i/>
          <w:vertAlign w:val="subscript"/>
          <w:lang w:val="en-GB" w:eastAsia="en-IN"/>
        </w:rPr>
        <w:t>m</w:t>
      </w:r>
      <w:proofErr w:type="spellEnd"/>
      <w:r w:rsidR="00D73919" w:rsidRPr="001075BA">
        <w:rPr>
          <w:rFonts w:ascii="Times New Roman" w:eastAsia="Times New Roman" w:hAnsi="Times New Roman" w:cs="Times New Roman"/>
          <w:lang w:val="en-GB" w:eastAsia="en-IN"/>
        </w:rPr>
        <w:t xml:space="preserve">, </w:t>
      </w:r>
      <w:r w:rsidR="00D73919" w:rsidRPr="001075BA">
        <w:rPr>
          <w:rFonts w:ascii="Times New Roman" w:eastAsia="Times New Roman" w:hAnsi="Times New Roman" w:cs="Times New Roman"/>
          <w:i/>
          <w:lang w:val="en-GB" w:eastAsia="en-IN"/>
        </w:rPr>
        <w:t>χ</w:t>
      </w:r>
      <w:r w:rsidR="00D73919" w:rsidRPr="001075BA">
        <w:rPr>
          <w:rFonts w:ascii="Times New Roman" w:eastAsia="Times New Roman" w:hAnsi="Times New Roman" w:cs="Times New Roman"/>
          <w:i/>
          <w:vertAlign w:val="superscript"/>
          <w:lang w:val="en-GB" w:eastAsia="en-IN"/>
        </w:rPr>
        <w:t>2</w:t>
      </w:r>
      <w:r w:rsidR="00D73919" w:rsidRPr="001075BA">
        <w:rPr>
          <w:rFonts w:ascii="Times New Roman" w:eastAsia="Times New Roman" w:hAnsi="Times New Roman" w:cs="Times New Roman"/>
          <w:lang w:val="en-GB" w:eastAsia="en-IN"/>
        </w:rPr>
        <w:t xml:space="preserve">, and </w:t>
      </w:r>
      <w:r w:rsidR="00D73919" w:rsidRPr="001075BA">
        <w:rPr>
          <w:rFonts w:ascii="Times New Roman" w:eastAsia="Times New Roman" w:hAnsi="Times New Roman" w:cs="Times New Roman"/>
          <w:i/>
          <w:lang w:val="en-GB" w:eastAsia="en-IN"/>
        </w:rPr>
        <w:t>R</w:t>
      </w:r>
      <w:r w:rsidR="00D73919" w:rsidRPr="001075BA">
        <w:rPr>
          <w:rFonts w:ascii="Times New Roman" w:eastAsia="Times New Roman" w:hAnsi="Times New Roman" w:cs="Times New Roman"/>
          <w:i/>
          <w:vertAlign w:val="superscript"/>
          <w:lang w:val="en-GB" w:eastAsia="en-IN"/>
        </w:rPr>
        <w:t>2</w:t>
      </w:r>
      <w:r w:rsidR="00D73919" w:rsidRPr="001075BA">
        <w:rPr>
          <w:rFonts w:ascii="Times New Roman" w:eastAsia="Times New Roman" w:hAnsi="Times New Roman" w:cs="Times New Roman"/>
          <w:lang w:val="en-GB" w:eastAsia="en-IN"/>
        </w:rPr>
        <w:t xml:space="preserve">) as presented in Table 3. </w:t>
      </w:r>
      <w:r w:rsidR="00286865" w:rsidRPr="001075BA">
        <w:rPr>
          <w:rFonts w:ascii="Times New Roman" w:eastAsia="Times New Roman" w:hAnsi="Times New Roman" w:cs="Times New Roman"/>
          <w:lang w:val="en-GB" w:eastAsia="en-IN"/>
        </w:rPr>
        <w:t>The</w:t>
      </w:r>
      <w:r w:rsidR="00F850CE">
        <w:rPr>
          <w:rFonts w:ascii="Times New Roman" w:eastAsia="Times New Roman" w:hAnsi="Times New Roman" w:cs="Times New Roman"/>
          <w:lang w:val="en-GB" w:eastAsia="en-IN"/>
        </w:rPr>
        <w:t> </w:t>
      </w:r>
      <w:r w:rsidR="00286865" w:rsidRPr="001075BA">
        <w:rPr>
          <w:rFonts w:ascii="Times New Roman" w:eastAsia="Times New Roman" w:hAnsi="Times New Roman" w:cs="Times New Roman"/>
          <w:lang w:val="en-GB" w:eastAsia="en-IN"/>
        </w:rPr>
        <w:t>scientific community, especially mathematical model</w:t>
      </w:r>
      <w:r w:rsidR="00FD3593" w:rsidRPr="001075BA">
        <w:rPr>
          <w:rFonts w:ascii="Times New Roman" w:eastAsia="Times New Roman" w:hAnsi="Times New Roman" w:cs="Times New Roman"/>
          <w:lang w:val="en-GB" w:eastAsia="en-IN"/>
        </w:rPr>
        <w:t>l</w:t>
      </w:r>
      <w:r w:rsidR="00286865" w:rsidRPr="001075BA">
        <w:rPr>
          <w:rFonts w:ascii="Times New Roman" w:eastAsia="Times New Roman" w:hAnsi="Times New Roman" w:cs="Times New Roman"/>
          <w:lang w:val="en-GB" w:eastAsia="en-IN"/>
        </w:rPr>
        <w:t>ing specialists, finds all models and the experimental values (</w:t>
      </w:r>
      <w:proofErr w:type="spellStart"/>
      <w:r w:rsidR="00286865" w:rsidRPr="001075BA">
        <w:rPr>
          <w:rFonts w:ascii="Times New Roman" w:eastAsia="Times New Roman" w:hAnsi="Times New Roman" w:cs="Times New Roman"/>
          <w:i/>
          <w:lang w:val="en-GB" w:eastAsia="en-IN"/>
        </w:rPr>
        <w:t>q</w:t>
      </w:r>
      <w:r w:rsidR="00286865" w:rsidRPr="001075BA">
        <w:rPr>
          <w:rFonts w:ascii="Times New Roman" w:eastAsia="Times New Roman" w:hAnsi="Times New Roman" w:cs="Times New Roman"/>
          <w:i/>
          <w:vertAlign w:val="subscript"/>
          <w:lang w:val="en-GB" w:eastAsia="en-IN"/>
        </w:rPr>
        <w:t>e</w:t>
      </w:r>
      <w:proofErr w:type="spellEnd"/>
      <w:r w:rsidR="00286865" w:rsidRPr="001075BA">
        <w:rPr>
          <w:rFonts w:ascii="Times New Roman" w:eastAsia="Times New Roman" w:hAnsi="Times New Roman" w:cs="Times New Roman"/>
          <w:lang w:val="en-GB" w:eastAsia="en-IN"/>
        </w:rPr>
        <w:t xml:space="preserve">) </w:t>
      </w:r>
      <w:r w:rsidR="00971179">
        <w:rPr>
          <w:rFonts w:ascii="Times New Roman" w:eastAsia="Times New Roman" w:hAnsi="Times New Roman" w:cs="Times New Roman"/>
          <w:lang w:val="en-GB" w:eastAsia="en-IN"/>
        </w:rPr>
        <w:t>fascinating and m</w:t>
      </w:r>
      <w:r w:rsidR="00D73919" w:rsidRPr="001075BA">
        <w:rPr>
          <w:rFonts w:ascii="Times New Roman" w:eastAsia="Times New Roman" w:hAnsi="Times New Roman" w:cs="Times New Roman"/>
          <w:lang w:val="en-GB" w:eastAsia="en-IN"/>
        </w:rPr>
        <w:t xml:space="preserve">ay explore </w:t>
      </w:r>
      <w:r w:rsidR="00971179">
        <w:rPr>
          <w:rFonts w:ascii="Times New Roman" w:eastAsia="Times New Roman" w:hAnsi="Times New Roman" w:cs="Times New Roman"/>
          <w:lang w:val="en-GB" w:eastAsia="en-IN"/>
        </w:rPr>
        <w:t>developing</w:t>
      </w:r>
      <w:r w:rsidR="00D73919" w:rsidRPr="001075BA">
        <w:rPr>
          <w:rFonts w:ascii="Times New Roman" w:eastAsia="Times New Roman" w:hAnsi="Times New Roman" w:cs="Times New Roman"/>
          <w:lang w:val="en-GB" w:eastAsia="en-IN"/>
        </w:rPr>
        <w:t xml:space="preserve"> new models to enhance our understanding of the adsorption </w:t>
      </w:r>
      <w:r w:rsidR="00286865" w:rsidRPr="001075BA">
        <w:rPr>
          <w:rFonts w:ascii="Times New Roman" w:eastAsia="Times New Roman" w:hAnsi="Times New Roman" w:cs="Times New Roman"/>
          <w:lang w:val="en-GB" w:eastAsia="en-IN"/>
        </w:rPr>
        <w:t>process in the BG-NIFSS system.</w:t>
      </w:r>
    </w:p>
    <w:p w14:paraId="0D4EC9EA" w14:textId="77777777" w:rsidR="00967904" w:rsidRPr="001075BA" w:rsidRDefault="00967904" w:rsidP="00346C21">
      <w:pPr>
        <w:widowControl w:val="0"/>
        <w:autoSpaceDE w:val="0"/>
        <w:autoSpaceDN w:val="0"/>
        <w:adjustRightInd w:val="0"/>
        <w:spacing w:after="0" w:line="240" w:lineRule="auto"/>
        <w:ind w:firstLine="720"/>
        <w:jc w:val="both"/>
        <w:rPr>
          <w:rFonts w:eastAsia="SimSun" w:cstheme="minorHAnsi"/>
          <w:bCs/>
          <w:sz w:val="24"/>
          <w:szCs w:val="24"/>
          <w:lang w:val="en-GB" w:eastAsia="en-IN"/>
        </w:rPr>
      </w:pPr>
      <w:r w:rsidRPr="001075BA">
        <w:rPr>
          <w:rFonts w:eastAsia="Times New Roman" w:cstheme="minorHAnsi"/>
          <w:noProof/>
          <w:sz w:val="24"/>
          <w:szCs w:val="24"/>
          <w:lang w:val="en-GB" w:eastAsia="en-IN"/>
        </w:rPr>
        <w:lastRenderedPageBreak/>
        <w:drawing>
          <wp:inline distT="0" distB="0" distL="0" distR="0" wp14:anchorId="189D3E04" wp14:editId="0F47AFB5">
            <wp:extent cx="4572000" cy="2743200"/>
            <wp:effectExtent l="0" t="0" r="0" b="0"/>
            <wp:docPr id="26" name="Chart 2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A4D912" w14:textId="08DF4607" w:rsidR="00967904" w:rsidRPr="001075BA" w:rsidRDefault="00967904" w:rsidP="002931AC">
      <w:pPr>
        <w:pStyle w:val="Rrys"/>
        <w:rPr>
          <w:lang w:val="en-GB" w:eastAsia="en-IN"/>
        </w:rPr>
      </w:pPr>
      <w:r w:rsidRPr="001075BA">
        <w:rPr>
          <w:b/>
          <w:lang w:val="en-GB" w:eastAsia="en-IN"/>
        </w:rPr>
        <w:t>Fig. 4a</w:t>
      </w:r>
      <w:r w:rsidR="002931AC" w:rsidRPr="001075BA">
        <w:rPr>
          <w:b/>
          <w:lang w:val="en-GB" w:eastAsia="en-IN"/>
        </w:rPr>
        <w:t>.</w:t>
      </w:r>
      <w:r w:rsidRPr="001075BA">
        <w:rPr>
          <w:bCs/>
          <w:lang w:val="en-GB" w:eastAsia="en-IN"/>
        </w:rPr>
        <w:t xml:space="preserve"> </w:t>
      </w:r>
      <w:r w:rsidRPr="001075BA">
        <w:rPr>
          <w:lang w:val="en-GB" w:eastAsia="en-IN"/>
        </w:rPr>
        <w:t>Langmuir and Freundlich adsorption isotherm</w:t>
      </w:r>
    </w:p>
    <w:p w14:paraId="0487C4F6" w14:textId="77777777" w:rsidR="002931AC" w:rsidRPr="001075BA" w:rsidRDefault="002931AC" w:rsidP="000C3501">
      <w:pPr>
        <w:widowControl w:val="0"/>
        <w:autoSpaceDE w:val="0"/>
        <w:autoSpaceDN w:val="0"/>
        <w:adjustRightInd w:val="0"/>
        <w:spacing w:after="0" w:line="240" w:lineRule="auto"/>
        <w:ind w:firstLine="284"/>
        <w:jc w:val="both"/>
        <w:rPr>
          <w:rFonts w:ascii="Times New Roman" w:eastAsia="Calibri" w:hAnsi="Times New Roman" w:cs="Times New Roman"/>
          <w:lang w:val="en-GB"/>
        </w:rPr>
      </w:pPr>
    </w:p>
    <w:p w14:paraId="292850D2" w14:textId="788E4205" w:rsidR="00967904" w:rsidRPr="001075BA" w:rsidRDefault="00967904" w:rsidP="00346C21">
      <w:pPr>
        <w:widowControl w:val="0"/>
        <w:autoSpaceDE w:val="0"/>
        <w:autoSpaceDN w:val="0"/>
        <w:adjustRightInd w:val="0"/>
        <w:spacing w:after="0" w:line="240" w:lineRule="auto"/>
        <w:ind w:firstLine="709"/>
        <w:jc w:val="both"/>
        <w:rPr>
          <w:rFonts w:eastAsia="Calibri" w:cstheme="minorHAnsi"/>
          <w:sz w:val="24"/>
          <w:szCs w:val="24"/>
          <w:lang w:val="en-GB"/>
        </w:rPr>
      </w:pPr>
      <w:r w:rsidRPr="001075BA">
        <w:rPr>
          <w:rFonts w:eastAsia="Times New Roman" w:cstheme="minorHAnsi"/>
          <w:noProof/>
          <w:sz w:val="24"/>
          <w:szCs w:val="24"/>
          <w:lang w:val="en-GB" w:eastAsia="en-IN"/>
        </w:rPr>
        <w:drawing>
          <wp:inline distT="0" distB="0" distL="0" distR="0" wp14:anchorId="174066D7" wp14:editId="4C2C63D5">
            <wp:extent cx="4572000" cy="2402959"/>
            <wp:effectExtent l="0" t="0" r="0" b="0"/>
            <wp:docPr id="27" name="Chart 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B1547F" w14:textId="0245D7B7" w:rsidR="00967904" w:rsidRPr="001075BA" w:rsidRDefault="00967904" w:rsidP="000C3501">
      <w:pPr>
        <w:pStyle w:val="Rrys"/>
        <w:rPr>
          <w:b/>
          <w:lang w:val="en-GB" w:eastAsia="en-IN"/>
        </w:rPr>
      </w:pPr>
      <w:r w:rsidRPr="001075BA">
        <w:rPr>
          <w:b/>
          <w:lang w:val="en-GB" w:eastAsia="en-IN"/>
        </w:rPr>
        <w:t>Fig. 4b</w:t>
      </w:r>
      <w:r w:rsidR="000C3501" w:rsidRPr="001075BA">
        <w:rPr>
          <w:b/>
          <w:lang w:val="en-GB" w:eastAsia="en-IN"/>
        </w:rPr>
        <w:t>.</w:t>
      </w:r>
      <w:r w:rsidRPr="001075BA">
        <w:rPr>
          <w:b/>
          <w:bCs/>
          <w:lang w:val="en-GB" w:eastAsia="en-IN"/>
        </w:rPr>
        <w:t xml:space="preserve"> </w:t>
      </w:r>
      <w:r w:rsidRPr="001075BA">
        <w:rPr>
          <w:lang w:val="en-GB" w:eastAsia="en-IN"/>
        </w:rPr>
        <w:t xml:space="preserve">Jovanovic and </w:t>
      </w:r>
      <w:r w:rsidRPr="001075BA">
        <w:rPr>
          <w:bCs/>
          <w:lang w:val="en-GB" w:eastAsia="en-IN"/>
        </w:rPr>
        <w:t>Dubinin-</w:t>
      </w:r>
      <w:proofErr w:type="spellStart"/>
      <w:r w:rsidRPr="001075BA">
        <w:rPr>
          <w:bCs/>
          <w:lang w:val="en-GB" w:eastAsia="en-IN"/>
        </w:rPr>
        <w:t>Radushkevich</w:t>
      </w:r>
      <w:proofErr w:type="spellEnd"/>
      <w:r w:rsidRPr="001075BA">
        <w:rPr>
          <w:bCs/>
          <w:lang w:val="en-GB" w:eastAsia="en-IN"/>
        </w:rPr>
        <w:t xml:space="preserve"> </w:t>
      </w:r>
      <w:r w:rsidRPr="001075BA">
        <w:rPr>
          <w:lang w:val="en-GB" w:eastAsia="en-IN"/>
        </w:rPr>
        <w:t>adsorption isotherm</w:t>
      </w:r>
    </w:p>
    <w:p w14:paraId="2E2383DD" w14:textId="77777777" w:rsidR="000C3501" w:rsidRPr="001075BA" w:rsidRDefault="000C3501" w:rsidP="000C3501">
      <w:pPr>
        <w:spacing w:after="0" w:line="240" w:lineRule="auto"/>
        <w:ind w:firstLine="284"/>
        <w:jc w:val="both"/>
        <w:rPr>
          <w:rFonts w:ascii="Times New Roman" w:eastAsia="Calibri" w:hAnsi="Times New Roman" w:cs="Times New Roman"/>
          <w:lang w:val="en-GB"/>
        </w:rPr>
      </w:pPr>
    </w:p>
    <w:p w14:paraId="50033532" w14:textId="4C7135A3" w:rsidR="00967904" w:rsidRPr="001075BA" w:rsidRDefault="00967904" w:rsidP="00346C21">
      <w:pPr>
        <w:spacing w:after="0" w:line="240" w:lineRule="auto"/>
        <w:jc w:val="center"/>
        <w:rPr>
          <w:rFonts w:eastAsia="Calibri" w:cstheme="minorHAnsi"/>
          <w:sz w:val="24"/>
          <w:szCs w:val="24"/>
          <w:lang w:val="en-GB"/>
        </w:rPr>
      </w:pPr>
      <w:r w:rsidRPr="001075BA">
        <w:rPr>
          <w:rFonts w:eastAsia="Times New Roman" w:cstheme="minorHAnsi"/>
          <w:noProof/>
          <w:sz w:val="24"/>
          <w:szCs w:val="24"/>
          <w:lang w:val="en-GB" w:eastAsia="en-IN"/>
        </w:rPr>
        <w:drawing>
          <wp:inline distT="0" distB="0" distL="0" distR="0" wp14:anchorId="0C291B52" wp14:editId="5DFEBB3E">
            <wp:extent cx="5056450" cy="2372995"/>
            <wp:effectExtent l="0" t="0" r="0" b="8255"/>
            <wp:docPr id="28" name="Chart 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1CADAF" w14:textId="3C64A028" w:rsidR="00967904" w:rsidRPr="001075BA" w:rsidRDefault="00967904" w:rsidP="000C3501">
      <w:pPr>
        <w:pStyle w:val="Rrys"/>
        <w:rPr>
          <w:lang w:val="en-GB" w:eastAsia="en-IN"/>
        </w:rPr>
      </w:pPr>
      <w:r w:rsidRPr="001075BA">
        <w:rPr>
          <w:b/>
          <w:bCs/>
          <w:lang w:val="en-GB" w:eastAsia="en-IN"/>
        </w:rPr>
        <w:t>Fig. 4c</w:t>
      </w:r>
      <w:r w:rsidR="000C3501" w:rsidRPr="001075BA">
        <w:rPr>
          <w:b/>
          <w:bCs/>
          <w:lang w:val="en-GB" w:eastAsia="en-IN"/>
        </w:rPr>
        <w:t>.</w:t>
      </w:r>
      <w:r w:rsidRPr="001075BA">
        <w:rPr>
          <w:b/>
          <w:lang w:val="en-GB" w:eastAsia="en-IN"/>
        </w:rPr>
        <w:t xml:space="preserve"> </w:t>
      </w:r>
      <w:r w:rsidRPr="001075BA">
        <w:rPr>
          <w:lang w:val="en-GB" w:eastAsia="en-IN"/>
        </w:rPr>
        <w:t>Sips, Redlich-Petersen and Toth adsorption isotherm</w:t>
      </w:r>
    </w:p>
    <w:p w14:paraId="353FE958" w14:textId="77777777" w:rsidR="00967904" w:rsidRPr="001075BA" w:rsidRDefault="00967904" w:rsidP="00346C21">
      <w:pPr>
        <w:widowControl w:val="0"/>
        <w:tabs>
          <w:tab w:val="left" w:pos="6757"/>
        </w:tabs>
        <w:autoSpaceDE w:val="0"/>
        <w:autoSpaceDN w:val="0"/>
        <w:adjustRightInd w:val="0"/>
        <w:spacing w:after="0" w:line="240" w:lineRule="auto"/>
        <w:jc w:val="center"/>
        <w:rPr>
          <w:rFonts w:eastAsia="Calibri" w:cstheme="minorHAnsi"/>
          <w:sz w:val="24"/>
          <w:szCs w:val="24"/>
          <w:lang w:val="en-GB"/>
        </w:rPr>
      </w:pPr>
      <w:r w:rsidRPr="001075BA">
        <w:rPr>
          <w:rFonts w:eastAsia="Times New Roman" w:cstheme="minorHAnsi"/>
          <w:noProof/>
          <w:sz w:val="24"/>
          <w:szCs w:val="24"/>
          <w:lang w:val="en-GB" w:eastAsia="en-IN"/>
        </w:rPr>
        <w:lastRenderedPageBreak/>
        <w:drawing>
          <wp:inline distT="0" distB="0" distL="0" distR="0" wp14:anchorId="355542B3" wp14:editId="22ECA6DE">
            <wp:extent cx="4572000" cy="2743200"/>
            <wp:effectExtent l="0" t="0" r="0" b="0"/>
            <wp:docPr id="29" name="Chart 7">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E7957B" w14:textId="53BDE558" w:rsidR="00967904" w:rsidRPr="001075BA" w:rsidRDefault="00967904" w:rsidP="000C3501">
      <w:pPr>
        <w:pStyle w:val="Rrys"/>
        <w:rPr>
          <w:b/>
          <w:lang w:val="en-GB" w:eastAsia="en-IN"/>
        </w:rPr>
      </w:pPr>
      <w:r w:rsidRPr="001075BA">
        <w:rPr>
          <w:b/>
          <w:bCs/>
          <w:lang w:val="en-GB" w:eastAsia="en-IN"/>
        </w:rPr>
        <w:t>Fig. 4d</w:t>
      </w:r>
      <w:r w:rsidR="000C3501" w:rsidRPr="001075BA">
        <w:rPr>
          <w:b/>
          <w:bCs/>
          <w:lang w:val="en-GB" w:eastAsia="en-IN"/>
        </w:rPr>
        <w:t>.</w:t>
      </w:r>
      <w:r w:rsidRPr="001075BA">
        <w:rPr>
          <w:lang w:val="en-GB" w:eastAsia="en-IN"/>
        </w:rPr>
        <w:t xml:space="preserve"> Vieth-Sladek, </w:t>
      </w:r>
      <w:proofErr w:type="spellStart"/>
      <w:r w:rsidRPr="001075BA">
        <w:rPr>
          <w:lang w:val="en-GB" w:eastAsia="en-IN"/>
        </w:rPr>
        <w:t>Brouers</w:t>
      </w:r>
      <w:proofErr w:type="spellEnd"/>
      <w:r w:rsidRPr="001075BA">
        <w:rPr>
          <w:lang w:val="en-GB" w:eastAsia="en-IN"/>
        </w:rPr>
        <w:t>-Sotolongo and Radke-</w:t>
      </w:r>
      <w:proofErr w:type="spellStart"/>
      <w:r w:rsidRPr="001075BA">
        <w:rPr>
          <w:lang w:val="en-GB" w:eastAsia="en-IN"/>
        </w:rPr>
        <w:t>Prausnitz</w:t>
      </w:r>
      <w:proofErr w:type="spellEnd"/>
      <w:r w:rsidRPr="001075BA">
        <w:rPr>
          <w:lang w:val="en-GB" w:eastAsia="en-IN"/>
        </w:rPr>
        <w:t xml:space="preserve"> adsorption isotherm</w:t>
      </w:r>
    </w:p>
    <w:p w14:paraId="225E7896" w14:textId="77777777" w:rsidR="00967904" w:rsidRPr="001075BA" w:rsidRDefault="00967904" w:rsidP="000C3501">
      <w:pPr>
        <w:spacing w:after="0" w:line="240" w:lineRule="auto"/>
        <w:ind w:firstLine="284"/>
        <w:jc w:val="both"/>
        <w:rPr>
          <w:rFonts w:ascii="Times New Roman" w:eastAsia="Times New Roman" w:hAnsi="Times New Roman" w:cs="Times New Roman"/>
          <w:lang w:val="en-GB" w:eastAsia="en-IN"/>
        </w:rPr>
      </w:pPr>
    </w:p>
    <w:p w14:paraId="1D44D15C" w14:textId="2F914F83" w:rsidR="00672D46" w:rsidRPr="001075BA" w:rsidRDefault="00993ADC" w:rsidP="000C3501">
      <w:pPr>
        <w:pStyle w:val="Rtab"/>
        <w:rPr>
          <w:lang w:val="en-GB" w:eastAsia="en-IN"/>
        </w:rPr>
      </w:pPr>
      <w:r w:rsidRPr="001075BA">
        <w:rPr>
          <w:b/>
          <w:bCs/>
          <w:lang w:val="en-GB" w:eastAsia="en-IN"/>
        </w:rPr>
        <w:t xml:space="preserve">Table </w:t>
      </w:r>
      <w:r w:rsidR="002D2B9B" w:rsidRPr="001075BA">
        <w:rPr>
          <w:b/>
          <w:bCs/>
          <w:lang w:val="en-GB" w:eastAsia="en-IN"/>
        </w:rPr>
        <w:t>1</w:t>
      </w:r>
      <w:r w:rsidR="000C3501" w:rsidRPr="001075BA">
        <w:rPr>
          <w:b/>
          <w:bCs/>
          <w:lang w:val="en-GB" w:eastAsia="en-IN"/>
        </w:rPr>
        <w:t>.</w:t>
      </w:r>
      <w:r w:rsidR="00DB287E" w:rsidRPr="001075BA">
        <w:rPr>
          <w:lang w:val="en-GB" w:eastAsia="en-IN"/>
        </w:rPr>
        <w:t xml:space="preserve"> </w:t>
      </w:r>
      <w:r w:rsidR="009C61A2" w:rsidRPr="001075BA">
        <w:rPr>
          <w:lang w:val="en-GB" w:eastAsia="en-IN"/>
        </w:rPr>
        <w:t>Intended</w:t>
      </w:r>
      <w:r w:rsidR="00DB287E" w:rsidRPr="001075BA">
        <w:rPr>
          <w:lang w:val="en-GB" w:eastAsia="en-IN"/>
        </w:rPr>
        <w:t xml:space="preserve"> </w:t>
      </w:r>
      <w:r w:rsidR="009C61A2" w:rsidRPr="001075BA">
        <w:rPr>
          <w:lang w:val="en-GB" w:eastAsia="en-IN"/>
        </w:rPr>
        <w:t>factors</w:t>
      </w:r>
      <w:r w:rsidR="00DB287E" w:rsidRPr="001075BA">
        <w:rPr>
          <w:lang w:val="en-GB" w:eastAsia="en-IN"/>
        </w:rPr>
        <w:t xml:space="preserve"> of</w:t>
      </w:r>
      <w:r w:rsidR="005E305D" w:rsidRPr="001075BA">
        <w:rPr>
          <w:lang w:val="en-GB" w:eastAsia="en-IN"/>
        </w:rPr>
        <w:t xml:space="preserve"> 2</w:t>
      </w:r>
      <w:r w:rsidRPr="001075BA">
        <w:rPr>
          <w:lang w:val="en-GB" w:eastAsia="en-IN"/>
        </w:rPr>
        <w:t>-parameter isotherms</w:t>
      </w:r>
    </w:p>
    <w:tbl>
      <w:tblPr>
        <w:tblStyle w:val="Tabela-Siatka"/>
        <w:tblW w:w="5050" w:type="pct"/>
        <w:tblLook w:val="0600" w:firstRow="0" w:lastRow="0" w:firstColumn="0" w:lastColumn="0" w:noHBand="1" w:noVBand="1"/>
      </w:tblPr>
      <w:tblGrid>
        <w:gridCol w:w="1015"/>
        <w:gridCol w:w="1074"/>
        <w:gridCol w:w="963"/>
        <w:gridCol w:w="1089"/>
        <w:gridCol w:w="1309"/>
        <w:gridCol w:w="1252"/>
        <w:gridCol w:w="1608"/>
        <w:gridCol w:w="1414"/>
      </w:tblGrid>
      <w:tr w:rsidR="00346C21" w:rsidRPr="001075BA" w14:paraId="79DA4524" w14:textId="77777777" w:rsidTr="00D246A4">
        <w:trPr>
          <w:trHeight w:val="283"/>
        </w:trPr>
        <w:tc>
          <w:tcPr>
            <w:tcW w:w="1074" w:type="pct"/>
            <w:gridSpan w:val="2"/>
            <w:tcBorders>
              <w:left w:val="single" w:sz="4" w:space="0" w:color="auto"/>
              <w:right w:val="single" w:sz="4" w:space="0" w:color="auto"/>
            </w:tcBorders>
            <w:noWrap/>
            <w:vAlign w:val="center"/>
            <w:hideMark/>
          </w:tcPr>
          <w:p w14:paraId="7420791B" w14:textId="77777777" w:rsidR="00B64A1D" w:rsidRPr="001075BA" w:rsidRDefault="00B64A1D" w:rsidP="000C3501">
            <w:pPr>
              <w:jc w:val="center"/>
              <w:rPr>
                <w:rFonts w:ascii="Times New Roman" w:eastAsia="Times New Roman" w:hAnsi="Times New Roman" w:cs="Times New Roman"/>
                <w:bCs/>
                <w:lang w:val="en-GB" w:eastAsia="en-IN"/>
              </w:rPr>
            </w:pPr>
            <w:r w:rsidRPr="001075BA">
              <w:rPr>
                <w:rFonts w:ascii="Times New Roman" w:eastAsia="Times New Roman" w:hAnsi="Times New Roman" w:cs="Times New Roman"/>
                <w:bCs/>
                <w:lang w:val="en-GB" w:eastAsia="en-IN"/>
              </w:rPr>
              <w:t>Langmuir</w:t>
            </w:r>
          </w:p>
        </w:tc>
        <w:tc>
          <w:tcPr>
            <w:tcW w:w="1055" w:type="pct"/>
            <w:gridSpan w:val="2"/>
            <w:tcBorders>
              <w:left w:val="single" w:sz="4" w:space="0" w:color="auto"/>
              <w:right w:val="single" w:sz="4" w:space="0" w:color="auto"/>
            </w:tcBorders>
            <w:noWrap/>
            <w:vAlign w:val="center"/>
            <w:hideMark/>
          </w:tcPr>
          <w:p w14:paraId="1CD2F3FA" w14:textId="77777777" w:rsidR="00B64A1D" w:rsidRPr="001075BA" w:rsidRDefault="00B64A1D" w:rsidP="000C3501">
            <w:pPr>
              <w:jc w:val="center"/>
              <w:rPr>
                <w:rFonts w:ascii="Times New Roman" w:eastAsia="Times New Roman" w:hAnsi="Times New Roman" w:cs="Times New Roman"/>
                <w:bCs/>
                <w:lang w:val="en-GB" w:eastAsia="en-IN"/>
              </w:rPr>
            </w:pPr>
            <w:r w:rsidRPr="001075BA">
              <w:rPr>
                <w:rFonts w:ascii="Times New Roman" w:eastAsia="Times New Roman" w:hAnsi="Times New Roman" w:cs="Times New Roman"/>
                <w:bCs/>
                <w:lang w:val="en-GB" w:eastAsia="en-IN"/>
              </w:rPr>
              <w:t>Freundlich</w:t>
            </w:r>
          </w:p>
        </w:tc>
        <w:tc>
          <w:tcPr>
            <w:tcW w:w="1317" w:type="pct"/>
            <w:gridSpan w:val="2"/>
            <w:tcBorders>
              <w:left w:val="single" w:sz="4" w:space="0" w:color="auto"/>
              <w:right w:val="single" w:sz="4" w:space="0" w:color="auto"/>
            </w:tcBorders>
            <w:vAlign w:val="center"/>
          </w:tcPr>
          <w:p w14:paraId="63E67856" w14:textId="77777777" w:rsidR="00B64A1D" w:rsidRPr="001075BA" w:rsidRDefault="00B64A1D" w:rsidP="000C3501">
            <w:pPr>
              <w:jc w:val="center"/>
              <w:rPr>
                <w:rFonts w:ascii="Times New Roman" w:eastAsia="Times New Roman" w:hAnsi="Times New Roman" w:cs="Times New Roman"/>
                <w:bCs/>
                <w:lang w:val="en-GB" w:eastAsia="en-IN"/>
              </w:rPr>
            </w:pPr>
            <w:r w:rsidRPr="001075BA">
              <w:rPr>
                <w:rFonts w:ascii="Times New Roman" w:eastAsia="Times New Roman" w:hAnsi="Times New Roman" w:cs="Times New Roman"/>
                <w:bCs/>
                <w:lang w:val="en-GB" w:eastAsia="en-IN"/>
              </w:rPr>
              <w:t>Jovanovic</w:t>
            </w:r>
          </w:p>
        </w:tc>
        <w:tc>
          <w:tcPr>
            <w:tcW w:w="1554" w:type="pct"/>
            <w:gridSpan w:val="2"/>
            <w:tcBorders>
              <w:left w:val="single" w:sz="4" w:space="0" w:color="auto"/>
              <w:right w:val="single" w:sz="4" w:space="0" w:color="auto"/>
            </w:tcBorders>
            <w:vAlign w:val="center"/>
          </w:tcPr>
          <w:p w14:paraId="68F77F44" w14:textId="2BAA91A0" w:rsidR="00B64A1D" w:rsidRPr="001075BA" w:rsidRDefault="00B64A1D" w:rsidP="000C3501">
            <w:pPr>
              <w:jc w:val="center"/>
              <w:rPr>
                <w:rFonts w:ascii="Times New Roman" w:eastAsia="Times New Roman" w:hAnsi="Times New Roman" w:cs="Times New Roman"/>
                <w:bCs/>
                <w:lang w:val="en-GB" w:eastAsia="en-IN"/>
              </w:rPr>
            </w:pPr>
            <w:r w:rsidRPr="001075BA">
              <w:rPr>
                <w:rFonts w:ascii="Times New Roman" w:eastAsia="Times New Roman" w:hAnsi="Times New Roman" w:cs="Times New Roman"/>
                <w:bCs/>
                <w:lang w:val="en-GB" w:eastAsia="en-IN"/>
              </w:rPr>
              <w:t>Dubinin-</w:t>
            </w:r>
            <w:proofErr w:type="spellStart"/>
            <w:r w:rsidRPr="001075BA">
              <w:rPr>
                <w:rFonts w:ascii="Times New Roman" w:eastAsia="Times New Roman" w:hAnsi="Times New Roman" w:cs="Times New Roman"/>
                <w:bCs/>
                <w:lang w:val="en-GB" w:eastAsia="en-IN"/>
              </w:rPr>
              <w:t>Radushkevich</w:t>
            </w:r>
            <w:proofErr w:type="spellEnd"/>
          </w:p>
        </w:tc>
      </w:tr>
      <w:tr w:rsidR="00D246A4" w:rsidRPr="001075BA" w14:paraId="22F20719" w14:textId="780097C9" w:rsidTr="00D246A4">
        <w:trPr>
          <w:trHeight w:val="283"/>
        </w:trPr>
        <w:tc>
          <w:tcPr>
            <w:tcW w:w="522" w:type="pct"/>
            <w:tcBorders>
              <w:top w:val="single" w:sz="4" w:space="0" w:color="auto"/>
              <w:left w:val="single" w:sz="4" w:space="0" w:color="auto"/>
              <w:bottom w:val="single" w:sz="4" w:space="0" w:color="auto"/>
              <w:right w:val="single" w:sz="4" w:space="0" w:color="auto"/>
            </w:tcBorders>
            <w:noWrap/>
            <w:vAlign w:val="center"/>
            <w:hideMark/>
          </w:tcPr>
          <w:p w14:paraId="459B766E" w14:textId="77777777" w:rsidR="00D246A4" w:rsidRPr="001075BA" w:rsidRDefault="00D246A4" w:rsidP="000C3501">
            <w:pPr>
              <w:jc w:val="center"/>
              <w:rPr>
                <w:rFonts w:ascii="Times New Roman" w:eastAsia="Times New Roman" w:hAnsi="Times New Roman" w:cs="Times New Roman"/>
                <w:lang w:val="en-GB" w:eastAsia="en-IN"/>
              </w:rPr>
            </w:pPr>
            <w:proofErr w:type="spellStart"/>
            <w:r w:rsidRPr="001075BA">
              <w:rPr>
                <w:rFonts w:ascii="Times New Roman" w:eastAsia="Times New Roman" w:hAnsi="Times New Roman" w:cs="Times New Roman"/>
                <w:lang w:val="en-GB" w:eastAsia="en-IN"/>
              </w:rPr>
              <w:t>Q</w:t>
            </w:r>
            <w:r w:rsidRPr="001075BA">
              <w:rPr>
                <w:rFonts w:ascii="Times New Roman" w:eastAsia="Times New Roman" w:hAnsi="Times New Roman" w:cs="Times New Roman"/>
                <w:vertAlign w:val="subscript"/>
                <w:lang w:val="en-GB" w:eastAsia="en-IN"/>
              </w:rPr>
              <w:t>m</w:t>
            </w:r>
            <w:proofErr w:type="spellEnd"/>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B39A4" w14:textId="77777777"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227.85</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477F470F" w14:textId="77777777"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K</w:t>
            </w:r>
            <w:r w:rsidRPr="001075BA">
              <w:rPr>
                <w:rFonts w:ascii="Times New Roman" w:eastAsia="Times New Roman" w:hAnsi="Times New Roman" w:cs="Times New Roman"/>
                <w:vertAlign w:val="subscript"/>
                <w:lang w:val="en-GB" w:eastAsia="en-IN"/>
              </w:rPr>
              <w:t>F</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5D54D" w14:textId="77777777"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9.96</w:t>
            </w:r>
          </w:p>
        </w:tc>
        <w:tc>
          <w:tcPr>
            <w:tcW w:w="673" w:type="pct"/>
            <w:tcBorders>
              <w:top w:val="single" w:sz="4" w:space="0" w:color="auto"/>
              <w:left w:val="single" w:sz="4" w:space="0" w:color="auto"/>
              <w:bottom w:val="single" w:sz="4" w:space="0" w:color="auto"/>
              <w:right w:val="single" w:sz="4" w:space="0" w:color="auto"/>
            </w:tcBorders>
            <w:vAlign w:val="center"/>
          </w:tcPr>
          <w:p w14:paraId="3E64D66C" w14:textId="77777777" w:rsidR="00D246A4" w:rsidRPr="001075BA" w:rsidRDefault="00D246A4" w:rsidP="000C3501">
            <w:pPr>
              <w:jc w:val="center"/>
              <w:rPr>
                <w:rFonts w:ascii="Times New Roman" w:eastAsia="Times New Roman" w:hAnsi="Times New Roman" w:cs="Times New Roman"/>
                <w:lang w:val="en-GB" w:eastAsia="en-IN"/>
              </w:rPr>
            </w:pPr>
            <w:proofErr w:type="spellStart"/>
            <w:r w:rsidRPr="001075BA">
              <w:rPr>
                <w:rFonts w:ascii="Times New Roman" w:eastAsia="Times New Roman" w:hAnsi="Times New Roman" w:cs="Times New Roman"/>
                <w:lang w:val="en-GB" w:eastAsia="en-IN"/>
              </w:rPr>
              <w:t>Q</w:t>
            </w:r>
            <w:r w:rsidRPr="001075BA">
              <w:rPr>
                <w:rFonts w:ascii="Times New Roman" w:eastAsia="Times New Roman" w:hAnsi="Times New Roman" w:cs="Times New Roman"/>
                <w:vertAlign w:val="subscript"/>
                <w:lang w:val="en-GB" w:eastAsia="en-IN"/>
              </w:rPr>
              <w:t>m</w:t>
            </w:r>
            <w:proofErr w:type="spellEnd"/>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2B2FE" w14:textId="77777777"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163.38</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5A19983B" w14:textId="1CD8D25C"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Q</w:t>
            </w:r>
            <w:r w:rsidRPr="001075BA">
              <w:rPr>
                <w:rFonts w:ascii="Times New Roman" w:eastAsia="Times New Roman" w:hAnsi="Times New Roman" w:cs="Times New Roman"/>
                <w:vertAlign w:val="subscript"/>
                <w:lang w:val="en-GB" w:eastAsia="en-IN"/>
              </w:rPr>
              <w:t>s</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49CBF739" w14:textId="5BA375DF"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136.17</w:t>
            </w:r>
          </w:p>
        </w:tc>
      </w:tr>
      <w:tr w:rsidR="00D246A4" w:rsidRPr="001075BA" w14:paraId="78C4CD21" w14:textId="031B4E4E" w:rsidTr="00D246A4">
        <w:trPr>
          <w:trHeight w:val="283"/>
        </w:trPr>
        <w:tc>
          <w:tcPr>
            <w:tcW w:w="522" w:type="pct"/>
            <w:tcBorders>
              <w:top w:val="single" w:sz="4" w:space="0" w:color="auto"/>
              <w:left w:val="single" w:sz="4" w:space="0" w:color="auto"/>
              <w:bottom w:val="single" w:sz="4" w:space="0" w:color="auto"/>
              <w:right w:val="single" w:sz="4" w:space="0" w:color="auto"/>
            </w:tcBorders>
            <w:noWrap/>
            <w:vAlign w:val="center"/>
            <w:hideMark/>
          </w:tcPr>
          <w:p w14:paraId="3A0700A1" w14:textId="77777777"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K</w:t>
            </w:r>
            <w:r w:rsidRPr="001075BA">
              <w:rPr>
                <w:rFonts w:ascii="Times New Roman" w:eastAsia="Times New Roman" w:hAnsi="Times New Roman" w:cs="Times New Roman"/>
                <w:vertAlign w:val="subscript"/>
                <w:lang w:val="en-GB" w:eastAsia="en-IN"/>
              </w:rPr>
              <w:t>S</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00352" w14:textId="77777777"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0.013</w:t>
            </w:r>
          </w:p>
        </w:tc>
        <w:tc>
          <w:tcPr>
            <w:tcW w:w="495" w:type="pct"/>
            <w:tcBorders>
              <w:top w:val="single" w:sz="4" w:space="0" w:color="auto"/>
              <w:left w:val="single" w:sz="4" w:space="0" w:color="auto"/>
              <w:bottom w:val="single" w:sz="4" w:space="0" w:color="auto"/>
              <w:right w:val="single" w:sz="4" w:space="0" w:color="auto"/>
            </w:tcBorders>
            <w:noWrap/>
            <w:vAlign w:val="center"/>
            <w:hideMark/>
          </w:tcPr>
          <w:p w14:paraId="307C2AAB" w14:textId="77777777" w:rsidR="00D246A4" w:rsidRPr="001075BA" w:rsidRDefault="00D246A4" w:rsidP="000C3501">
            <w:pPr>
              <w:jc w:val="center"/>
              <w:rPr>
                <w:rFonts w:ascii="Times New Roman" w:eastAsia="Times New Roman" w:hAnsi="Times New Roman" w:cs="Times New Roman"/>
                <w:lang w:val="en-GB" w:eastAsia="en-IN"/>
              </w:rPr>
            </w:pPr>
            <w:proofErr w:type="spellStart"/>
            <w:r w:rsidRPr="001075BA">
              <w:rPr>
                <w:rFonts w:ascii="Times New Roman" w:eastAsia="Times New Roman" w:hAnsi="Times New Roman" w:cs="Times New Roman"/>
                <w:lang w:val="en-GB" w:eastAsia="en-IN"/>
              </w:rPr>
              <w:t>n</w:t>
            </w:r>
            <w:r w:rsidRPr="001075BA">
              <w:rPr>
                <w:rFonts w:ascii="Times New Roman" w:eastAsia="Times New Roman" w:hAnsi="Times New Roman" w:cs="Times New Roman"/>
                <w:vertAlign w:val="subscript"/>
                <w:lang w:val="en-GB" w:eastAsia="en-IN"/>
              </w:rPr>
              <w:t>F</w:t>
            </w:r>
            <w:proofErr w:type="spellEnd"/>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DBFB5" w14:textId="77777777"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1.831</w:t>
            </w:r>
          </w:p>
        </w:tc>
        <w:tc>
          <w:tcPr>
            <w:tcW w:w="673" w:type="pct"/>
            <w:tcBorders>
              <w:top w:val="single" w:sz="4" w:space="0" w:color="auto"/>
              <w:left w:val="single" w:sz="4" w:space="0" w:color="auto"/>
              <w:bottom w:val="single" w:sz="4" w:space="0" w:color="auto"/>
              <w:right w:val="single" w:sz="4" w:space="0" w:color="auto"/>
            </w:tcBorders>
            <w:vAlign w:val="center"/>
          </w:tcPr>
          <w:p w14:paraId="41305793" w14:textId="77777777"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K</w:t>
            </w:r>
            <w:r w:rsidRPr="001075BA">
              <w:rPr>
                <w:rFonts w:ascii="Times New Roman" w:eastAsia="Times New Roman" w:hAnsi="Times New Roman" w:cs="Times New Roman"/>
                <w:vertAlign w:val="subscript"/>
                <w:lang w:val="en-GB" w:eastAsia="en-IN"/>
              </w:rPr>
              <w:t>J</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C6D8D" w14:textId="77777777"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0.016</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6A23C18A" w14:textId="450AD330"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K</w:t>
            </w:r>
            <w:r w:rsidRPr="001075BA">
              <w:rPr>
                <w:rFonts w:ascii="Times New Roman" w:eastAsia="Times New Roman" w:hAnsi="Times New Roman" w:cs="Times New Roman"/>
                <w:vertAlign w:val="subscript"/>
                <w:lang w:val="en-GB" w:eastAsia="en-IN"/>
              </w:rPr>
              <w:t>ad</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4997C068" w14:textId="057CB92E" w:rsidR="00D246A4" w:rsidRPr="001075BA" w:rsidRDefault="00D246A4" w:rsidP="000C3501">
            <w:pPr>
              <w:jc w:val="center"/>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0.0001</w:t>
            </w:r>
          </w:p>
        </w:tc>
      </w:tr>
    </w:tbl>
    <w:p w14:paraId="30FE70D0" w14:textId="77777777" w:rsidR="00B64A1D" w:rsidRPr="001075BA" w:rsidRDefault="00B64A1D" w:rsidP="000C3501">
      <w:pPr>
        <w:spacing w:after="0" w:line="240" w:lineRule="auto"/>
        <w:ind w:firstLine="284"/>
        <w:rPr>
          <w:rFonts w:ascii="Times New Roman" w:eastAsia="Times New Roman" w:hAnsi="Times New Roman" w:cs="Times New Roman"/>
          <w:lang w:val="en-GB" w:eastAsia="en-IN"/>
        </w:rPr>
      </w:pPr>
    </w:p>
    <w:p w14:paraId="2C3A9EED" w14:textId="459FD61F" w:rsidR="00672D46" w:rsidRPr="001075BA" w:rsidRDefault="002D2B9B" w:rsidP="000C3501">
      <w:pPr>
        <w:pStyle w:val="Rtab"/>
        <w:rPr>
          <w:lang w:val="en-GB" w:eastAsia="en-IN"/>
        </w:rPr>
      </w:pPr>
      <w:r w:rsidRPr="001075BA">
        <w:rPr>
          <w:b/>
          <w:bCs/>
          <w:lang w:val="en-GB" w:eastAsia="en-IN"/>
        </w:rPr>
        <w:t>Table 2</w:t>
      </w:r>
      <w:r w:rsidR="000C3501" w:rsidRPr="001075BA">
        <w:rPr>
          <w:b/>
          <w:bCs/>
          <w:lang w:val="en-GB" w:eastAsia="en-IN"/>
        </w:rPr>
        <w:t>.</w:t>
      </w:r>
      <w:r w:rsidR="00DB287E" w:rsidRPr="001075BA">
        <w:rPr>
          <w:lang w:val="en-GB" w:eastAsia="en-IN"/>
        </w:rPr>
        <w:t xml:space="preserve"> </w:t>
      </w:r>
      <w:r w:rsidR="009C61A2" w:rsidRPr="001075BA">
        <w:rPr>
          <w:lang w:val="en-GB" w:eastAsia="en-IN"/>
        </w:rPr>
        <w:t>Intended factors</w:t>
      </w:r>
      <w:r w:rsidR="005E305D" w:rsidRPr="001075BA">
        <w:rPr>
          <w:lang w:val="en-GB" w:eastAsia="en-IN"/>
        </w:rPr>
        <w:t xml:space="preserve"> of 3</w:t>
      </w:r>
      <w:r w:rsidR="00DB287E" w:rsidRPr="001075BA">
        <w:rPr>
          <w:lang w:val="en-GB" w:eastAsia="en-IN"/>
        </w:rPr>
        <w:t>-parameter isotherms</w:t>
      </w:r>
    </w:p>
    <w:tbl>
      <w:tblPr>
        <w:tblStyle w:val="TableGrid7"/>
        <w:tblW w:w="975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
        <w:gridCol w:w="834"/>
        <w:gridCol w:w="742"/>
        <w:gridCol w:w="1125"/>
        <w:gridCol w:w="754"/>
        <w:gridCol w:w="906"/>
        <w:gridCol w:w="613"/>
        <w:gridCol w:w="850"/>
        <w:gridCol w:w="698"/>
        <w:gridCol w:w="907"/>
        <w:gridCol w:w="648"/>
        <w:gridCol w:w="906"/>
      </w:tblGrid>
      <w:tr w:rsidR="00BC69FE" w:rsidRPr="001075BA" w14:paraId="54DD32EC" w14:textId="77777777" w:rsidTr="00416935">
        <w:trPr>
          <w:cantSplit/>
          <w:trHeight w:val="2012"/>
          <w:jc w:val="center"/>
        </w:trPr>
        <w:tc>
          <w:tcPr>
            <w:tcW w:w="1605" w:type="dxa"/>
            <w:gridSpan w:val="2"/>
            <w:tcBorders>
              <w:top w:val="single" w:sz="4" w:space="0" w:color="auto"/>
              <w:left w:val="single" w:sz="4" w:space="0" w:color="auto"/>
              <w:bottom w:val="single" w:sz="4" w:space="0" w:color="auto"/>
              <w:right w:val="single" w:sz="4" w:space="0" w:color="auto"/>
            </w:tcBorders>
            <w:noWrap/>
            <w:textDirection w:val="btLr"/>
            <w:vAlign w:val="center"/>
            <w:hideMark/>
          </w:tcPr>
          <w:p w14:paraId="5FEFA8E3" w14:textId="77777777" w:rsidR="004D2C12" w:rsidRPr="001075BA" w:rsidRDefault="004D2C12" w:rsidP="00BC69FE">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Redlich-Peterson</w:t>
            </w:r>
          </w:p>
        </w:tc>
        <w:tc>
          <w:tcPr>
            <w:tcW w:w="1867" w:type="dxa"/>
            <w:gridSpan w:val="2"/>
            <w:tcBorders>
              <w:top w:val="single" w:sz="4" w:space="0" w:color="auto"/>
              <w:left w:val="single" w:sz="4" w:space="0" w:color="auto"/>
              <w:bottom w:val="single" w:sz="4" w:space="0" w:color="auto"/>
              <w:right w:val="single" w:sz="4" w:space="0" w:color="auto"/>
            </w:tcBorders>
            <w:noWrap/>
            <w:textDirection w:val="btLr"/>
            <w:vAlign w:val="center"/>
            <w:hideMark/>
          </w:tcPr>
          <w:p w14:paraId="082EEE8D" w14:textId="77777777" w:rsidR="004D2C12" w:rsidRPr="001075BA" w:rsidRDefault="004D2C12" w:rsidP="00BC69FE">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Toth</w:t>
            </w:r>
          </w:p>
        </w:tc>
        <w:tc>
          <w:tcPr>
            <w:tcW w:w="1660" w:type="dxa"/>
            <w:gridSpan w:val="2"/>
            <w:tcBorders>
              <w:top w:val="single" w:sz="4" w:space="0" w:color="auto"/>
              <w:left w:val="single" w:sz="4" w:space="0" w:color="auto"/>
              <w:bottom w:val="single" w:sz="4" w:space="0" w:color="auto"/>
              <w:right w:val="single" w:sz="4" w:space="0" w:color="auto"/>
            </w:tcBorders>
            <w:textDirection w:val="btLr"/>
            <w:vAlign w:val="center"/>
          </w:tcPr>
          <w:p w14:paraId="0B8241C9" w14:textId="77777777" w:rsidR="004D2C12" w:rsidRPr="001075BA" w:rsidRDefault="004D2C12" w:rsidP="00BC69FE">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Radke-</w:t>
            </w:r>
            <w:proofErr w:type="spellStart"/>
            <w:r w:rsidRPr="001075BA">
              <w:rPr>
                <w:rFonts w:ascii="Times New Roman" w:eastAsia="Times New Roman" w:hAnsi="Times New Roman" w:cs="Times New Roman"/>
                <w:bCs/>
                <w:lang w:val="en-GB"/>
              </w:rPr>
              <w:t>Prausnitz</w:t>
            </w:r>
            <w:proofErr w:type="spellEnd"/>
          </w:p>
        </w:tc>
        <w:tc>
          <w:tcPr>
            <w:tcW w:w="1463" w:type="dxa"/>
            <w:gridSpan w:val="2"/>
            <w:tcBorders>
              <w:top w:val="single" w:sz="4" w:space="0" w:color="auto"/>
              <w:left w:val="single" w:sz="4" w:space="0" w:color="auto"/>
              <w:bottom w:val="single" w:sz="4" w:space="0" w:color="auto"/>
              <w:right w:val="single" w:sz="4" w:space="0" w:color="auto"/>
            </w:tcBorders>
            <w:noWrap/>
            <w:textDirection w:val="btLr"/>
            <w:vAlign w:val="center"/>
            <w:hideMark/>
          </w:tcPr>
          <w:p w14:paraId="1F227617" w14:textId="77777777" w:rsidR="004D2C12" w:rsidRPr="001075BA" w:rsidRDefault="004D2C12" w:rsidP="00BC69FE">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Sips</w:t>
            </w:r>
          </w:p>
        </w:tc>
        <w:tc>
          <w:tcPr>
            <w:tcW w:w="1605" w:type="dxa"/>
            <w:gridSpan w:val="2"/>
            <w:tcBorders>
              <w:top w:val="single" w:sz="4" w:space="0" w:color="auto"/>
              <w:left w:val="single" w:sz="4" w:space="0" w:color="auto"/>
              <w:bottom w:val="single" w:sz="4" w:space="0" w:color="auto"/>
              <w:right w:val="single" w:sz="4" w:space="0" w:color="auto"/>
            </w:tcBorders>
            <w:noWrap/>
            <w:textDirection w:val="btLr"/>
            <w:vAlign w:val="center"/>
            <w:hideMark/>
          </w:tcPr>
          <w:p w14:paraId="0819216E" w14:textId="77777777" w:rsidR="004D2C12" w:rsidRPr="001075BA" w:rsidRDefault="004D2C12" w:rsidP="00BC69FE">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Vieth-Sladek</w:t>
            </w:r>
          </w:p>
        </w:tc>
        <w:tc>
          <w:tcPr>
            <w:tcW w:w="1554" w:type="dxa"/>
            <w:gridSpan w:val="2"/>
            <w:tcBorders>
              <w:top w:val="single" w:sz="4" w:space="0" w:color="auto"/>
              <w:left w:val="single" w:sz="4" w:space="0" w:color="auto"/>
              <w:bottom w:val="single" w:sz="4" w:space="0" w:color="auto"/>
              <w:right w:val="single" w:sz="4" w:space="0" w:color="auto"/>
            </w:tcBorders>
            <w:textDirection w:val="btLr"/>
            <w:vAlign w:val="center"/>
          </w:tcPr>
          <w:p w14:paraId="472440F8" w14:textId="77777777" w:rsidR="004D2C12" w:rsidRPr="001075BA" w:rsidRDefault="004D2C12" w:rsidP="00BC69FE">
            <w:pPr>
              <w:ind w:left="113" w:right="113"/>
              <w:rPr>
                <w:rFonts w:ascii="Times New Roman" w:eastAsia="Times New Roman" w:hAnsi="Times New Roman" w:cs="Times New Roman"/>
                <w:bCs/>
                <w:lang w:val="en-GB"/>
              </w:rPr>
            </w:pPr>
            <w:proofErr w:type="spellStart"/>
            <w:r w:rsidRPr="001075BA">
              <w:rPr>
                <w:rFonts w:ascii="Times New Roman" w:eastAsia="Times New Roman" w:hAnsi="Times New Roman" w:cs="Times New Roman"/>
                <w:bCs/>
                <w:lang w:val="en-GB"/>
              </w:rPr>
              <w:t>Brouers</w:t>
            </w:r>
            <w:proofErr w:type="spellEnd"/>
            <w:r w:rsidRPr="001075BA">
              <w:rPr>
                <w:rFonts w:ascii="Times New Roman" w:eastAsia="Times New Roman" w:hAnsi="Times New Roman" w:cs="Times New Roman"/>
                <w:bCs/>
                <w:lang w:val="en-GB"/>
              </w:rPr>
              <w:t>-Sotolongo</w:t>
            </w:r>
          </w:p>
        </w:tc>
      </w:tr>
      <w:tr w:rsidR="00BC69FE" w:rsidRPr="001075BA" w14:paraId="5626572C" w14:textId="77777777" w:rsidTr="00416935">
        <w:trPr>
          <w:trHeight w:val="397"/>
          <w:jc w:val="center"/>
        </w:trPr>
        <w:tc>
          <w:tcPr>
            <w:tcW w:w="771" w:type="dxa"/>
            <w:tcBorders>
              <w:top w:val="single" w:sz="4" w:space="0" w:color="auto"/>
              <w:left w:val="single" w:sz="4" w:space="0" w:color="auto"/>
              <w:bottom w:val="single" w:sz="4" w:space="0" w:color="auto"/>
              <w:right w:val="single" w:sz="4" w:space="0" w:color="auto"/>
            </w:tcBorders>
            <w:noWrap/>
            <w:vAlign w:val="center"/>
            <w:hideMark/>
          </w:tcPr>
          <w:p w14:paraId="44F776DA"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A</w:t>
            </w:r>
            <w:r w:rsidRPr="001075BA">
              <w:rPr>
                <w:rFonts w:ascii="Times New Roman" w:eastAsia="Times New Roman" w:hAnsi="Times New Roman" w:cs="Times New Roman"/>
                <w:vertAlign w:val="subscript"/>
                <w:lang w:val="en-GB"/>
              </w:rPr>
              <w:t>RP</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7158"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2.2</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20E4293E" w14:textId="77777777" w:rsidR="004D2C12" w:rsidRPr="001075BA" w:rsidRDefault="004D2C12" w:rsidP="00BC69FE">
            <w:pPr>
              <w:jc w:val="center"/>
              <w:rPr>
                <w:rFonts w:ascii="Times New Roman" w:eastAsia="Times New Roman" w:hAnsi="Times New Roman" w:cs="Times New Roman"/>
                <w:lang w:val="en-GB"/>
              </w:rPr>
            </w:pPr>
            <w:proofErr w:type="spellStart"/>
            <w:r w:rsidRPr="001075BA">
              <w:rPr>
                <w:rFonts w:ascii="Times New Roman" w:eastAsia="Times New Roman" w:hAnsi="Times New Roman" w:cs="Times New Roman"/>
                <w:lang w:val="en-GB"/>
              </w:rPr>
              <w:t>Q</w:t>
            </w:r>
            <w:r w:rsidRPr="001075BA">
              <w:rPr>
                <w:rFonts w:ascii="Times New Roman" w:eastAsia="Times New Roman" w:hAnsi="Times New Roman" w:cs="Times New Roman"/>
                <w:vertAlign w:val="subscript"/>
                <w:lang w:val="en-GB"/>
              </w:rPr>
              <w:t>m</w:t>
            </w:r>
            <w:proofErr w:type="spellEnd"/>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EF50E"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164.5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14DC0982" w14:textId="77777777" w:rsidR="004D2C12" w:rsidRPr="001075BA" w:rsidRDefault="004D2C12" w:rsidP="00BC69FE">
            <w:pPr>
              <w:jc w:val="center"/>
              <w:rPr>
                <w:rFonts w:ascii="Times New Roman" w:eastAsia="Times New Roman" w:hAnsi="Times New Roman" w:cs="Times New Roman"/>
                <w:lang w:val="en-GB"/>
              </w:rPr>
            </w:pPr>
            <w:proofErr w:type="spellStart"/>
            <w:r w:rsidRPr="001075BA">
              <w:rPr>
                <w:rFonts w:ascii="Times New Roman" w:eastAsia="Times New Roman" w:hAnsi="Times New Roman" w:cs="Times New Roman"/>
                <w:lang w:val="en-GB"/>
              </w:rPr>
              <w:t>Q</w:t>
            </w:r>
            <w:r w:rsidRPr="001075BA">
              <w:rPr>
                <w:rFonts w:ascii="Times New Roman" w:eastAsia="Times New Roman" w:hAnsi="Times New Roman" w:cs="Times New Roman"/>
                <w:vertAlign w:val="subscript"/>
                <w:lang w:val="en-GB"/>
              </w:rPr>
              <w:t>m</w:t>
            </w:r>
            <w:proofErr w:type="spellEnd"/>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58657799"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6233.9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47AA0B56" w14:textId="77777777" w:rsidR="004D2C12" w:rsidRPr="001075BA" w:rsidRDefault="004D2C12" w:rsidP="00BC69FE">
            <w:pPr>
              <w:jc w:val="center"/>
              <w:rPr>
                <w:rFonts w:ascii="Times New Roman" w:eastAsia="Times New Roman" w:hAnsi="Times New Roman" w:cs="Times New Roman"/>
                <w:lang w:val="en-GB"/>
              </w:rPr>
            </w:pPr>
            <w:proofErr w:type="spellStart"/>
            <w:r w:rsidRPr="001075BA">
              <w:rPr>
                <w:rFonts w:ascii="Times New Roman" w:eastAsia="Times New Roman" w:hAnsi="Times New Roman" w:cs="Times New Roman"/>
                <w:lang w:val="en-GB"/>
              </w:rPr>
              <w:t>Q</w:t>
            </w:r>
            <w:r w:rsidRPr="001075BA">
              <w:rPr>
                <w:rFonts w:ascii="Times New Roman" w:eastAsia="Times New Roman" w:hAnsi="Times New Roman" w:cs="Times New Roman"/>
                <w:vertAlign w:val="subscript"/>
                <w:lang w:val="en-GB"/>
              </w:rPr>
              <w:t>m</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1CB84"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195.4</w:t>
            </w:r>
          </w:p>
        </w:tc>
        <w:tc>
          <w:tcPr>
            <w:tcW w:w="698" w:type="dxa"/>
            <w:tcBorders>
              <w:top w:val="single" w:sz="4" w:space="0" w:color="auto"/>
              <w:left w:val="single" w:sz="4" w:space="0" w:color="auto"/>
              <w:bottom w:val="single" w:sz="4" w:space="0" w:color="auto"/>
              <w:right w:val="single" w:sz="4" w:space="0" w:color="auto"/>
            </w:tcBorders>
            <w:noWrap/>
            <w:vAlign w:val="center"/>
          </w:tcPr>
          <w:p w14:paraId="4B6968A9" w14:textId="77777777" w:rsidR="004D2C12" w:rsidRPr="001075BA" w:rsidRDefault="004D2C12" w:rsidP="00BC69FE">
            <w:pPr>
              <w:jc w:val="center"/>
              <w:rPr>
                <w:rFonts w:ascii="Times New Roman" w:eastAsia="Times New Roman" w:hAnsi="Times New Roman" w:cs="Times New Roman"/>
                <w:lang w:val="en-GB"/>
              </w:rPr>
            </w:pPr>
            <w:proofErr w:type="spellStart"/>
            <w:r w:rsidRPr="001075BA">
              <w:rPr>
                <w:rFonts w:ascii="Times New Roman" w:eastAsia="Times New Roman" w:hAnsi="Times New Roman" w:cs="Times New Roman"/>
                <w:lang w:val="en-GB"/>
              </w:rPr>
              <w:t>Q</w:t>
            </w:r>
            <w:r w:rsidRPr="001075BA">
              <w:rPr>
                <w:rFonts w:ascii="Times New Roman" w:eastAsia="Times New Roman" w:hAnsi="Times New Roman" w:cs="Times New Roman"/>
                <w:vertAlign w:val="subscript"/>
                <w:lang w:val="en-GB"/>
              </w:rPr>
              <w:t>m</w:t>
            </w:r>
            <w:proofErr w:type="spellEnd"/>
          </w:p>
        </w:tc>
        <w:tc>
          <w:tcPr>
            <w:tcW w:w="907" w:type="dxa"/>
            <w:tcBorders>
              <w:top w:val="single" w:sz="4" w:space="0" w:color="auto"/>
              <w:left w:val="single" w:sz="4" w:space="0" w:color="auto"/>
              <w:bottom w:val="single" w:sz="4" w:space="0" w:color="auto"/>
              <w:right w:val="single" w:sz="4" w:space="0" w:color="auto"/>
            </w:tcBorders>
            <w:vAlign w:val="center"/>
          </w:tcPr>
          <w:p w14:paraId="25E0EFD7"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227.8</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415DD9C8" w14:textId="77777777" w:rsidR="004D2C12" w:rsidRPr="001075BA" w:rsidRDefault="004D2C12" w:rsidP="00BC69FE">
            <w:pPr>
              <w:jc w:val="center"/>
              <w:rPr>
                <w:rFonts w:ascii="Times New Roman" w:eastAsia="Times New Roman" w:hAnsi="Times New Roman" w:cs="Times New Roman"/>
                <w:lang w:val="en-GB"/>
              </w:rPr>
            </w:pPr>
            <w:proofErr w:type="spellStart"/>
            <w:r w:rsidRPr="001075BA">
              <w:rPr>
                <w:rFonts w:ascii="Times New Roman" w:eastAsia="Times New Roman" w:hAnsi="Times New Roman" w:cs="Times New Roman"/>
                <w:lang w:val="en-GB"/>
              </w:rPr>
              <w:t>Q</w:t>
            </w:r>
            <w:r w:rsidRPr="001075BA">
              <w:rPr>
                <w:rFonts w:ascii="Times New Roman" w:eastAsia="Times New Roman" w:hAnsi="Times New Roman" w:cs="Times New Roman"/>
                <w:vertAlign w:val="subscript"/>
                <w:lang w:val="en-GB"/>
              </w:rPr>
              <w:t>m</w:t>
            </w:r>
            <w:proofErr w:type="spellEnd"/>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48789CDB"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154.5</w:t>
            </w:r>
          </w:p>
        </w:tc>
      </w:tr>
      <w:tr w:rsidR="00BC69FE" w:rsidRPr="001075BA" w14:paraId="2B786569" w14:textId="77777777" w:rsidTr="00416935">
        <w:trPr>
          <w:trHeight w:val="397"/>
          <w:jc w:val="center"/>
        </w:trPr>
        <w:tc>
          <w:tcPr>
            <w:tcW w:w="771" w:type="dxa"/>
            <w:tcBorders>
              <w:top w:val="single" w:sz="4" w:space="0" w:color="auto"/>
              <w:left w:val="single" w:sz="4" w:space="0" w:color="auto"/>
              <w:bottom w:val="single" w:sz="4" w:space="0" w:color="auto"/>
              <w:right w:val="single" w:sz="4" w:space="0" w:color="auto"/>
            </w:tcBorders>
            <w:noWrap/>
            <w:vAlign w:val="center"/>
            <w:hideMark/>
          </w:tcPr>
          <w:p w14:paraId="17EB161E"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B</w:t>
            </w:r>
            <w:r w:rsidRPr="001075BA">
              <w:rPr>
                <w:rFonts w:ascii="Times New Roman" w:eastAsia="Times New Roman" w:hAnsi="Times New Roman" w:cs="Times New Roman"/>
                <w:vertAlign w:val="subscript"/>
                <w:lang w:val="en-GB"/>
              </w:rPr>
              <w:t>RP</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C3C4A"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0.001</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4061AFFC"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n</w:t>
            </w:r>
            <w:r w:rsidRPr="001075BA">
              <w:rPr>
                <w:rFonts w:ascii="Times New Roman" w:eastAsia="Times New Roman" w:hAnsi="Times New Roman" w:cs="Times New Roman"/>
                <w:vertAlign w:val="subscript"/>
                <w:lang w:val="en-GB"/>
              </w:rPr>
              <w:t>T0</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2CDC"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2.004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3B2AFDB7" w14:textId="77777777" w:rsidR="004D2C12" w:rsidRPr="001075BA" w:rsidRDefault="004D2C12" w:rsidP="00BC69FE">
            <w:pPr>
              <w:jc w:val="center"/>
              <w:rPr>
                <w:rFonts w:ascii="Times New Roman" w:eastAsia="Times New Roman" w:hAnsi="Times New Roman" w:cs="Times New Roman"/>
                <w:lang w:val="en-GB"/>
              </w:rPr>
            </w:pPr>
            <w:proofErr w:type="spellStart"/>
            <w:r w:rsidRPr="001075BA">
              <w:rPr>
                <w:rFonts w:ascii="Times New Roman" w:eastAsia="Times New Roman" w:hAnsi="Times New Roman" w:cs="Times New Roman"/>
                <w:lang w:val="en-GB"/>
              </w:rPr>
              <w:t>K</w:t>
            </w:r>
            <w:r w:rsidRPr="001075BA">
              <w:rPr>
                <w:rFonts w:ascii="Times New Roman" w:eastAsia="Times New Roman" w:hAnsi="Times New Roman" w:cs="Times New Roman"/>
                <w:vertAlign w:val="subscript"/>
                <w:lang w:val="en-GB"/>
              </w:rPr>
              <w:t>rp</w:t>
            </w:r>
            <w:proofErr w:type="spellEnd"/>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7B5430D1"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0.0003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67E1ABDF"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K</w:t>
            </w:r>
            <w:r w:rsidRPr="001075BA">
              <w:rPr>
                <w:rFonts w:ascii="Times New Roman" w:eastAsia="Times New Roman" w:hAnsi="Times New Roman" w:cs="Times New Roman"/>
                <w:vertAlign w:val="subscript"/>
                <w:lang w:val="en-GB"/>
              </w:rPr>
              <w:t>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B8438"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0.046</w:t>
            </w:r>
          </w:p>
        </w:tc>
        <w:tc>
          <w:tcPr>
            <w:tcW w:w="698" w:type="dxa"/>
            <w:tcBorders>
              <w:top w:val="single" w:sz="4" w:space="0" w:color="auto"/>
              <w:left w:val="single" w:sz="4" w:space="0" w:color="auto"/>
              <w:bottom w:val="single" w:sz="4" w:space="0" w:color="auto"/>
              <w:right w:val="single" w:sz="4" w:space="0" w:color="auto"/>
            </w:tcBorders>
            <w:noWrap/>
            <w:vAlign w:val="center"/>
          </w:tcPr>
          <w:p w14:paraId="1E5C3C00"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K</w:t>
            </w:r>
            <w:r w:rsidRPr="001075BA">
              <w:rPr>
                <w:rFonts w:ascii="Times New Roman" w:eastAsia="Times New Roman" w:hAnsi="Times New Roman" w:cs="Times New Roman"/>
                <w:vertAlign w:val="subscript"/>
                <w:lang w:val="en-GB"/>
              </w:rPr>
              <w:t>VS</w:t>
            </w:r>
          </w:p>
        </w:tc>
        <w:tc>
          <w:tcPr>
            <w:tcW w:w="907" w:type="dxa"/>
            <w:tcBorders>
              <w:top w:val="single" w:sz="4" w:space="0" w:color="auto"/>
              <w:left w:val="single" w:sz="4" w:space="0" w:color="auto"/>
              <w:bottom w:val="single" w:sz="4" w:space="0" w:color="auto"/>
              <w:right w:val="single" w:sz="4" w:space="0" w:color="auto"/>
            </w:tcBorders>
            <w:vAlign w:val="center"/>
          </w:tcPr>
          <w:p w14:paraId="537695CE"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1E-07</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075DD675"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K</w:t>
            </w:r>
            <w:r w:rsidRPr="001075BA">
              <w:rPr>
                <w:rFonts w:ascii="Times New Roman" w:eastAsia="Times New Roman" w:hAnsi="Times New Roman" w:cs="Times New Roman"/>
                <w:vertAlign w:val="subscript"/>
                <w:lang w:val="en-GB"/>
              </w:rPr>
              <w:t>BS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35F8F915"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0.011</w:t>
            </w:r>
          </w:p>
        </w:tc>
      </w:tr>
      <w:tr w:rsidR="00BC69FE" w:rsidRPr="001075BA" w14:paraId="399CF4B6" w14:textId="77777777" w:rsidTr="00416935">
        <w:trPr>
          <w:trHeight w:val="397"/>
          <w:jc w:val="center"/>
        </w:trPr>
        <w:tc>
          <w:tcPr>
            <w:tcW w:w="771" w:type="dxa"/>
            <w:tcBorders>
              <w:top w:val="single" w:sz="4" w:space="0" w:color="auto"/>
              <w:left w:val="single" w:sz="4" w:space="0" w:color="auto"/>
              <w:bottom w:val="single" w:sz="4" w:space="0" w:color="auto"/>
              <w:right w:val="single" w:sz="4" w:space="0" w:color="auto"/>
            </w:tcBorders>
            <w:noWrap/>
            <w:vAlign w:val="center"/>
            <w:hideMark/>
          </w:tcPr>
          <w:p w14:paraId="44D72B43"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g</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37313"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1.482</w:t>
            </w:r>
          </w:p>
        </w:tc>
        <w:tc>
          <w:tcPr>
            <w:tcW w:w="742" w:type="dxa"/>
            <w:tcBorders>
              <w:top w:val="single" w:sz="4" w:space="0" w:color="auto"/>
              <w:left w:val="single" w:sz="4" w:space="0" w:color="auto"/>
              <w:bottom w:val="single" w:sz="4" w:space="0" w:color="auto"/>
              <w:right w:val="single" w:sz="4" w:space="0" w:color="auto"/>
            </w:tcBorders>
            <w:noWrap/>
            <w:vAlign w:val="center"/>
            <w:hideMark/>
          </w:tcPr>
          <w:p w14:paraId="52824930"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b</w:t>
            </w:r>
            <w:r w:rsidRPr="001075BA">
              <w:rPr>
                <w:rFonts w:ascii="Times New Roman" w:eastAsia="Times New Roman" w:hAnsi="Times New Roman" w:cs="Times New Roman"/>
                <w:vertAlign w:val="subscript"/>
                <w:lang w:val="en-GB"/>
              </w:rPr>
              <w:t>T0</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E937F"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6008.399</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5AAD5FE7" w14:textId="77777777" w:rsidR="004D2C12" w:rsidRPr="001075BA" w:rsidRDefault="004D2C12" w:rsidP="00BC69FE">
            <w:pPr>
              <w:jc w:val="center"/>
              <w:rPr>
                <w:rFonts w:ascii="Times New Roman" w:eastAsia="Times New Roman" w:hAnsi="Times New Roman" w:cs="Times New Roman"/>
                <w:lang w:val="en-GB"/>
              </w:rPr>
            </w:pPr>
            <w:proofErr w:type="spellStart"/>
            <w:r w:rsidRPr="001075BA">
              <w:rPr>
                <w:rFonts w:ascii="Times New Roman" w:eastAsia="Times New Roman" w:hAnsi="Times New Roman" w:cs="Times New Roman"/>
                <w:lang w:val="en-GB"/>
              </w:rPr>
              <w:t>m</w:t>
            </w:r>
            <w:r w:rsidRPr="001075BA">
              <w:rPr>
                <w:rFonts w:ascii="Times New Roman" w:eastAsia="Times New Roman" w:hAnsi="Times New Roman" w:cs="Times New Roman"/>
                <w:vertAlign w:val="subscript"/>
                <w:lang w:val="en-GB"/>
              </w:rPr>
              <w:t>rp</w:t>
            </w:r>
            <w:proofErr w:type="spellEnd"/>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484508FE"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15.795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1B76DD94" w14:textId="60AB6973" w:rsidR="004D2C12" w:rsidRPr="001075BA" w:rsidRDefault="004D2C12" w:rsidP="00BC69FE">
            <w:pPr>
              <w:jc w:val="center"/>
              <w:rPr>
                <w:rFonts w:ascii="Times New Roman" w:eastAsia="Times New Roman" w:hAnsi="Times New Roman" w:cs="Times New Roman"/>
                <w:lang w:val="en-GB"/>
              </w:rPr>
            </w:pPr>
            <w:proofErr w:type="spellStart"/>
            <w:r w:rsidRPr="001075BA">
              <w:rPr>
                <w:rFonts w:ascii="Times New Roman" w:eastAsia="Times New Roman" w:hAnsi="Times New Roman" w:cs="Times New Roman"/>
                <w:lang w:val="en-GB"/>
              </w:rPr>
              <w:t>m</w:t>
            </w:r>
            <w:r w:rsidRPr="001075BA">
              <w:rPr>
                <w:rFonts w:ascii="Times New Roman" w:eastAsia="Times New Roman" w:hAnsi="Times New Roman" w:cs="Times New Roman"/>
                <w:vertAlign w:val="subscript"/>
                <w:lang w:val="en-GB"/>
              </w:rPr>
              <w:t>s</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F406C"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2.126</w:t>
            </w:r>
          </w:p>
        </w:tc>
        <w:tc>
          <w:tcPr>
            <w:tcW w:w="698" w:type="dxa"/>
            <w:tcBorders>
              <w:top w:val="single" w:sz="4" w:space="0" w:color="auto"/>
              <w:left w:val="single" w:sz="4" w:space="0" w:color="auto"/>
              <w:bottom w:val="single" w:sz="4" w:space="0" w:color="auto"/>
              <w:right w:val="single" w:sz="4" w:space="0" w:color="auto"/>
            </w:tcBorders>
            <w:noWrap/>
            <w:vAlign w:val="center"/>
          </w:tcPr>
          <w:p w14:paraId="5BF737EA"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β</w:t>
            </w:r>
            <w:r w:rsidRPr="001075BA">
              <w:rPr>
                <w:rFonts w:ascii="Times New Roman" w:eastAsia="Times New Roman" w:hAnsi="Times New Roman" w:cs="Times New Roman"/>
                <w:vertAlign w:val="subscript"/>
                <w:lang w:val="en-GB"/>
              </w:rPr>
              <w:t>VS</w:t>
            </w:r>
          </w:p>
        </w:tc>
        <w:tc>
          <w:tcPr>
            <w:tcW w:w="907" w:type="dxa"/>
            <w:tcBorders>
              <w:top w:val="single" w:sz="4" w:space="0" w:color="auto"/>
              <w:left w:val="single" w:sz="4" w:space="0" w:color="auto"/>
              <w:bottom w:val="single" w:sz="4" w:space="0" w:color="auto"/>
              <w:right w:val="single" w:sz="4" w:space="0" w:color="auto"/>
            </w:tcBorders>
            <w:vAlign w:val="center"/>
          </w:tcPr>
          <w:p w14:paraId="3628ED31"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0.013</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5B203AD4"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α</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7E7DC289" w14:textId="77777777" w:rsidR="004D2C12" w:rsidRPr="001075BA" w:rsidRDefault="004D2C12" w:rsidP="00BC69FE">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1.125</w:t>
            </w:r>
          </w:p>
        </w:tc>
      </w:tr>
    </w:tbl>
    <w:p w14:paraId="5564B62B" w14:textId="77777777" w:rsidR="00D471EF" w:rsidRPr="001075BA" w:rsidRDefault="00D471EF" w:rsidP="000C3501">
      <w:pPr>
        <w:spacing w:after="0" w:line="240" w:lineRule="auto"/>
        <w:ind w:firstLine="284"/>
        <w:rPr>
          <w:rFonts w:ascii="Times New Roman" w:eastAsia="Times New Roman" w:hAnsi="Times New Roman" w:cs="Times New Roman"/>
          <w:bCs/>
          <w:lang w:val="en-GB" w:eastAsia="en-IN"/>
        </w:rPr>
      </w:pPr>
    </w:p>
    <w:p w14:paraId="13AD777A" w14:textId="6C4C0C73" w:rsidR="00E970AF" w:rsidRPr="001075BA" w:rsidRDefault="002D2B9B" w:rsidP="000C3501">
      <w:pPr>
        <w:pStyle w:val="Rtab"/>
        <w:rPr>
          <w:rStyle w:val="Odwoaniedelikatne"/>
          <w:rFonts w:eastAsia="Times New Roman" w:cstheme="minorHAnsi"/>
          <w:smallCaps w:val="0"/>
          <w:color w:val="auto"/>
          <w:sz w:val="24"/>
          <w:szCs w:val="24"/>
          <w:u w:val="none"/>
          <w:lang w:val="en-GB" w:eastAsia="en-IN"/>
        </w:rPr>
      </w:pPr>
      <w:r w:rsidRPr="001075BA">
        <w:rPr>
          <w:b/>
          <w:bCs/>
          <w:lang w:val="en-GB" w:eastAsia="en-IN"/>
        </w:rPr>
        <w:t>Table 3</w:t>
      </w:r>
      <w:r w:rsidR="000C3501" w:rsidRPr="001075BA">
        <w:rPr>
          <w:b/>
          <w:bCs/>
          <w:lang w:val="en-GB" w:eastAsia="en-IN"/>
        </w:rPr>
        <w:t>.</w:t>
      </w:r>
      <w:r w:rsidR="00DB287E" w:rsidRPr="001075BA">
        <w:rPr>
          <w:lang w:val="en-GB" w:eastAsia="en-IN"/>
        </w:rPr>
        <w:t xml:space="preserve"> Statistical </w:t>
      </w:r>
      <w:r w:rsidR="009C61A2" w:rsidRPr="001075BA">
        <w:rPr>
          <w:lang w:val="en-GB" w:eastAsia="en-IN"/>
        </w:rPr>
        <w:t>factors</w:t>
      </w:r>
      <w:r w:rsidR="00DB287E" w:rsidRPr="001075BA">
        <w:rPr>
          <w:lang w:val="en-GB" w:eastAsia="en-IN"/>
        </w:rPr>
        <w:t xml:space="preserve"> of three-parameter isotherms</w:t>
      </w:r>
    </w:p>
    <w:tbl>
      <w:tblPr>
        <w:tblStyle w:val="TableGrid8"/>
        <w:tblW w:w="5000" w:type="pct"/>
        <w:jc w:val="center"/>
        <w:tblLayout w:type="fixed"/>
        <w:tblLook w:val="04A0" w:firstRow="1" w:lastRow="0" w:firstColumn="1" w:lastColumn="0" w:noHBand="0" w:noVBand="1"/>
      </w:tblPr>
      <w:tblGrid>
        <w:gridCol w:w="875"/>
        <w:gridCol w:w="875"/>
        <w:gridCol w:w="875"/>
        <w:gridCol w:w="877"/>
        <w:gridCol w:w="875"/>
        <w:gridCol w:w="875"/>
        <w:gridCol w:w="875"/>
        <w:gridCol w:w="877"/>
        <w:gridCol w:w="874"/>
        <w:gridCol w:w="874"/>
        <w:gridCol w:w="876"/>
      </w:tblGrid>
      <w:tr w:rsidR="00416935" w:rsidRPr="001075BA" w14:paraId="61D900C9" w14:textId="77777777" w:rsidTr="00416935">
        <w:trPr>
          <w:cantSplit/>
          <w:trHeight w:val="2407"/>
          <w:jc w:val="center"/>
        </w:trPr>
        <w:tc>
          <w:tcPr>
            <w:tcW w:w="454" w:type="pct"/>
            <w:noWrap/>
            <w:textDirection w:val="btLr"/>
            <w:vAlign w:val="center"/>
            <w:hideMark/>
          </w:tcPr>
          <w:p w14:paraId="00CD2D5C" w14:textId="77777777" w:rsidR="004D2C12" w:rsidRPr="001075BA" w:rsidRDefault="004D2C12" w:rsidP="00416935">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Isotherms</w:t>
            </w:r>
          </w:p>
        </w:tc>
        <w:tc>
          <w:tcPr>
            <w:tcW w:w="454" w:type="pct"/>
            <w:noWrap/>
            <w:textDirection w:val="btLr"/>
            <w:vAlign w:val="center"/>
            <w:hideMark/>
          </w:tcPr>
          <w:p w14:paraId="5A51D213" w14:textId="77777777" w:rsidR="004D2C12" w:rsidRPr="001075BA" w:rsidRDefault="004D2C12" w:rsidP="00416935">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Langmuir</w:t>
            </w:r>
          </w:p>
        </w:tc>
        <w:tc>
          <w:tcPr>
            <w:tcW w:w="454" w:type="pct"/>
            <w:noWrap/>
            <w:textDirection w:val="btLr"/>
            <w:vAlign w:val="center"/>
            <w:hideMark/>
          </w:tcPr>
          <w:p w14:paraId="0FF510D4" w14:textId="77777777" w:rsidR="004D2C12" w:rsidRPr="001075BA" w:rsidRDefault="004D2C12" w:rsidP="00416935">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Freundlich</w:t>
            </w:r>
          </w:p>
        </w:tc>
        <w:tc>
          <w:tcPr>
            <w:tcW w:w="455" w:type="pct"/>
            <w:noWrap/>
            <w:textDirection w:val="btLr"/>
            <w:vAlign w:val="center"/>
            <w:hideMark/>
          </w:tcPr>
          <w:p w14:paraId="47933F80" w14:textId="77777777" w:rsidR="004D2C12" w:rsidRPr="001075BA" w:rsidRDefault="004D2C12" w:rsidP="00416935">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Jovanovic</w:t>
            </w:r>
          </w:p>
        </w:tc>
        <w:tc>
          <w:tcPr>
            <w:tcW w:w="454" w:type="pct"/>
            <w:textDirection w:val="btLr"/>
            <w:vAlign w:val="center"/>
          </w:tcPr>
          <w:p w14:paraId="1FFDDAED" w14:textId="23A30A00" w:rsidR="004D2C12" w:rsidRPr="001075BA" w:rsidRDefault="004D2C12" w:rsidP="00416935">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Dubinin-</w:t>
            </w:r>
            <w:proofErr w:type="spellStart"/>
            <w:r w:rsidRPr="001075BA">
              <w:rPr>
                <w:rFonts w:ascii="Times New Roman" w:eastAsia="Times New Roman" w:hAnsi="Times New Roman" w:cs="Times New Roman"/>
                <w:bCs/>
                <w:lang w:val="en-GB"/>
              </w:rPr>
              <w:t>Radushkevich</w:t>
            </w:r>
            <w:proofErr w:type="spellEnd"/>
          </w:p>
        </w:tc>
        <w:tc>
          <w:tcPr>
            <w:tcW w:w="454" w:type="pct"/>
            <w:noWrap/>
            <w:textDirection w:val="btLr"/>
            <w:vAlign w:val="center"/>
            <w:hideMark/>
          </w:tcPr>
          <w:p w14:paraId="551B1B28" w14:textId="40C35FF7" w:rsidR="004D2C12" w:rsidRPr="001075BA" w:rsidRDefault="004D2C12" w:rsidP="00416935">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Redlich-Peterson</w:t>
            </w:r>
          </w:p>
        </w:tc>
        <w:tc>
          <w:tcPr>
            <w:tcW w:w="454" w:type="pct"/>
            <w:noWrap/>
            <w:textDirection w:val="btLr"/>
            <w:vAlign w:val="center"/>
            <w:hideMark/>
          </w:tcPr>
          <w:p w14:paraId="0BEDA6C6" w14:textId="77777777" w:rsidR="004D2C12" w:rsidRPr="001075BA" w:rsidRDefault="004D2C12" w:rsidP="00416935">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Toth</w:t>
            </w:r>
          </w:p>
        </w:tc>
        <w:tc>
          <w:tcPr>
            <w:tcW w:w="455" w:type="pct"/>
            <w:textDirection w:val="btLr"/>
            <w:vAlign w:val="center"/>
          </w:tcPr>
          <w:p w14:paraId="70ABCA56" w14:textId="224568E3" w:rsidR="004D2C12" w:rsidRPr="001075BA" w:rsidRDefault="004D2C12" w:rsidP="00416935">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Radke-</w:t>
            </w:r>
            <w:proofErr w:type="spellStart"/>
            <w:r w:rsidRPr="001075BA">
              <w:rPr>
                <w:rFonts w:ascii="Times New Roman" w:eastAsia="Times New Roman" w:hAnsi="Times New Roman" w:cs="Times New Roman"/>
                <w:bCs/>
                <w:lang w:val="en-GB"/>
              </w:rPr>
              <w:t>Prausnitz</w:t>
            </w:r>
            <w:proofErr w:type="spellEnd"/>
          </w:p>
        </w:tc>
        <w:tc>
          <w:tcPr>
            <w:tcW w:w="454" w:type="pct"/>
            <w:noWrap/>
            <w:textDirection w:val="btLr"/>
            <w:vAlign w:val="center"/>
            <w:hideMark/>
          </w:tcPr>
          <w:p w14:paraId="097E36D6" w14:textId="77777777" w:rsidR="004D2C12" w:rsidRPr="001075BA" w:rsidRDefault="004D2C12" w:rsidP="00416935">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Sips</w:t>
            </w:r>
          </w:p>
        </w:tc>
        <w:tc>
          <w:tcPr>
            <w:tcW w:w="454" w:type="pct"/>
            <w:noWrap/>
            <w:textDirection w:val="btLr"/>
            <w:vAlign w:val="center"/>
            <w:hideMark/>
          </w:tcPr>
          <w:p w14:paraId="0DA994B5" w14:textId="5BD5A45B" w:rsidR="004D2C12" w:rsidRPr="001075BA" w:rsidRDefault="004D2C12" w:rsidP="00416935">
            <w:pPr>
              <w:ind w:left="113" w:right="113"/>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Vieth-Sladek</w:t>
            </w:r>
          </w:p>
        </w:tc>
        <w:tc>
          <w:tcPr>
            <w:tcW w:w="455" w:type="pct"/>
            <w:noWrap/>
            <w:textDirection w:val="btLr"/>
            <w:vAlign w:val="center"/>
            <w:hideMark/>
          </w:tcPr>
          <w:p w14:paraId="3917D1D1" w14:textId="2E0F135F" w:rsidR="004D2C12" w:rsidRPr="001075BA" w:rsidRDefault="004D2C12" w:rsidP="00416935">
            <w:pPr>
              <w:ind w:left="113" w:right="113"/>
              <w:rPr>
                <w:rFonts w:ascii="Times New Roman" w:eastAsia="Times New Roman" w:hAnsi="Times New Roman" w:cs="Times New Roman"/>
                <w:bCs/>
                <w:lang w:val="en-GB"/>
              </w:rPr>
            </w:pPr>
            <w:proofErr w:type="spellStart"/>
            <w:r w:rsidRPr="001075BA">
              <w:rPr>
                <w:rFonts w:ascii="Times New Roman" w:eastAsia="Times New Roman" w:hAnsi="Times New Roman" w:cs="Times New Roman"/>
                <w:bCs/>
                <w:lang w:val="en-GB"/>
              </w:rPr>
              <w:t>Brouers</w:t>
            </w:r>
            <w:proofErr w:type="spellEnd"/>
            <w:r w:rsidRPr="001075BA">
              <w:rPr>
                <w:rFonts w:ascii="Times New Roman" w:eastAsia="Times New Roman" w:hAnsi="Times New Roman" w:cs="Times New Roman"/>
                <w:bCs/>
                <w:lang w:val="en-GB"/>
              </w:rPr>
              <w:t>-Sotolongo</w:t>
            </w:r>
          </w:p>
        </w:tc>
      </w:tr>
      <w:tr w:rsidR="00416935" w:rsidRPr="001075BA" w14:paraId="595390FE" w14:textId="77777777" w:rsidTr="00416935">
        <w:trPr>
          <w:trHeight w:val="340"/>
          <w:jc w:val="center"/>
        </w:trPr>
        <w:tc>
          <w:tcPr>
            <w:tcW w:w="454" w:type="pct"/>
            <w:noWrap/>
            <w:vAlign w:val="center"/>
            <w:hideMark/>
          </w:tcPr>
          <w:p w14:paraId="5D001242"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SSE</w:t>
            </w:r>
          </w:p>
        </w:tc>
        <w:tc>
          <w:tcPr>
            <w:tcW w:w="454" w:type="pct"/>
            <w:shd w:val="clear" w:color="auto" w:fill="auto"/>
            <w:noWrap/>
            <w:vAlign w:val="center"/>
            <w:hideMark/>
          </w:tcPr>
          <w:p w14:paraId="66C955C0"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185.5</w:t>
            </w:r>
          </w:p>
        </w:tc>
        <w:tc>
          <w:tcPr>
            <w:tcW w:w="454" w:type="pct"/>
            <w:shd w:val="clear" w:color="auto" w:fill="auto"/>
            <w:noWrap/>
            <w:vAlign w:val="center"/>
            <w:hideMark/>
          </w:tcPr>
          <w:p w14:paraId="54EB968B"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920.0</w:t>
            </w:r>
          </w:p>
        </w:tc>
        <w:tc>
          <w:tcPr>
            <w:tcW w:w="455" w:type="pct"/>
            <w:shd w:val="clear" w:color="auto" w:fill="auto"/>
            <w:noWrap/>
            <w:vAlign w:val="center"/>
            <w:hideMark/>
          </w:tcPr>
          <w:p w14:paraId="6CFB2CA2"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83.8</w:t>
            </w:r>
          </w:p>
        </w:tc>
        <w:tc>
          <w:tcPr>
            <w:tcW w:w="454" w:type="pct"/>
            <w:shd w:val="clear" w:color="auto" w:fill="auto"/>
            <w:vAlign w:val="center"/>
          </w:tcPr>
          <w:p w14:paraId="7AEC3065"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1222.5</w:t>
            </w:r>
          </w:p>
        </w:tc>
        <w:tc>
          <w:tcPr>
            <w:tcW w:w="454" w:type="pct"/>
            <w:shd w:val="clear" w:color="auto" w:fill="auto"/>
            <w:noWrap/>
            <w:vAlign w:val="center"/>
            <w:hideMark/>
          </w:tcPr>
          <w:p w14:paraId="5209821C"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50.3</w:t>
            </w:r>
          </w:p>
        </w:tc>
        <w:tc>
          <w:tcPr>
            <w:tcW w:w="454" w:type="pct"/>
            <w:shd w:val="clear" w:color="auto" w:fill="auto"/>
            <w:noWrap/>
            <w:vAlign w:val="center"/>
            <w:hideMark/>
          </w:tcPr>
          <w:p w14:paraId="51D149E8"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44.7</w:t>
            </w:r>
          </w:p>
        </w:tc>
        <w:tc>
          <w:tcPr>
            <w:tcW w:w="455" w:type="pct"/>
            <w:shd w:val="clear" w:color="auto" w:fill="auto"/>
            <w:vAlign w:val="center"/>
          </w:tcPr>
          <w:p w14:paraId="650D2C09"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59.8</w:t>
            </w:r>
          </w:p>
        </w:tc>
        <w:tc>
          <w:tcPr>
            <w:tcW w:w="454" w:type="pct"/>
            <w:shd w:val="clear" w:color="auto" w:fill="auto"/>
            <w:noWrap/>
            <w:vAlign w:val="center"/>
            <w:hideMark/>
          </w:tcPr>
          <w:p w14:paraId="455F3E8B"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32.4</w:t>
            </w:r>
          </w:p>
        </w:tc>
        <w:tc>
          <w:tcPr>
            <w:tcW w:w="454" w:type="pct"/>
            <w:shd w:val="clear" w:color="auto" w:fill="auto"/>
            <w:noWrap/>
            <w:vAlign w:val="center"/>
            <w:hideMark/>
          </w:tcPr>
          <w:p w14:paraId="71EF3C33"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185.5</w:t>
            </w:r>
          </w:p>
        </w:tc>
        <w:tc>
          <w:tcPr>
            <w:tcW w:w="455" w:type="pct"/>
            <w:shd w:val="clear" w:color="auto" w:fill="auto"/>
            <w:noWrap/>
            <w:vAlign w:val="center"/>
            <w:hideMark/>
          </w:tcPr>
          <w:p w14:paraId="01E56B57"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40.7</w:t>
            </w:r>
          </w:p>
        </w:tc>
      </w:tr>
      <w:tr w:rsidR="00416935" w:rsidRPr="001075BA" w14:paraId="6B1A2808" w14:textId="77777777" w:rsidTr="00416935">
        <w:trPr>
          <w:trHeight w:val="340"/>
          <w:jc w:val="center"/>
        </w:trPr>
        <w:tc>
          <w:tcPr>
            <w:tcW w:w="454" w:type="pct"/>
            <w:noWrap/>
            <w:vAlign w:val="center"/>
            <w:hideMark/>
          </w:tcPr>
          <w:p w14:paraId="75EE3671"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χ</w:t>
            </w:r>
            <w:r w:rsidRPr="001075BA">
              <w:rPr>
                <w:rFonts w:ascii="Times New Roman" w:eastAsia="Times New Roman" w:hAnsi="Times New Roman" w:cs="Times New Roman"/>
                <w:vertAlign w:val="superscript"/>
                <w:lang w:val="en-GB"/>
              </w:rPr>
              <w:t>2</w:t>
            </w:r>
          </w:p>
        </w:tc>
        <w:tc>
          <w:tcPr>
            <w:tcW w:w="454" w:type="pct"/>
            <w:shd w:val="clear" w:color="auto" w:fill="auto"/>
            <w:noWrap/>
            <w:vAlign w:val="center"/>
            <w:hideMark/>
          </w:tcPr>
          <w:p w14:paraId="4EAB798C"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4.925</w:t>
            </w:r>
          </w:p>
        </w:tc>
        <w:tc>
          <w:tcPr>
            <w:tcW w:w="454" w:type="pct"/>
            <w:shd w:val="clear" w:color="auto" w:fill="auto"/>
            <w:noWrap/>
            <w:vAlign w:val="center"/>
            <w:hideMark/>
          </w:tcPr>
          <w:p w14:paraId="2362CA4D"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23.304</w:t>
            </w:r>
          </w:p>
        </w:tc>
        <w:tc>
          <w:tcPr>
            <w:tcW w:w="455" w:type="pct"/>
            <w:shd w:val="clear" w:color="auto" w:fill="auto"/>
            <w:noWrap/>
            <w:vAlign w:val="center"/>
            <w:hideMark/>
          </w:tcPr>
          <w:p w14:paraId="1FF7A8AB"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2.607</w:t>
            </w:r>
          </w:p>
        </w:tc>
        <w:tc>
          <w:tcPr>
            <w:tcW w:w="454" w:type="pct"/>
            <w:shd w:val="clear" w:color="auto" w:fill="auto"/>
            <w:vAlign w:val="center"/>
          </w:tcPr>
          <w:p w14:paraId="7B0E608A"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28.390</w:t>
            </w:r>
          </w:p>
        </w:tc>
        <w:tc>
          <w:tcPr>
            <w:tcW w:w="454" w:type="pct"/>
            <w:shd w:val="clear" w:color="auto" w:fill="auto"/>
            <w:noWrap/>
            <w:vAlign w:val="center"/>
            <w:hideMark/>
          </w:tcPr>
          <w:p w14:paraId="719A85B7"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1.236</w:t>
            </w:r>
          </w:p>
        </w:tc>
        <w:tc>
          <w:tcPr>
            <w:tcW w:w="454" w:type="pct"/>
            <w:shd w:val="clear" w:color="auto" w:fill="auto"/>
            <w:noWrap/>
            <w:vAlign w:val="center"/>
            <w:hideMark/>
          </w:tcPr>
          <w:p w14:paraId="5008B9C9"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0.967</w:t>
            </w:r>
          </w:p>
        </w:tc>
        <w:tc>
          <w:tcPr>
            <w:tcW w:w="455" w:type="pct"/>
            <w:shd w:val="clear" w:color="auto" w:fill="auto"/>
            <w:vAlign w:val="center"/>
          </w:tcPr>
          <w:p w14:paraId="79CC3B0B"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1.664</w:t>
            </w:r>
          </w:p>
        </w:tc>
        <w:tc>
          <w:tcPr>
            <w:tcW w:w="454" w:type="pct"/>
            <w:shd w:val="clear" w:color="auto" w:fill="auto"/>
            <w:noWrap/>
            <w:vAlign w:val="center"/>
            <w:hideMark/>
          </w:tcPr>
          <w:p w14:paraId="2B020BD5"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0.357</w:t>
            </w:r>
          </w:p>
        </w:tc>
        <w:tc>
          <w:tcPr>
            <w:tcW w:w="454" w:type="pct"/>
            <w:shd w:val="clear" w:color="auto" w:fill="auto"/>
            <w:noWrap/>
            <w:vAlign w:val="center"/>
            <w:hideMark/>
          </w:tcPr>
          <w:p w14:paraId="088CC785"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4.925</w:t>
            </w:r>
          </w:p>
        </w:tc>
        <w:tc>
          <w:tcPr>
            <w:tcW w:w="455" w:type="pct"/>
            <w:shd w:val="clear" w:color="auto" w:fill="auto"/>
            <w:noWrap/>
            <w:vAlign w:val="center"/>
            <w:hideMark/>
          </w:tcPr>
          <w:p w14:paraId="1BCEE454"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0.715</w:t>
            </w:r>
          </w:p>
        </w:tc>
      </w:tr>
      <w:tr w:rsidR="00416935" w:rsidRPr="001075BA" w14:paraId="09FAB890" w14:textId="77777777" w:rsidTr="00416935">
        <w:trPr>
          <w:trHeight w:val="340"/>
          <w:jc w:val="center"/>
        </w:trPr>
        <w:tc>
          <w:tcPr>
            <w:tcW w:w="454" w:type="pct"/>
            <w:noWrap/>
            <w:vAlign w:val="center"/>
            <w:hideMark/>
          </w:tcPr>
          <w:p w14:paraId="657E999D"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R</w:t>
            </w:r>
            <w:r w:rsidRPr="001075BA">
              <w:rPr>
                <w:rFonts w:ascii="Times New Roman" w:eastAsia="Times New Roman" w:hAnsi="Times New Roman" w:cs="Times New Roman"/>
                <w:vertAlign w:val="superscript"/>
                <w:lang w:val="en-GB"/>
              </w:rPr>
              <w:t>2</w:t>
            </w:r>
          </w:p>
        </w:tc>
        <w:tc>
          <w:tcPr>
            <w:tcW w:w="454" w:type="pct"/>
            <w:shd w:val="clear" w:color="auto" w:fill="auto"/>
            <w:noWrap/>
            <w:vAlign w:val="center"/>
            <w:hideMark/>
          </w:tcPr>
          <w:p w14:paraId="44D80CA7"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c>
          <w:tcPr>
            <w:tcW w:w="454" w:type="pct"/>
            <w:shd w:val="clear" w:color="auto" w:fill="auto"/>
            <w:noWrap/>
            <w:vAlign w:val="center"/>
            <w:hideMark/>
          </w:tcPr>
          <w:p w14:paraId="2F6A3CBC"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0.94</w:t>
            </w:r>
          </w:p>
        </w:tc>
        <w:tc>
          <w:tcPr>
            <w:tcW w:w="455" w:type="pct"/>
            <w:shd w:val="clear" w:color="auto" w:fill="auto"/>
            <w:noWrap/>
            <w:vAlign w:val="center"/>
            <w:hideMark/>
          </w:tcPr>
          <w:p w14:paraId="19A8B883"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c>
          <w:tcPr>
            <w:tcW w:w="454" w:type="pct"/>
            <w:shd w:val="clear" w:color="auto" w:fill="auto"/>
            <w:vAlign w:val="center"/>
          </w:tcPr>
          <w:p w14:paraId="78BB469D"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0.94</w:t>
            </w:r>
          </w:p>
        </w:tc>
        <w:tc>
          <w:tcPr>
            <w:tcW w:w="454" w:type="pct"/>
            <w:shd w:val="clear" w:color="auto" w:fill="auto"/>
            <w:noWrap/>
            <w:vAlign w:val="center"/>
            <w:hideMark/>
          </w:tcPr>
          <w:p w14:paraId="4390EABF"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c>
          <w:tcPr>
            <w:tcW w:w="454" w:type="pct"/>
            <w:shd w:val="clear" w:color="auto" w:fill="auto"/>
            <w:noWrap/>
            <w:vAlign w:val="center"/>
            <w:hideMark/>
          </w:tcPr>
          <w:p w14:paraId="298A8904"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c>
          <w:tcPr>
            <w:tcW w:w="455" w:type="pct"/>
            <w:shd w:val="clear" w:color="auto" w:fill="auto"/>
            <w:vAlign w:val="center"/>
          </w:tcPr>
          <w:p w14:paraId="42B719F2"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c>
          <w:tcPr>
            <w:tcW w:w="454" w:type="pct"/>
            <w:shd w:val="clear" w:color="auto" w:fill="auto"/>
            <w:noWrap/>
            <w:vAlign w:val="center"/>
            <w:hideMark/>
          </w:tcPr>
          <w:p w14:paraId="056B3B4C"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c>
          <w:tcPr>
            <w:tcW w:w="454" w:type="pct"/>
            <w:shd w:val="clear" w:color="auto" w:fill="auto"/>
            <w:noWrap/>
            <w:vAlign w:val="center"/>
            <w:hideMark/>
          </w:tcPr>
          <w:p w14:paraId="7DCE990A"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c>
          <w:tcPr>
            <w:tcW w:w="455" w:type="pct"/>
            <w:shd w:val="clear" w:color="auto" w:fill="auto"/>
            <w:noWrap/>
            <w:vAlign w:val="center"/>
            <w:hideMark/>
          </w:tcPr>
          <w:p w14:paraId="79D20AF1" w14:textId="77777777" w:rsidR="004D2C12" w:rsidRPr="001075BA" w:rsidRDefault="004D2C12" w:rsidP="00346C21">
            <w:pPr>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r>
    </w:tbl>
    <w:p w14:paraId="4DBE5ECC" w14:textId="77777777" w:rsidR="00416935" w:rsidRPr="00416935" w:rsidRDefault="00416935" w:rsidP="00416935">
      <w:pPr>
        <w:pStyle w:val="Rn2"/>
        <w:spacing w:before="0" w:after="0"/>
        <w:jc w:val="both"/>
        <w:rPr>
          <w:b w:val="0"/>
          <w:bCs/>
          <w:lang w:val="en-GB" w:eastAsia="en-IN"/>
        </w:rPr>
      </w:pPr>
    </w:p>
    <w:p w14:paraId="379D18F2" w14:textId="17AC72D7" w:rsidR="00740C97" w:rsidRPr="001075BA" w:rsidRDefault="000D3EB4" w:rsidP="00E129E5">
      <w:pPr>
        <w:pStyle w:val="Rn2"/>
        <w:rPr>
          <w:lang w:val="en-GB" w:eastAsia="en-IN"/>
        </w:rPr>
      </w:pPr>
      <w:r w:rsidRPr="001075BA">
        <w:rPr>
          <w:lang w:val="en-GB" w:eastAsia="en-IN"/>
        </w:rPr>
        <w:lastRenderedPageBreak/>
        <w:t>3.4. Adsorption kinetics</w:t>
      </w:r>
    </w:p>
    <w:p w14:paraId="20D2CEC9" w14:textId="1CD4CB33" w:rsidR="00D73919" w:rsidRPr="00A632CD" w:rsidRDefault="00D73919" w:rsidP="000C3501">
      <w:pPr>
        <w:spacing w:after="0" w:line="240" w:lineRule="auto"/>
        <w:ind w:firstLine="284"/>
        <w:jc w:val="both"/>
        <w:rPr>
          <w:rFonts w:ascii="Times New Roman" w:eastAsia="Times New Roman" w:hAnsi="Times New Roman" w:cs="Times New Roman"/>
          <w:spacing w:val="2"/>
          <w:lang w:val="en-GB" w:eastAsia="en-IN"/>
        </w:rPr>
      </w:pPr>
      <w:r w:rsidRPr="00A632CD">
        <w:rPr>
          <w:rFonts w:ascii="Times New Roman" w:eastAsia="Times New Roman" w:hAnsi="Times New Roman" w:cs="Times New Roman"/>
          <w:spacing w:val="2"/>
          <w:lang w:val="en-GB" w:eastAsia="en-IN"/>
        </w:rPr>
        <w:t xml:space="preserve">The kinetic studies were conducted at </w:t>
      </w:r>
      <w:r w:rsidR="00971179" w:rsidRPr="00A632CD">
        <w:rPr>
          <w:rFonts w:ascii="Times New Roman" w:eastAsia="Times New Roman" w:hAnsi="Times New Roman" w:cs="Times New Roman"/>
          <w:spacing w:val="2"/>
          <w:lang w:val="en-GB" w:eastAsia="en-IN"/>
        </w:rPr>
        <w:t>50, 100, and 200 ppm BG concentrations</w:t>
      </w:r>
      <w:r w:rsidRPr="00A632CD">
        <w:rPr>
          <w:rFonts w:ascii="Times New Roman" w:eastAsia="Times New Roman" w:hAnsi="Times New Roman" w:cs="Times New Roman"/>
          <w:spacing w:val="2"/>
          <w:lang w:val="en-GB" w:eastAsia="en-IN"/>
        </w:rPr>
        <w:t xml:space="preserve">, a methodology in line with previous studies (Hameed </w:t>
      </w:r>
      <w:r w:rsidR="007A187B" w:rsidRPr="00A632CD">
        <w:rPr>
          <w:rFonts w:ascii="Times New Roman" w:eastAsia="Times New Roman" w:hAnsi="Times New Roman" w:cs="Times New Roman"/>
          <w:spacing w:val="2"/>
          <w:lang w:val="en-GB" w:eastAsia="en-IN"/>
        </w:rPr>
        <w:t>&amp;</w:t>
      </w:r>
      <w:r w:rsidRPr="00A632CD">
        <w:rPr>
          <w:rFonts w:ascii="Times New Roman" w:eastAsia="Times New Roman" w:hAnsi="Times New Roman" w:cs="Times New Roman"/>
          <w:spacing w:val="2"/>
          <w:lang w:val="en-GB" w:eastAsia="en-IN"/>
        </w:rPr>
        <w:t xml:space="preserve"> El-</w:t>
      </w:r>
      <w:proofErr w:type="spellStart"/>
      <w:r w:rsidRPr="00A632CD">
        <w:rPr>
          <w:rFonts w:ascii="Times New Roman" w:eastAsia="Times New Roman" w:hAnsi="Times New Roman" w:cs="Times New Roman"/>
          <w:spacing w:val="2"/>
          <w:lang w:val="en-GB" w:eastAsia="en-IN"/>
        </w:rPr>
        <w:t>Khaiary</w:t>
      </w:r>
      <w:proofErr w:type="spellEnd"/>
      <w:r w:rsidRPr="00A632CD">
        <w:rPr>
          <w:rFonts w:ascii="Times New Roman" w:eastAsia="Times New Roman" w:hAnsi="Times New Roman" w:cs="Times New Roman"/>
          <w:spacing w:val="2"/>
          <w:lang w:val="en-GB" w:eastAsia="en-IN"/>
        </w:rPr>
        <w:t xml:space="preserve"> 2008</w:t>
      </w:r>
      <w:r w:rsidR="007A187B" w:rsidRPr="00A632CD">
        <w:rPr>
          <w:rFonts w:ascii="Times New Roman" w:eastAsia="Times New Roman" w:hAnsi="Times New Roman" w:cs="Times New Roman"/>
          <w:spacing w:val="2"/>
          <w:lang w:val="en-GB" w:eastAsia="en-IN"/>
        </w:rPr>
        <w:t>,</w:t>
      </w:r>
      <w:r w:rsidRPr="00A632CD">
        <w:rPr>
          <w:rFonts w:ascii="Times New Roman" w:eastAsia="Times New Roman" w:hAnsi="Times New Roman" w:cs="Times New Roman"/>
          <w:spacing w:val="2"/>
          <w:lang w:val="en-GB" w:eastAsia="en-IN"/>
        </w:rPr>
        <w:t xml:space="preserve"> Ahmad </w:t>
      </w:r>
      <w:r w:rsidR="007A187B" w:rsidRPr="00A632CD">
        <w:rPr>
          <w:rFonts w:ascii="Times New Roman" w:eastAsia="Times New Roman" w:hAnsi="Times New Roman" w:cs="Times New Roman"/>
          <w:spacing w:val="2"/>
          <w:lang w:val="en-GB" w:eastAsia="en-IN"/>
        </w:rPr>
        <w:t>&amp;</w:t>
      </w:r>
      <w:r w:rsidRPr="00A632CD">
        <w:rPr>
          <w:rFonts w:ascii="Times New Roman" w:eastAsia="Times New Roman" w:hAnsi="Times New Roman" w:cs="Times New Roman"/>
          <w:spacing w:val="2"/>
          <w:lang w:val="en-GB" w:eastAsia="en-IN"/>
        </w:rPr>
        <w:t xml:space="preserve"> Kumar 2010). Examining kinetics at </w:t>
      </w:r>
      <w:r w:rsidR="00732EFD" w:rsidRPr="00A632CD">
        <w:rPr>
          <w:rFonts w:ascii="Times New Roman" w:eastAsia="Times New Roman" w:hAnsi="Times New Roman" w:cs="Times New Roman"/>
          <w:spacing w:val="2"/>
          <w:lang w:val="en-GB" w:eastAsia="en-IN"/>
        </w:rPr>
        <w:t>unlike</w:t>
      </w:r>
      <w:r w:rsidRPr="00A632CD">
        <w:rPr>
          <w:rFonts w:ascii="Times New Roman" w:eastAsia="Times New Roman" w:hAnsi="Times New Roman" w:cs="Times New Roman"/>
          <w:spacing w:val="2"/>
          <w:lang w:val="en-GB" w:eastAsia="en-IN"/>
        </w:rPr>
        <w:t xml:space="preserve"> temperatures (303 K, 313 K, and 323 K) allowed us to observe variations in the adsorption rate under different temperature conditions. </w:t>
      </w:r>
      <w:r w:rsidRPr="00BC54F8">
        <w:rPr>
          <w:rFonts w:ascii="Times New Roman" w:eastAsia="Times New Roman" w:hAnsi="Times New Roman" w:cs="Times New Roman"/>
          <w:lang w:val="en-GB" w:eastAsia="en-IN"/>
        </w:rPr>
        <w:t>These adsorption kinetics were assessed through non-linear analyses using various models, including the pseudo-first-order model (</w:t>
      </w:r>
      <w:proofErr w:type="spellStart"/>
      <w:r w:rsidRPr="00BC54F8">
        <w:rPr>
          <w:rFonts w:ascii="Times New Roman" w:eastAsia="Times New Roman" w:hAnsi="Times New Roman" w:cs="Times New Roman"/>
          <w:lang w:val="en-GB" w:eastAsia="en-IN"/>
        </w:rPr>
        <w:t>Largegren</w:t>
      </w:r>
      <w:proofErr w:type="spellEnd"/>
      <w:r w:rsidRPr="00BC54F8">
        <w:rPr>
          <w:rFonts w:ascii="Times New Roman" w:eastAsia="Times New Roman" w:hAnsi="Times New Roman" w:cs="Times New Roman"/>
          <w:lang w:val="en-GB" w:eastAsia="en-IN"/>
        </w:rPr>
        <w:t xml:space="preserve"> 1898), pseudo-second-order model (Ho </w:t>
      </w:r>
      <w:r w:rsidR="007A187B" w:rsidRPr="00BC54F8">
        <w:rPr>
          <w:rFonts w:ascii="Times New Roman" w:eastAsia="Times New Roman" w:hAnsi="Times New Roman" w:cs="Times New Roman"/>
          <w:lang w:val="en-GB" w:eastAsia="en-IN"/>
        </w:rPr>
        <w:t>&amp;</w:t>
      </w:r>
      <w:r w:rsidRPr="00BC54F8">
        <w:rPr>
          <w:rFonts w:ascii="Times New Roman" w:eastAsia="Times New Roman" w:hAnsi="Times New Roman" w:cs="Times New Roman"/>
          <w:lang w:val="en-GB" w:eastAsia="en-IN"/>
        </w:rPr>
        <w:t xml:space="preserve"> McKay 1998), intra-particle diffusion via the Weber-Morris model (Alkan et al. 2007), the </w:t>
      </w:r>
      <w:proofErr w:type="spellStart"/>
      <w:r w:rsidRPr="00BC54F8">
        <w:rPr>
          <w:rFonts w:ascii="Times New Roman" w:eastAsia="Times New Roman" w:hAnsi="Times New Roman" w:cs="Times New Roman"/>
          <w:lang w:val="en-GB" w:eastAsia="en-IN"/>
        </w:rPr>
        <w:t>Dumwald</w:t>
      </w:r>
      <w:proofErr w:type="spellEnd"/>
      <w:r w:rsidRPr="00BC54F8">
        <w:rPr>
          <w:rFonts w:ascii="Times New Roman" w:eastAsia="Times New Roman" w:hAnsi="Times New Roman" w:cs="Times New Roman"/>
          <w:lang w:val="en-GB" w:eastAsia="en-IN"/>
        </w:rPr>
        <w:t>-Wagner model (Wang et al. 2004), and the Film Diffusion model (Boyd et al. 1947).</w:t>
      </w:r>
    </w:p>
    <w:p w14:paraId="5253CAD0" w14:textId="77777777" w:rsidR="00286865" w:rsidRPr="001075BA" w:rsidRDefault="00286865" w:rsidP="000C3501">
      <w:pPr>
        <w:spacing w:after="0" w:line="240" w:lineRule="auto"/>
        <w:ind w:firstLine="284"/>
        <w:jc w:val="both"/>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 xml:space="preserve">For all initial BG concentrations of 50, 100, and 200 ppm, the pseudo-second-order model </w:t>
      </w:r>
      <w:r w:rsidR="00D548FE" w:rsidRPr="001075BA">
        <w:rPr>
          <w:rFonts w:ascii="Times New Roman" w:eastAsia="Times New Roman" w:hAnsi="Times New Roman" w:cs="Times New Roman"/>
          <w:lang w:val="en-GB" w:eastAsia="en-IN"/>
        </w:rPr>
        <w:t>revealed</w:t>
      </w:r>
      <w:r w:rsidRPr="001075BA">
        <w:rPr>
          <w:rFonts w:ascii="Times New Roman" w:eastAsia="Times New Roman" w:hAnsi="Times New Roman" w:cs="Times New Roman"/>
          <w:lang w:val="en-GB" w:eastAsia="en-IN"/>
        </w:rPr>
        <w:t xml:space="preserve"> a </w:t>
      </w:r>
      <w:r w:rsidR="00D548FE" w:rsidRPr="001075BA">
        <w:rPr>
          <w:rFonts w:ascii="Times New Roman" w:eastAsia="Times New Roman" w:hAnsi="Times New Roman" w:cs="Times New Roman"/>
          <w:lang w:val="en-GB" w:eastAsia="en-IN"/>
        </w:rPr>
        <w:t>healthier</w:t>
      </w:r>
      <w:r w:rsidRPr="001075BA">
        <w:rPr>
          <w:rFonts w:ascii="Times New Roman" w:eastAsia="Times New Roman" w:hAnsi="Times New Roman" w:cs="Times New Roman"/>
          <w:lang w:val="en-GB" w:eastAsia="en-IN"/>
        </w:rPr>
        <w:t xml:space="preserve"> fit with the </w:t>
      </w:r>
      <w:r w:rsidR="00D27572" w:rsidRPr="001075BA">
        <w:rPr>
          <w:rFonts w:ascii="Times New Roman" w:eastAsia="Times New Roman" w:hAnsi="Times New Roman" w:cs="Times New Roman"/>
          <w:lang w:val="en-GB" w:eastAsia="en-IN"/>
        </w:rPr>
        <w:t>trial</w:t>
      </w:r>
      <w:r w:rsidRPr="001075BA">
        <w:rPr>
          <w:rFonts w:ascii="Times New Roman" w:eastAsia="Times New Roman" w:hAnsi="Times New Roman" w:cs="Times New Roman"/>
          <w:lang w:val="en-GB" w:eastAsia="en-IN"/>
        </w:rPr>
        <w:t xml:space="preserve"> </w:t>
      </w:r>
      <w:r w:rsidR="00D548FE" w:rsidRPr="001075BA">
        <w:rPr>
          <w:rFonts w:ascii="Times New Roman" w:eastAsia="Times New Roman" w:hAnsi="Times New Roman" w:cs="Times New Roman"/>
          <w:lang w:val="en-GB" w:eastAsia="en-IN"/>
        </w:rPr>
        <w:t>documents</w:t>
      </w:r>
      <w:r w:rsidRPr="001075BA">
        <w:rPr>
          <w:rFonts w:ascii="Times New Roman" w:eastAsia="Times New Roman" w:hAnsi="Times New Roman" w:cs="Times New Roman"/>
          <w:lang w:val="en-GB" w:eastAsia="en-IN"/>
        </w:rPr>
        <w:t xml:space="preserve"> </w:t>
      </w:r>
      <w:r w:rsidR="005E305D" w:rsidRPr="001075BA">
        <w:rPr>
          <w:rFonts w:ascii="Times New Roman" w:eastAsia="Times New Roman" w:hAnsi="Times New Roman" w:cs="Times New Roman"/>
          <w:lang w:val="en-GB" w:eastAsia="en-IN"/>
        </w:rPr>
        <w:t>founded</w:t>
      </w:r>
      <w:r w:rsidRPr="001075BA">
        <w:rPr>
          <w:rFonts w:ascii="Times New Roman" w:eastAsia="Times New Roman" w:hAnsi="Times New Roman" w:cs="Times New Roman"/>
          <w:lang w:val="en-GB" w:eastAsia="en-IN"/>
        </w:rPr>
        <w:t xml:space="preserve"> on the </w:t>
      </w:r>
      <w:r w:rsidR="005E305D" w:rsidRPr="001075BA">
        <w:rPr>
          <w:rFonts w:ascii="Times New Roman" w:eastAsia="Times New Roman" w:hAnsi="Times New Roman" w:cs="Times New Roman"/>
          <w:lang w:val="en-GB" w:eastAsia="en-IN"/>
        </w:rPr>
        <w:t>factors</w:t>
      </w:r>
      <w:r w:rsidRPr="001075BA">
        <w:rPr>
          <w:rFonts w:ascii="Times New Roman" w:eastAsia="Times New Roman" w:hAnsi="Times New Roman" w:cs="Times New Roman"/>
          <w:lang w:val="en-GB" w:eastAsia="en-IN"/>
        </w:rPr>
        <w:t xml:space="preserve"> of </w:t>
      </w:r>
      <w:r w:rsidR="005E305D" w:rsidRPr="001075BA">
        <w:rPr>
          <w:rFonts w:ascii="Times New Roman" w:eastAsia="Times New Roman" w:hAnsi="Times New Roman" w:cs="Times New Roman"/>
          <w:lang w:val="en-GB" w:eastAsia="en-IN"/>
        </w:rPr>
        <w:t>purpose</w:t>
      </w:r>
      <w:r w:rsidRPr="001075BA">
        <w:rPr>
          <w:rFonts w:ascii="Times New Roman" w:eastAsia="Times New Roman" w:hAnsi="Times New Roman" w:cs="Times New Roman"/>
          <w:lang w:val="en-GB" w:eastAsia="en-IN"/>
        </w:rPr>
        <w:t xml:space="preserve"> (</w:t>
      </w:r>
      <w:r w:rsidRPr="001075BA">
        <w:rPr>
          <w:rFonts w:ascii="Times New Roman" w:eastAsia="Times New Roman" w:hAnsi="Times New Roman" w:cs="Times New Roman"/>
          <w:i/>
          <w:lang w:val="en-GB" w:eastAsia="en-IN"/>
        </w:rPr>
        <w:t>R</w:t>
      </w:r>
      <w:r w:rsidRPr="001075BA">
        <w:rPr>
          <w:rFonts w:ascii="Times New Roman" w:eastAsia="Times New Roman" w:hAnsi="Times New Roman" w:cs="Times New Roman"/>
          <w:i/>
          <w:vertAlign w:val="superscript"/>
          <w:lang w:val="en-GB" w:eastAsia="en-IN"/>
        </w:rPr>
        <w:t>2</w:t>
      </w:r>
      <w:r w:rsidRPr="001075BA">
        <w:rPr>
          <w:rFonts w:ascii="Times New Roman" w:eastAsia="Times New Roman" w:hAnsi="Times New Roman" w:cs="Times New Roman"/>
          <w:lang w:val="en-GB" w:eastAsia="en-IN"/>
        </w:rPr>
        <w:t>) and chi-square values (</w:t>
      </w:r>
      <w:r w:rsidR="006C4AC6" w:rsidRPr="001075BA">
        <w:rPr>
          <w:rFonts w:ascii="Times New Roman" w:eastAsia="Times New Roman" w:hAnsi="Times New Roman" w:cs="Times New Roman"/>
          <w:i/>
          <w:lang w:val="en-GB" w:eastAsia="en-IN"/>
        </w:rPr>
        <w:t>χ</w:t>
      </w:r>
      <w:r w:rsidR="006C4AC6" w:rsidRPr="001075BA">
        <w:rPr>
          <w:rFonts w:ascii="Times New Roman" w:eastAsia="Times New Roman" w:hAnsi="Times New Roman" w:cs="Times New Roman"/>
          <w:i/>
          <w:vertAlign w:val="superscript"/>
          <w:lang w:val="en-GB" w:eastAsia="en-IN"/>
        </w:rPr>
        <w:t>2</w:t>
      </w:r>
      <w:r w:rsidRPr="001075BA">
        <w:rPr>
          <w:rFonts w:ascii="Times New Roman" w:eastAsia="Times New Roman" w:hAnsi="Times New Roman" w:cs="Times New Roman"/>
          <w:lang w:val="en-GB" w:eastAsia="en-IN"/>
        </w:rPr>
        <w:t>) (as shown in Figs. 5a, 5b, and 5c). After obtaining maximum adsorption, the adsorption rate steadily drops until it reaches a constant level. In addition, as the temperature rose, the adsorption capacity (</w:t>
      </w:r>
      <w:proofErr w:type="spellStart"/>
      <w:r w:rsidRPr="001075BA">
        <w:rPr>
          <w:rFonts w:ascii="Times New Roman" w:eastAsia="Times New Roman" w:hAnsi="Times New Roman" w:cs="Times New Roman"/>
          <w:i/>
          <w:lang w:val="en-GB" w:eastAsia="en-IN"/>
        </w:rPr>
        <w:t>q</w:t>
      </w:r>
      <w:r w:rsidRPr="001075BA">
        <w:rPr>
          <w:rFonts w:ascii="Times New Roman" w:eastAsia="Times New Roman" w:hAnsi="Times New Roman" w:cs="Times New Roman"/>
          <w:i/>
          <w:vertAlign w:val="subscript"/>
          <w:lang w:val="en-GB" w:eastAsia="en-IN"/>
        </w:rPr>
        <w:t>e</w:t>
      </w:r>
      <w:proofErr w:type="spellEnd"/>
      <w:r w:rsidRPr="001075BA">
        <w:rPr>
          <w:rFonts w:ascii="Times New Roman" w:eastAsia="Times New Roman" w:hAnsi="Times New Roman" w:cs="Times New Roman"/>
          <w:lang w:val="en-GB" w:eastAsia="en-IN"/>
        </w:rPr>
        <w:t>) increased (see Table 4). These results demonstrated the non-rate-limiting nature of the adsorption processes.</w:t>
      </w:r>
    </w:p>
    <w:p w14:paraId="73986693" w14:textId="27DAF9E4" w:rsidR="007479F4" w:rsidRPr="001075BA" w:rsidRDefault="00D27572" w:rsidP="000C3501">
      <w:pPr>
        <w:spacing w:after="0" w:line="240" w:lineRule="auto"/>
        <w:ind w:firstLine="284"/>
        <w:jc w:val="both"/>
        <w:rPr>
          <w:rFonts w:ascii="Times New Roman" w:eastAsia="Times New Roman" w:hAnsi="Times New Roman" w:cs="Times New Roman"/>
          <w:lang w:val="en-GB" w:eastAsia="en-IN"/>
        </w:rPr>
      </w:pPr>
      <w:r w:rsidRPr="001075BA">
        <w:rPr>
          <w:rFonts w:ascii="Times New Roman" w:hAnsi="Times New Roman" w:cs="Times New Roman"/>
          <w:szCs w:val="20"/>
          <w:lang w:val="en-GB"/>
        </w:rPr>
        <w:t xml:space="preserve">During the adsorption process, the solute molecules </w:t>
      </w:r>
      <w:r w:rsidR="005E305D" w:rsidRPr="001075BA">
        <w:rPr>
          <w:rFonts w:ascii="Times New Roman" w:hAnsi="Times New Roman" w:cs="Times New Roman"/>
          <w:szCs w:val="20"/>
          <w:lang w:val="en-GB"/>
        </w:rPr>
        <w:t>transfer</w:t>
      </w:r>
      <w:r w:rsidRPr="001075BA">
        <w:rPr>
          <w:rFonts w:ascii="Times New Roman" w:hAnsi="Times New Roman" w:cs="Times New Roman"/>
          <w:szCs w:val="20"/>
          <w:lang w:val="en-GB"/>
        </w:rPr>
        <w:t xml:space="preserve"> from the solution to the solid surface, </w:t>
      </w:r>
      <w:r w:rsidR="00971179">
        <w:rPr>
          <w:rFonts w:ascii="Times New Roman" w:hAnsi="Times New Roman" w:cs="Times New Roman"/>
          <w:szCs w:val="20"/>
          <w:lang w:val="en-GB"/>
        </w:rPr>
        <w:t>subsequently diffusing</w:t>
      </w:r>
      <w:r w:rsidRPr="001075BA">
        <w:rPr>
          <w:rFonts w:ascii="Times New Roman" w:hAnsi="Times New Roman" w:cs="Times New Roman"/>
          <w:szCs w:val="20"/>
          <w:lang w:val="en-GB"/>
        </w:rPr>
        <w:t xml:space="preserve"> into the NIFSS's pores.</w:t>
      </w:r>
      <w:r w:rsidRPr="001075BA">
        <w:rPr>
          <w:rFonts w:ascii="Times New Roman" w:eastAsia="Times New Roman" w:hAnsi="Times New Roman" w:cs="Times New Roman"/>
          <w:sz w:val="24"/>
          <w:lang w:val="en-GB" w:eastAsia="en-IN"/>
        </w:rPr>
        <w:t xml:space="preserve"> </w:t>
      </w:r>
      <w:r w:rsidR="006C4AC6" w:rsidRPr="001075BA">
        <w:rPr>
          <w:rFonts w:ascii="Times New Roman" w:eastAsia="Times New Roman" w:hAnsi="Times New Roman" w:cs="Times New Roman"/>
          <w:lang w:val="en-GB" w:eastAsia="en-IN"/>
        </w:rPr>
        <w:t>The data were analysed to look into the impacts of diffusion and learn more about the movement of solutes.</w:t>
      </w:r>
    </w:p>
    <w:p w14:paraId="38A40D83" w14:textId="65461C04" w:rsidR="00740C97" w:rsidRPr="001075BA" w:rsidRDefault="00D73919" w:rsidP="000C3501">
      <w:pPr>
        <w:spacing w:after="0" w:line="240" w:lineRule="auto"/>
        <w:ind w:firstLine="284"/>
        <w:jc w:val="both"/>
        <w:rPr>
          <w:rFonts w:ascii="Times New Roman" w:eastAsia="Times New Roman" w:hAnsi="Times New Roman" w:cs="Times New Roman"/>
          <w:lang w:val="en-GB" w:eastAsia="en-IN"/>
        </w:rPr>
      </w:pPr>
      <w:r w:rsidRPr="001075BA">
        <w:rPr>
          <w:rFonts w:ascii="Times New Roman" w:eastAsia="Times New Roman" w:hAnsi="Times New Roman" w:cs="Times New Roman"/>
          <w:lang w:val="en-GB" w:eastAsia="en-IN"/>
        </w:rPr>
        <w:t xml:space="preserve">The </w:t>
      </w:r>
      <w:proofErr w:type="spellStart"/>
      <w:r w:rsidRPr="001075BA">
        <w:rPr>
          <w:rFonts w:ascii="Times New Roman" w:eastAsia="Times New Roman" w:hAnsi="Times New Roman" w:cs="Times New Roman"/>
          <w:lang w:val="en-GB" w:eastAsia="en-IN"/>
        </w:rPr>
        <w:t>Dumwald</w:t>
      </w:r>
      <w:proofErr w:type="spellEnd"/>
      <w:r w:rsidRPr="001075BA">
        <w:rPr>
          <w:rFonts w:ascii="Times New Roman" w:eastAsia="Times New Roman" w:hAnsi="Times New Roman" w:cs="Times New Roman"/>
          <w:lang w:val="en-GB" w:eastAsia="en-IN"/>
        </w:rPr>
        <w:t xml:space="preserve">-Wagner model (seen in Fig. </w:t>
      </w:r>
      <w:r w:rsidR="00854A12" w:rsidRPr="001075BA">
        <w:rPr>
          <w:rFonts w:ascii="Times New Roman" w:eastAsia="Times New Roman" w:hAnsi="Times New Roman" w:cs="Times New Roman"/>
          <w:lang w:val="en-GB" w:eastAsia="en-IN"/>
        </w:rPr>
        <w:t>5</w:t>
      </w:r>
      <w:r w:rsidRPr="001075BA">
        <w:rPr>
          <w:rFonts w:ascii="Times New Roman" w:eastAsia="Times New Roman" w:hAnsi="Times New Roman" w:cs="Times New Roman"/>
          <w:lang w:val="en-GB" w:eastAsia="en-IN"/>
        </w:rPr>
        <w:t xml:space="preserve">d) was applied </w:t>
      </w:r>
      <w:r w:rsidR="006C4AC6" w:rsidRPr="001075BA">
        <w:rPr>
          <w:rFonts w:ascii="Times New Roman" w:eastAsia="Times New Roman" w:hAnsi="Times New Roman" w:cs="Times New Roman"/>
          <w:lang w:val="en-GB" w:eastAsia="en-IN"/>
        </w:rPr>
        <w:t>to determine the real absorption rate constant (</w:t>
      </w:r>
      <w:r w:rsidR="006C4AC6" w:rsidRPr="001075BA">
        <w:rPr>
          <w:rFonts w:ascii="Times New Roman" w:eastAsia="Times New Roman" w:hAnsi="Times New Roman" w:cs="Times New Roman"/>
          <w:i/>
          <w:lang w:val="en-GB" w:eastAsia="en-IN"/>
        </w:rPr>
        <w:t>K</w:t>
      </w:r>
      <w:r w:rsidR="006C4AC6" w:rsidRPr="001075BA">
        <w:rPr>
          <w:rFonts w:ascii="Times New Roman" w:eastAsia="Times New Roman" w:hAnsi="Times New Roman" w:cs="Times New Roman"/>
          <w:lang w:val="en-GB" w:eastAsia="en-IN"/>
        </w:rPr>
        <w:t xml:space="preserve">) while </w:t>
      </w:r>
      <w:r w:rsidR="00971179">
        <w:rPr>
          <w:rFonts w:ascii="Times New Roman" w:eastAsia="Times New Roman" w:hAnsi="Times New Roman" w:cs="Times New Roman"/>
          <w:lang w:val="en-GB" w:eastAsia="en-IN"/>
        </w:rPr>
        <w:t>considering detected diffusion possessions</w:t>
      </w:r>
      <w:r w:rsidR="006C4AC6" w:rsidRPr="001075BA">
        <w:rPr>
          <w:rFonts w:ascii="Times New Roman" w:eastAsia="Times New Roman" w:hAnsi="Times New Roman" w:cs="Times New Roman"/>
          <w:lang w:val="en-GB" w:eastAsia="en-IN"/>
        </w:rPr>
        <w:t xml:space="preserve">. </w:t>
      </w:r>
      <w:r w:rsidRPr="001075BA">
        <w:rPr>
          <w:rFonts w:ascii="Times New Roman" w:eastAsia="Times New Roman" w:hAnsi="Times New Roman" w:cs="Times New Roman"/>
          <w:lang w:val="en-GB" w:eastAsia="en-IN"/>
        </w:rPr>
        <w:t xml:space="preserve">The Weber-Morris model (depicted in Fig. </w:t>
      </w:r>
      <w:r w:rsidR="00854A12" w:rsidRPr="001075BA">
        <w:rPr>
          <w:rFonts w:ascii="Times New Roman" w:eastAsia="Times New Roman" w:hAnsi="Times New Roman" w:cs="Times New Roman"/>
          <w:lang w:val="en-GB" w:eastAsia="en-IN"/>
        </w:rPr>
        <w:t>5</w:t>
      </w:r>
      <w:r w:rsidRPr="001075BA">
        <w:rPr>
          <w:rFonts w:ascii="Times New Roman" w:eastAsia="Times New Roman" w:hAnsi="Times New Roman" w:cs="Times New Roman"/>
          <w:lang w:val="en-GB" w:eastAsia="en-IN"/>
        </w:rPr>
        <w:t xml:space="preserve">e) </w:t>
      </w:r>
      <w:r w:rsidR="006C4AC6" w:rsidRPr="001075BA">
        <w:rPr>
          <w:rFonts w:ascii="Times New Roman" w:eastAsia="Times New Roman" w:hAnsi="Times New Roman" w:cs="Times New Roman"/>
          <w:lang w:val="en-GB" w:eastAsia="en-IN"/>
        </w:rPr>
        <w:t xml:space="preserve">links solute </w:t>
      </w:r>
      <w:r w:rsidR="00D548FE" w:rsidRPr="001075BA">
        <w:rPr>
          <w:rFonts w:ascii="Times New Roman" w:eastAsia="Times New Roman" w:hAnsi="Times New Roman" w:cs="Times New Roman"/>
          <w:lang w:val="en-GB" w:eastAsia="en-IN"/>
        </w:rPr>
        <w:t>approval</w:t>
      </w:r>
      <w:r w:rsidR="006C4AC6" w:rsidRPr="001075BA">
        <w:rPr>
          <w:rFonts w:ascii="Times New Roman" w:eastAsia="Times New Roman" w:hAnsi="Times New Roman" w:cs="Times New Roman"/>
          <w:lang w:val="en-GB" w:eastAsia="en-IN"/>
        </w:rPr>
        <w:t xml:space="preserve"> to </w:t>
      </w:r>
      <w:r w:rsidR="006C4AC6" w:rsidRPr="001075BA">
        <w:rPr>
          <w:rFonts w:ascii="Times New Roman" w:eastAsia="Times New Roman" w:hAnsi="Times New Roman" w:cs="Times New Roman"/>
          <w:i/>
          <w:lang w:val="en-GB" w:eastAsia="en-IN"/>
        </w:rPr>
        <w:t>t</w:t>
      </w:r>
      <w:r w:rsidR="006C4AC6" w:rsidRPr="001075BA">
        <w:rPr>
          <w:rFonts w:ascii="Times New Roman" w:eastAsia="Times New Roman" w:hAnsi="Times New Roman" w:cs="Times New Roman"/>
          <w:i/>
          <w:vertAlign w:val="superscript"/>
          <w:lang w:val="en-GB" w:eastAsia="en-IN"/>
        </w:rPr>
        <w:t>1/2</w:t>
      </w:r>
      <w:r w:rsidR="006C4AC6" w:rsidRPr="001075BA">
        <w:rPr>
          <w:rFonts w:ascii="Times New Roman" w:eastAsia="Times New Roman" w:hAnsi="Times New Roman" w:cs="Times New Roman"/>
          <w:lang w:val="en-GB" w:eastAsia="en-IN"/>
        </w:rPr>
        <w:t xml:space="preserve"> rather than the time of contact (</w:t>
      </w:r>
      <w:r w:rsidR="006C4AC6" w:rsidRPr="001075BA">
        <w:rPr>
          <w:rFonts w:ascii="Times New Roman" w:eastAsia="Times New Roman" w:hAnsi="Times New Roman" w:cs="Times New Roman"/>
          <w:i/>
          <w:lang w:val="en-GB" w:eastAsia="en-IN"/>
        </w:rPr>
        <w:t>t</w:t>
      </w:r>
      <w:r w:rsidR="006C4AC6" w:rsidRPr="001075BA">
        <w:rPr>
          <w:rFonts w:ascii="Times New Roman" w:eastAsia="Times New Roman" w:hAnsi="Times New Roman" w:cs="Times New Roman"/>
          <w:lang w:val="en-GB" w:eastAsia="en-IN"/>
        </w:rPr>
        <w:t xml:space="preserve">), and explains molecular diffusion. </w:t>
      </w:r>
      <w:r w:rsidR="00971179">
        <w:rPr>
          <w:rFonts w:ascii="Times New Roman" w:eastAsia="Times New Roman" w:hAnsi="Times New Roman" w:cs="Times New Roman"/>
          <w:lang w:val="en-GB" w:eastAsia="en-IN"/>
        </w:rPr>
        <w:t>Multiple mechanisms often govern adsorption kinetic</w:t>
      </w:r>
      <w:r w:rsidRPr="001075BA">
        <w:rPr>
          <w:rFonts w:ascii="Times New Roman" w:eastAsia="Times New Roman" w:hAnsi="Times New Roman" w:cs="Times New Roman"/>
          <w:lang w:val="en-GB" w:eastAsia="en-IN"/>
        </w:rPr>
        <w:t xml:space="preserve">s. In our experimental data, we observe various levels of linearity at all solute concentrations. </w:t>
      </w:r>
      <w:r w:rsidR="006C4AC6" w:rsidRPr="001075BA">
        <w:rPr>
          <w:rFonts w:ascii="Times New Roman" w:eastAsia="Times New Roman" w:hAnsi="Times New Roman" w:cs="Times New Roman"/>
          <w:lang w:val="en-GB" w:eastAsia="en-IN"/>
        </w:rPr>
        <w:t xml:space="preserve">The adsorption rate is initially </w:t>
      </w:r>
      <w:r w:rsidR="00D548FE" w:rsidRPr="001075BA">
        <w:rPr>
          <w:rFonts w:ascii="Times New Roman" w:eastAsia="Times New Roman" w:hAnsi="Times New Roman" w:cs="Times New Roman"/>
          <w:lang w:val="en-GB" w:eastAsia="en-IN"/>
        </w:rPr>
        <w:t>great</w:t>
      </w:r>
      <w:r w:rsidR="006C4AC6" w:rsidRPr="001075BA">
        <w:rPr>
          <w:rFonts w:ascii="Times New Roman" w:eastAsia="Times New Roman" w:hAnsi="Times New Roman" w:cs="Times New Roman"/>
          <w:lang w:val="en-GB" w:eastAsia="en-IN"/>
        </w:rPr>
        <w:t xml:space="preserve"> and follows a divergent linear trajectory before eventually stabilising over time at </w:t>
      </w:r>
      <w:r w:rsidR="00D548FE" w:rsidRPr="001075BA">
        <w:rPr>
          <w:rFonts w:ascii="Times New Roman" w:eastAsia="Times New Roman" w:hAnsi="Times New Roman" w:cs="Times New Roman"/>
          <w:lang w:val="en-GB" w:eastAsia="en-IN"/>
        </w:rPr>
        <w:t>lesser</w:t>
      </w:r>
      <w:r w:rsidR="006C4AC6" w:rsidRPr="001075BA">
        <w:rPr>
          <w:rFonts w:ascii="Times New Roman" w:eastAsia="Times New Roman" w:hAnsi="Times New Roman" w:cs="Times New Roman"/>
          <w:lang w:val="en-GB" w:eastAsia="en-IN"/>
        </w:rPr>
        <w:t xml:space="preserve"> initial concentrations (50 ppm) and </w:t>
      </w:r>
      <w:r w:rsidR="00D548FE" w:rsidRPr="001075BA">
        <w:rPr>
          <w:rFonts w:ascii="Times New Roman" w:eastAsia="Times New Roman" w:hAnsi="Times New Roman" w:cs="Times New Roman"/>
          <w:lang w:val="en-GB" w:eastAsia="en-IN"/>
        </w:rPr>
        <w:t>lesser</w:t>
      </w:r>
      <w:r w:rsidR="006C4AC6" w:rsidRPr="001075BA">
        <w:rPr>
          <w:rFonts w:ascii="Times New Roman" w:eastAsia="Times New Roman" w:hAnsi="Times New Roman" w:cs="Times New Roman"/>
          <w:lang w:val="en-GB" w:eastAsia="en-IN"/>
        </w:rPr>
        <w:t xml:space="preserve"> temperatures. The larger temperatures cause the rate to behave almost linearly, whereas larger solute concentrations (&gt;200 ppm) do not significantly alter the </w:t>
      </w:r>
      <w:r w:rsidR="00971179">
        <w:rPr>
          <w:rFonts w:ascii="Times New Roman" w:eastAsia="Times New Roman" w:hAnsi="Times New Roman" w:cs="Times New Roman"/>
          <w:lang w:val="en-GB" w:eastAsia="en-IN"/>
        </w:rPr>
        <w:t>adsorption rate</w:t>
      </w:r>
      <w:r w:rsidR="006C4AC6" w:rsidRPr="001075BA">
        <w:rPr>
          <w:rFonts w:ascii="Times New Roman" w:eastAsia="Times New Roman" w:hAnsi="Times New Roman" w:cs="Times New Roman"/>
          <w:lang w:val="en-GB" w:eastAsia="en-IN"/>
        </w:rPr>
        <w:t xml:space="preserve">. </w:t>
      </w:r>
      <w:r w:rsidR="00265AD2" w:rsidRPr="001075BA">
        <w:rPr>
          <w:rFonts w:ascii="Times New Roman" w:eastAsia="Times New Roman" w:hAnsi="Times New Roman" w:cs="Times New Roman"/>
          <w:lang w:val="en-GB" w:eastAsia="en-IN"/>
        </w:rPr>
        <w:t xml:space="preserve">When applying the liquid film diffusion model to the upper-temperature data, this pattern becomes especially clear (Boyd et al. 1947), as shown in Fig. 5f. This model fits well with high </w:t>
      </w:r>
      <w:r w:rsidR="00265AD2" w:rsidRPr="001075BA">
        <w:rPr>
          <w:rFonts w:ascii="Times New Roman" w:eastAsia="Times New Roman" w:hAnsi="Times New Roman" w:cs="Times New Roman"/>
          <w:i/>
          <w:lang w:val="en-GB" w:eastAsia="en-IN"/>
        </w:rPr>
        <w:t>R</w:t>
      </w:r>
      <w:r w:rsidR="00265AD2" w:rsidRPr="001075BA">
        <w:rPr>
          <w:rFonts w:ascii="Times New Roman" w:eastAsia="Times New Roman" w:hAnsi="Times New Roman" w:cs="Times New Roman"/>
          <w:i/>
          <w:vertAlign w:val="superscript"/>
          <w:lang w:val="en-GB" w:eastAsia="en-IN"/>
        </w:rPr>
        <w:t>2</w:t>
      </w:r>
      <w:r w:rsidR="00265AD2" w:rsidRPr="001075BA">
        <w:rPr>
          <w:rFonts w:ascii="Times New Roman" w:eastAsia="Times New Roman" w:hAnsi="Times New Roman" w:cs="Times New Roman"/>
          <w:lang w:val="en-GB" w:eastAsia="en-IN"/>
        </w:rPr>
        <w:t xml:space="preserve"> and </w:t>
      </w:r>
      <w:r w:rsidR="00265AD2" w:rsidRPr="001075BA">
        <w:rPr>
          <w:rFonts w:ascii="Times New Roman" w:eastAsia="Times New Roman" w:hAnsi="Times New Roman" w:cs="Times New Roman"/>
          <w:i/>
          <w:lang w:val="en-GB" w:eastAsia="en-IN"/>
        </w:rPr>
        <w:t>χ</w:t>
      </w:r>
      <w:r w:rsidR="00265AD2" w:rsidRPr="001075BA">
        <w:rPr>
          <w:rFonts w:ascii="Times New Roman" w:eastAsia="Times New Roman" w:hAnsi="Times New Roman" w:cs="Times New Roman"/>
          <w:i/>
          <w:vertAlign w:val="superscript"/>
          <w:lang w:val="en-GB" w:eastAsia="en-IN"/>
        </w:rPr>
        <w:t>2</w:t>
      </w:r>
      <w:r w:rsidR="00265AD2" w:rsidRPr="001075BA">
        <w:rPr>
          <w:rFonts w:ascii="Times New Roman" w:eastAsia="Times New Roman" w:hAnsi="Times New Roman" w:cs="Times New Roman"/>
          <w:lang w:val="en-GB" w:eastAsia="en-IN"/>
        </w:rPr>
        <w:t xml:space="preserve"> values</w:t>
      </w:r>
      <w:r w:rsidR="00971179">
        <w:rPr>
          <w:rFonts w:ascii="Times New Roman" w:eastAsia="Times New Roman" w:hAnsi="Times New Roman" w:cs="Times New Roman"/>
          <w:lang w:val="en-GB" w:eastAsia="en-IN"/>
        </w:rPr>
        <w:t xml:space="preserve"> and</w:t>
      </w:r>
      <w:r w:rsidR="00265AD2" w:rsidRPr="001075BA">
        <w:rPr>
          <w:rFonts w:ascii="Times New Roman" w:eastAsia="Times New Roman" w:hAnsi="Times New Roman" w:cs="Times New Roman"/>
          <w:lang w:val="en-GB" w:eastAsia="en-IN"/>
        </w:rPr>
        <w:t xml:space="preserve"> provides a diffusion constant </w:t>
      </w:r>
      <w:r w:rsidR="00265AD2" w:rsidRPr="001075BA">
        <w:rPr>
          <w:rFonts w:ascii="Times New Roman" w:eastAsia="Times New Roman" w:hAnsi="Times New Roman" w:cs="Times New Roman"/>
          <w:i/>
          <w:lang w:val="en-GB" w:eastAsia="en-IN"/>
        </w:rPr>
        <w:t>R</w:t>
      </w:r>
      <w:r w:rsidR="00265AD2" w:rsidRPr="001075BA">
        <w:rPr>
          <w:rFonts w:ascii="Times New Roman" w:eastAsia="Times New Roman" w:hAnsi="Times New Roman" w:cs="Times New Roman"/>
          <w:i/>
          <w:vertAlign w:val="superscript"/>
          <w:lang w:val="en-GB" w:eastAsia="en-IN"/>
        </w:rPr>
        <w:t>|</w:t>
      </w:r>
      <w:r w:rsidR="00265AD2" w:rsidRPr="001075BA">
        <w:rPr>
          <w:rFonts w:ascii="Times New Roman" w:eastAsia="Times New Roman" w:hAnsi="Times New Roman" w:cs="Times New Roman"/>
          <w:lang w:val="en-GB" w:eastAsia="en-IN"/>
        </w:rPr>
        <w:t>. Diffusion constraints barely affect the adsorption rate at higher temperatures. Diffusion is, hence, the rate-limiting process, it might be said. The solute</w:t>
      </w:r>
      <w:r w:rsidR="00971179">
        <w:rPr>
          <w:rFonts w:ascii="Times New Roman" w:eastAsia="Times New Roman" w:hAnsi="Times New Roman" w:cs="Times New Roman"/>
          <w:lang w:val="en-GB" w:eastAsia="en-IN"/>
        </w:rPr>
        <w:t xml:space="preserve"> first</w:t>
      </w:r>
      <w:r w:rsidR="00265AD2" w:rsidRPr="001075BA">
        <w:rPr>
          <w:rFonts w:ascii="Times New Roman" w:eastAsia="Times New Roman" w:hAnsi="Times New Roman" w:cs="Times New Roman"/>
          <w:lang w:val="en-GB" w:eastAsia="en-IN"/>
        </w:rPr>
        <w:t xml:space="preserve"> quickly forms a</w:t>
      </w:r>
      <w:r w:rsidR="00A632CD">
        <w:rPr>
          <w:rFonts w:ascii="Times New Roman" w:eastAsia="Times New Roman" w:hAnsi="Times New Roman" w:cs="Times New Roman"/>
          <w:lang w:val="en-GB" w:eastAsia="en-IN"/>
        </w:rPr>
        <w:t> </w:t>
      </w:r>
      <w:r w:rsidR="00265AD2" w:rsidRPr="001075BA">
        <w:rPr>
          <w:rFonts w:ascii="Times New Roman" w:eastAsia="Times New Roman" w:hAnsi="Times New Roman" w:cs="Times New Roman"/>
          <w:lang w:val="en-GB" w:eastAsia="en-IN"/>
        </w:rPr>
        <w:t>coating on the particle surfaces, preventing further diffusion.</w:t>
      </w:r>
      <w:r w:rsidR="006C4AC6" w:rsidRPr="001075BA">
        <w:rPr>
          <w:rFonts w:ascii="Times New Roman" w:eastAsia="Times New Roman" w:hAnsi="Times New Roman" w:cs="Times New Roman"/>
          <w:lang w:val="en-GB" w:eastAsia="en-IN"/>
        </w:rPr>
        <w:t xml:space="preserve"> This </w:t>
      </w:r>
      <w:r w:rsidR="00D548FE" w:rsidRPr="001075BA">
        <w:rPr>
          <w:rFonts w:ascii="Times New Roman" w:eastAsia="Times New Roman" w:hAnsi="Times New Roman" w:cs="Times New Roman"/>
          <w:lang w:val="en-GB" w:eastAsia="en-IN"/>
        </w:rPr>
        <w:t>elucidates</w:t>
      </w:r>
      <w:r w:rsidR="006C4AC6" w:rsidRPr="001075BA">
        <w:rPr>
          <w:rFonts w:ascii="Times New Roman" w:eastAsia="Times New Roman" w:hAnsi="Times New Roman" w:cs="Times New Roman"/>
          <w:lang w:val="en-GB" w:eastAsia="en-IN"/>
        </w:rPr>
        <w:t xml:space="preserve"> the </w:t>
      </w:r>
      <w:r w:rsidR="00971179">
        <w:rPr>
          <w:rFonts w:ascii="Times New Roman" w:eastAsia="Times New Roman" w:hAnsi="Times New Roman" w:cs="Times New Roman"/>
          <w:lang w:val="en-GB" w:eastAsia="en-IN"/>
        </w:rPr>
        <w:t>noticeable variations in</w:t>
      </w:r>
      <w:r w:rsidR="00A632CD">
        <w:rPr>
          <w:rFonts w:ascii="Times New Roman" w:eastAsia="Times New Roman" w:hAnsi="Times New Roman" w:cs="Times New Roman"/>
          <w:lang w:val="en-GB" w:eastAsia="en-IN"/>
        </w:rPr>
        <w:t> </w:t>
      </w:r>
      <w:r w:rsidR="00971179">
        <w:rPr>
          <w:rFonts w:ascii="Times New Roman" w:eastAsia="Times New Roman" w:hAnsi="Times New Roman" w:cs="Times New Roman"/>
          <w:lang w:val="en-GB" w:eastAsia="en-IN"/>
        </w:rPr>
        <w:t>absorption rates</w:t>
      </w:r>
      <w:r w:rsidR="006C4AC6" w:rsidRPr="001075BA">
        <w:rPr>
          <w:rFonts w:ascii="Times New Roman" w:eastAsia="Times New Roman" w:hAnsi="Times New Roman" w:cs="Times New Roman"/>
          <w:lang w:val="en-GB" w:eastAsia="en-IN"/>
        </w:rPr>
        <w:t>.</w:t>
      </w:r>
      <w:r w:rsidRPr="001075BA">
        <w:rPr>
          <w:rFonts w:ascii="Times New Roman" w:eastAsia="Times New Roman" w:hAnsi="Times New Roman" w:cs="Times New Roman"/>
          <w:lang w:val="en-GB" w:eastAsia="en-IN"/>
        </w:rPr>
        <w:t xml:space="preserve"> The results are summari</w:t>
      </w:r>
      <w:r w:rsidR="00971179">
        <w:rPr>
          <w:rFonts w:ascii="Times New Roman" w:eastAsia="Times New Roman" w:hAnsi="Times New Roman" w:cs="Times New Roman"/>
          <w:lang w:val="en-GB" w:eastAsia="en-IN"/>
        </w:rPr>
        <w:t>s</w:t>
      </w:r>
      <w:r w:rsidRPr="001075BA">
        <w:rPr>
          <w:rFonts w:ascii="Times New Roman" w:eastAsia="Times New Roman" w:hAnsi="Times New Roman" w:cs="Times New Roman"/>
          <w:lang w:val="en-GB" w:eastAsia="en-IN"/>
        </w:rPr>
        <w:t>ed in Table 5.</w:t>
      </w:r>
    </w:p>
    <w:p w14:paraId="26673261" w14:textId="77777777" w:rsidR="000C3501" w:rsidRPr="001075BA" w:rsidRDefault="000C3501" w:rsidP="000C3501">
      <w:pPr>
        <w:spacing w:after="0" w:line="240" w:lineRule="auto"/>
        <w:ind w:firstLine="284"/>
        <w:jc w:val="both"/>
        <w:rPr>
          <w:rFonts w:ascii="Times New Roman" w:eastAsia="Times New Roman" w:hAnsi="Times New Roman" w:cs="Times New Roman"/>
          <w:lang w:val="en-GB" w:eastAsia="en-IN"/>
        </w:rPr>
      </w:pPr>
    </w:p>
    <w:p w14:paraId="08A73B07" w14:textId="77777777" w:rsidR="00967904" w:rsidRPr="001075BA" w:rsidRDefault="00967904" w:rsidP="00346C21">
      <w:pPr>
        <w:spacing w:after="0" w:line="240" w:lineRule="auto"/>
        <w:jc w:val="center"/>
        <w:rPr>
          <w:rFonts w:eastAsiaTheme="minorEastAsia" w:cstheme="minorHAnsi"/>
          <w:sz w:val="24"/>
          <w:szCs w:val="24"/>
          <w:lang w:val="en-GB" w:eastAsia="en-IN"/>
        </w:rPr>
      </w:pPr>
      <w:r w:rsidRPr="001075BA">
        <w:rPr>
          <w:rFonts w:eastAsia="Times New Roman" w:cstheme="minorHAnsi"/>
          <w:noProof/>
          <w:sz w:val="24"/>
          <w:szCs w:val="24"/>
          <w:lang w:val="en-GB" w:eastAsia="en-IN"/>
        </w:rPr>
        <w:drawing>
          <wp:inline distT="0" distB="0" distL="0" distR="0" wp14:anchorId="6BCA6451" wp14:editId="106223B3">
            <wp:extent cx="5947410" cy="3742690"/>
            <wp:effectExtent l="0" t="0" r="0" b="0"/>
            <wp:docPr id="1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902641" w14:textId="4C992D19" w:rsidR="00967904" w:rsidRPr="001075BA" w:rsidRDefault="00967904" w:rsidP="000C3501">
      <w:pPr>
        <w:pStyle w:val="Rrys"/>
        <w:rPr>
          <w:lang w:val="en-GB" w:eastAsia="en-IN"/>
        </w:rPr>
      </w:pPr>
      <w:r w:rsidRPr="001075BA">
        <w:rPr>
          <w:b/>
          <w:lang w:val="en-GB" w:eastAsia="en-IN"/>
        </w:rPr>
        <w:t>Fig. 5a</w:t>
      </w:r>
      <w:r w:rsidR="000C3501" w:rsidRPr="001075BA">
        <w:rPr>
          <w:b/>
          <w:lang w:val="en-GB" w:eastAsia="en-IN"/>
        </w:rPr>
        <w:t>.</w:t>
      </w:r>
      <w:r w:rsidRPr="001075BA">
        <w:rPr>
          <w:b/>
          <w:bCs/>
          <w:lang w:val="en-GB" w:eastAsia="en-IN"/>
        </w:rPr>
        <w:t xml:space="preserve"> </w:t>
      </w:r>
      <w:r w:rsidRPr="001075BA">
        <w:rPr>
          <w:lang w:val="en-GB" w:eastAsia="en-IN"/>
        </w:rPr>
        <w:t>50 ppm Kinetic model</w:t>
      </w:r>
    </w:p>
    <w:p w14:paraId="3F18539F" w14:textId="77777777" w:rsidR="00967904" w:rsidRPr="001075BA" w:rsidRDefault="00967904" w:rsidP="00346C21">
      <w:pPr>
        <w:spacing w:after="0" w:line="240" w:lineRule="auto"/>
        <w:jc w:val="center"/>
        <w:rPr>
          <w:rFonts w:eastAsia="Times New Roman" w:cstheme="minorHAnsi"/>
          <w:noProof/>
          <w:sz w:val="24"/>
          <w:szCs w:val="24"/>
          <w:lang w:val="en-GB"/>
        </w:rPr>
      </w:pPr>
      <w:r w:rsidRPr="001075BA">
        <w:rPr>
          <w:rFonts w:eastAsia="Times New Roman" w:cstheme="minorHAnsi"/>
          <w:noProof/>
          <w:sz w:val="24"/>
          <w:szCs w:val="24"/>
          <w:lang w:val="en-GB" w:eastAsia="en-IN"/>
        </w:rPr>
        <w:lastRenderedPageBreak/>
        <w:drawing>
          <wp:inline distT="0" distB="0" distL="0" distR="0" wp14:anchorId="5823EE03" wp14:editId="67DB909E">
            <wp:extent cx="5947144" cy="3607981"/>
            <wp:effectExtent l="0" t="0" r="0" b="0"/>
            <wp:docPr id="12" name="Chart 2">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4CC398" w14:textId="439B1201" w:rsidR="00967904" w:rsidRPr="001075BA" w:rsidRDefault="00967904" w:rsidP="000C3501">
      <w:pPr>
        <w:pStyle w:val="Rrys"/>
        <w:rPr>
          <w:lang w:val="en-GB" w:eastAsia="en-IN"/>
        </w:rPr>
      </w:pPr>
      <w:r w:rsidRPr="001075BA">
        <w:rPr>
          <w:b/>
          <w:lang w:val="en-GB" w:eastAsia="en-IN"/>
        </w:rPr>
        <w:t>Fig. 5b</w:t>
      </w:r>
      <w:r w:rsidR="000C3501" w:rsidRPr="001075BA">
        <w:rPr>
          <w:b/>
          <w:lang w:val="en-GB" w:eastAsia="en-IN"/>
        </w:rPr>
        <w:t>.</w:t>
      </w:r>
      <w:r w:rsidRPr="001075BA">
        <w:rPr>
          <w:lang w:val="en-GB" w:eastAsia="en-IN"/>
        </w:rPr>
        <w:t xml:space="preserve"> 100 ppm Kinetic model</w:t>
      </w:r>
    </w:p>
    <w:p w14:paraId="52F866F9" w14:textId="77777777" w:rsidR="00967904" w:rsidRPr="001075BA" w:rsidRDefault="00967904" w:rsidP="00346C21">
      <w:pPr>
        <w:spacing w:after="0" w:line="240" w:lineRule="auto"/>
        <w:jc w:val="center"/>
        <w:rPr>
          <w:rFonts w:eastAsia="Times New Roman" w:cstheme="minorHAnsi"/>
          <w:sz w:val="24"/>
          <w:szCs w:val="24"/>
          <w:lang w:val="en-GB" w:eastAsia="en-IN"/>
        </w:rPr>
      </w:pPr>
      <w:r w:rsidRPr="001075BA">
        <w:rPr>
          <w:rFonts w:eastAsia="Times New Roman" w:cstheme="minorHAnsi"/>
          <w:noProof/>
          <w:sz w:val="24"/>
          <w:szCs w:val="24"/>
          <w:lang w:val="en-GB" w:eastAsia="en-IN"/>
        </w:rPr>
        <w:drawing>
          <wp:inline distT="0" distB="0" distL="0" distR="0" wp14:anchorId="3427E26B" wp14:editId="467A960F">
            <wp:extent cx="5947144" cy="3643423"/>
            <wp:effectExtent l="0" t="0" r="0" b="0"/>
            <wp:docPr id="13" name="Chart 5">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93469C" w14:textId="18CD1E63" w:rsidR="00967904" w:rsidRPr="001075BA" w:rsidRDefault="00967904" w:rsidP="000C3501">
      <w:pPr>
        <w:pStyle w:val="Rrys"/>
        <w:rPr>
          <w:lang w:val="en-GB" w:eastAsia="en-IN"/>
        </w:rPr>
      </w:pPr>
      <w:r w:rsidRPr="001075BA">
        <w:rPr>
          <w:b/>
          <w:lang w:val="en-GB" w:eastAsia="en-IN"/>
        </w:rPr>
        <w:t>Fig. 5c</w:t>
      </w:r>
      <w:r w:rsidR="000C3501" w:rsidRPr="001075BA">
        <w:rPr>
          <w:b/>
          <w:lang w:val="en-GB" w:eastAsia="en-IN"/>
        </w:rPr>
        <w:t>.</w:t>
      </w:r>
      <w:r w:rsidRPr="001075BA">
        <w:rPr>
          <w:lang w:val="en-GB" w:eastAsia="en-IN"/>
        </w:rPr>
        <w:t xml:space="preserve"> 200 ppm Kinetic model</w:t>
      </w:r>
    </w:p>
    <w:p w14:paraId="13089495" w14:textId="77777777" w:rsidR="00967904" w:rsidRPr="001075BA" w:rsidRDefault="00967904" w:rsidP="000C3501">
      <w:pPr>
        <w:spacing w:after="0" w:line="240" w:lineRule="auto"/>
        <w:ind w:firstLine="284"/>
        <w:jc w:val="both"/>
        <w:rPr>
          <w:rFonts w:ascii="Times New Roman" w:eastAsia="Times New Roman" w:hAnsi="Times New Roman" w:cs="Times New Roman"/>
          <w:lang w:val="en-GB" w:eastAsia="en-IN"/>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162"/>
        <w:gridCol w:w="3229"/>
      </w:tblGrid>
      <w:tr w:rsidR="00346C21" w:rsidRPr="001075BA" w14:paraId="5CF2CE7E" w14:textId="77777777" w:rsidTr="00E9261C">
        <w:trPr>
          <w:cantSplit/>
          <w:trHeight w:val="1134"/>
        </w:trPr>
        <w:tc>
          <w:tcPr>
            <w:tcW w:w="4320" w:type="dxa"/>
          </w:tcPr>
          <w:p w14:paraId="4B38DDA9" w14:textId="77777777" w:rsidR="007479F4" w:rsidRPr="001075BA" w:rsidRDefault="007479F4" w:rsidP="00346C21">
            <w:pPr>
              <w:rPr>
                <w:rFonts w:eastAsia="Times New Roman" w:cstheme="minorHAnsi"/>
                <w:noProof/>
                <w:sz w:val="24"/>
                <w:szCs w:val="24"/>
                <w:lang w:val="en-GB"/>
              </w:rPr>
            </w:pPr>
            <w:r w:rsidRPr="001075BA">
              <w:rPr>
                <w:rFonts w:eastAsia="Times New Roman" w:cstheme="minorHAnsi"/>
                <w:noProof/>
                <w:sz w:val="24"/>
                <w:szCs w:val="24"/>
                <w:lang w:val="en-GB"/>
              </w:rPr>
              <w:lastRenderedPageBreak/>
              <w:drawing>
                <wp:inline distT="0" distB="0" distL="0" distR="0" wp14:anchorId="427C16DB" wp14:editId="2D85B2FD">
                  <wp:extent cx="2684678" cy="2150669"/>
                  <wp:effectExtent l="0" t="0" r="1905" b="2540"/>
                  <wp:docPr id="14" name="Chart 1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203" w:type="dxa"/>
          </w:tcPr>
          <w:p w14:paraId="5F9C8BD0" w14:textId="77777777" w:rsidR="007479F4" w:rsidRPr="001075BA" w:rsidRDefault="007479F4" w:rsidP="00346C21">
            <w:pPr>
              <w:rPr>
                <w:rFonts w:eastAsia="Times New Roman" w:cstheme="minorHAnsi"/>
                <w:sz w:val="24"/>
                <w:szCs w:val="24"/>
                <w:lang w:val="en-GB"/>
                <w14:textOutline w14:w="9525" w14:cap="rnd" w14:cmpd="sng" w14:algn="ctr">
                  <w14:solidFill>
                    <w14:srgbClr w14:val="000000">
                      <w14:shade w14:val="95000"/>
                      <w14:satMod w14:val="105000"/>
                    </w14:srgbClr>
                  </w14:solidFill>
                  <w14:prstDash w14:val="solid"/>
                  <w14:bevel/>
                </w14:textOutline>
              </w:rPr>
            </w:pPr>
            <w:r w:rsidRPr="001075BA">
              <w:rPr>
                <w:rFonts w:eastAsia="Times New Roman" w:cstheme="minorHAnsi"/>
                <w:noProof/>
                <w:sz w:val="24"/>
                <w:szCs w:val="24"/>
                <w:lang w:val="en-GB"/>
              </w:rPr>
              <w:drawing>
                <wp:inline distT="0" distB="0" distL="0" distR="0" wp14:anchorId="7D306F2B" wp14:editId="4625CDF7">
                  <wp:extent cx="2604211" cy="2114093"/>
                  <wp:effectExtent l="0" t="0" r="5715" b="635"/>
                  <wp:docPr id="15" name="Chart 15">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653" w:type="dxa"/>
          </w:tcPr>
          <w:p w14:paraId="13AC883A" w14:textId="77777777" w:rsidR="007479F4" w:rsidRPr="001075BA" w:rsidRDefault="007479F4" w:rsidP="00346C21">
            <w:pPr>
              <w:rPr>
                <w:rFonts w:eastAsia="Times New Roman" w:cstheme="minorHAnsi"/>
                <w:sz w:val="24"/>
                <w:szCs w:val="24"/>
                <w:lang w:val="en-GB"/>
                <w14:textOutline w14:w="9525" w14:cap="rnd" w14:cmpd="sng" w14:algn="ctr">
                  <w14:solidFill>
                    <w14:srgbClr w14:val="000000">
                      <w14:shade w14:val="95000"/>
                      <w14:satMod w14:val="105000"/>
                    </w14:srgbClr>
                  </w14:solidFill>
                  <w14:prstDash w14:val="solid"/>
                  <w14:bevel/>
                </w14:textOutline>
              </w:rPr>
            </w:pPr>
            <w:r w:rsidRPr="001075BA">
              <w:rPr>
                <w:rFonts w:eastAsia="Times New Roman" w:cstheme="minorHAnsi"/>
                <w:noProof/>
                <w:sz w:val="24"/>
                <w:szCs w:val="24"/>
                <w:lang w:val="en-GB"/>
              </w:rPr>
              <w:drawing>
                <wp:inline distT="0" distB="0" distL="0" distR="0" wp14:anchorId="335B549F" wp14:editId="396618E3">
                  <wp:extent cx="2670048" cy="2150669"/>
                  <wp:effectExtent l="0" t="0" r="0" b="2540"/>
                  <wp:docPr id="16" name="Chart 16">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69E8A52B" w14:textId="77777777" w:rsidR="007479F4" w:rsidRPr="001075BA" w:rsidRDefault="007479F4" w:rsidP="00346C21">
      <w:pPr>
        <w:spacing w:after="0" w:line="240" w:lineRule="auto"/>
        <w:jc w:val="center"/>
        <w:rPr>
          <w:rFonts w:eastAsia="Times New Roman" w:cstheme="minorHAnsi"/>
          <w:sz w:val="24"/>
          <w:szCs w:val="24"/>
          <w:lang w:val="en-GB" w:eastAsia="en-IN"/>
        </w:rPr>
      </w:pPr>
      <w:r w:rsidRPr="001075BA">
        <w:rPr>
          <w:rFonts w:eastAsia="Times New Roman" w:cstheme="minorHAnsi"/>
          <w:noProof/>
          <w:sz w:val="24"/>
          <w:szCs w:val="24"/>
          <w:lang w:val="en-GB" w:eastAsia="en-IN"/>
        </w:rPr>
        <w:drawing>
          <wp:inline distT="0" distB="0" distL="0" distR="0" wp14:anchorId="553C8E59" wp14:editId="0F2DD72F">
            <wp:extent cx="5267325" cy="276225"/>
            <wp:effectExtent l="0" t="0" r="9525" b="9525"/>
            <wp:docPr id="17" name="Picture 17" descr="D:\Work\Adsorption Modeling\Usman_modeling papers\Congo Red\CR on FS\FTI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Work\Adsorption Modeling\Usman_modeling papers\Congo Red\CR on FS\FTIR\Untitl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276225"/>
                    </a:xfrm>
                    <a:prstGeom prst="rect">
                      <a:avLst/>
                    </a:prstGeom>
                    <a:noFill/>
                    <a:ln>
                      <a:noFill/>
                    </a:ln>
                  </pic:spPr>
                </pic:pic>
              </a:graphicData>
            </a:graphic>
          </wp:inline>
        </w:drawing>
      </w:r>
    </w:p>
    <w:p w14:paraId="1D1543F5" w14:textId="6DFB87F2" w:rsidR="007479F4" w:rsidRPr="001075BA" w:rsidRDefault="007855F4" w:rsidP="000C3501">
      <w:pPr>
        <w:pStyle w:val="Rrys"/>
        <w:rPr>
          <w:lang w:val="en-GB" w:eastAsia="en-IN"/>
        </w:rPr>
      </w:pPr>
      <w:r w:rsidRPr="001075BA">
        <w:rPr>
          <w:b/>
          <w:bCs/>
          <w:lang w:val="en-GB" w:eastAsia="en-IN"/>
        </w:rPr>
        <w:t xml:space="preserve">Fig. </w:t>
      </w:r>
      <w:r w:rsidR="00854A12" w:rsidRPr="001075BA">
        <w:rPr>
          <w:b/>
          <w:bCs/>
          <w:lang w:val="en-GB" w:eastAsia="en-IN"/>
        </w:rPr>
        <w:t>5</w:t>
      </w:r>
      <w:r w:rsidR="006829CF" w:rsidRPr="001075BA">
        <w:rPr>
          <w:b/>
          <w:bCs/>
          <w:lang w:val="en-GB" w:eastAsia="en-IN"/>
        </w:rPr>
        <w:t>d</w:t>
      </w:r>
      <w:r w:rsidR="000C3501" w:rsidRPr="001075BA">
        <w:rPr>
          <w:b/>
          <w:bCs/>
          <w:lang w:val="en-GB" w:eastAsia="en-IN"/>
        </w:rPr>
        <w:t>.</w:t>
      </w:r>
      <w:r w:rsidR="007479F4" w:rsidRPr="001075BA">
        <w:rPr>
          <w:lang w:val="en-GB" w:eastAsia="en-IN"/>
        </w:rPr>
        <w:t xml:space="preserve"> Kinetics data of BG: A) 50 ppm, B) 100 ppm, C) 200 ppm</w:t>
      </w:r>
    </w:p>
    <w:p w14:paraId="33C47668" w14:textId="77777777" w:rsidR="000C3501" w:rsidRPr="001075BA" w:rsidRDefault="000C3501" w:rsidP="000C3501">
      <w:pPr>
        <w:spacing w:after="0" w:line="240" w:lineRule="auto"/>
        <w:ind w:firstLine="284"/>
        <w:jc w:val="both"/>
        <w:rPr>
          <w:rFonts w:ascii="Times New Roman" w:eastAsia="Times New Roman" w:hAnsi="Times New Roman" w:cs="Times New Roman"/>
          <w:lang w:val="en-GB" w:eastAsia="en-I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3"/>
        <w:gridCol w:w="3590"/>
      </w:tblGrid>
      <w:tr w:rsidR="000C3501" w:rsidRPr="001075BA" w14:paraId="5A9245EF" w14:textId="77777777" w:rsidTr="00E9261C">
        <w:tc>
          <w:tcPr>
            <w:tcW w:w="3881" w:type="dxa"/>
          </w:tcPr>
          <w:p w14:paraId="53DCBF9B" w14:textId="77777777" w:rsidR="007479F4" w:rsidRPr="001075BA" w:rsidRDefault="007479F4" w:rsidP="00346C21">
            <w:pPr>
              <w:jc w:val="center"/>
              <w:rPr>
                <w:rFonts w:eastAsia="Times New Roman" w:cstheme="minorHAnsi"/>
                <w:sz w:val="24"/>
                <w:szCs w:val="24"/>
                <w:lang w:val="en-GB"/>
              </w:rPr>
            </w:pPr>
            <w:r w:rsidRPr="001075BA">
              <w:rPr>
                <w:rFonts w:eastAsia="Times New Roman" w:cstheme="minorHAnsi"/>
                <w:noProof/>
                <w:sz w:val="24"/>
                <w:szCs w:val="24"/>
                <w:lang w:val="en-GB"/>
              </w:rPr>
              <w:drawing>
                <wp:inline distT="0" distB="0" distL="0" distR="0" wp14:anchorId="6CA4DA4C" wp14:editId="12421F51">
                  <wp:extent cx="2863659" cy="1901825"/>
                  <wp:effectExtent l="0" t="0" r="0" b="3175"/>
                  <wp:docPr id="18" name="Chart 18">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141" w:type="dxa"/>
          </w:tcPr>
          <w:p w14:paraId="56AF8096" w14:textId="77777777" w:rsidR="007479F4" w:rsidRPr="001075BA" w:rsidRDefault="007479F4" w:rsidP="00346C21">
            <w:pPr>
              <w:jc w:val="center"/>
              <w:rPr>
                <w:rFonts w:eastAsia="Times New Roman" w:cstheme="minorHAnsi"/>
                <w:sz w:val="24"/>
                <w:szCs w:val="24"/>
                <w:lang w:val="en-GB"/>
              </w:rPr>
            </w:pPr>
            <w:r w:rsidRPr="001075BA">
              <w:rPr>
                <w:rFonts w:eastAsia="Times New Roman" w:cstheme="minorHAnsi"/>
                <w:noProof/>
                <w:sz w:val="24"/>
                <w:szCs w:val="24"/>
                <w:lang w:val="en-GB"/>
              </w:rPr>
              <w:drawing>
                <wp:inline distT="0" distB="0" distL="0" distR="0" wp14:anchorId="37D3987D" wp14:editId="70637A02">
                  <wp:extent cx="2860624" cy="1945640"/>
                  <wp:effectExtent l="0" t="0" r="0" b="0"/>
                  <wp:docPr id="19" name="Chart 19">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154" w:type="dxa"/>
          </w:tcPr>
          <w:p w14:paraId="25E4EE2F" w14:textId="77777777" w:rsidR="007479F4" w:rsidRPr="001075BA" w:rsidRDefault="007479F4" w:rsidP="00346C21">
            <w:pPr>
              <w:jc w:val="center"/>
              <w:rPr>
                <w:rFonts w:eastAsia="Times New Roman" w:cstheme="minorHAnsi"/>
                <w:sz w:val="24"/>
                <w:szCs w:val="24"/>
                <w:lang w:val="en-GB"/>
              </w:rPr>
            </w:pPr>
            <w:r w:rsidRPr="001075BA">
              <w:rPr>
                <w:rFonts w:eastAsia="Times New Roman" w:cstheme="minorHAnsi"/>
                <w:noProof/>
                <w:sz w:val="24"/>
                <w:szCs w:val="24"/>
                <w:lang w:val="en-GB"/>
              </w:rPr>
              <w:drawing>
                <wp:inline distT="0" distB="0" distL="0" distR="0" wp14:anchorId="18DA0F81" wp14:editId="0091859C">
                  <wp:extent cx="3438144" cy="1901952"/>
                  <wp:effectExtent l="0" t="0" r="0" b="3175"/>
                  <wp:docPr id="20" name="Chart 20">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3891B8E4" w14:textId="77777777" w:rsidR="007479F4" w:rsidRPr="001075BA" w:rsidRDefault="007479F4" w:rsidP="00346C21">
      <w:pPr>
        <w:spacing w:after="0" w:line="240" w:lineRule="auto"/>
        <w:jc w:val="center"/>
        <w:rPr>
          <w:rFonts w:eastAsia="Times New Roman" w:cstheme="minorHAnsi"/>
          <w:sz w:val="24"/>
          <w:szCs w:val="24"/>
          <w:lang w:val="en-GB" w:eastAsia="en-IN"/>
        </w:rPr>
      </w:pPr>
      <w:r w:rsidRPr="001075BA">
        <w:rPr>
          <w:rFonts w:eastAsia="Times New Roman" w:cstheme="minorHAnsi"/>
          <w:noProof/>
          <w:sz w:val="24"/>
          <w:szCs w:val="24"/>
          <w:lang w:val="en-GB" w:eastAsia="en-IN"/>
        </w:rPr>
        <w:drawing>
          <wp:inline distT="0" distB="0" distL="0" distR="0" wp14:anchorId="69BF588F" wp14:editId="6CB54A34">
            <wp:extent cx="5305425" cy="371475"/>
            <wp:effectExtent l="19050" t="19050" r="28575" b="28575"/>
            <wp:docPr id="21" name="Picture 21" descr="D:\Work\Adsorption Modeling\Usman_modeling papers\Congo Red\CR on FS\FTIR\l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Work\Adsorption Modeling\Usman_modeling papers\Congo Red\CR on FS\FTIR\leg.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521" t="7465" r="521" b="7465"/>
                    <a:stretch/>
                  </pic:blipFill>
                  <pic:spPr bwMode="auto">
                    <a:xfrm>
                      <a:off x="0" y="0"/>
                      <a:ext cx="5305425" cy="371475"/>
                    </a:xfrm>
                    <a:prstGeom prst="rect">
                      <a:avLst/>
                    </a:prstGeom>
                    <a:noFill/>
                    <a:ln>
                      <a:solidFill>
                        <a:sysClr val="windowText" lastClr="000000">
                          <a:shade val="95000"/>
                          <a:satMod val="105000"/>
                        </a:sysClr>
                      </a:solidFill>
                    </a:ln>
                  </pic:spPr>
                </pic:pic>
              </a:graphicData>
            </a:graphic>
          </wp:inline>
        </w:drawing>
      </w:r>
    </w:p>
    <w:p w14:paraId="496EDF37" w14:textId="20218C9C" w:rsidR="007479F4" w:rsidRPr="001075BA" w:rsidRDefault="007855F4" w:rsidP="000C3501">
      <w:pPr>
        <w:pStyle w:val="Rrys"/>
        <w:rPr>
          <w:lang w:val="en-GB" w:eastAsia="en-IN"/>
        </w:rPr>
      </w:pPr>
      <w:r w:rsidRPr="001075BA">
        <w:rPr>
          <w:b/>
          <w:bCs/>
          <w:lang w:val="en-GB" w:eastAsia="en-IN"/>
        </w:rPr>
        <w:t xml:space="preserve">Fig. </w:t>
      </w:r>
      <w:r w:rsidR="00854A12" w:rsidRPr="001075BA">
        <w:rPr>
          <w:b/>
          <w:bCs/>
          <w:lang w:val="en-GB" w:eastAsia="en-IN"/>
        </w:rPr>
        <w:t>5</w:t>
      </w:r>
      <w:r w:rsidR="006829CF" w:rsidRPr="001075BA">
        <w:rPr>
          <w:b/>
          <w:bCs/>
          <w:lang w:val="en-GB" w:eastAsia="en-IN"/>
        </w:rPr>
        <w:t>e</w:t>
      </w:r>
      <w:r w:rsidR="000C3501" w:rsidRPr="001075BA">
        <w:rPr>
          <w:b/>
          <w:bCs/>
          <w:lang w:val="en-GB" w:eastAsia="en-IN"/>
        </w:rPr>
        <w:t>.</w:t>
      </w:r>
      <w:r w:rsidR="007479F4" w:rsidRPr="001075BA">
        <w:rPr>
          <w:lang w:val="en-GB" w:eastAsia="en-IN"/>
        </w:rPr>
        <w:t xml:space="preserve"> Kinetics data of BG: A) 50 ppm, B) 100 ppm, C) 200 ppm</w:t>
      </w:r>
    </w:p>
    <w:p w14:paraId="3D761965" w14:textId="77777777" w:rsidR="007479F4" w:rsidRPr="001075BA" w:rsidRDefault="007479F4" w:rsidP="000C3501">
      <w:pPr>
        <w:spacing w:after="0" w:line="240" w:lineRule="auto"/>
        <w:ind w:firstLine="284"/>
        <w:jc w:val="both"/>
        <w:rPr>
          <w:rFonts w:ascii="Times New Roman" w:eastAsia="Times New Roman" w:hAnsi="Times New Roman" w:cs="Times New Roman"/>
          <w:lang w:val="en-GB" w:eastAsia="en-I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3108"/>
        <w:gridCol w:w="3581"/>
      </w:tblGrid>
      <w:tr w:rsidR="00346C21" w:rsidRPr="001075BA" w14:paraId="47E075E0" w14:textId="77777777" w:rsidTr="00E9261C">
        <w:trPr>
          <w:trHeight w:val="2575"/>
        </w:trPr>
        <w:tc>
          <w:tcPr>
            <w:tcW w:w="4259" w:type="dxa"/>
          </w:tcPr>
          <w:p w14:paraId="76B91E6A" w14:textId="77777777" w:rsidR="007479F4" w:rsidRPr="001075BA" w:rsidRDefault="007479F4" w:rsidP="00346C21">
            <w:pPr>
              <w:jc w:val="center"/>
              <w:rPr>
                <w:rFonts w:eastAsia="Times New Roman" w:cstheme="minorHAnsi"/>
                <w:sz w:val="24"/>
                <w:szCs w:val="24"/>
                <w:lang w:val="en-GB"/>
              </w:rPr>
            </w:pPr>
            <w:r w:rsidRPr="001075BA">
              <w:rPr>
                <w:rFonts w:eastAsia="Times New Roman" w:cstheme="minorHAnsi"/>
                <w:noProof/>
                <w:sz w:val="24"/>
                <w:szCs w:val="24"/>
                <w:lang w:val="en-GB"/>
              </w:rPr>
              <w:drawing>
                <wp:inline distT="0" distB="0" distL="0" distR="0" wp14:anchorId="01EC938C" wp14:editId="6BE50FA3">
                  <wp:extent cx="2882189" cy="2275027"/>
                  <wp:effectExtent l="0" t="0" r="0" b="0"/>
                  <wp:docPr id="22" name="Chart 22">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494" w:type="dxa"/>
          </w:tcPr>
          <w:p w14:paraId="36D0C9D6" w14:textId="77777777" w:rsidR="007479F4" w:rsidRPr="001075BA" w:rsidRDefault="007479F4" w:rsidP="00346C21">
            <w:pPr>
              <w:jc w:val="center"/>
              <w:rPr>
                <w:rFonts w:eastAsia="Times New Roman" w:cstheme="minorHAnsi"/>
                <w:sz w:val="24"/>
                <w:szCs w:val="24"/>
                <w:lang w:val="en-GB"/>
              </w:rPr>
            </w:pPr>
            <w:r w:rsidRPr="001075BA">
              <w:rPr>
                <w:rFonts w:eastAsia="Times New Roman" w:cstheme="minorHAnsi"/>
                <w:noProof/>
                <w:sz w:val="24"/>
                <w:szCs w:val="24"/>
                <w:lang w:val="en-GB"/>
              </w:rPr>
              <w:drawing>
                <wp:inline distT="0" distB="0" distL="0" distR="0" wp14:anchorId="4D95DFBF" wp14:editId="09B572CA">
                  <wp:extent cx="3050438" cy="2275027"/>
                  <wp:effectExtent l="0" t="0" r="0" b="0"/>
                  <wp:docPr id="23" name="Chart 23">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423" w:type="dxa"/>
          </w:tcPr>
          <w:p w14:paraId="02DBDE01" w14:textId="77777777" w:rsidR="007479F4" w:rsidRPr="001075BA" w:rsidRDefault="007479F4" w:rsidP="00346C21">
            <w:pPr>
              <w:jc w:val="center"/>
              <w:rPr>
                <w:rFonts w:eastAsia="Times New Roman" w:cstheme="minorHAnsi"/>
                <w:sz w:val="24"/>
                <w:szCs w:val="24"/>
                <w:lang w:val="en-GB"/>
              </w:rPr>
            </w:pPr>
            <w:r w:rsidRPr="001075BA">
              <w:rPr>
                <w:rFonts w:eastAsia="Times New Roman" w:cstheme="minorHAnsi"/>
                <w:noProof/>
                <w:sz w:val="24"/>
                <w:szCs w:val="24"/>
                <w:lang w:val="en-GB"/>
              </w:rPr>
              <w:drawing>
                <wp:inline distT="0" distB="0" distL="0" distR="0" wp14:anchorId="11015F0A" wp14:editId="7CA7CA30">
                  <wp:extent cx="3547872" cy="2275027"/>
                  <wp:effectExtent l="0" t="0" r="0" b="0"/>
                  <wp:docPr id="24" name="Chart 24">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0916DDFC" w14:textId="77777777" w:rsidR="007479F4" w:rsidRPr="001075BA" w:rsidRDefault="007479F4" w:rsidP="00346C21">
      <w:pPr>
        <w:spacing w:after="0" w:line="240" w:lineRule="auto"/>
        <w:jc w:val="center"/>
        <w:rPr>
          <w:rFonts w:eastAsia="Times New Roman" w:cstheme="minorHAnsi"/>
          <w:sz w:val="24"/>
          <w:szCs w:val="24"/>
          <w:lang w:val="en-GB" w:eastAsia="en-IN"/>
        </w:rPr>
      </w:pPr>
      <w:r w:rsidRPr="001075BA">
        <w:rPr>
          <w:rFonts w:eastAsia="Times New Roman" w:cstheme="minorHAnsi"/>
          <w:noProof/>
          <w:sz w:val="24"/>
          <w:szCs w:val="24"/>
          <w:lang w:val="en-GB" w:eastAsia="en-IN"/>
        </w:rPr>
        <w:drawing>
          <wp:inline distT="0" distB="0" distL="0" distR="0" wp14:anchorId="4C047F2F" wp14:editId="63900FB4">
            <wp:extent cx="5772150" cy="381000"/>
            <wp:effectExtent l="19050" t="19050" r="19050" b="19050"/>
            <wp:docPr id="25" name="Picture 25" descr="D:\Work\Adsorption Modeling\Usman_modeling papers\Congo Red\CR on FS\FTIR\2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Work\Adsorption Modeling\Usman_modeling papers\Congo Red\CR on FS\FTIR\231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2150" cy="381000"/>
                    </a:xfrm>
                    <a:prstGeom prst="rect">
                      <a:avLst/>
                    </a:prstGeom>
                    <a:noFill/>
                    <a:ln>
                      <a:solidFill>
                        <a:sysClr val="windowText" lastClr="000000">
                          <a:shade val="95000"/>
                          <a:satMod val="105000"/>
                        </a:sysClr>
                      </a:solidFill>
                    </a:ln>
                  </pic:spPr>
                </pic:pic>
              </a:graphicData>
            </a:graphic>
          </wp:inline>
        </w:drawing>
      </w:r>
    </w:p>
    <w:p w14:paraId="4D4EBB3A" w14:textId="52EF1142" w:rsidR="00C12734" w:rsidRPr="001075BA" w:rsidRDefault="007855F4" w:rsidP="000C3501">
      <w:pPr>
        <w:pStyle w:val="Rrys"/>
        <w:rPr>
          <w:lang w:val="en-GB" w:eastAsia="en-IN"/>
        </w:rPr>
      </w:pPr>
      <w:r w:rsidRPr="001075BA">
        <w:rPr>
          <w:b/>
          <w:bCs/>
          <w:lang w:val="en-GB" w:eastAsia="en-IN"/>
        </w:rPr>
        <w:t xml:space="preserve">Fig. </w:t>
      </w:r>
      <w:r w:rsidR="00854A12" w:rsidRPr="001075BA">
        <w:rPr>
          <w:b/>
          <w:bCs/>
          <w:lang w:val="en-GB" w:eastAsia="en-IN"/>
        </w:rPr>
        <w:t>5</w:t>
      </w:r>
      <w:r w:rsidR="006829CF" w:rsidRPr="001075BA">
        <w:rPr>
          <w:b/>
          <w:bCs/>
          <w:lang w:val="en-GB" w:eastAsia="en-IN"/>
        </w:rPr>
        <w:t>f</w:t>
      </w:r>
      <w:r w:rsidR="000C3501" w:rsidRPr="001075BA">
        <w:rPr>
          <w:b/>
          <w:bCs/>
          <w:lang w:val="en-GB" w:eastAsia="en-IN"/>
        </w:rPr>
        <w:t>.</w:t>
      </w:r>
      <w:r w:rsidR="000C3501" w:rsidRPr="001075BA">
        <w:rPr>
          <w:lang w:val="en-GB" w:eastAsia="en-IN"/>
        </w:rPr>
        <w:t xml:space="preserve"> </w:t>
      </w:r>
      <w:r w:rsidR="007479F4" w:rsidRPr="001075BA">
        <w:rPr>
          <w:lang w:val="en-GB" w:eastAsia="en-IN"/>
        </w:rPr>
        <w:t>Kinetics data of BG: A)</w:t>
      </w:r>
      <w:r w:rsidR="006C4AC6" w:rsidRPr="001075BA">
        <w:rPr>
          <w:lang w:val="en-GB" w:eastAsia="en-IN"/>
        </w:rPr>
        <w:t xml:space="preserve"> 50 ppm, B) 100 ppm, C) 200 ppm</w:t>
      </w:r>
    </w:p>
    <w:p w14:paraId="60718020" w14:textId="77777777" w:rsidR="004112F9" w:rsidRPr="001075BA" w:rsidRDefault="004112F9" w:rsidP="000C3501">
      <w:pPr>
        <w:spacing w:after="0" w:line="240" w:lineRule="auto"/>
        <w:ind w:firstLine="284"/>
        <w:jc w:val="both"/>
        <w:rPr>
          <w:rFonts w:ascii="Times New Roman" w:eastAsia="Times New Roman" w:hAnsi="Times New Roman" w:cs="Times New Roman"/>
          <w:lang w:val="en-GB" w:eastAsia="en-IN"/>
        </w:rPr>
      </w:pPr>
    </w:p>
    <w:p w14:paraId="358E833D" w14:textId="77777777" w:rsidR="000C3501" w:rsidRPr="001075BA" w:rsidRDefault="000C3501">
      <w:pPr>
        <w:rPr>
          <w:rFonts w:ascii="Times New Roman" w:hAnsi="Times New Roman"/>
          <w:b/>
          <w:bCs/>
          <w:kern w:val="2"/>
          <w:sz w:val="20"/>
          <w:lang w:val="en-GB" w:eastAsia="en-IN"/>
          <w14:ligatures w14:val="standardContextual"/>
        </w:rPr>
      </w:pPr>
      <w:r w:rsidRPr="001075BA">
        <w:rPr>
          <w:b/>
          <w:bCs/>
          <w:lang w:val="en-GB" w:eastAsia="en-IN"/>
        </w:rPr>
        <w:br w:type="page"/>
      </w:r>
    </w:p>
    <w:p w14:paraId="7D4D4694" w14:textId="6650670E" w:rsidR="007479F4" w:rsidRPr="001075BA" w:rsidRDefault="002D2B9B" w:rsidP="000C3501">
      <w:pPr>
        <w:pStyle w:val="Rtab"/>
        <w:rPr>
          <w:lang w:val="en-GB" w:eastAsia="en-IN"/>
        </w:rPr>
      </w:pPr>
      <w:r w:rsidRPr="001075BA">
        <w:rPr>
          <w:b/>
          <w:bCs/>
          <w:lang w:val="en-GB" w:eastAsia="en-IN"/>
        </w:rPr>
        <w:lastRenderedPageBreak/>
        <w:t>Table 4</w:t>
      </w:r>
      <w:r w:rsidR="000C3501" w:rsidRPr="001075BA">
        <w:rPr>
          <w:b/>
          <w:bCs/>
          <w:lang w:val="en-GB" w:eastAsia="en-IN"/>
        </w:rPr>
        <w:t>.</w:t>
      </w:r>
      <w:r w:rsidR="007479F4" w:rsidRPr="001075BA">
        <w:rPr>
          <w:lang w:val="en-GB" w:eastAsia="en-IN"/>
        </w:rPr>
        <w:t xml:space="preserve"> </w:t>
      </w:r>
      <w:r w:rsidR="004112F9" w:rsidRPr="001075BA">
        <w:rPr>
          <w:lang w:val="en-GB" w:eastAsia="en-IN"/>
        </w:rPr>
        <w:t>Parameters for models of absorption kinetics that have been experimentally determined and predicted</w:t>
      </w:r>
    </w:p>
    <w:tbl>
      <w:tblPr>
        <w:tblW w:w="4979"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81"/>
        <w:gridCol w:w="854"/>
        <w:gridCol w:w="641"/>
        <w:gridCol w:w="992"/>
        <w:gridCol w:w="1133"/>
        <w:gridCol w:w="782"/>
        <w:gridCol w:w="782"/>
        <w:gridCol w:w="991"/>
        <w:gridCol w:w="1110"/>
        <w:gridCol w:w="761"/>
        <w:gridCol w:w="761"/>
      </w:tblGrid>
      <w:tr w:rsidR="00BE6494" w:rsidRPr="001075BA" w14:paraId="63732523" w14:textId="77777777" w:rsidTr="00A632CD">
        <w:trPr>
          <w:cantSplit/>
          <w:trHeight w:val="2071"/>
          <w:jc w:val="center"/>
        </w:trPr>
        <w:tc>
          <w:tcPr>
            <w:tcW w:w="407" w:type="pct"/>
            <w:tcBorders>
              <w:top w:val="single" w:sz="4" w:space="0" w:color="auto"/>
              <w:left w:val="single" w:sz="4" w:space="0" w:color="auto"/>
              <w:bottom w:val="single" w:sz="4" w:space="0" w:color="auto"/>
              <w:right w:val="single" w:sz="4" w:space="0" w:color="auto"/>
            </w:tcBorders>
            <w:noWrap/>
            <w:textDirection w:val="btLr"/>
            <w:vAlign w:val="center"/>
            <w:hideMark/>
          </w:tcPr>
          <w:p w14:paraId="18999EBE" w14:textId="77777777" w:rsidR="00BE6494" w:rsidRPr="001075BA" w:rsidRDefault="00BE6494" w:rsidP="00BE6494">
            <w:pPr>
              <w:spacing w:after="0" w:line="240" w:lineRule="auto"/>
              <w:ind w:left="113" w:right="113"/>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Initial Concentration</w:t>
            </w:r>
          </w:p>
        </w:tc>
        <w:tc>
          <w:tcPr>
            <w:tcW w:w="445" w:type="pct"/>
            <w:tcBorders>
              <w:top w:val="single" w:sz="4" w:space="0" w:color="auto"/>
              <w:left w:val="single" w:sz="4" w:space="0" w:color="auto"/>
              <w:bottom w:val="single" w:sz="4" w:space="0" w:color="auto"/>
              <w:right w:val="single" w:sz="4" w:space="0" w:color="auto"/>
            </w:tcBorders>
            <w:noWrap/>
            <w:textDirection w:val="btLr"/>
            <w:vAlign w:val="center"/>
            <w:hideMark/>
          </w:tcPr>
          <w:p w14:paraId="586BA5FB" w14:textId="77777777" w:rsidR="00BE6494" w:rsidRPr="001075BA" w:rsidRDefault="00BE6494" w:rsidP="00BE6494">
            <w:pPr>
              <w:spacing w:after="0" w:line="240" w:lineRule="auto"/>
              <w:ind w:left="113" w:right="113"/>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Temp</w:t>
            </w:r>
          </w:p>
        </w:tc>
        <w:tc>
          <w:tcPr>
            <w:tcW w:w="334" w:type="pct"/>
            <w:vMerge w:val="restart"/>
            <w:tcBorders>
              <w:top w:val="single" w:sz="4" w:space="0" w:color="auto"/>
              <w:left w:val="single" w:sz="4" w:space="0" w:color="auto"/>
              <w:right w:val="single" w:sz="4" w:space="0" w:color="auto"/>
            </w:tcBorders>
            <w:noWrap/>
            <w:textDirection w:val="btLr"/>
            <w:vAlign w:val="center"/>
            <w:hideMark/>
          </w:tcPr>
          <w:p w14:paraId="34CB688C" w14:textId="4930CDA1" w:rsidR="00BE6494" w:rsidRPr="001075BA" w:rsidRDefault="00BE6494" w:rsidP="00BE6494">
            <w:pPr>
              <w:spacing w:after="0" w:line="240" w:lineRule="auto"/>
              <w:ind w:left="113" w:right="113"/>
              <w:jc w:val="center"/>
              <w:rPr>
                <w:rFonts w:ascii="Times New Roman" w:eastAsia="Calibri" w:hAnsi="Times New Roman" w:cs="Times New Roman"/>
                <w:lang w:val="en-GB"/>
              </w:rPr>
            </w:pPr>
            <w:proofErr w:type="spellStart"/>
            <w:r w:rsidRPr="001075BA">
              <w:rPr>
                <w:rFonts w:ascii="Times New Roman" w:eastAsia="Times New Roman" w:hAnsi="Times New Roman" w:cs="Times New Roman"/>
                <w:i/>
                <w:iCs/>
                <w:lang w:val="en-GB"/>
              </w:rPr>
              <w:t>Qe</w:t>
            </w:r>
            <w:r w:rsidRPr="001075BA">
              <w:rPr>
                <w:rFonts w:ascii="Times New Roman" w:eastAsia="Times New Roman" w:hAnsi="Times New Roman" w:cs="Times New Roman"/>
                <w:i/>
                <w:iCs/>
                <w:vertAlign w:val="subscript"/>
                <w:lang w:val="en-GB"/>
              </w:rPr>
              <w:t>expt</w:t>
            </w:r>
            <w:proofErr w:type="spellEnd"/>
            <w:r w:rsidRPr="001075BA">
              <w:rPr>
                <w:rFonts w:ascii="Times New Roman" w:eastAsia="Times New Roman" w:hAnsi="Times New Roman" w:cs="Times New Roman"/>
                <w:i/>
                <w:iCs/>
                <w:lang w:val="en-GB"/>
              </w:rPr>
              <w:t xml:space="preserve"> [mg.g</w:t>
            </w:r>
            <w:r w:rsidRPr="001075BA">
              <w:rPr>
                <w:rFonts w:ascii="Times New Roman" w:eastAsia="Times New Roman" w:hAnsi="Times New Roman" w:cs="Times New Roman"/>
                <w:i/>
                <w:iCs/>
                <w:vertAlign w:val="superscript"/>
                <w:lang w:val="en-GB"/>
              </w:rPr>
              <w:t>-1</w:t>
            </w:r>
            <w:r w:rsidRPr="001075BA">
              <w:rPr>
                <w:rFonts w:ascii="Times New Roman" w:eastAsia="Times New Roman" w:hAnsi="Times New Roman" w:cs="Times New Roman"/>
                <w:i/>
                <w:iCs/>
                <w:lang w:val="en-GB"/>
              </w:rPr>
              <w:t>]</w:t>
            </w:r>
          </w:p>
        </w:tc>
        <w:tc>
          <w:tcPr>
            <w:tcW w:w="1923" w:type="pct"/>
            <w:gridSpan w:val="4"/>
            <w:tcBorders>
              <w:top w:val="single" w:sz="4" w:space="0" w:color="auto"/>
              <w:left w:val="single" w:sz="4" w:space="0" w:color="auto"/>
              <w:bottom w:val="single" w:sz="4" w:space="0" w:color="auto"/>
              <w:right w:val="single" w:sz="4" w:space="0" w:color="auto"/>
            </w:tcBorders>
            <w:noWrap/>
            <w:vAlign w:val="center"/>
            <w:hideMark/>
          </w:tcPr>
          <w:p w14:paraId="7A769EF1" w14:textId="77777777" w:rsidR="00BE6494" w:rsidRPr="001075BA" w:rsidRDefault="00BE6494" w:rsidP="00971179">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Pseudo First order</w:t>
            </w:r>
          </w:p>
        </w:tc>
        <w:tc>
          <w:tcPr>
            <w:tcW w:w="1891" w:type="pct"/>
            <w:gridSpan w:val="4"/>
            <w:tcBorders>
              <w:top w:val="single" w:sz="4" w:space="0" w:color="auto"/>
              <w:left w:val="single" w:sz="4" w:space="0" w:color="auto"/>
              <w:bottom w:val="single" w:sz="4" w:space="0" w:color="auto"/>
              <w:right w:val="single" w:sz="4" w:space="0" w:color="auto"/>
            </w:tcBorders>
            <w:noWrap/>
            <w:vAlign w:val="center"/>
            <w:hideMark/>
          </w:tcPr>
          <w:p w14:paraId="33BC8CD2" w14:textId="77777777" w:rsidR="00BE6494" w:rsidRPr="001075BA" w:rsidRDefault="00BE6494" w:rsidP="00971179">
            <w:pPr>
              <w:spacing w:after="0" w:line="240" w:lineRule="auto"/>
              <w:jc w:val="center"/>
              <w:rPr>
                <w:rFonts w:ascii="Times New Roman" w:hAnsi="Times New Roman" w:cs="Times New Roman"/>
                <w:lang w:val="en-GB"/>
              </w:rPr>
            </w:pPr>
            <w:r w:rsidRPr="001075BA">
              <w:rPr>
                <w:rFonts w:ascii="Times New Roman" w:eastAsia="Times New Roman" w:hAnsi="Times New Roman" w:cs="Times New Roman"/>
                <w:lang w:val="en-GB"/>
              </w:rPr>
              <w:t>Pseudo Second order</w:t>
            </w:r>
          </w:p>
        </w:tc>
      </w:tr>
      <w:tr w:rsidR="00BE6494" w:rsidRPr="001075BA" w14:paraId="1247E673" w14:textId="77777777" w:rsidTr="00A632CD">
        <w:trPr>
          <w:trHeight w:val="617"/>
          <w:jc w:val="center"/>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5364892E" w14:textId="77777777" w:rsidR="00BE6494" w:rsidRPr="001075BA" w:rsidRDefault="00BE649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[ppm]</w:t>
            </w:r>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52EF7EE7" w14:textId="77777777" w:rsidR="00BE6494" w:rsidRPr="001075BA" w:rsidRDefault="00BE649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[K]</w:t>
            </w:r>
          </w:p>
        </w:tc>
        <w:tc>
          <w:tcPr>
            <w:tcW w:w="334" w:type="pct"/>
            <w:vMerge/>
            <w:tcBorders>
              <w:left w:val="single" w:sz="4" w:space="0" w:color="auto"/>
              <w:bottom w:val="single" w:sz="4" w:space="0" w:color="auto"/>
              <w:right w:val="single" w:sz="4" w:space="0" w:color="auto"/>
            </w:tcBorders>
            <w:noWrap/>
            <w:vAlign w:val="center"/>
            <w:hideMark/>
          </w:tcPr>
          <w:p w14:paraId="7A274A5B" w14:textId="3631DE59" w:rsidR="00BE6494" w:rsidRPr="001075BA" w:rsidRDefault="00BE6494" w:rsidP="00346C21">
            <w:pPr>
              <w:spacing w:after="0" w:line="240" w:lineRule="auto"/>
              <w:jc w:val="center"/>
              <w:rPr>
                <w:rFonts w:ascii="Times New Roman" w:eastAsia="Times New Roman" w:hAnsi="Times New Roman" w:cs="Times New Roman"/>
                <w:i/>
                <w:iCs/>
                <w:lang w:val="en-GB"/>
              </w:rPr>
            </w:pP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505C88C8" w14:textId="77777777" w:rsidR="00BE6494" w:rsidRPr="001075BA" w:rsidRDefault="00BE6494" w:rsidP="00346C21">
            <w:pPr>
              <w:spacing w:after="0" w:line="240" w:lineRule="auto"/>
              <w:jc w:val="center"/>
              <w:rPr>
                <w:rFonts w:ascii="Times New Roman" w:eastAsia="Times New Roman" w:hAnsi="Times New Roman" w:cs="Times New Roman"/>
                <w:i/>
                <w:iCs/>
                <w:vertAlign w:val="subscript"/>
                <w:lang w:val="en-GB"/>
              </w:rPr>
            </w:pPr>
            <w:proofErr w:type="spellStart"/>
            <w:r w:rsidRPr="001075BA">
              <w:rPr>
                <w:rFonts w:ascii="Times New Roman" w:eastAsia="Times New Roman" w:hAnsi="Times New Roman" w:cs="Times New Roman"/>
                <w:i/>
                <w:iCs/>
                <w:lang w:val="en-GB"/>
              </w:rPr>
              <w:t>Qe</w:t>
            </w:r>
            <w:r w:rsidRPr="001075BA">
              <w:rPr>
                <w:rFonts w:ascii="Times New Roman" w:eastAsia="Times New Roman" w:hAnsi="Times New Roman" w:cs="Times New Roman"/>
                <w:i/>
                <w:iCs/>
                <w:vertAlign w:val="subscript"/>
                <w:lang w:val="en-GB"/>
              </w:rPr>
              <w:t>pred</w:t>
            </w:r>
            <w:proofErr w:type="spellEnd"/>
          </w:p>
          <w:p w14:paraId="08F84716" w14:textId="77777777" w:rsidR="00BE6494" w:rsidRPr="001075BA" w:rsidRDefault="00BE6494" w:rsidP="00346C21">
            <w:pPr>
              <w:spacing w:after="0" w:line="240" w:lineRule="auto"/>
              <w:jc w:val="center"/>
              <w:rPr>
                <w:rFonts w:ascii="Times New Roman" w:eastAsia="Times New Roman" w:hAnsi="Times New Roman" w:cs="Times New Roman"/>
                <w:i/>
                <w:iCs/>
                <w:lang w:val="en-GB"/>
              </w:rPr>
            </w:pPr>
            <w:r w:rsidRPr="001075BA">
              <w:rPr>
                <w:rFonts w:ascii="Times New Roman" w:eastAsia="Times New Roman" w:hAnsi="Times New Roman" w:cs="Times New Roman"/>
                <w:i/>
                <w:iCs/>
                <w:lang w:val="en-GB"/>
              </w:rPr>
              <w:t>[mg.g</w:t>
            </w:r>
            <w:r w:rsidRPr="001075BA">
              <w:rPr>
                <w:rFonts w:ascii="Times New Roman" w:eastAsia="Times New Roman" w:hAnsi="Times New Roman" w:cs="Times New Roman"/>
                <w:i/>
                <w:iCs/>
                <w:vertAlign w:val="superscript"/>
                <w:lang w:val="en-GB"/>
              </w:rPr>
              <w:t>-1</w:t>
            </w:r>
            <w:r w:rsidRPr="001075BA">
              <w:rPr>
                <w:rFonts w:ascii="Times New Roman" w:eastAsia="Times New Roman" w:hAnsi="Times New Roman" w:cs="Times New Roman"/>
                <w:i/>
                <w:iCs/>
                <w:lang w:val="en-GB"/>
              </w:rPr>
              <w:t>]</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37CBD615" w14:textId="77777777" w:rsidR="00BE6494" w:rsidRPr="001075BA" w:rsidRDefault="00BE6494" w:rsidP="00346C21">
            <w:pPr>
              <w:spacing w:after="0" w:line="240" w:lineRule="auto"/>
              <w:jc w:val="center"/>
              <w:rPr>
                <w:rFonts w:ascii="Times New Roman" w:eastAsia="Times New Roman" w:hAnsi="Times New Roman" w:cs="Times New Roman"/>
                <w:i/>
                <w:iCs/>
                <w:lang w:val="en-GB"/>
              </w:rPr>
            </w:pPr>
            <w:r w:rsidRPr="001075BA">
              <w:rPr>
                <w:rFonts w:ascii="Times New Roman" w:eastAsia="Times New Roman" w:hAnsi="Times New Roman" w:cs="Times New Roman"/>
                <w:i/>
                <w:iCs/>
                <w:lang w:val="en-GB"/>
              </w:rPr>
              <w:t>k</w:t>
            </w:r>
            <w:r w:rsidRPr="001075BA">
              <w:rPr>
                <w:rFonts w:ascii="Times New Roman" w:eastAsia="Times New Roman" w:hAnsi="Times New Roman" w:cs="Times New Roman"/>
                <w:i/>
                <w:iCs/>
                <w:vertAlign w:val="subscript"/>
                <w:lang w:val="en-GB"/>
              </w:rPr>
              <w:t>1</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21E0BB39" w14:textId="77777777" w:rsidR="00BE6494" w:rsidRPr="001075BA" w:rsidRDefault="00BE649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R</w:t>
            </w:r>
            <w:r w:rsidRPr="001075BA">
              <w:rPr>
                <w:rFonts w:ascii="Times New Roman" w:eastAsia="Times New Roman" w:hAnsi="Times New Roman" w:cs="Times New Roman"/>
                <w:vertAlign w:val="superscript"/>
                <w:lang w:val="en-GB"/>
              </w:rPr>
              <w:t>2</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457B3A25" w14:textId="77777777" w:rsidR="00BE6494" w:rsidRPr="001075BA" w:rsidRDefault="00BE649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χ</w:t>
            </w:r>
            <w:r w:rsidRPr="001075BA">
              <w:rPr>
                <w:rFonts w:ascii="Times New Roman" w:eastAsia="Times New Roman" w:hAnsi="Times New Roman" w:cs="Times New Roman"/>
                <w:vertAlign w:val="superscript"/>
                <w:lang w:val="en-GB"/>
              </w:rPr>
              <w:t>2</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23727F60" w14:textId="77777777" w:rsidR="00BE6494" w:rsidRPr="001075BA" w:rsidRDefault="00BE6494" w:rsidP="00346C21">
            <w:pPr>
              <w:spacing w:after="0" w:line="240" w:lineRule="auto"/>
              <w:jc w:val="center"/>
              <w:rPr>
                <w:rFonts w:ascii="Times New Roman" w:eastAsia="Times New Roman" w:hAnsi="Times New Roman" w:cs="Times New Roman"/>
                <w:i/>
                <w:iCs/>
                <w:vertAlign w:val="subscript"/>
                <w:lang w:val="en-GB"/>
              </w:rPr>
            </w:pPr>
            <w:proofErr w:type="spellStart"/>
            <w:r w:rsidRPr="001075BA">
              <w:rPr>
                <w:rFonts w:ascii="Times New Roman" w:eastAsia="Times New Roman" w:hAnsi="Times New Roman" w:cs="Times New Roman"/>
                <w:i/>
                <w:iCs/>
                <w:lang w:val="en-GB"/>
              </w:rPr>
              <w:t>Qe</w:t>
            </w:r>
            <w:r w:rsidRPr="001075BA">
              <w:rPr>
                <w:rFonts w:ascii="Times New Roman" w:eastAsia="Times New Roman" w:hAnsi="Times New Roman" w:cs="Times New Roman"/>
                <w:i/>
                <w:iCs/>
                <w:vertAlign w:val="subscript"/>
                <w:lang w:val="en-GB"/>
              </w:rPr>
              <w:t>pred</w:t>
            </w:r>
            <w:proofErr w:type="spellEnd"/>
          </w:p>
          <w:p w14:paraId="7A8D48DC" w14:textId="0E2D21AC" w:rsidR="00BE6494" w:rsidRPr="001075BA" w:rsidRDefault="00BE6494" w:rsidP="00346C21">
            <w:pPr>
              <w:spacing w:after="0" w:line="240" w:lineRule="auto"/>
              <w:jc w:val="center"/>
              <w:rPr>
                <w:rFonts w:ascii="Times New Roman" w:eastAsia="Times New Roman" w:hAnsi="Times New Roman" w:cs="Times New Roman"/>
                <w:i/>
                <w:iCs/>
                <w:lang w:val="en-GB"/>
              </w:rPr>
            </w:pPr>
            <w:r w:rsidRPr="001075BA">
              <w:rPr>
                <w:rFonts w:ascii="Times New Roman" w:eastAsia="Times New Roman" w:hAnsi="Times New Roman" w:cs="Times New Roman"/>
                <w:i/>
                <w:iCs/>
                <w:lang w:val="en-GB"/>
              </w:rPr>
              <w:t>[mg.g</w:t>
            </w:r>
            <w:r w:rsidRPr="001075BA">
              <w:rPr>
                <w:rFonts w:ascii="Times New Roman" w:eastAsia="Times New Roman" w:hAnsi="Times New Roman" w:cs="Times New Roman"/>
                <w:i/>
                <w:iCs/>
                <w:vertAlign w:val="superscript"/>
                <w:lang w:val="en-GB"/>
              </w:rPr>
              <w:t>-1</w:t>
            </w:r>
            <w:r w:rsidRPr="001075BA">
              <w:rPr>
                <w:rFonts w:ascii="Times New Roman" w:eastAsia="Times New Roman" w:hAnsi="Times New Roman" w:cs="Times New Roman"/>
                <w:i/>
                <w:iCs/>
                <w:lang w:val="en-GB"/>
              </w:rPr>
              <w:t>]</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19310899" w14:textId="77777777" w:rsidR="00BE6494" w:rsidRPr="001075BA" w:rsidRDefault="00BE6494" w:rsidP="00346C21">
            <w:pPr>
              <w:spacing w:after="0" w:line="240" w:lineRule="auto"/>
              <w:jc w:val="center"/>
              <w:rPr>
                <w:rFonts w:ascii="Times New Roman" w:eastAsia="Times New Roman" w:hAnsi="Times New Roman" w:cs="Times New Roman"/>
                <w:i/>
                <w:iCs/>
                <w:lang w:val="en-GB"/>
              </w:rPr>
            </w:pPr>
            <w:r w:rsidRPr="001075BA">
              <w:rPr>
                <w:rFonts w:ascii="Times New Roman" w:eastAsia="Times New Roman" w:hAnsi="Times New Roman" w:cs="Times New Roman"/>
                <w:i/>
                <w:iCs/>
                <w:lang w:val="en-GB"/>
              </w:rPr>
              <w:t>k</w:t>
            </w:r>
            <w:r w:rsidRPr="001075BA">
              <w:rPr>
                <w:rFonts w:ascii="Times New Roman" w:eastAsia="Times New Roman" w:hAnsi="Times New Roman" w:cs="Times New Roman"/>
                <w:i/>
                <w:iCs/>
                <w:vertAlign w:val="subscript"/>
                <w:lang w:val="en-GB"/>
              </w:rPr>
              <w:t>2</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923A5FC" w14:textId="77777777" w:rsidR="00BE6494" w:rsidRPr="001075BA" w:rsidRDefault="00BE649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R</w:t>
            </w:r>
            <w:r w:rsidRPr="001075BA">
              <w:rPr>
                <w:rFonts w:ascii="Times New Roman" w:eastAsia="Times New Roman" w:hAnsi="Times New Roman" w:cs="Times New Roman"/>
                <w:vertAlign w:val="superscript"/>
                <w:lang w:val="en-GB"/>
              </w:rPr>
              <w:t>2</w:t>
            </w:r>
          </w:p>
        </w:tc>
        <w:tc>
          <w:tcPr>
            <w:tcW w:w="399" w:type="pct"/>
            <w:tcBorders>
              <w:top w:val="single" w:sz="4" w:space="0" w:color="auto"/>
              <w:left w:val="single" w:sz="4" w:space="0" w:color="auto"/>
              <w:bottom w:val="single" w:sz="4" w:space="0" w:color="auto"/>
              <w:right w:val="single" w:sz="4" w:space="0" w:color="auto"/>
            </w:tcBorders>
            <w:noWrap/>
            <w:vAlign w:val="center"/>
            <w:hideMark/>
          </w:tcPr>
          <w:p w14:paraId="37A36434" w14:textId="77777777" w:rsidR="00BE6494" w:rsidRPr="001075BA" w:rsidRDefault="00BE649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χ</w:t>
            </w:r>
            <w:r w:rsidRPr="001075BA">
              <w:rPr>
                <w:rFonts w:ascii="Times New Roman" w:eastAsia="Times New Roman" w:hAnsi="Times New Roman" w:cs="Times New Roman"/>
                <w:vertAlign w:val="superscript"/>
                <w:lang w:val="en-GB"/>
              </w:rPr>
              <w:t>2</w:t>
            </w:r>
          </w:p>
        </w:tc>
      </w:tr>
      <w:tr w:rsidR="00BE6494" w:rsidRPr="001075BA" w14:paraId="122A0E00" w14:textId="77777777" w:rsidTr="00A632CD">
        <w:trPr>
          <w:trHeight w:val="439"/>
          <w:jc w:val="center"/>
        </w:trPr>
        <w:tc>
          <w:tcPr>
            <w:tcW w:w="407" w:type="pct"/>
            <w:vMerge w:val="restart"/>
            <w:tcBorders>
              <w:top w:val="single" w:sz="4" w:space="0" w:color="auto"/>
              <w:left w:val="single" w:sz="4" w:space="0" w:color="auto"/>
              <w:bottom w:val="single" w:sz="4" w:space="0" w:color="auto"/>
              <w:right w:val="single" w:sz="4" w:space="0" w:color="auto"/>
            </w:tcBorders>
            <w:noWrap/>
            <w:vAlign w:val="center"/>
            <w:hideMark/>
          </w:tcPr>
          <w:p w14:paraId="6B608F29"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50</w:t>
            </w:r>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7260F960"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303</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0D4BBDDB"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38</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2DBF364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32.45</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1B9212B8"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4.89E-02</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4DE4D6E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0.96</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5F15A014"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1.73</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5BAB0DA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39.84</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4C36EF0B"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1.33E-03</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27D681D"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0.98</w:t>
            </w:r>
          </w:p>
        </w:tc>
        <w:tc>
          <w:tcPr>
            <w:tcW w:w="399" w:type="pct"/>
            <w:tcBorders>
              <w:top w:val="single" w:sz="4" w:space="0" w:color="auto"/>
              <w:left w:val="single" w:sz="4" w:space="0" w:color="auto"/>
              <w:bottom w:val="single" w:sz="4" w:space="0" w:color="auto"/>
              <w:right w:val="single" w:sz="4" w:space="0" w:color="auto"/>
            </w:tcBorders>
            <w:noWrap/>
            <w:vAlign w:val="center"/>
            <w:hideMark/>
          </w:tcPr>
          <w:p w14:paraId="501008A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1.73</w:t>
            </w:r>
          </w:p>
        </w:tc>
      </w:tr>
      <w:tr w:rsidR="00BE6494" w:rsidRPr="001075BA" w14:paraId="40F5EC91" w14:textId="77777777" w:rsidTr="00A632CD">
        <w:trPr>
          <w:trHeight w:val="439"/>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7267C31B" w14:textId="77777777" w:rsidR="007479F4" w:rsidRPr="001075BA" w:rsidRDefault="007479F4" w:rsidP="00346C21">
            <w:pPr>
              <w:spacing w:after="0" w:line="240" w:lineRule="auto"/>
              <w:rPr>
                <w:rFonts w:ascii="Times New Roman" w:eastAsia="Times New Roman" w:hAnsi="Times New Roman" w:cs="Times New Roman"/>
                <w:lang w:val="en-GB"/>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11B4C9FD"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313</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5FB5A708"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40</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56D5B99E"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33.82</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603EC8D3"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4.87E-02</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63AB2C1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0.96</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38C7DF6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2.49</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66D232DB"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41.29</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28F5DD7E"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1.30E-03</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B3EEDC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c>
          <w:tcPr>
            <w:tcW w:w="399" w:type="pct"/>
            <w:tcBorders>
              <w:top w:val="single" w:sz="4" w:space="0" w:color="auto"/>
              <w:left w:val="single" w:sz="4" w:space="0" w:color="auto"/>
              <w:bottom w:val="single" w:sz="4" w:space="0" w:color="auto"/>
              <w:right w:val="single" w:sz="4" w:space="0" w:color="auto"/>
            </w:tcBorders>
            <w:noWrap/>
            <w:vAlign w:val="center"/>
            <w:hideMark/>
          </w:tcPr>
          <w:p w14:paraId="3834142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1.22</w:t>
            </w:r>
          </w:p>
        </w:tc>
      </w:tr>
      <w:tr w:rsidR="00BE6494" w:rsidRPr="001075BA" w14:paraId="1DD0BC40" w14:textId="77777777" w:rsidTr="00A632CD">
        <w:trPr>
          <w:trHeight w:val="439"/>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35814CB2" w14:textId="77777777" w:rsidR="007479F4" w:rsidRPr="001075BA" w:rsidRDefault="007479F4" w:rsidP="00346C21">
            <w:pPr>
              <w:spacing w:after="0" w:line="240" w:lineRule="auto"/>
              <w:rPr>
                <w:rFonts w:ascii="Times New Roman" w:eastAsia="Times New Roman" w:hAnsi="Times New Roman" w:cs="Times New Roman"/>
                <w:lang w:val="en-GB"/>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3C681039"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323</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7F432016"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42</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4D32F3D6"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37.67</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36C13EB8"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6.68E-02</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2E8FFAD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0.95</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64974726"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2.07</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1A91615C"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44.51</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5650D71E"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1.82E-03</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6598BC9"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0.98</w:t>
            </w:r>
          </w:p>
        </w:tc>
        <w:tc>
          <w:tcPr>
            <w:tcW w:w="399" w:type="pct"/>
            <w:tcBorders>
              <w:top w:val="single" w:sz="4" w:space="0" w:color="auto"/>
              <w:left w:val="single" w:sz="4" w:space="0" w:color="auto"/>
              <w:bottom w:val="single" w:sz="4" w:space="0" w:color="auto"/>
              <w:right w:val="single" w:sz="4" w:space="0" w:color="auto"/>
            </w:tcBorders>
            <w:noWrap/>
            <w:vAlign w:val="center"/>
            <w:hideMark/>
          </w:tcPr>
          <w:p w14:paraId="6454A1D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0.58</w:t>
            </w:r>
          </w:p>
        </w:tc>
      </w:tr>
      <w:tr w:rsidR="00BE6494" w:rsidRPr="001075BA" w14:paraId="4780C531" w14:textId="77777777" w:rsidTr="00A632CD">
        <w:trPr>
          <w:trHeight w:val="439"/>
          <w:jc w:val="center"/>
        </w:trPr>
        <w:tc>
          <w:tcPr>
            <w:tcW w:w="407" w:type="pct"/>
            <w:vMerge w:val="restart"/>
            <w:tcBorders>
              <w:top w:val="single" w:sz="4" w:space="0" w:color="auto"/>
              <w:left w:val="single" w:sz="4" w:space="0" w:color="auto"/>
              <w:bottom w:val="single" w:sz="4" w:space="0" w:color="auto"/>
              <w:right w:val="single" w:sz="4" w:space="0" w:color="auto"/>
            </w:tcBorders>
            <w:noWrap/>
            <w:vAlign w:val="center"/>
            <w:hideMark/>
          </w:tcPr>
          <w:p w14:paraId="6BD2973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100</w:t>
            </w:r>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09014E5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303</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12271C3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75</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01728E8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66.92</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22D28006"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4.35E-02</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00863BC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38AF045D"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1.16</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2D472A2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84.71</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1E2A11DC"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5.08E-04</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EFBF505"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c>
          <w:tcPr>
            <w:tcW w:w="399" w:type="pct"/>
            <w:tcBorders>
              <w:top w:val="single" w:sz="4" w:space="0" w:color="auto"/>
              <w:left w:val="single" w:sz="4" w:space="0" w:color="auto"/>
              <w:bottom w:val="single" w:sz="4" w:space="0" w:color="auto"/>
              <w:right w:val="single" w:sz="4" w:space="0" w:color="auto"/>
            </w:tcBorders>
            <w:noWrap/>
            <w:vAlign w:val="center"/>
            <w:hideMark/>
          </w:tcPr>
          <w:p w14:paraId="32F3A153"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0.90</w:t>
            </w:r>
          </w:p>
        </w:tc>
      </w:tr>
      <w:tr w:rsidR="00BE6494" w:rsidRPr="001075BA" w14:paraId="751EDE75" w14:textId="77777777" w:rsidTr="00A632CD">
        <w:trPr>
          <w:trHeight w:val="439"/>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3219D30D" w14:textId="77777777" w:rsidR="007479F4" w:rsidRPr="001075BA" w:rsidRDefault="007479F4" w:rsidP="00346C21">
            <w:pPr>
              <w:spacing w:after="0" w:line="240" w:lineRule="auto"/>
              <w:rPr>
                <w:rFonts w:ascii="Times New Roman" w:eastAsia="Times New Roman" w:hAnsi="Times New Roman" w:cs="Times New Roman"/>
                <w:lang w:val="en-GB"/>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23C262EE"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313</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735A09B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80</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6032C535"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70.00</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16C4707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7.00E+01</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091BB338"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0.98</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06B715FB"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1.79</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38D2FF39"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65.88</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1195FAA9"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1.71E-03</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1BDEDC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0.76</w:t>
            </w:r>
          </w:p>
        </w:tc>
        <w:tc>
          <w:tcPr>
            <w:tcW w:w="399" w:type="pct"/>
            <w:tcBorders>
              <w:top w:val="single" w:sz="4" w:space="0" w:color="auto"/>
              <w:left w:val="single" w:sz="4" w:space="0" w:color="auto"/>
              <w:bottom w:val="single" w:sz="4" w:space="0" w:color="auto"/>
              <w:right w:val="single" w:sz="4" w:space="0" w:color="auto"/>
            </w:tcBorders>
            <w:noWrap/>
            <w:vAlign w:val="center"/>
            <w:hideMark/>
          </w:tcPr>
          <w:p w14:paraId="2E57B09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1.65</w:t>
            </w:r>
          </w:p>
        </w:tc>
      </w:tr>
      <w:tr w:rsidR="00BE6494" w:rsidRPr="001075BA" w14:paraId="0106048D" w14:textId="77777777" w:rsidTr="00A632CD">
        <w:trPr>
          <w:trHeight w:val="439"/>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3C491887" w14:textId="77777777" w:rsidR="007479F4" w:rsidRPr="001075BA" w:rsidRDefault="007479F4" w:rsidP="00346C21">
            <w:pPr>
              <w:spacing w:after="0" w:line="240" w:lineRule="auto"/>
              <w:rPr>
                <w:rFonts w:ascii="Times New Roman" w:eastAsia="Times New Roman" w:hAnsi="Times New Roman" w:cs="Times New Roman"/>
                <w:lang w:val="en-GB"/>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5B3ECDC8"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323</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13694A39"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82</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49513B0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70.20</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4C518E7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4.42E-02</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6FD299A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7D5CBD1B"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4.04</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69CFAC5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87.34</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5F1294D6"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5.27E-04</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66E4C7C8"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0.98</w:t>
            </w:r>
          </w:p>
        </w:tc>
        <w:tc>
          <w:tcPr>
            <w:tcW w:w="399" w:type="pct"/>
            <w:tcBorders>
              <w:top w:val="single" w:sz="4" w:space="0" w:color="auto"/>
              <w:left w:val="single" w:sz="4" w:space="0" w:color="auto"/>
              <w:bottom w:val="single" w:sz="4" w:space="0" w:color="auto"/>
              <w:right w:val="single" w:sz="4" w:space="0" w:color="auto"/>
            </w:tcBorders>
            <w:noWrap/>
            <w:vAlign w:val="center"/>
            <w:hideMark/>
          </w:tcPr>
          <w:p w14:paraId="71D12F0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1.94</w:t>
            </w:r>
          </w:p>
        </w:tc>
      </w:tr>
      <w:tr w:rsidR="00BE6494" w:rsidRPr="001075BA" w14:paraId="2E187ED9" w14:textId="77777777" w:rsidTr="00A632CD">
        <w:trPr>
          <w:trHeight w:val="439"/>
          <w:jc w:val="center"/>
        </w:trPr>
        <w:tc>
          <w:tcPr>
            <w:tcW w:w="407" w:type="pct"/>
            <w:vMerge w:val="restart"/>
            <w:tcBorders>
              <w:top w:val="single" w:sz="4" w:space="0" w:color="auto"/>
              <w:left w:val="single" w:sz="4" w:space="0" w:color="auto"/>
              <w:bottom w:val="single" w:sz="4" w:space="0" w:color="auto"/>
              <w:right w:val="single" w:sz="4" w:space="0" w:color="auto"/>
            </w:tcBorders>
            <w:noWrap/>
            <w:vAlign w:val="center"/>
            <w:hideMark/>
          </w:tcPr>
          <w:p w14:paraId="5EE9430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200</w:t>
            </w:r>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35BC5688"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303</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1550643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122</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48207BE6"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112.96</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213E071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3.23E-02</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63A1C8D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50A33D7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6.64</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2179079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149.32</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3B2623F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1.95E-04</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13FC12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c>
          <w:tcPr>
            <w:tcW w:w="399" w:type="pct"/>
            <w:tcBorders>
              <w:top w:val="single" w:sz="4" w:space="0" w:color="auto"/>
              <w:left w:val="single" w:sz="4" w:space="0" w:color="auto"/>
              <w:bottom w:val="single" w:sz="4" w:space="0" w:color="auto"/>
              <w:right w:val="single" w:sz="4" w:space="0" w:color="auto"/>
            </w:tcBorders>
            <w:noWrap/>
            <w:vAlign w:val="center"/>
            <w:hideMark/>
          </w:tcPr>
          <w:p w14:paraId="45E2EFDB"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5.09</w:t>
            </w:r>
          </w:p>
        </w:tc>
      </w:tr>
      <w:tr w:rsidR="00BE6494" w:rsidRPr="001075BA" w14:paraId="0F615668" w14:textId="77777777" w:rsidTr="00A632CD">
        <w:trPr>
          <w:trHeight w:val="439"/>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7CC71FF2" w14:textId="77777777" w:rsidR="007479F4" w:rsidRPr="001075BA" w:rsidRDefault="007479F4" w:rsidP="00346C21">
            <w:pPr>
              <w:spacing w:after="0" w:line="240" w:lineRule="auto"/>
              <w:rPr>
                <w:rFonts w:ascii="Times New Roman" w:eastAsia="Times New Roman" w:hAnsi="Times New Roman" w:cs="Times New Roman"/>
                <w:lang w:val="en-GB"/>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7E21944D"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313</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694344E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130</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54B6762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120.07</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76DEBCA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4.21E-02</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59F77B3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063F3AF6"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8.21</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42C5AF8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150.29</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34EAD449"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2.87E-04</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FDEC7FE"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c>
          <w:tcPr>
            <w:tcW w:w="399" w:type="pct"/>
            <w:tcBorders>
              <w:top w:val="single" w:sz="4" w:space="0" w:color="auto"/>
              <w:left w:val="single" w:sz="4" w:space="0" w:color="auto"/>
              <w:bottom w:val="single" w:sz="4" w:space="0" w:color="auto"/>
              <w:right w:val="single" w:sz="4" w:space="0" w:color="auto"/>
            </w:tcBorders>
            <w:noWrap/>
            <w:vAlign w:val="center"/>
            <w:hideMark/>
          </w:tcPr>
          <w:p w14:paraId="10AB1C1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4.99</w:t>
            </w:r>
          </w:p>
        </w:tc>
      </w:tr>
      <w:tr w:rsidR="00BE6494" w:rsidRPr="001075BA" w14:paraId="1ED98C51" w14:textId="77777777" w:rsidTr="00A632CD">
        <w:trPr>
          <w:trHeight w:val="440"/>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243C822A" w14:textId="77777777" w:rsidR="007479F4" w:rsidRPr="001075BA" w:rsidRDefault="007479F4" w:rsidP="00346C21">
            <w:pPr>
              <w:spacing w:after="0" w:line="240" w:lineRule="auto"/>
              <w:rPr>
                <w:rFonts w:ascii="Times New Roman" w:eastAsia="Times New Roman" w:hAnsi="Times New Roman" w:cs="Times New Roman"/>
                <w:lang w:val="en-GB"/>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405A497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323</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62C0592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138</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0828221B"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133.24</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06B1147E"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3.98E-02</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526BDF78"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c>
          <w:tcPr>
            <w:tcW w:w="408" w:type="pct"/>
            <w:tcBorders>
              <w:top w:val="single" w:sz="4" w:space="0" w:color="auto"/>
              <w:left w:val="single" w:sz="4" w:space="0" w:color="auto"/>
              <w:bottom w:val="single" w:sz="4" w:space="0" w:color="auto"/>
              <w:right w:val="single" w:sz="4" w:space="0" w:color="auto"/>
            </w:tcBorders>
            <w:noWrap/>
            <w:vAlign w:val="center"/>
            <w:hideMark/>
          </w:tcPr>
          <w:p w14:paraId="0F68D33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6.86</w:t>
            </w:r>
          </w:p>
        </w:tc>
        <w:tc>
          <w:tcPr>
            <w:tcW w:w="517" w:type="pct"/>
            <w:tcBorders>
              <w:top w:val="single" w:sz="4" w:space="0" w:color="auto"/>
              <w:left w:val="single" w:sz="4" w:space="0" w:color="auto"/>
              <w:bottom w:val="single" w:sz="4" w:space="0" w:color="auto"/>
              <w:right w:val="single" w:sz="4" w:space="0" w:color="auto"/>
            </w:tcBorders>
            <w:noWrap/>
            <w:vAlign w:val="center"/>
            <w:hideMark/>
          </w:tcPr>
          <w:p w14:paraId="437AB50D"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170.41</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55807AAE"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2.26E-04</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CEF3F93"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c>
          <w:tcPr>
            <w:tcW w:w="399" w:type="pct"/>
            <w:tcBorders>
              <w:top w:val="single" w:sz="4" w:space="0" w:color="auto"/>
              <w:left w:val="single" w:sz="4" w:space="0" w:color="auto"/>
              <w:bottom w:val="single" w:sz="4" w:space="0" w:color="auto"/>
              <w:right w:val="single" w:sz="4" w:space="0" w:color="auto"/>
            </w:tcBorders>
            <w:noWrap/>
            <w:vAlign w:val="center"/>
            <w:hideMark/>
          </w:tcPr>
          <w:p w14:paraId="4166C67D"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5.74</w:t>
            </w:r>
          </w:p>
        </w:tc>
      </w:tr>
    </w:tbl>
    <w:p w14:paraId="1AE8D047" w14:textId="77777777" w:rsidR="00A16268" w:rsidRPr="001075BA" w:rsidRDefault="00A16268" w:rsidP="000C3501">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lang w:val="en-GB" w:eastAsia="en-IN"/>
        </w:rPr>
      </w:pPr>
    </w:p>
    <w:p w14:paraId="708AE6E4" w14:textId="3977076E" w:rsidR="007479F4" w:rsidRPr="001075BA" w:rsidRDefault="002D2B9B" w:rsidP="00717D12">
      <w:pPr>
        <w:pStyle w:val="Rtab"/>
        <w:rPr>
          <w:lang w:val="en-GB" w:eastAsia="en-IN"/>
        </w:rPr>
      </w:pPr>
      <w:r w:rsidRPr="001075BA">
        <w:rPr>
          <w:b/>
          <w:bCs/>
          <w:lang w:val="en-GB" w:eastAsia="en-IN"/>
        </w:rPr>
        <w:t>Table 5</w:t>
      </w:r>
      <w:r w:rsidR="000C3501" w:rsidRPr="001075BA">
        <w:rPr>
          <w:b/>
          <w:bCs/>
          <w:lang w:val="en-GB" w:eastAsia="en-IN"/>
        </w:rPr>
        <w:t>.</w:t>
      </w:r>
      <w:r w:rsidR="007479F4" w:rsidRPr="001075BA">
        <w:rPr>
          <w:lang w:val="en-GB" w:eastAsia="en-IN"/>
        </w:rPr>
        <w:t xml:space="preserve"> Calculated </w:t>
      </w:r>
      <w:r w:rsidR="00993ADC" w:rsidRPr="001075BA">
        <w:rPr>
          <w:lang w:val="en-GB" w:eastAsia="en-IN"/>
        </w:rPr>
        <w:t>parameters for diffusion models</w:t>
      </w:r>
    </w:p>
    <w:tbl>
      <w:tblPr>
        <w:tblW w:w="9682" w:type="dxa"/>
        <w:jc w:val="center"/>
        <w:tblLook w:val="04A0" w:firstRow="1" w:lastRow="0" w:firstColumn="1" w:lastColumn="0" w:noHBand="0" w:noVBand="1"/>
      </w:tblPr>
      <w:tblGrid>
        <w:gridCol w:w="1836"/>
        <w:gridCol w:w="833"/>
        <w:gridCol w:w="1274"/>
        <w:gridCol w:w="983"/>
        <w:gridCol w:w="1620"/>
        <w:gridCol w:w="962"/>
        <w:gridCol w:w="1292"/>
        <w:gridCol w:w="882"/>
      </w:tblGrid>
      <w:tr w:rsidR="00346C21" w:rsidRPr="001075BA" w14:paraId="475DC495" w14:textId="77777777" w:rsidTr="00BC54F8">
        <w:trPr>
          <w:trHeight w:val="561"/>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8B463" w14:textId="67A3F5ED"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 xml:space="preserve">Initial </w:t>
            </w:r>
            <w:r w:rsidR="0011490D">
              <w:rPr>
                <w:rFonts w:ascii="Times New Roman" w:eastAsia="Times New Roman" w:hAnsi="Times New Roman" w:cs="Times New Roman"/>
                <w:lang w:val="en-GB"/>
              </w:rPr>
              <w:br/>
            </w:r>
            <w:r w:rsidRPr="001075BA">
              <w:rPr>
                <w:rFonts w:ascii="Times New Roman" w:eastAsia="Times New Roman" w:hAnsi="Times New Roman" w:cs="Times New Roman"/>
                <w:lang w:val="en-GB"/>
              </w:rPr>
              <w:t>Concentration</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D01AB"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Temp</w:t>
            </w:r>
          </w:p>
        </w:tc>
        <w:tc>
          <w:tcPr>
            <w:tcW w:w="22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5F6CE"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Film diffusion model</w:t>
            </w:r>
          </w:p>
        </w:tc>
        <w:tc>
          <w:tcPr>
            <w:tcW w:w="25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A1614"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Weber-Morris model</w:t>
            </w:r>
          </w:p>
        </w:tc>
        <w:tc>
          <w:tcPr>
            <w:tcW w:w="21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DBD8D" w14:textId="77777777" w:rsidR="007479F4" w:rsidRPr="001075BA" w:rsidRDefault="007479F4" w:rsidP="00346C21">
            <w:pPr>
              <w:spacing w:after="0" w:line="240" w:lineRule="auto"/>
              <w:jc w:val="center"/>
              <w:rPr>
                <w:rFonts w:ascii="Times New Roman" w:eastAsia="Times New Roman" w:hAnsi="Times New Roman" w:cs="Times New Roman"/>
                <w:lang w:val="en-GB"/>
              </w:rPr>
            </w:pPr>
            <w:proofErr w:type="spellStart"/>
            <w:r w:rsidRPr="001075BA">
              <w:rPr>
                <w:rFonts w:ascii="Times New Roman" w:eastAsia="Times New Roman" w:hAnsi="Times New Roman" w:cs="Times New Roman"/>
                <w:lang w:val="en-GB"/>
              </w:rPr>
              <w:t>Dumwald</w:t>
            </w:r>
            <w:proofErr w:type="spellEnd"/>
            <w:r w:rsidRPr="001075BA">
              <w:rPr>
                <w:rFonts w:ascii="Times New Roman" w:eastAsia="Times New Roman" w:hAnsi="Times New Roman" w:cs="Times New Roman"/>
                <w:lang w:val="en-GB"/>
              </w:rPr>
              <w:t>-Wagner</w:t>
            </w:r>
          </w:p>
        </w:tc>
      </w:tr>
      <w:tr w:rsidR="00346C21" w:rsidRPr="001075BA" w14:paraId="7874D97D" w14:textId="77777777" w:rsidTr="00BC54F8">
        <w:trPr>
          <w:trHeight w:val="375"/>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B535B"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[ppm]</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9B1FC"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[K]</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DE7FC"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i/>
                <w:iCs/>
                <w:lang w:val="en-GB"/>
              </w:rPr>
              <w:t>R</w:t>
            </w:r>
            <w:r w:rsidRPr="001075BA">
              <w:rPr>
                <w:rFonts w:ascii="Times New Roman" w:eastAsia="Times New Roman" w:hAnsi="Times New Roman" w:cs="Times New Roman"/>
                <w:i/>
                <w:iCs/>
                <w:vertAlign w:val="superscript"/>
                <w:lang w:val="en-GB"/>
              </w:rPr>
              <w:t>|</w:t>
            </w:r>
            <w:r w:rsidRPr="001075BA">
              <w:rPr>
                <w:rFonts w:ascii="Times New Roman" w:eastAsia="Times New Roman" w:hAnsi="Times New Roman" w:cs="Times New Roman"/>
                <w:lang w:val="en-GB"/>
              </w:rPr>
              <w:t xml:space="preserve"> [min</w:t>
            </w:r>
            <w:r w:rsidRPr="001075BA">
              <w:rPr>
                <w:rFonts w:ascii="Times New Roman" w:eastAsia="Times New Roman" w:hAnsi="Times New Roman" w:cs="Times New Roman"/>
                <w:vertAlign w:val="superscript"/>
                <w:lang w:val="en-GB"/>
              </w:rPr>
              <w:t>-1</w:t>
            </w:r>
            <w:r w:rsidRPr="001075BA">
              <w:rPr>
                <w:rFonts w:ascii="Times New Roman" w:eastAsia="Times New Roman" w:hAnsi="Times New Roman" w:cs="Times New Roman"/>
                <w:lang w:val="en-GB"/>
              </w:rPr>
              <w:t>]</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9ADC6"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R</w:t>
            </w:r>
            <w:r w:rsidRPr="001075BA">
              <w:rPr>
                <w:rFonts w:ascii="Times New Roman" w:eastAsia="Times New Roman" w:hAnsi="Times New Roman" w:cs="Times New Roman"/>
                <w:vertAlign w:val="superscript"/>
                <w:lang w:val="en-GB"/>
              </w:rPr>
              <w:t>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C6F40" w14:textId="77777777" w:rsidR="007479F4" w:rsidRPr="001075BA" w:rsidRDefault="007479F4" w:rsidP="00346C21">
            <w:pPr>
              <w:spacing w:after="0" w:line="240" w:lineRule="auto"/>
              <w:jc w:val="center"/>
              <w:rPr>
                <w:rFonts w:ascii="Times New Roman" w:eastAsia="Times New Roman" w:hAnsi="Times New Roman" w:cs="Times New Roman"/>
                <w:i/>
                <w:iCs/>
                <w:lang w:val="en-GB"/>
              </w:rPr>
            </w:pPr>
            <w:proofErr w:type="spellStart"/>
            <w:r w:rsidRPr="001075BA">
              <w:rPr>
                <w:rFonts w:ascii="Times New Roman" w:eastAsia="Times New Roman" w:hAnsi="Times New Roman" w:cs="Times New Roman"/>
                <w:i/>
                <w:iCs/>
                <w:lang w:val="en-GB"/>
              </w:rPr>
              <w:t>k</w:t>
            </w:r>
            <w:r w:rsidRPr="001075BA">
              <w:rPr>
                <w:rFonts w:ascii="Times New Roman" w:eastAsia="Times New Roman" w:hAnsi="Times New Roman" w:cs="Times New Roman"/>
                <w:i/>
                <w:iCs/>
                <w:vertAlign w:val="subscript"/>
                <w:lang w:val="en-GB"/>
              </w:rPr>
              <w:t>ist</w:t>
            </w:r>
            <w:proofErr w:type="spellEnd"/>
            <w:r w:rsidRPr="001075BA">
              <w:rPr>
                <w:rFonts w:ascii="Times New Roman" w:eastAsia="Times New Roman" w:hAnsi="Times New Roman" w:cs="Times New Roman"/>
                <w:i/>
                <w:iCs/>
                <w:lang w:val="en-GB"/>
              </w:rPr>
              <w:t xml:space="preserve"> </w:t>
            </w:r>
            <w:r w:rsidRPr="001075BA">
              <w:rPr>
                <w:rFonts w:ascii="Times New Roman" w:eastAsia="Times New Roman" w:hAnsi="Times New Roman" w:cs="Times New Roman"/>
                <w:lang w:val="en-GB"/>
              </w:rPr>
              <w:t>[mg g</w:t>
            </w:r>
            <w:r w:rsidRPr="001075BA">
              <w:rPr>
                <w:rFonts w:ascii="Times New Roman" w:eastAsia="Times New Roman" w:hAnsi="Times New Roman" w:cs="Times New Roman"/>
                <w:vertAlign w:val="superscript"/>
                <w:lang w:val="en-GB"/>
              </w:rPr>
              <w:t>-1</w:t>
            </w:r>
            <w:r w:rsidRPr="001075BA">
              <w:rPr>
                <w:rFonts w:ascii="Times New Roman" w:eastAsia="Times New Roman" w:hAnsi="Times New Roman" w:cs="Times New Roman"/>
                <w:lang w:val="en-GB"/>
              </w:rPr>
              <w:t xml:space="preserve"> s</w:t>
            </w:r>
            <w:r w:rsidRPr="001075BA">
              <w:rPr>
                <w:rFonts w:ascii="Times New Roman" w:eastAsia="Times New Roman" w:hAnsi="Times New Roman" w:cs="Times New Roman"/>
                <w:vertAlign w:val="superscript"/>
                <w:lang w:val="en-GB"/>
              </w:rPr>
              <w:t>-0.5</w:t>
            </w:r>
            <w:r w:rsidRPr="001075BA">
              <w:rPr>
                <w:rFonts w:ascii="Times New Roman" w:eastAsia="Times New Roman" w:hAnsi="Times New Roman" w:cs="Times New Roman"/>
                <w:lang w:val="en-GB"/>
              </w:rPr>
              <w:t>]</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4E0C9"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R</w:t>
            </w:r>
            <w:r w:rsidRPr="001075BA">
              <w:rPr>
                <w:rFonts w:ascii="Times New Roman" w:eastAsia="Times New Roman" w:hAnsi="Times New Roman" w:cs="Times New Roman"/>
                <w:vertAlign w:val="superscript"/>
                <w:lang w:val="en-GB"/>
              </w:rPr>
              <w:t>2</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066A5"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i/>
                <w:iCs/>
                <w:lang w:val="en-GB"/>
              </w:rPr>
              <w:t>K</w:t>
            </w:r>
            <w:r w:rsidRPr="001075BA">
              <w:rPr>
                <w:rFonts w:ascii="Times New Roman" w:eastAsia="Times New Roman" w:hAnsi="Times New Roman" w:cs="Times New Roman"/>
                <w:lang w:val="en-GB"/>
              </w:rPr>
              <w:t xml:space="preserve"> [min</w:t>
            </w:r>
            <w:r w:rsidRPr="001075BA">
              <w:rPr>
                <w:rFonts w:ascii="Times New Roman" w:eastAsia="Times New Roman" w:hAnsi="Times New Roman" w:cs="Times New Roman"/>
                <w:vertAlign w:val="superscript"/>
                <w:lang w:val="en-GB"/>
              </w:rPr>
              <w:t>-1</w:t>
            </w:r>
            <w:r w:rsidRPr="001075BA">
              <w:rPr>
                <w:rFonts w:ascii="Times New Roman" w:eastAsia="Times New Roman" w:hAnsi="Times New Roman" w:cs="Times New Roman"/>
                <w:lang w:val="en-GB"/>
              </w:rPr>
              <w:t>]</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EA9CC"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R</w:t>
            </w:r>
            <w:r w:rsidRPr="001075BA">
              <w:rPr>
                <w:rFonts w:ascii="Times New Roman" w:eastAsia="Times New Roman" w:hAnsi="Times New Roman" w:cs="Times New Roman"/>
                <w:vertAlign w:val="superscript"/>
                <w:lang w:val="en-GB"/>
              </w:rPr>
              <w:t>2</w:t>
            </w:r>
          </w:p>
        </w:tc>
      </w:tr>
      <w:tr w:rsidR="00346C21" w:rsidRPr="001075BA" w14:paraId="1ECAB187" w14:textId="77777777" w:rsidTr="00BC54F8">
        <w:trPr>
          <w:trHeight w:val="300"/>
          <w:jc w:val="center"/>
        </w:trPr>
        <w:tc>
          <w:tcPr>
            <w:tcW w:w="18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87D35"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82A33"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303</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7DF7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0.0210</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49226"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7A54E"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3.19</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D7195"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0.95</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B4F93"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0.017</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88A34"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r>
      <w:tr w:rsidR="00346C21" w:rsidRPr="001075BA" w14:paraId="326E5B72" w14:textId="77777777" w:rsidTr="00BC54F8">
        <w:trPr>
          <w:trHeight w:val="300"/>
          <w:jc w:val="center"/>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61094A34" w14:textId="77777777" w:rsidR="007479F4" w:rsidRPr="001075BA" w:rsidRDefault="007479F4" w:rsidP="00346C21">
            <w:pPr>
              <w:spacing w:after="0" w:line="240" w:lineRule="auto"/>
              <w:jc w:val="center"/>
              <w:rPr>
                <w:rFonts w:ascii="Times New Roman" w:eastAsia="Times New Roman" w:hAnsi="Times New Roman" w:cs="Times New Roman"/>
                <w:lang w:val="en-GB"/>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095A4"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313</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98BD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0.0194</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7B4F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54D9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3.25</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EF4CC"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0.95</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2068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0.015</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07F3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r>
      <w:tr w:rsidR="00346C21" w:rsidRPr="001075BA" w14:paraId="130E7ECC" w14:textId="77777777" w:rsidTr="00BC54F8">
        <w:trPr>
          <w:trHeight w:val="300"/>
          <w:jc w:val="center"/>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4EB6E9CC" w14:textId="77777777" w:rsidR="007479F4" w:rsidRPr="001075BA" w:rsidRDefault="007479F4" w:rsidP="00346C21">
            <w:pPr>
              <w:spacing w:after="0" w:line="240" w:lineRule="auto"/>
              <w:jc w:val="center"/>
              <w:rPr>
                <w:rFonts w:ascii="Times New Roman" w:eastAsia="Times New Roman" w:hAnsi="Times New Roman" w:cs="Times New Roman"/>
                <w:lang w:val="en-GB"/>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4189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323</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03EC3"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0.0281</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47383"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05D0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3.33</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DB9D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0.92</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0823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0.025</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16363"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0.98</w:t>
            </w:r>
          </w:p>
        </w:tc>
      </w:tr>
      <w:tr w:rsidR="00346C21" w:rsidRPr="001075BA" w14:paraId="7473FB48" w14:textId="77777777" w:rsidTr="00BC54F8">
        <w:trPr>
          <w:trHeight w:val="300"/>
          <w:jc w:val="center"/>
        </w:trPr>
        <w:tc>
          <w:tcPr>
            <w:tcW w:w="18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3039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CB90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303</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22158"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0.0211</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61FD5"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019AC"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6.92</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5DFE3"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0.91</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AB97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0.017</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903C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0.94</w:t>
            </w:r>
          </w:p>
        </w:tc>
      </w:tr>
      <w:tr w:rsidR="00346C21" w:rsidRPr="001075BA" w14:paraId="06DB50D7" w14:textId="77777777" w:rsidTr="00BC54F8">
        <w:trPr>
          <w:trHeight w:val="300"/>
          <w:jc w:val="center"/>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207BE641" w14:textId="77777777" w:rsidR="007479F4" w:rsidRPr="001075BA" w:rsidRDefault="007479F4" w:rsidP="00346C21">
            <w:pPr>
              <w:spacing w:after="0" w:line="240" w:lineRule="auto"/>
              <w:jc w:val="center"/>
              <w:rPr>
                <w:rFonts w:ascii="Times New Roman" w:eastAsia="Times New Roman" w:hAnsi="Times New Roman" w:cs="Times New Roman"/>
                <w:lang w:val="en-GB"/>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D111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313</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4C7FD"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0.0199</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916B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0.87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85FB6"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6.87</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CBA09"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0.87</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9BAD8"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0.016</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1C68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0.89</w:t>
            </w:r>
          </w:p>
        </w:tc>
      </w:tr>
      <w:tr w:rsidR="00346C21" w:rsidRPr="001075BA" w14:paraId="613BBFCD" w14:textId="77777777" w:rsidTr="00BC54F8">
        <w:trPr>
          <w:trHeight w:val="300"/>
          <w:jc w:val="center"/>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26B9095F" w14:textId="77777777" w:rsidR="007479F4" w:rsidRPr="001075BA" w:rsidRDefault="007479F4" w:rsidP="00346C21">
            <w:pPr>
              <w:spacing w:after="0" w:line="240" w:lineRule="auto"/>
              <w:jc w:val="center"/>
              <w:rPr>
                <w:rFonts w:ascii="Times New Roman" w:eastAsia="Times New Roman" w:hAnsi="Times New Roman" w:cs="Times New Roman"/>
                <w:lang w:val="en-GB"/>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93D0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323</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631B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0.0200</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F32D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D723D"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6.99</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460BB"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0.96</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FC638"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0.016</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4158E"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0.96</w:t>
            </w:r>
          </w:p>
        </w:tc>
      </w:tr>
      <w:tr w:rsidR="00346C21" w:rsidRPr="001075BA" w14:paraId="236EBD58" w14:textId="77777777" w:rsidTr="00BC54F8">
        <w:trPr>
          <w:trHeight w:val="300"/>
          <w:jc w:val="center"/>
        </w:trPr>
        <w:tc>
          <w:tcPr>
            <w:tcW w:w="18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A05CC"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538A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303</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1DA31"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0.0231</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21F0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F0743"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11.72</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735D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0.96</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D517E"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0.018</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9632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0.99</w:t>
            </w:r>
          </w:p>
        </w:tc>
      </w:tr>
      <w:tr w:rsidR="00346C21" w:rsidRPr="001075BA" w14:paraId="2AAB6460" w14:textId="77777777" w:rsidTr="00BC54F8">
        <w:trPr>
          <w:trHeight w:val="300"/>
          <w:jc w:val="center"/>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6A62A671" w14:textId="77777777" w:rsidR="007479F4" w:rsidRPr="001075BA" w:rsidRDefault="007479F4" w:rsidP="00346C21">
            <w:pPr>
              <w:spacing w:after="0" w:line="240" w:lineRule="auto"/>
              <w:jc w:val="center"/>
              <w:rPr>
                <w:rFonts w:ascii="Times New Roman" w:eastAsia="Times New Roman" w:hAnsi="Times New Roman" w:cs="Times New Roman"/>
                <w:lang w:val="en-GB"/>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83635"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313</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48472"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0.0263</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9C02F"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EC2D0"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11.94</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4633B"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0.95</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F94B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0.022</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918DC"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0.97</w:t>
            </w:r>
          </w:p>
        </w:tc>
      </w:tr>
      <w:tr w:rsidR="00717D12" w:rsidRPr="001075BA" w14:paraId="242A1FDE" w14:textId="77777777" w:rsidTr="00BC54F8">
        <w:trPr>
          <w:trHeight w:val="300"/>
          <w:jc w:val="center"/>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0C36700C" w14:textId="77777777" w:rsidR="007479F4" w:rsidRPr="001075BA" w:rsidRDefault="007479F4" w:rsidP="00346C21">
            <w:pPr>
              <w:spacing w:after="0" w:line="240" w:lineRule="auto"/>
              <w:jc w:val="center"/>
              <w:rPr>
                <w:rFonts w:ascii="Times New Roman" w:eastAsia="Times New Roman" w:hAnsi="Times New Roman" w:cs="Times New Roman"/>
                <w:lang w:val="en-GB"/>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5468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323</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FEF3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0.0288</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96EC4"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B4837"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13.67</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E5F4A"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0.92</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A76A6"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0.032</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66CD5" w14:textId="77777777" w:rsidR="007479F4" w:rsidRPr="001075BA" w:rsidRDefault="007479F4" w:rsidP="00346C21">
            <w:pPr>
              <w:spacing w:after="0" w:line="240" w:lineRule="auto"/>
              <w:jc w:val="center"/>
              <w:rPr>
                <w:rFonts w:ascii="Times New Roman" w:eastAsia="Times New Roman" w:hAnsi="Times New Roman" w:cs="Times New Roman"/>
                <w:lang w:val="en-GB"/>
              </w:rPr>
            </w:pPr>
            <w:r w:rsidRPr="001075BA">
              <w:rPr>
                <w:rFonts w:ascii="Times New Roman" w:eastAsia="Times New Roman" w:hAnsi="Times New Roman" w:cs="Times New Roman"/>
                <w:lang w:val="en-GB"/>
              </w:rPr>
              <w:t>0.95</w:t>
            </w:r>
          </w:p>
        </w:tc>
      </w:tr>
    </w:tbl>
    <w:p w14:paraId="6CFD071F" w14:textId="5C393056" w:rsidR="00740C97" w:rsidRPr="001075BA" w:rsidRDefault="000D3EB4" w:rsidP="00E129E5">
      <w:pPr>
        <w:pStyle w:val="Rn2"/>
        <w:rPr>
          <w:w w:val="105"/>
          <w:lang w:val="en-GB"/>
        </w:rPr>
      </w:pPr>
      <w:r w:rsidRPr="001075BA">
        <w:rPr>
          <w:w w:val="105"/>
          <w:lang w:val="en-GB"/>
        </w:rPr>
        <w:t xml:space="preserve">3.5. Effect of </w:t>
      </w:r>
      <w:r w:rsidR="00971179">
        <w:rPr>
          <w:w w:val="105"/>
          <w:lang w:val="en-GB"/>
        </w:rPr>
        <w:t>a</w:t>
      </w:r>
      <w:r w:rsidRPr="001075BA">
        <w:rPr>
          <w:w w:val="105"/>
          <w:lang w:val="en-GB"/>
        </w:rPr>
        <w:t xml:space="preserve">dsorption </w:t>
      </w:r>
      <w:r w:rsidR="00971179">
        <w:rPr>
          <w:w w:val="105"/>
          <w:lang w:val="en-GB"/>
        </w:rPr>
        <w:t>t</w:t>
      </w:r>
      <w:r w:rsidRPr="001075BA">
        <w:rPr>
          <w:w w:val="105"/>
          <w:lang w:val="en-GB"/>
        </w:rPr>
        <w:t>hermodynamics</w:t>
      </w:r>
    </w:p>
    <w:p w14:paraId="420724C7" w14:textId="23429D87" w:rsidR="00265AD2" w:rsidRPr="001075BA" w:rsidRDefault="00265AD2" w:rsidP="00717D12">
      <w:pPr>
        <w:spacing w:after="0" w:line="240" w:lineRule="auto"/>
        <w:ind w:firstLine="284"/>
        <w:jc w:val="both"/>
        <w:rPr>
          <w:rFonts w:ascii="Times New Roman" w:hAnsi="Times New Roman" w:cs="Times New Roman"/>
          <w:lang w:val="en-GB"/>
        </w:rPr>
      </w:pPr>
      <w:r w:rsidRPr="001075BA">
        <w:rPr>
          <w:rFonts w:ascii="Times New Roman" w:hAnsi="Times New Roman" w:cs="Times New Roman"/>
          <w:lang w:val="en-GB"/>
        </w:rPr>
        <w:t>The standard enthalpy alteration for a typical chemical reaction is &gt;200 kJ mol</w:t>
      </w:r>
      <w:r w:rsidRPr="001075BA">
        <w:rPr>
          <w:rFonts w:ascii="Times New Roman" w:hAnsi="Times New Roman" w:cs="Times New Roman"/>
          <w:vertAlign w:val="superscript"/>
          <w:lang w:val="en-GB"/>
        </w:rPr>
        <w:t>-1</w:t>
      </w:r>
      <w:r w:rsidRPr="001075BA">
        <w:rPr>
          <w:rFonts w:ascii="Times New Roman" w:hAnsi="Times New Roman" w:cs="Times New Roman"/>
          <w:lang w:val="en-GB"/>
        </w:rPr>
        <w:t xml:space="preserve">; the positive values of </w:t>
      </w:r>
      <w:r w:rsidRPr="001075BA">
        <w:rPr>
          <w:rFonts w:ascii="Times New Roman" w:hAnsi="Times New Roman" w:cs="Times New Roman"/>
          <w:i/>
          <w:lang w:val="en-GB"/>
        </w:rPr>
        <w:t>∆H</w:t>
      </w:r>
      <w:r w:rsidRPr="001075BA">
        <w:rPr>
          <w:rFonts w:ascii="Times New Roman" w:hAnsi="Times New Roman" w:cs="Times New Roman"/>
          <w:i/>
          <w:vertAlign w:val="superscript"/>
          <w:lang w:val="en-GB"/>
        </w:rPr>
        <w:t>o</w:t>
      </w:r>
      <w:r w:rsidRPr="001075BA">
        <w:rPr>
          <w:rFonts w:ascii="Times New Roman" w:hAnsi="Times New Roman" w:cs="Times New Roman"/>
          <w:lang w:val="en-GB"/>
        </w:rPr>
        <w:t xml:space="preserve"> show that the adsorption method is endothermic and, therefore, physical in this instance. Additionally, as temperature rises, the adsorption capacity rises as well. The positive value of So shows increased randomisation at the solid solution's surface, which also shows that BG has a significant affinity for the adsorbent.</w:t>
      </w:r>
    </w:p>
    <w:p w14:paraId="1E6D708B" w14:textId="159AAE7F" w:rsidR="00717D12" w:rsidRPr="001075BA" w:rsidRDefault="00265AD2" w:rsidP="00717D12">
      <w:pPr>
        <w:widowControl w:val="0"/>
        <w:overflowPunct w:val="0"/>
        <w:autoSpaceDE w:val="0"/>
        <w:autoSpaceDN w:val="0"/>
        <w:adjustRightInd w:val="0"/>
        <w:spacing w:after="0" w:line="240" w:lineRule="auto"/>
        <w:ind w:firstLine="284"/>
        <w:jc w:val="both"/>
        <w:rPr>
          <w:rFonts w:ascii="Times New Roman" w:hAnsi="Times New Roman" w:cs="Times New Roman"/>
          <w:lang w:val="en-GB"/>
        </w:rPr>
      </w:pPr>
      <w:r w:rsidRPr="001075BA">
        <w:rPr>
          <w:rFonts w:ascii="Times New Roman" w:hAnsi="Times New Roman" w:cs="Times New Roman"/>
          <w:lang w:val="en-GB"/>
        </w:rPr>
        <w:t xml:space="preserve">The negative Go values, </w:t>
      </w:r>
      <w:r w:rsidRPr="00971179">
        <w:rPr>
          <w:rFonts w:ascii="Times New Roman" w:hAnsi="Times New Roman" w:cs="Times New Roman"/>
          <w:lang w:val="en-GB"/>
        </w:rPr>
        <w:t>which</w:t>
      </w:r>
      <w:r w:rsidR="00971179">
        <w:rPr>
          <w:rFonts w:ascii="Times New Roman" w:hAnsi="Times New Roman" w:cs="Times New Roman"/>
          <w:lang w:val="en-GB"/>
        </w:rPr>
        <w:t xml:space="preserve"> </w:t>
      </w:r>
      <w:r w:rsidRPr="001075BA">
        <w:rPr>
          <w:rFonts w:ascii="Times New Roman" w:hAnsi="Times New Roman" w:cs="Times New Roman"/>
          <w:lang w:val="en-GB"/>
        </w:rPr>
        <w:t xml:space="preserve">show a decline in Gibbs free energy, confirm the </w:t>
      </w:r>
      <w:r w:rsidR="00971179">
        <w:rPr>
          <w:rFonts w:ascii="Times New Roman" w:hAnsi="Times New Roman" w:cs="Times New Roman"/>
          <w:lang w:val="en-GB"/>
        </w:rPr>
        <w:t>viability and spontaneity of the adsorption process</w:t>
      </w:r>
      <w:r w:rsidRPr="001075BA">
        <w:rPr>
          <w:rFonts w:ascii="Times New Roman" w:hAnsi="Times New Roman" w:cs="Times New Roman"/>
          <w:lang w:val="en-GB"/>
        </w:rPr>
        <w:t xml:space="preserve">. The </w:t>
      </w:r>
      <w:r w:rsidRPr="001075BA">
        <w:rPr>
          <w:rFonts w:ascii="Times New Roman" w:hAnsi="Times New Roman" w:cs="Times New Roman"/>
          <w:i/>
          <w:lang w:val="en-GB"/>
        </w:rPr>
        <w:t>∆G</w:t>
      </w:r>
      <w:r w:rsidRPr="001075BA">
        <w:rPr>
          <w:rFonts w:ascii="Times New Roman" w:hAnsi="Times New Roman" w:cs="Times New Roman"/>
          <w:i/>
          <w:vertAlign w:val="superscript"/>
          <w:lang w:val="en-GB"/>
        </w:rPr>
        <w:t>o</w:t>
      </w:r>
      <w:r w:rsidRPr="001075BA">
        <w:rPr>
          <w:rFonts w:ascii="Times New Roman" w:hAnsi="Times New Roman" w:cs="Times New Roman"/>
          <w:lang w:val="en-GB"/>
        </w:rPr>
        <w:t xml:space="preserve"> value is negative for all temperatures, demonstrating that the adsorption of BG onto NIFSS proceeds </w:t>
      </w:r>
      <w:r w:rsidR="00971179">
        <w:rPr>
          <w:rFonts w:ascii="Times New Roman" w:hAnsi="Times New Roman" w:cs="Times New Roman"/>
          <w:lang w:val="en-GB"/>
        </w:rPr>
        <w:t>naturally and advantageously</w:t>
      </w:r>
      <w:r w:rsidRPr="001075BA">
        <w:rPr>
          <w:rFonts w:ascii="Times New Roman" w:hAnsi="Times New Roman" w:cs="Times New Roman"/>
          <w:lang w:val="en-GB"/>
        </w:rPr>
        <w:t xml:space="preserve">. Interestingly, the </w:t>
      </w:r>
      <w:r w:rsidRPr="001075BA">
        <w:rPr>
          <w:rFonts w:ascii="Times New Roman" w:hAnsi="Times New Roman" w:cs="Times New Roman"/>
          <w:i/>
          <w:lang w:val="en-GB"/>
        </w:rPr>
        <w:t>∆G</w:t>
      </w:r>
      <w:r w:rsidRPr="001075BA">
        <w:rPr>
          <w:rFonts w:ascii="Times New Roman" w:hAnsi="Times New Roman" w:cs="Times New Roman"/>
          <w:i/>
          <w:vertAlign w:val="superscript"/>
          <w:lang w:val="en-GB"/>
        </w:rPr>
        <w:t>o</w:t>
      </w:r>
      <w:r w:rsidRPr="001075BA">
        <w:rPr>
          <w:rFonts w:ascii="Times New Roman" w:hAnsi="Times New Roman" w:cs="Times New Roman"/>
          <w:lang w:val="en-GB"/>
        </w:rPr>
        <w:t xml:space="preserve"> value lowers as the temperature rises, indicating a greater adsorption capability. Table 6 provides a summary of the thermodynamic variables.</w:t>
      </w:r>
    </w:p>
    <w:p w14:paraId="318E0B8B" w14:textId="77777777" w:rsidR="00717D12" w:rsidRDefault="00717D12" w:rsidP="00717D12">
      <w:pPr>
        <w:widowControl w:val="0"/>
        <w:overflowPunct w:val="0"/>
        <w:autoSpaceDE w:val="0"/>
        <w:autoSpaceDN w:val="0"/>
        <w:adjustRightInd w:val="0"/>
        <w:spacing w:after="0" w:line="240" w:lineRule="auto"/>
        <w:ind w:firstLine="284"/>
        <w:jc w:val="both"/>
        <w:rPr>
          <w:rFonts w:ascii="Times New Roman" w:hAnsi="Times New Roman" w:cs="Times New Roman"/>
          <w:lang w:val="en-GB"/>
        </w:rPr>
      </w:pPr>
    </w:p>
    <w:p w14:paraId="1ED53F79" w14:textId="77777777" w:rsidR="0011490D" w:rsidRPr="001075BA" w:rsidRDefault="0011490D" w:rsidP="00717D12">
      <w:pPr>
        <w:widowControl w:val="0"/>
        <w:overflowPunct w:val="0"/>
        <w:autoSpaceDE w:val="0"/>
        <w:autoSpaceDN w:val="0"/>
        <w:adjustRightInd w:val="0"/>
        <w:spacing w:after="0" w:line="240" w:lineRule="auto"/>
        <w:ind w:firstLine="284"/>
        <w:jc w:val="both"/>
        <w:rPr>
          <w:rFonts w:ascii="Times New Roman" w:hAnsi="Times New Roman" w:cs="Times New Roman"/>
          <w:lang w:val="en-GB"/>
        </w:rPr>
      </w:pPr>
    </w:p>
    <w:p w14:paraId="271AAB27" w14:textId="315D9582" w:rsidR="00E970AF" w:rsidRPr="001075BA" w:rsidRDefault="002D2B9B" w:rsidP="00717D12">
      <w:pPr>
        <w:pStyle w:val="Rtab"/>
        <w:rPr>
          <w:lang w:val="en-GB" w:eastAsia="en-IN"/>
        </w:rPr>
      </w:pPr>
      <w:r w:rsidRPr="001075BA">
        <w:rPr>
          <w:b/>
          <w:bCs/>
          <w:lang w:val="en-GB" w:eastAsia="en-IN"/>
        </w:rPr>
        <w:lastRenderedPageBreak/>
        <w:t>Table 6</w:t>
      </w:r>
      <w:r w:rsidR="00717D12" w:rsidRPr="001075BA">
        <w:rPr>
          <w:b/>
          <w:bCs/>
          <w:lang w:val="en-GB" w:eastAsia="en-IN"/>
        </w:rPr>
        <w:t>.</w:t>
      </w:r>
      <w:r w:rsidR="00E970AF" w:rsidRPr="001075BA">
        <w:rPr>
          <w:lang w:val="en-GB" w:eastAsia="en-IN"/>
        </w:rPr>
        <w:t xml:space="preserve"> Calculated thermodynamic parameters</w:t>
      </w:r>
    </w:p>
    <w:tbl>
      <w:tblPr>
        <w:tblW w:w="8756"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05"/>
        <w:gridCol w:w="1514"/>
        <w:gridCol w:w="1515"/>
        <w:gridCol w:w="1140"/>
        <w:gridCol w:w="1141"/>
        <w:gridCol w:w="1141"/>
      </w:tblGrid>
      <w:tr w:rsidR="00346C21" w:rsidRPr="001075BA" w14:paraId="5C30F26A" w14:textId="77777777" w:rsidTr="003549BC">
        <w:trPr>
          <w:trHeight w:val="604"/>
          <w:jc w:val="center"/>
        </w:trPr>
        <w:tc>
          <w:tcPr>
            <w:tcW w:w="2305" w:type="dxa"/>
            <w:vMerge w:val="restart"/>
            <w:tcBorders>
              <w:left w:val="single" w:sz="4" w:space="0" w:color="auto"/>
            </w:tcBorders>
            <w:shd w:val="clear" w:color="auto" w:fill="auto"/>
            <w:noWrap/>
            <w:vAlign w:val="center"/>
            <w:hideMark/>
          </w:tcPr>
          <w:p w14:paraId="4524CE3C" w14:textId="4E3789C9" w:rsidR="00467F0C" w:rsidRPr="001075BA" w:rsidRDefault="0017174C" w:rsidP="00346C21">
            <w:pPr>
              <w:spacing w:after="0" w:line="240" w:lineRule="auto"/>
              <w:jc w:val="center"/>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Concentration (mg L</w:t>
            </w:r>
            <w:r w:rsidRPr="001075BA">
              <w:rPr>
                <w:rFonts w:ascii="Times New Roman" w:eastAsia="Times New Roman" w:hAnsi="Times New Roman" w:cs="Times New Roman"/>
                <w:bCs/>
                <w:vertAlign w:val="superscript"/>
                <w:lang w:val="en-GB"/>
              </w:rPr>
              <w:t>-1</w:t>
            </w:r>
            <w:r w:rsidRPr="001075BA">
              <w:rPr>
                <w:rFonts w:ascii="Times New Roman" w:eastAsia="Times New Roman" w:hAnsi="Times New Roman" w:cs="Times New Roman"/>
                <w:bCs/>
                <w:lang w:val="en-GB"/>
              </w:rPr>
              <w:t>)</w:t>
            </w:r>
          </w:p>
        </w:tc>
        <w:tc>
          <w:tcPr>
            <w:tcW w:w="1514" w:type="dxa"/>
            <w:vMerge w:val="restart"/>
            <w:shd w:val="clear" w:color="auto" w:fill="auto"/>
            <w:noWrap/>
            <w:vAlign w:val="center"/>
            <w:hideMark/>
          </w:tcPr>
          <w:p w14:paraId="3008B02F"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∆H</w:t>
            </w:r>
            <w:r w:rsidRPr="001075BA">
              <w:rPr>
                <w:rFonts w:ascii="Times New Roman" w:eastAsia="Times New Roman" w:hAnsi="Times New Roman" w:cs="Times New Roman"/>
                <w:bCs/>
                <w:vertAlign w:val="superscript"/>
                <w:lang w:val="en-GB"/>
              </w:rPr>
              <w:t>0</w:t>
            </w:r>
          </w:p>
          <w:p w14:paraId="585BD37D"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(kJ</w:t>
            </w:r>
            <w:r w:rsidR="006F227E" w:rsidRPr="001075BA">
              <w:rPr>
                <w:rFonts w:ascii="Times New Roman" w:eastAsia="Times New Roman" w:hAnsi="Times New Roman" w:cs="Times New Roman"/>
                <w:bCs/>
                <w:lang w:val="en-GB"/>
              </w:rPr>
              <w:t xml:space="preserve"> </w:t>
            </w:r>
            <w:r w:rsidRPr="001075BA">
              <w:rPr>
                <w:rFonts w:ascii="Times New Roman" w:eastAsia="Times New Roman" w:hAnsi="Times New Roman" w:cs="Times New Roman"/>
                <w:bCs/>
                <w:lang w:val="en-GB"/>
              </w:rPr>
              <w:t>mol</w:t>
            </w:r>
            <w:r w:rsidRPr="001075BA">
              <w:rPr>
                <w:rFonts w:ascii="Times New Roman" w:eastAsia="Times New Roman" w:hAnsi="Times New Roman" w:cs="Times New Roman"/>
                <w:bCs/>
                <w:vertAlign w:val="superscript"/>
                <w:lang w:val="en-GB"/>
              </w:rPr>
              <w:t>-1</w:t>
            </w:r>
            <w:r w:rsidRPr="001075BA">
              <w:rPr>
                <w:rFonts w:ascii="Times New Roman" w:eastAsia="Times New Roman" w:hAnsi="Times New Roman" w:cs="Times New Roman"/>
                <w:bCs/>
                <w:lang w:val="en-GB"/>
              </w:rPr>
              <w:t>)</w:t>
            </w:r>
          </w:p>
        </w:tc>
        <w:tc>
          <w:tcPr>
            <w:tcW w:w="1515" w:type="dxa"/>
            <w:vMerge w:val="restart"/>
            <w:shd w:val="clear" w:color="auto" w:fill="auto"/>
            <w:noWrap/>
            <w:vAlign w:val="center"/>
            <w:hideMark/>
          </w:tcPr>
          <w:p w14:paraId="55CD4923"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∆S</w:t>
            </w:r>
            <w:r w:rsidRPr="001075BA">
              <w:rPr>
                <w:rFonts w:ascii="Times New Roman" w:eastAsia="Times New Roman" w:hAnsi="Times New Roman" w:cs="Times New Roman"/>
                <w:bCs/>
                <w:vertAlign w:val="superscript"/>
                <w:lang w:val="en-GB"/>
              </w:rPr>
              <w:t>0</w:t>
            </w:r>
          </w:p>
          <w:p w14:paraId="3F7B9EAE"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(J</w:t>
            </w:r>
            <w:r w:rsidR="002D2B9B" w:rsidRPr="001075BA">
              <w:rPr>
                <w:rFonts w:ascii="Times New Roman" w:eastAsia="Times New Roman" w:hAnsi="Times New Roman" w:cs="Times New Roman"/>
                <w:bCs/>
                <w:lang w:val="en-GB"/>
              </w:rPr>
              <w:t xml:space="preserve"> </w:t>
            </w:r>
            <w:r w:rsidRPr="001075BA">
              <w:rPr>
                <w:rFonts w:ascii="Times New Roman" w:eastAsia="Times New Roman" w:hAnsi="Times New Roman" w:cs="Times New Roman"/>
                <w:bCs/>
                <w:lang w:val="en-GB"/>
              </w:rPr>
              <w:t>mol</w:t>
            </w:r>
            <w:r w:rsidRPr="001075BA">
              <w:rPr>
                <w:rFonts w:ascii="Times New Roman" w:eastAsia="Times New Roman" w:hAnsi="Times New Roman" w:cs="Times New Roman"/>
                <w:bCs/>
                <w:vertAlign w:val="superscript"/>
                <w:lang w:val="en-GB"/>
              </w:rPr>
              <w:t>-1</w:t>
            </w:r>
            <w:r w:rsidR="006F227E" w:rsidRPr="00DD3DB7">
              <w:rPr>
                <w:rFonts w:ascii="Times New Roman" w:eastAsia="Times New Roman" w:hAnsi="Times New Roman" w:cs="Times New Roman"/>
                <w:bCs/>
                <w:lang w:val="en-GB"/>
              </w:rPr>
              <w:t xml:space="preserve"> </w:t>
            </w:r>
            <w:r w:rsidRPr="001075BA">
              <w:rPr>
                <w:rFonts w:ascii="Times New Roman" w:eastAsia="Times New Roman" w:hAnsi="Times New Roman" w:cs="Times New Roman"/>
                <w:bCs/>
                <w:lang w:val="en-GB"/>
              </w:rPr>
              <w:t>K</w:t>
            </w:r>
            <w:r w:rsidRPr="001075BA">
              <w:rPr>
                <w:rFonts w:ascii="Times New Roman" w:eastAsia="Times New Roman" w:hAnsi="Times New Roman" w:cs="Times New Roman"/>
                <w:bCs/>
                <w:vertAlign w:val="superscript"/>
                <w:lang w:val="en-GB"/>
              </w:rPr>
              <w:t>-1</w:t>
            </w:r>
            <w:r w:rsidRPr="001075BA">
              <w:rPr>
                <w:rFonts w:ascii="Times New Roman" w:eastAsia="Times New Roman" w:hAnsi="Times New Roman" w:cs="Times New Roman"/>
                <w:bCs/>
                <w:lang w:val="en-GB"/>
              </w:rPr>
              <w:t>)</w:t>
            </w:r>
          </w:p>
        </w:tc>
        <w:tc>
          <w:tcPr>
            <w:tcW w:w="3422" w:type="dxa"/>
            <w:gridSpan w:val="3"/>
            <w:tcBorders>
              <w:right w:val="single" w:sz="4" w:space="0" w:color="auto"/>
            </w:tcBorders>
            <w:shd w:val="clear" w:color="auto" w:fill="auto"/>
            <w:noWrap/>
            <w:vAlign w:val="center"/>
            <w:hideMark/>
          </w:tcPr>
          <w:p w14:paraId="04834052"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∆G</w:t>
            </w:r>
            <w:r w:rsidRPr="001075BA">
              <w:rPr>
                <w:rFonts w:ascii="Times New Roman" w:eastAsia="Times New Roman" w:hAnsi="Times New Roman" w:cs="Times New Roman"/>
                <w:bCs/>
                <w:vertAlign w:val="superscript"/>
                <w:lang w:val="en-GB"/>
              </w:rPr>
              <w:t>0</w:t>
            </w:r>
          </w:p>
          <w:p w14:paraId="3A474BBA"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(kJ</w:t>
            </w:r>
            <w:r w:rsidR="006F227E" w:rsidRPr="001075BA">
              <w:rPr>
                <w:rFonts w:ascii="Times New Roman" w:eastAsia="Times New Roman" w:hAnsi="Times New Roman" w:cs="Times New Roman"/>
                <w:bCs/>
                <w:lang w:val="en-GB"/>
              </w:rPr>
              <w:t xml:space="preserve"> </w:t>
            </w:r>
            <w:r w:rsidRPr="001075BA">
              <w:rPr>
                <w:rFonts w:ascii="Times New Roman" w:eastAsia="Times New Roman" w:hAnsi="Times New Roman" w:cs="Times New Roman"/>
                <w:bCs/>
                <w:lang w:val="en-GB"/>
              </w:rPr>
              <w:t>mol</w:t>
            </w:r>
            <w:r w:rsidRPr="001075BA">
              <w:rPr>
                <w:rFonts w:ascii="Times New Roman" w:eastAsia="Times New Roman" w:hAnsi="Times New Roman" w:cs="Times New Roman"/>
                <w:bCs/>
                <w:vertAlign w:val="superscript"/>
                <w:lang w:val="en-GB"/>
              </w:rPr>
              <w:t>-1</w:t>
            </w:r>
            <w:r w:rsidRPr="001075BA">
              <w:rPr>
                <w:rFonts w:ascii="Times New Roman" w:eastAsia="Times New Roman" w:hAnsi="Times New Roman" w:cs="Times New Roman"/>
                <w:bCs/>
                <w:lang w:val="en-GB"/>
              </w:rPr>
              <w:t>)</w:t>
            </w:r>
          </w:p>
        </w:tc>
      </w:tr>
      <w:tr w:rsidR="00346C21" w:rsidRPr="001075BA" w14:paraId="1736EB2C" w14:textId="77777777" w:rsidTr="00DD3DB7">
        <w:trPr>
          <w:trHeight w:val="340"/>
          <w:jc w:val="center"/>
        </w:trPr>
        <w:tc>
          <w:tcPr>
            <w:tcW w:w="2305" w:type="dxa"/>
            <w:vMerge/>
            <w:tcBorders>
              <w:left w:val="single" w:sz="4" w:space="0" w:color="auto"/>
            </w:tcBorders>
            <w:shd w:val="clear" w:color="auto" w:fill="auto"/>
            <w:noWrap/>
            <w:vAlign w:val="center"/>
            <w:hideMark/>
          </w:tcPr>
          <w:p w14:paraId="5CD0B029"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p>
        </w:tc>
        <w:tc>
          <w:tcPr>
            <w:tcW w:w="1514" w:type="dxa"/>
            <w:vMerge/>
            <w:shd w:val="clear" w:color="auto" w:fill="auto"/>
            <w:noWrap/>
            <w:vAlign w:val="center"/>
            <w:hideMark/>
          </w:tcPr>
          <w:p w14:paraId="4D030510"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p>
        </w:tc>
        <w:tc>
          <w:tcPr>
            <w:tcW w:w="1515" w:type="dxa"/>
            <w:vMerge/>
            <w:shd w:val="clear" w:color="auto" w:fill="auto"/>
            <w:noWrap/>
            <w:vAlign w:val="center"/>
            <w:hideMark/>
          </w:tcPr>
          <w:p w14:paraId="07E60D6F"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p>
        </w:tc>
        <w:tc>
          <w:tcPr>
            <w:tcW w:w="1140" w:type="dxa"/>
            <w:shd w:val="clear" w:color="auto" w:fill="auto"/>
            <w:noWrap/>
            <w:vAlign w:val="center"/>
            <w:hideMark/>
          </w:tcPr>
          <w:p w14:paraId="1F9E0DE7"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303 K</w:t>
            </w:r>
          </w:p>
        </w:tc>
        <w:tc>
          <w:tcPr>
            <w:tcW w:w="1141" w:type="dxa"/>
            <w:shd w:val="clear" w:color="auto" w:fill="auto"/>
            <w:noWrap/>
            <w:vAlign w:val="center"/>
            <w:hideMark/>
          </w:tcPr>
          <w:p w14:paraId="0D8821B3"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313 K</w:t>
            </w:r>
          </w:p>
        </w:tc>
        <w:tc>
          <w:tcPr>
            <w:tcW w:w="1141" w:type="dxa"/>
            <w:tcBorders>
              <w:right w:val="single" w:sz="4" w:space="0" w:color="auto"/>
            </w:tcBorders>
            <w:shd w:val="clear" w:color="auto" w:fill="auto"/>
            <w:noWrap/>
            <w:vAlign w:val="center"/>
            <w:hideMark/>
          </w:tcPr>
          <w:p w14:paraId="3A818E25" w14:textId="77777777" w:rsidR="00467F0C" w:rsidRPr="001075BA" w:rsidRDefault="00467F0C" w:rsidP="00346C21">
            <w:pPr>
              <w:spacing w:after="0" w:line="240" w:lineRule="auto"/>
              <w:jc w:val="center"/>
              <w:rPr>
                <w:rFonts w:ascii="Times New Roman" w:eastAsia="Times New Roman" w:hAnsi="Times New Roman" w:cs="Times New Roman"/>
                <w:bCs/>
                <w:lang w:val="en-GB"/>
              </w:rPr>
            </w:pPr>
            <w:r w:rsidRPr="001075BA">
              <w:rPr>
                <w:rFonts w:ascii="Times New Roman" w:eastAsia="Times New Roman" w:hAnsi="Times New Roman" w:cs="Times New Roman"/>
                <w:bCs/>
                <w:lang w:val="en-GB"/>
              </w:rPr>
              <w:t>323 K</w:t>
            </w:r>
          </w:p>
        </w:tc>
      </w:tr>
      <w:tr w:rsidR="00346C21" w:rsidRPr="001075BA" w14:paraId="4C6961CF" w14:textId="77777777" w:rsidTr="00DD3DB7">
        <w:trPr>
          <w:trHeight w:val="283"/>
          <w:jc w:val="center"/>
        </w:trPr>
        <w:tc>
          <w:tcPr>
            <w:tcW w:w="2305" w:type="dxa"/>
            <w:tcBorders>
              <w:left w:val="single" w:sz="4" w:space="0" w:color="auto"/>
            </w:tcBorders>
            <w:shd w:val="clear" w:color="auto" w:fill="auto"/>
            <w:noWrap/>
            <w:vAlign w:val="center"/>
          </w:tcPr>
          <w:p w14:paraId="30E8C6A2" w14:textId="77777777" w:rsidR="00467F0C" w:rsidRPr="001075BA" w:rsidRDefault="00467F0C" w:rsidP="00346C21">
            <w:pPr>
              <w:spacing w:after="0" w:line="240" w:lineRule="auto"/>
              <w:jc w:val="center"/>
              <w:rPr>
                <w:rFonts w:ascii="Times New Roman" w:eastAsia="Calibri" w:hAnsi="Times New Roman" w:cs="Times New Roman"/>
                <w:lang w:val="en-GB"/>
              </w:rPr>
            </w:pPr>
            <w:r w:rsidRPr="001075BA">
              <w:rPr>
                <w:rFonts w:ascii="Times New Roman" w:eastAsia="Calibri" w:hAnsi="Times New Roman" w:cs="Times New Roman"/>
                <w:lang w:val="en-GB"/>
              </w:rPr>
              <w:t>50</w:t>
            </w:r>
          </w:p>
        </w:tc>
        <w:tc>
          <w:tcPr>
            <w:tcW w:w="1514" w:type="dxa"/>
            <w:shd w:val="clear" w:color="auto" w:fill="FFFFFF" w:themeFill="background1"/>
            <w:noWrap/>
            <w:vAlign w:val="center"/>
          </w:tcPr>
          <w:p w14:paraId="6D1911E9"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20.45</w:t>
            </w:r>
          </w:p>
        </w:tc>
        <w:tc>
          <w:tcPr>
            <w:tcW w:w="1515" w:type="dxa"/>
            <w:shd w:val="clear" w:color="auto" w:fill="auto"/>
            <w:noWrap/>
            <w:vAlign w:val="center"/>
          </w:tcPr>
          <w:p w14:paraId="75D10869"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90.27</w:t>
            </w:r>
          </w:p>
        </w:tc>
        <w:tc>
          <w:tcPr>
            <w:tcW w:w="1140" w:type="dxa"/>
            <w:shd w:val="clear" w:color="auto" w:fill="auto"/>
            <w:noWrap/>
            <w:vAlign w:val="center"/>
          </w:tcPr>
          <w:p w14:paraId="6F3C8C38"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6.92</w:t>
            </w:r>
          </w:p>
        </w:tc>
        <w:tc>
          <w:tcPr>
            <w:tcW w:w="1141" w:type="dxa"/>
            <w:shd w:val="clear" w:color="auto" w:fill="auto"/>
            <w:noWrap/>
            <w:vAlign w:val="center"/>
          </w:tcPr>
          <w:p w14:paraId="00DC25BA"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7.82</w:t>
            </w:r>
          </w:p>
        </w:tc>
        <w:tc>
          <w:tcPr>
            <w:tcW w:w="1141" w:type="dxa"/>
            <w:tcBorders>
              <w:right w:val="single" w:sz="4" w:space="0" w:color="auto"/>
            </w:tcBorders>
            <w:shd w:val="clear" w:color="auto" w:fill="auto"/>
            <w:noWrap/>
            <w:vAlign w:val="center"/>
          </w:tcPr>
          <w:p w14:paraId="189FFAE8" w14:textId="257B797C"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8.7</w:t>
            </w:r>
            <w:r w:rsidR="00A0146C">
              <w:rPr>
                <w:rFonts w:ascii="Times New Roman" w:hAnsi="Times New Roman" w:cs="Times New Roman"/>
                <w:lang w:val="en-GB"/>
              </w:rPr>
              <w:t>0</w:t>
            </w:r>
          </w:p>
        </w:tc>
      </w:tr>
      <w:tr w:rsidR="00346C21" w:rsidRPr="001075BA" w14:paraId="13A6740D" w14:textId="77777777" w:rsidTr="00DD3DB7">
        <w:trPr>
          <w:trHeight w:val="283"/>
          <w:jc w:val="center"/>
        </w:trPr>
        <w:tc>
          <w:tcPr>
            <w:tcW w:w="2305" w:type="dxa"/>
            <w:tcBorders>
              <w:left w:val="single" w:sz="4" w:space="0" w:color="auto"/>
            </w:tcBorders>
            <w:shd w:val="clear" w:color="auto" w:fill="auto"/>
            <w:noWrap/>
            <w:vAlign w:val="center"/>
          </w:tcPr>
          <w:p w14:paraId="01DA2B24" w14:textId="77777777" w:rsidR="00467F0C" w:rsidRPr="001075BA" w:rsidRDefault="00467F0C" w:rsidP="00346C21">
            <w:pPr>
              <w:spacing w:after="0" w:line="240" w:lineRule="auto"/>
              <w:jc w:val="center"/>
              <w:rPr>
                <w:rFonts w:ascii="Times New Roman" w:eastAsia="Calibri" w:hAnsi="Times New Roman" w:cs="Times New Roman"/>
                <w:lang w:val="en-GB"/>
              </w:rPr>
            </w:pPr>
            <w:r w:rsidRPr="001075BA">
              <w:rPr>
                <w:rFonts w:ascii="Times New Roman" w:eastAsia="Calibri" w:hAnsi="Times New Roman" w:cs="Times New Roman"/>
                <w:lang w:val="en-GB"/>
              </w:rPr>
              <w:t>100</w:t>
            </w:r>
          </w:p>
        </w:tc>
        <w:tc>
          <w:tcPr>
            <w:tcW w:w="1514" w:type="dxa"/>
            <w:shd w:val="clear" w:color="auto" w:fill="FFFFFF" w:themeFill="background1"/>
            <w:noWrap/>
            <w:vAlign w:val="center"/>
          </w:tcPr>
          <w:p w14:paraId="29B5B349"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17.07</w:t>
            </w:r>
          </w:p>
        </w:tc>
        <w:tc>
          <w:tcPr>
            <w:tcW w:w="1515" w:type="dxa"/>
            <w:shd w:val="clear" w:color="auto" w:fill="auto"/>
            <w:noWrap/>
            <w:vAlign w:val="center"/>
          </w:tcPr>
          <w:p w14:paraId="3AABBBA2"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79.03</w:t>
            </w:r>
          </w:p>
        </w:tc>
        <w:tc>
          <w:tcPr>
            <w:tcW w:w="1140" w:type="dxa"/>
            <w:shd w:val="clear" w:color="auto" w:fill="auto"/>
            <w:noWrap/>
            <w:vAlign w:val="center"/>
          </w:tcPr>
          <w:p w14:paraId="694A0499"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6.86</w:t>
            </w:r>
          </w:p>
        </w:tc>
        <w:tc>
          <w:tcPr>
            <w:tcW w:w="1141" w:type="dxa"/>
            <w:shd w:val="clear" w:color="auto" w:fill="auto"/>
            <w:noWrap/>
            <w:vAlign w:val="center"/>
          </w:tcPr>
          <w:p w14:paraId="579F5E1D"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7.65</w:t>
            </w:r>
          </w:p>
        </w:tc>
        <w:tc>
          <w:tcPr>
            <w:tcW w:w="1141" w:type="dxa"/>
            <w:tcBorders>
              <w:right w:val="single" w:sz="4" w:space="0" w:color="auto"/>
            </w:tcBorders>
            <w:shd w:val="clear" w:color="auto" w:fill="auto"/>
            <w:noWrap/>
            <w:vAlign w:val="center"/>
          </w:tcPr>
          <w:p w14:paraId="17EA5408"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8.44</w:t>
            </w:r>
          </w:p>
        </w:tc>
      </w:tr>
      <w:tr w:rsidR="00346C21" w:rsidRPr="001075BA" w14:paraId="17DF4778" w14:textId="77777777" w:rsidTr="00DD3DB7">
        <w:trPr>
          <w:trHeight w:val="283"/>
          <w:jc w:val="center"/>
        </w:trPr>
        <w:tc>
          <w:tcPr>
            <w:tcW w:w="2305" w:type="dxa"/>
            <w:tcBorders>
              <w:left w:val="single" w:sz="4" w:space="0" w:color="auto"/>
            </w:tcBorders>
            <w:shd w:val="clear" w:color="auto" w:fill="auto"/>
            <w:noWrap/>
            <w:vAlign w:val="center"/>
          </w:tcPr>
          <w:p w14:paraId="73BED296" w14:textId="77777777" w:rsidR="00467F0C" w:rsidRPr="001075BA" w:rsidRDefault="00467F0C" w:rsidP="00346C21">
            <w:pPr>
              <w:spacing w:after="0" w:line="240" w:lineRule="auto"/>
              <w:jc w:val="center"/>
              <w:rPr>
                <w:rFonts w:ascii="Times New Roman" w:eastAsia="Calibri" w:hAnsi="Times New Roman" w:cs="Times New Roman"/>
                <w:lang w:val="en-GB"/>
              </w:rPr>
            </w:pPr>
            <w:r w:rsidRPr="001075BA">
              <w:rPr>
                <w:rFonts w:ascii="Times New Roman" w:eastAsia="Calibri" w:hAnsi="Times New Roman" w:cs="Times New Roman"/>
                <w:lang w:val="en-GB"/>
              </w:rPr>
              <w:t>150</w:t>
            </w:r>
          </w:p>
        </w:tc>
        <w:tc>
          <w:tcPr>
            <w:tcW w:w="1514" w:type="dxa"/>
            <w:shd w:val="clear" w:color="auto" w:fill="FFFFFF" w:themeFill="background1"/>
            <w:noWrap/>
            <w:vAlign w:val="center"/>
          </w:tcPr>
          <w:p w14:paraId="7AA1C9B6" w14:textId="336C9B31"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15.7</w:t>
            </w:r>
            <w:r w:rsidR="00A0146C">
              <w:rPr>
                <w:rFonts w:ascii="Times New Roman" w:hAnsi="Times New Roman" w:cs="Times New Roman"/>
                <w:lang w:val="en-GB"/>
              </w:rPr>
              <w:t>0</w:t>
            </w:r>
          </w:p>
        </w:tc>
        <w:tc>
          <w:tcPr>
            <w:tcW w:w="1515" w:type="dxa"/>
            <w:shd w:val="clear" w:color="auto" w:fill="auto"/>
            <w:noWrap/>
            <w:vAlign w:val="center"/>
          </w:tcPr>
          <w:p w14:paraId="2BC449D3"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69.11</w:t>
            </w:r>
          </w:p>
        </w:tc>
        <w:tc>
          <w:tcPr>
            <w:tcW w:w="1140" w:type="dxa"/>
            <w:shd w:val="clear" w:color="auto" w:fill="auto"/>
            <w:noWrap/>
            <w:vAlign w:val="center"/>
          </w:tcPr>
          <w:p w14:paraId="2450DD20"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5.23</w:t>
            </w:r>
          </w:p>
        </w:tc>
        <w:tc>
          <w:tcPr>
            <w:tcW w:w="1141" w:type="dxa"/>
            <w:shd w:val="clear" w:color="auto" w:fill="auto"/>
            <w:noWrap/>
            <w:vAlign w:val="center"/>
          </w:tcPr>
          <w:p w14:paraId="4D3FD450"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5.92</w:t>
            </w:r>
          </w:p>
        </w:tc>
        <w:tc>
          <w:tcPr>
            <w:tcW w:w="1141" w:type="dxa"/>
            <w:tcBorders>
              <w:right w:val="single" w:sz="4" w:space="0" w:color="auto"/>
            </w:tcBorders>
            <w:shd w:val="clear" w:color="auto" w:fill="auto"/>
            <w:noWrap/>
            <w:vAlign w:val="center"/>
          </w:tcPr>
          <w:p w14:paraId="24C0EA0A"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6.16</w:t>
            </w:r>
          </w:p>
        </w:tc>
      </w:tr>
      <w:tr w:rsidR="00346C21" w:rsidRPr="001075BA" w14:paraId="7A722D61" w14:textId="77777777" w:rsidTr="00DD3DB7">
        <w:trPr>
          <w:trHeight w:val="283"/>
          <w:jc w:val="center"/>
        </w:trPr>
        <w:tc>
          <w:tcPr>
            <w:tcW w:w="2305" w:type="dxa"/>
            <w:tcBorders>
              <w:left w:val="single" w:sz="4" w:space="0" w:color="auto"/>
            </w:tcBorders>
            <w:shd w:val="clear" w:color="auto" w:fill="auto"/>
            <w:noWrap/>
            <w:vAlign w:val="center"/>
          </w:tcPr>
          <w:p w14:paraId="6BC58528" w14:textId="77777777" w:rsidR="00467F0C" w:rsidRPr="001075BA" w:rsidRDefault="00467F0C" w:rsidP="00346C21">
            <w:pPr>
              <w:spacing w:after="0" w:line="240" w:lineRule="auto"/>
              <w:jc w:val="center"/>
              <w:rPr>
                <w:rFonts w:ascii="Times New Roman" w:eastAsia="Calibri" w:hAnsi="Times New Roman" w:cs="Times New Roman"/>
                <w:lang w:val="en-GB"/>
              </w:rPr>
            </w:pPr>
            <w:r w:rsidRPr="001075BA">
              <w:rPr>
                <w:rFonts w:ascii="Times New Roman" w:eastAsia="Calibri" w:hAnsi="Times New Roman" w:cs="Times New Roman"/>
                <w:lang w:val="en-GB"/>
              </w:rPr>
              <w:t>200</w:t>
            </w:r>
          </w:p>
        </w:tc>
        <w:tc>
          <w:tcPr>
            <w:tcW w:w="1514" w:type="dxa"/>
            <w:shd w:val="clear" w:color="auto" w:fill="FFFFFF" w:themeFill="background1"/>
            <w:noWrap/>
            <w:vAlign w:val="center"/>
          </w:tcPr>
          <w:p w14:paraId="13924313"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14.27</w:t>
            </w:r>
          </w:p>
        </w:tc>
        <w:tc>
          <w:tcPr>
            <w:tcW w:w="1515" w:type="dxa"/>
            <w:shd w:val="clear" w:color="auto" w:fill="auto"/>
            <w:noWrap/>
            <w:vAlign w:val="center"/>
          </w:tcPr>
          <w:p w14:paraId="6D23E6F9"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64.16</w:t>
            </w:r>
          </w:p>
        </w:tc>
        <w:tc>
          <w:tcPr>
            <w:tcW w:w="1140" w:type="dxa"/>
            <w:shd w:val="clear" w:color="auto" w:fill="auto"/>
            <w:noWrap/>
            <w:vAlign w:val="center"/>
          </w:tcPr>
          <w:p w14:paraId="1560CBB5"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5.16</w:t>
            </w:r>
          </w:p>
        </w:tc>
        <w:tc>
          <w:tcPr>
            <w:tcW w:w="1141" w:type="dxa"/>
            <w:shd w:val="clear" w:color="auto" w:fill="auto"/>
            <w:noWrap/>
            <w:vAlign w:val="center"/>
          </w:tcPr>
          <w:p w14:paraId="3D738BF0" w14:textId="688A8775"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5.8</w:t>
            </w:r>
            <w:r w:rsidR="00A0146C">
              <w:rPr>
                <w:rFonts w:ascii="Times New Roman" w:hAnsi="Times New Roman" w:cs="Times New Roman"/>
                <w:lang w:val="en-GB"/>
              </w:rPr>
              <w:t>0</w:t>
            </w:r>
          </w:p>
        </w:tc>
        <w:tc>
          <w:tcPr>
            <w:tcW w:w="1141" w:type="dxa"/>
            <w:tcBorders>
              <w:right w:val="single" w:sz="4" w:space="0" w:color="auto"/>
            </w:tcBorders>
            <w:shd w:val="clear" w:color="auto" w:fill="auto"/>
            <w:noWrap/>
            <w:vAlign w:val="center"/>
          </w:tcPr>
          <w:p w14:paraId="14CC3DF9" w14:textId="77777777" w:rsidR="00467F0C" w:rsidRPr="001075BA" w:rsidRDefault="00467F0C" w:rsidP="00346C21">
            <w:pPr>
              <w:spacing w:after="0" w:line="240" w:lineRule="auto"/>
              <w:jc w:val="center"/>
              <w:rPr>
                <w:rFonts w:ascii="Times New Roman" w:hAnsi="Times New Roman" w:cs="Times New Roman"/>
                <w:lang w:val="en-GB"/>
              </w:rPr>
            </w:pPr>
            <w:r w:rsidRPr="001075BA">
              <w:rPr>
                <w:rFonts w:ascii="Times New Roman" w:hAnsi="Times New Roman" w:cs="Times New Roman"/>
                <w:lang w:val="en-GB"/>
              </w:rPr>
              <w:t>6.44</w:t>
            </w:r>
          </w:p>
        </w:tc>
      </w:tr>
    </w:tbl>
    <w:p w14:paraId="0B9DC2E0" w14:textId="77777777" w:rsidR="00740C97" w:rsidRPr="001075BA" w:rsidRDefault="00926C23" w:rsidP="00E129E5">
      <w:pPr>
        <w:pStyle w:val="Rn2"/>
        <w:rPr>
          <w:lang w:val="en-GB"/>
        </w:rPr>
      </w:pPr>
      <w:r w:rsidRPr="001075BA">
        <w:rPr>
          <w:lang w:val="en-GB"/>
        </w:rPr>
        <w:t>3.6</w:t>
      </w:r>
      <w:r w:rsidR="000D3EB4" w:rsidRPr="001075BA">
        <w:rPr>
          <w:lang w:val="en-GB"/>
        </w:rPr>
        <w:t xml:space="preserve">. </w:t>
      </w:r>
      <w:r w:rsidR="00E02581" w:rsidRPr="001075BA">
        <w:rPr>
          <w:lang w:val="en-GB"/>
        </w:rPr>
        <w:t>Cost analysis and adsorbent regeneration</w:t>
      </w:r>
    </w:p>
    <w:p w14:paraId="3E49B57C" w14:textId="6A24FB5A" w:rsidR="000D5C7A" w:rsidRPr="001075BA" w:rsidRDefault="00E02581" w:rsidP="00717D12">
      <w:pPr>
        <w:spacing w:after="0" w:line="240" w:lineRule="auto"/>
        <w:ind w:firstLine="284"/>
        <w:jc w:val="both"/>
        <w:rPr>
          <w:rFonts w:ascii="Times New Roman" w:hAnsi="Times New Roman" w:cs="Times New Roman"/>
          <w:lang w:val="en-GB"/>
        </w:rPr>
      </w:pPr>
      <w:r w:rsidRPr="001075BA">
        <w:rPr>
          <w:rFonts w:ascii="Times New Roman" w:hAnsi="Times New Roman" w:cs="Times New Roman"/>
          <w:lang w:val="en-GB"/>
        </w:rPr>
        <w:t xml:space="preserve">Due to the high process cost and associated solvent costs, which would probably exceed the cost of the sorbents utilised in the </w:t>
      </w:r>
      <w:r w:rsidR="009403E3" w:rsidRPr="001075BA">
        <w:rPr>
          <w:rFonts w:ascii="Times New Roman" w:hAnsi="Times New Roman" w:cs="Times New Roman"/>
          <w:lang w:val="en-GB"/>
        </w:rPr>
        <w:t>method</w:t>
      </w:r>
      <w:r w:rsidRPr="001075BA">
        <w:rPr>
          <w:rFonts w:ascii="Times New Roman" w:hAnsi="Times New Roman" w:cs="Times New Roman"/>
          <w:lang w:val="en-GB"/>
        </w:rPr>
        <w:t xml:space="preserve">, </w:t>
      </w:r>
      <w:r w:rsidR="00732EFD" w:rsidRPr="001075BA">
        <w:rPr>
          <w:rFonts w:ascii="Times New Roman" w:hAnsi="Times New Roman" w:cs="Times New Roman"/>
          <w:lang w:val="en-GB"/>
        </w:rPr>
        <w:t>it is not recommended to regenerate dye-loaded NIFSS for reuse and recover</w:t>
      </w:r>
      <w:r w:rsidR="00971179">
        <w:rPr>
          <w:rFonts w:ascii="Times New Roman" w:hAnsi="Times New Roman" w:cs="Times New Roman"/>
          <w:lang w:val="en-GB"/>
        </w:rPr>
        <w:t>y of</w:t>
      </w:r>
      <w:r w:rsidR="00732EFD" w:rsidRPr="001075BA">
        <w:rPr>
          <w:rFonts w:ascii="Times New Roman" w:hAnsi="Times New Roman" w:cs="Times New Roman"/>
          <w:lang w:val="en-GB"/>
        </w:rPr>
        <w:t xml:space="preserve"> the adsorbed material</w:t>
      </w:r>
      <w:r w:rsidRPr="001075BA">
        <w:rPr>
          <w:rFonts w:ascii="Times New Roman" w:hAnsi="Times New Roman" w:cs="Times New Roman"/>
          <w:lang w:val="en-GB"/>
        </w:rPr>
        <w:t xml:space="preserve">. Additionally, this strategy would result in an unwanted rise in the E-factor </w:t>
      </w:r>
      <w:r w:rsidR="000D5C7A" w:rsidRPr="001075BA">
        <w:rPr>
          <w:rFonts w:ascii="Times New Roman" w:hAnsi="Times New Roman" w:cs="Times New Roman"/>
          <w:lang w:val="en-GB"/>
        </w:rPr>
        <w:t>as it would contribute to a greater environmental load of toxic substances. An alternative and more beneficial approach would involve repurposing waste process materials, such as the ongoing development of methods to produce thermosets and thermoplastics.</w:t>
      </w:r>
    </w:p>
    <w:p w14:paraId="7DE6A3B4" w14:textId="77777777" w:rsidR="00E818AB" w:rsidRPr="001075BA" w:rsidRDefault="00926C23" w:rsidP="00E129E5">
      <w:pPr>
        <w:pStyle w:val="Rn1"/>
        <w:rPr>
          <w:lang w:val="en-GB"/>
        </w:rPr>
      </w:pPr>
      <w:r w:rsidRPr="001075BA">
        <w:rPr>
          <w:lang w:val="en-GB"/>
        </w:rPr>
        <w:t>4</w:t>
      </w:r>
      <w:r w:rsidR="00E818AB" w:rsidRPr="001075BA">
        <w:rPr>
          <w:lang w:val="en-GB"/>
        </w:rPr>
        <w:t>.</w:t>
      </w:r>
      <w:r w:rsidR="00E13FB8" w:rsidRPr="001075BA">
        <w:rPr>
          <w:lang w:val="en-GB"/>
        </w:rPr>
        <w:t xml:space="preserve"> </w:t>
      </w:r>
      <w:r w:rsidR="00E818AB" w:rsidRPr="001075BA">
        <w:rPr>
          <w:lang w:val="en-GB"/>
        </w:rPr>
        <w:t>Conclusion</w:t>
      </w:r>
    </w:p>
    <w:p w14:paraId="72D05606" w14:textId="0B5319FD" w:rsidR="00971179" w:rsidRPr="00DB2AF9" w:rsidRDefault="009F211D" w:rsidP="00717D12">
      <w:pPr>
        <w:spacing w:after="0" w:line="240" w:lineRule="auto"/>
        <w:ind w:firstLine="284"/>
        <w:jc w:val="both"/>
        <w:rPr>
          <w:rFonts w:ascii="Times New Roman" w:hAnsi="Times New Roman" w:cs="Times New Roman"/>
          <w:szCs w:val="20"/>
          <w:lang w:val="en-GB"/>
        </w:rPr>
      </w:pPr>
      <w:r w:rsidRPr="001075BA">
        <w:rPr>
          <w:rFonts w:ascii="Times New Roman" w:hAnsi="Times New Roman" w:cs="Times New Roman"/>
          <w:szCs w:val="20"/>
          <w:lang w:val="en-GB"/>
        </w:rPr>
        <w:t>The first-ever study focused on utilising fennel seed spent, a Nutraceutical Industrial Spent was made to</w:t>
      </w:r>
      <w:r w:rsidR="00A632CD">
        <w:rPr>
          <w:rFonts w:ascii="Times New Roman" w:hAnsi="Times New Roman" w:cs="Times New Roman"/>
          <w:szCs w:val="20"/>
          <w:lang w:val="en-GB"/>
        </w:rPr>
        <w:t> </w:t>
      </w:r>
      <w:r w:rsidRPr="001075BA">
        <w:rPr>
          <w:rFonts w:ascii="Times New Roman" w:hAnsi="Times New Roman" w:cs="Times New Roman"/>
          <w:szCs w:val="20"/>
          <w:lang w:val="en-GB"/>
        </w:rPr>
        <w:t xml:space="preserve">progress an efficient and environmentally friendly biosorbent to eliminate the hazardous colour brilliant green. The study revealed that the maximum adsorption capacity is closely aligned with the </w:t>
      </w:r>
      <w:proofErr w:type="spellStart"/>
      <w:r w:rsidRPr="001075BA">
        <w:rPr>
          <w:rFonts w:ascii="Times New Roman" w:hAnsi="Times New Roman" w:cs="Times New Roman"/>
          <w:szCs w:val="20"/>
          <w:lang w:val="en-GB"/>
        </w:rPr>
        <w:t>Brouers</w:t>
      </w:r>
      <w:proofErr w:type="spellEnd"/>
      <w:r w:rsidRPr="001075BA">
        <w:rPr>
          <w:rFonts w:ascii="Times New Roman" w:hAnsi="Times New Roman" w:cs="Times New Roman"/>
          <w:szCs w:val="20"/>
          <w:lang w:val="en-GB"/>
        </w:rPr>
        <w:t xml:space="preserve">-Sotolongo model, with the highest fitting isotherm achieved using the Redlich-Peterson model. The experimental data fitted to the kinetic model of pseudo-second order, which the </w:t>
      </w:r>
      <w:proofErr w:type="spellStart"/>
      <w:r w:rsidRPr="001075BA">
        <w:rPr>
          <w:rFonts w:ascii="Times New Roman" w:hAnsi="Times New Roman" w:cs="Times New Roman"/>
          <w:szCs w:val="20"/>
          <w:lang w:val="en-GB"/>
        </w:rPr>
        <w:t>Avrami</w:t>
      </w:r>
      <w:proofErr w:type="spellEnd"/>
      <w:r w:rsidRPr="001075BA">
        <w:rPr>
          <w:rFonts w:ascii="Times New Roman" w:hAnsi="Times New Roman" w:cs="Times New Roman"/>
          <w:szCs w:val="20"/>
          <w:lang w:val="en-GB"/>
        </w:rPr>
        <w:t xml:space="preserve"> kinetic model further validated. </w:t>
      </w:r>
      <w:r w:rsidRPr="00DB2AF9">
        <w:rPr>
          <w:rFonts w:ascii="Times New Roman" w:hAnsi="Times New Roman" w:cs="Times New Roman"/>
          <w:spacing w:val="-4"/>
          <w:szCs w:val="20"/>
          <w:lang w:val="en-GB"/>
        </w:rPr>
        <w:t>Additionally, significant effects of film and intra-particle diffusion were observed in the adsorption method. The</w:t>
      </w:r>
      <w:r w:rsidR="00DB2AF9" w:rsidRPr="00DB2AF9">
        <w:rPr>
          <w:rFonts w:ascii="Times New Roman" w:hAnsi="Times New Roman" w:cs="Times New Roman"/>
          <w:spacing w:val="-4"/>
          <w:szCs w:val="20"/>
          <w:lang w:val="en-GB"/>
        </w:rPr>
        <w:t xml:space="preserve"> </w:t>
      </w:r>
      <w:r w:rsidRPr="00DB2AF9">
        <w:rPr>
          <w:rFonts w:ascii="Times New Roman" w:hAnsi="Times New Roman" w:cs="Times New Roman"/>
          <w:spacing w:val="-4"/>
          <w:szCs w:val="20"/>
          <w:lang w:val="en-GB"/>
        </w:rPr>
        <w:t xml:space="preserve">adsorption process was determined to be spontaneous and endothermic, with a low </w:t>
      </w:r>
      <w:r w:rsidRPr="00DB2AF9">
        <w:rPr>
          <w:rFonts w:ascii="Times New Roman" w:hAnsi="Times New Roman" w:cs="Times New Roman"/>
          <w:i/>
          <w:spacing w:val="-4"/>
          <w:szCs w:val="20"/>
          <w:lang w:val="en-GB"/>
        </w:rPr>
        <w:t>ΔH</w:t>
      </w:r>
      <w:r w:rsidRPr="00DB2AF9">
        <w:rPr>
          <w:rFonts w:ascii="Times New Roman" w:hAnsi="Times New Roman" w:cs="Times New Roman"/>
          <w:i/>
          <w:spacing w:val="-4"/>
          <w:szCs w:val="20"/>
          <w:vertAlign w:val="superscript"/>
          <w:lang w:val="en-GB"/>
        </w:rPr>
        <w:t>0</w:t>
      </w:r>
      <w:r w:rsidRPr="00DB2AF9">
        <w:rPr>
          <w:rFonts w:ascii="Times New Roman" w:hAnsi="Times New Roman" w:cs="Times New Roman"/>
          <w:spacing w:val="-4"/>
          <w:szCs w:val="20"/>
          <w:lang w:val="en-GB"/>
        </w:rPr>
        <w:t xml:space="preserve"> value specifying a predominantly physical mechanism.</w:t>
      </w:r>
      <w:r w:rsidRPr="00DB2AF9">
        <w:rPr>
          <w:rFonts w:ascii="Times New Roman" w:hAnsi="Times New Roman" w:cs="Times New Roman"/>
          <w:spacing w:val="-2"/>
          <w:szCs w:val="20"/>
          <w:lang w:val="en-GB"/>
        </w:rPr>
        <w:t xml:space="preserve"> </w:t>
      </w:r>
      <w:r w:rsidRPr="00DB2AF9">
        <w:rPr>
          <w:rFonts w:ascii="Times New Roman" w:hAnsi="Times New Roman" w:cs="Times New Roman"/>
          <w:szCs w:val="20"/>
          <w:lang w:val="en-GB"/>
        </w:rPr>
        <w:t>FTIR spectra confirmed the adsorption of brilliant green on NIFSS.</w:t>
      </w:r>
    </w:p>
    <w:p w14:paraId="2209ABA1" w14:textId="1A1325BC" w:rsidR="000D5C7A" w:rsidRDefault="009F211D" w:rsidP="00717D12">
      <w:pPr>
        <w:spacing w:after="0" w:line="240" w:lineRule="auto"/>
        <w:ind w:firstLine="284"/>
        <w:jc w:val="both"/>
        <w:rPr>
          <w:rFonts w:ascii="Times New Roman" w:hAnsi="Times New Roman" w:cs="Times New Roman"/>
          <w:szCs w:val="20"/>
          <w:lang w:val="en-GB"/>
        </w:rPr>
      </w:pPr>
      <w:r w:rsidRPr="001075BA">
        <w:rPr>
          <w:rFonts w:ascii="Times New Roman" w:hAnsi="Times New Roman" w:cs="Times New Roman"/>
          <w:szCs w:val="20"/>
          <w:lang w:val="en-GB"/>
        </w:rPr>
        <w:t>In conclusion, NIFSS is an adsorbent for the quick and current elimination of brilliant green from aqueous solutions. It is potentially used in alternative structural materials or as fillers to produce thermoplastics and thermosets.</w:t>
      </w:r>
    </w:p>
    <w:p w14:paraId="5A037B08" w14:textId="77777777" w:rsidR="003D055E" w:rsidRPr="00782CD9" w:rsidRDefault="003D055E" w:rsidP="003D055E">
      <w:pPr>
        <w:pStyle w:val="Rn2"/>
      </w:pPr>
      <w:proofErr w:type="spellStart"/>
      <w:r w:rsidRPr="00782CD9">
        <w:t>Statements</w:t>
      </w:r>
      <w:proofErr w:type="spellEnd"/>
      <w:r w:rsidRPr="00782CD9">
        <w:t xml:space="preserve"> and </w:t>
      </w:r>
      <w:proofErr w:type="spellStart"/>
      <w:r w:rsidRPr="00782CD9">
        <w:t>Declarations</w:t>
      </w:r>
      <w:proofErr w:type="spellEnd"/>
    </w:p>
    <w:p w14:paraId="5F4395E3" w14:textId="77777777" w:rsidR="00E127FF" w:rsidRPr="003D055E" w:rsidRDefault="00E127FF" w:rsidP="00DF234E">
      <w:pPr>
        <w:pStyle w:val="Rn1"/>
        <w:spacing w:before="120"/>
        <w:rPr>
          <w:sz w:val="20"/>
          <w:szCs w:val="20"/>
        </w:rPr>
      </w:pPr>
      <w:proofErr w:type="spellStart"/>
      <w:r w:rsidRPr="003D055E">
        <w:rPr>
          <w:sz w:val="20"/>
          <w:szCs w:val="20"/>
        </w:rPr>
        <w:t>Acknowledgment</w:t>
      </w:r>
      <w:proofErr w:type="spellEnd"/>
    </w:p>
    <w:p w14:paraId="3EDA1675" w14:textId="77777777" w:rsidR="00E127FF" w:rsidRPr="003D055E" w:rsidRDefault="00E127FF" w:rsidP="00DF234E">
      <w:pPr>
        <w:spacing w:after="0" w:line="240" w:lineRule="auto"/>
        <w:jc w:val="both"/>
        <w:rPr>
          <w:rFonts w:ascii="Times New Roman" w:hAnsi="Times New Roman" w:cs="Times New Roman"/>
          <w:sz w:val="20"/>
          <w:szCs w:val="20"/>
          <w:lang w:val="en-GB"/>
        </w:rPr>
      </w:pPr>
      <w:r w:rsidRPr="003D055E">
        <w:rPr>
          <w:rFonts w:ascii="Times New Roman" w:hAnsi="Times New Roman" w:cs="Times New Roman"/>
          <w:sz w:val="20"/>
          <w:szCs w:val="20"/>
          <w:lang w:val="en-GB"/>
        </w:rPr>
        <w:t>The authors extend their appreciation to the Deanship of Research and Graduate Studies at King Khalid University for funding this work through Large Research Project under grant number RGP2/324/45.</w:t>
      </w:r>
    </w:p>
    <w:p w14:paraId="4F9C5D0C" w14:textId="77777777" w:rsidR="00E127FF" w:rsidRPr="003D055E" w:rsidRDefault="00E127FF" w:rsidP="00DF234E">
      <w:pPr>
        <w:pStyle w:val="Rn1"/>
        <w:spacing w:before="120"/>
        <w:rPr>
          <w:sz w:val="20"/>
          <w:szCs w:val="20"/>
        </w:rPr>
      </w:pPr>
      <w:r w:rsidRPr="003D055E">
        <w:rPr>
          <w:sz w:val="20"/>
          <w:szCs w:val="20"/>
        </w:rPr>
        <w:t>Disclosure Statement</w:t>
      </w:r>
    </w:p>
    <w:p w14:paraId="3CAA6755" w14:textId="77777777" w:rsidR="00E127FF" w:rsidRPr="003D055E" w:rsidRDefault="00E127FF" w:rsidP="00DF234E">
      <w:pPr>
        <w:spacing w:after="0" w:line="240" w:lineRule="auto"/>
        <w:jc w:val="both"/>
        <w:rPr>
          <w:rFonts w:ascii="Times New Roman" w:hAnsi="Times New Roman" w:cs="Times New Roman"/>
          <w:sz w:val="20"/>
          <w:szCs w:val="20"/>
          <w:lang w:val="en-GB"/>
        </w:rPr>
      </w:pPr>
      <w:r w:rsidRPr="003D055E">
        <w:rPr>
          <w:rFonts w:ascii="Times New Roman" w:hAnsi="Times New Roman" w:cs="Times New Roman"/>
          <w:sz w:val="20"/>
          <w:szCs w:val="20"/>
          <w:lang w:val="en-GB"/>
        </w:rPr>
        <w:t>All authors declare no conflict of interest.</w:t>
      </w:r>
    </w:p>
    <w:p w14:paraId="34825E2B" w14:textId="77777777" w:rsidR="00926C23" w:rsidRPr="001075BA" w:rsidRDefault="00A16268" w:rsidP="00717D12">
      <w:pPr>
        <w:pStyle w:val="Rn2"/>
        <w:rPr>
          <w:lang w:val="en-GB"/>
        </w:rPr>
      </w:pPr>
      <w:r w:rsidRPr="001075BA">
        <w:rPr>
          <w:lang w:val="en-GB"/>
        </w:rPr>
        <w:t>References</w:t>
      </w:r>
    </w:p>
    <w:p w14:paraId="086360AE" w14:textId="77777777" w:rsidR="008036DB" w:rsidRPr="001075BA" w:rsidRDefault="0017174C" w:rsidP="00717D12">
      <w:pPr>
        <w:pStyle w:val="Rlit"/>
        <w:rPr>
          <w:lang w:val="en-GB"/>
        </w:rPr>
      </w:pPr>
      <w:r w:rsidRPr="001075BA">
        <w:rPr>
          <w:lang w:val="en-GB"/>
        </w:rPr>
        <w:t xml:space="preserve">Ahmad, R., Kumar, R. </w:t>
      </w:r>
      <w:r w:rsidR="008036DB" w:rsidRPr="001075BA">
        <w:rPr>
          <w:lang w:val="en-GB"/>
        </w:rPr>
        <w:t xml:space="preserve">(2010). Adsorption studies of hazardous malachite green onto treated ginger waste. </w:t>
      </w:r>
      <w:r w:rsidR="008036DB" w:rsidRPr="001075BA">
        <w:rPr>
          <w:rFonts w:eastAsia="AdvOT863180fb"/>
          <w:i/>
          <w:lang w:val="en-GB"/>
        </w:rPr>
        <w:t>Journal of Environmental Management</w:t>
      </w:r>
      <w:r w:rsidR="008036DB" w:rsidRPr="00BB161E">
        <w:rPr>
          <w:rFonts w:eastAsia="AdvOT863180fb"/>
          <w:iCs/>
          <w:lang w:val="en-GB"/>
        </w:rPr>
        <w:t xml:space="preserve">, </w:t>
      </w:r>
      <w:r w:rsidR="008036DB" w:rsidRPr="001075BA">
        <w:rPr>
          <w:i/>
          <w:lang w:val="en-GB"/>
        </w:rPr>
        <w:t>91</w:t>
      </w:r>
      <w:r w:rsidR="008036DB" w:rsidRPr="001075BA">
        <w:rPr>
          <w:lang w:val="en-GB"/>
        </w:rPr>
        <w:t>(4), 1032-1038.</w:t>
      </w:r>
    </w:p>
    <w:p w14:paraId="6780AA82" w14:textId="068E27C8" w:rsidR="008036DB" w:rsidRPr="001075BA" w:rsidRDefault="008036DB" w:rsidP="00717D12">
      <w:pPr>
        <w:pStyle w:val="Rlit"/>
        <w:rPr>
          <w:lang w:val="en-GB"/>
        </w:rPr>
      </w:pPr>
      <w:r w:rsidRPr="001075BA">
        <w:rPr>
          <w:lang w:val="en-GB"/>
        </w:rPr>
        <w:t xml:space="preserve">Alkan, </w:t>
      </w:r>
      <w:r w:rsidR="0017174C" w:rsidRPr="001075BA">
        <w:rPr>
          <w:lang w:val="en-GB"/>
        </w:rPr>
        <w:t>M., Demirbaş,</w:t>
      </w:r>
      <w:r w:rsidR="00DF49D6" w:rsidRPr="001075BA">
        <w:rPr>
          <w:lang w:val="en-GB"/>
        </w:rPr>
        <w:t xml:space="preserve"> </w:t>
      </w:r>
      <w:r w:rsidR="0017174C" w:rsidRPr="001075BA">
        <w:rPr>
          <w:lang w:val="en-GB"/>
        </w:rPr>
        <w:t xml:space="preserve">Ö., </w:t>
      </w:r>
      <w:r w:rsidR="00DF49D6" w:rsidRPr="001075BA">
        <w:rPr>
          <w:lang w:val="en-GB"/>
        </w:rPr>
        <w:t>Doğan,</w:t>
      </w:r>
      <w:r w:rsidR="0099084C">
        <w:rPr>
          <w:lang w:val="en-GB"/>
        </w:rPr>
        <w:t xml:space="preserve"> </w:t>
      </w:r>
      <w:r w:rsidR="00DF49D6" w:rsidRPr="001075BA">
        <w:rPr>
          <w:lang w:val="en-GB"/>
        </w:rPr>
        <w:t>M.</w:t>
      </w:r>
      <w:r w:rsidRPr="001075BA">
        <w:rPr>
          <w:lang w:val="en-GB"/>
        </w:rPr>
        <w:t xml:space="preserve"> (2007). Adsorption kinetics and thermodynamics of an anionic dye onto sepiolite. </w:t>
      </w:r>
      <w:r w:rsidRPr="001075BA">
        <w:rPr>
          <w:i/>
          <w:lang w:val="en-GB"/>
        </w:rPr>
        <w:t>Microporous and Mesoporous Materials</w:t>
      </w:r>
      <w:r w:rsidRPr="001075BA">
        <w:rPr>
          <w:lang w:val="en-GB"/>
        </w:rPr>
        <w:t xml:space="preserve">, </w:t>
      </w:r>
      <w:r w:rsidRPr="001075BA">
        <w:rPr>
          <w:i/>
          <w:lang w:val="en-GB"/>
        </w:rPr>
        <w:t>101</w:t>
      </w:r>
      <w:r w:rsidRPr="001075BA">
        <w:rPr>
          <w:lang w:val="en-GB"/>
        </w:rPr>
        <w:t>(3), 388-396.</w:t>
      </w:r>
    </w:p>
    <w:p w14:paraId="4E1A1903" w14:textId="1698D7CF" w:rsidR="008036DB" w:rsidRPr="001075BA" w:rsidRDefault="0017174C" w:rsidP="00717D12">
      <w:pPr>
        <w:pStyle w:val="Rlit"/>
        <w:rPr>
          <w:lang w:val="en-GB"/>
        </w:rPr>
      </w:pPr>
      <w:r w:rsidRPr="001075BA">
        <w:rPr>
          <w:lang w:val="en-GB"/>
        </w:rPr>
        <w:t xml:space="preserve">Boyd, G.E., Adamson, A.W., </w:t>
      </w:r>
      <w:r w:rsidR="00DF49D6" w:rsidRPr="001075BA">
        <w:rPr>
          <w:lang w:val="en-GB"/>
        </w:rPr>
        <w:t>Myers</w:t>
      </w:r>
      <w:r w:rsidR="0099084C">
        <w:rPr>
          <w:lang w:val="en-GB"/>
        </w:rPr>
        <w:t>,</w:t>
      </w:r>
      <w:r w:rsidR="00DF49D6" w:rsidRPr="001075BA">
        <w:rPr>
          <w:lang w:val="en-GB"/>
        </w:rPr>
        <w:t xml:space="preserve"> </w:t>
      </w:r>
      <w:r w:rsidRPr="001075BA">
        <w:rPr>
          <w:lang w:val="en-GB"/>
        </w:rPr>
        <w:t>JR, L.S.</w:t>
      </w:r>
      <w:r w:rsidR="008036DB" w:rsidRPr="001075BA">
        <w:rPr>
          <w:lang w:val="en-GB"/>
        </w:rPr>
        <w:t xml:space="preserve"> (1947). The exchange adsorption of ions from aqueous solutions by organic zeolites. II. kinetics. </w:t>
      </w:r>
      <w:r w:rsidR="008036DB" w:rsidRPr="001075BA">
        <w:rPr>
          <w:i/>
          <w:lang w:val="en-GB"/>
        </w:rPr>
        <w:t>Journal of the American Chemical Society</w:t>
      </w:r>
      <w:r w:rsidR="008036DB" w:rsidRPr="001075BA">
        <w:rPr>
          <w:lang w:val="en-GB"/>
        </w:rPr>
        <w:t xml:space="preserve">, </w:t>
      </w:r>
      <w:r w:rsidR="008036DB" w:rsidRPr="001075BA">
        <w:rPr>
          <w:i/>
          <w:lang w:val="en-GB"/>
        </w:rPr>
        <w:t>69</w:t>
      </w:r>
      <w:r w:rsidR="008036DB" w:rsidRPr="001075BA">
        <w:rPr>
          <w:lang w:val="en-GB"/>
        </w:rPr>
        <w:t>(11), 2836-2848.</w:t>
      </w:r>
    </w:p>
    <w:p w14:paraId="5A3E757C" w14:textId="09966514" w:rsidR="008036DB" w:rsidRPr="001075BA" w:rsidRDefault="008036DB" w:rsidP="00717D12">
      <w:pPr>
        <w:pStyle w:val="Rlit"/>
        <w:rPr>
          <w:lang w:val="en-GB"/>
        </w:rPr>
      </w:pPr>
      <w:r w:rsidRPr="001075BA">
        <w:rPr>
          <w:shd w:val="clear" w:color="auto" w:fill="FFFFFF"/>
          <w:lang w:val="en-GB"/>
        </w:rPr>
        <w:t xml:space="preserve">Asadullah, M., </w:t>
      </w:r>
      <w:proofErr w:type="spellStart"/>
      <w:r w:rsidRPr="001075BA">
        <w:rPr>
          <w:shd w:val="clear" w:color="auto" w:fill="FFFFFF"/>
          <w:lang w:val="en-GB"/>
        </w:rPr>
        <w:t>Asaduzzaman</w:t>
      </w:r>
      <w:proofErr w:type="spellEnd"/>
      <w:r w:rsidRPr="001075BA">
        <w:rPr>
          <w:shd w:val="clear" w:color="auto" w:fill="FFFFFF"/>
          <w:lang w:val="en-GB"/>
        </w:rPr>
        <w:t xml:space="preserve">, M., </w:t>
      </w:r>
      <w:r w:rsidR="00DF49D6" w:rsidRPr="001075BA">
        <w:rPr>
          <w:shd w:val="clear" w:color="auto" w:fill="FFFFFF"/>
          <w:lang w:val="en-GB"/>
        </w:rPr>
        <w:t xml:space="preserve">Kabir, M.S., </w:t>
      </w:r>
      <w:proofErr w:type="spellStart"/>
      <w:r w:rsidR="00DF49D6" w:rsidRPr="001075BA">
        <w:rPr>
          <w:shd w:val="clear" w:color="auto" w:fill="FFFFFF"/>
          <w:lang w:val="en-GB"/>
        </w:rPr>
        <w:t>Mostofa</w:t>
      </w:r>
      <w:proofErr w:type="spellEnd"/>
      <w:r w:rsidR="00DF49D6" w:rsidRPr="001075BA">
        <w:rPr>
          <w:shd w:val="clear" w:color="auto" w:fill="FFFFFF"/>
          <w:lang w:val="en-GB"/>
        </w:rPr>
        <w:t>, M.</w:t>
      </w:r>
      <w:r w:rsidR="0017174C" w:rsidRPr="001075BA">
        <w:rPr>
          <w:shd w:val="clear" w:color="auto" w:fill="FFFFFF"/>
          <w:lang w:val="en-GB"/>
        </w:rPr>
        <w:t xml:space="preserve">G., </w:t>
      </w:r>
      <w:r w:rsidRPr="001075BA">
        <w:rPr>
          <w:shd w:val="clear" w:color="auto" w:fill="FFFFFF"/>
          <w:lang w:val="en-GB"/>
        </w:rPr>
        <w:t>Miyazawa, T. (2010). Chemical and structural evaluation of activated carbon prepared from jute sticks for Brilliant Green dye removal from aqueous solution. </w:t>
      </w:r>
      <w:r w:rsidRPr="001075BA">
        <w:rPr>
          <w:i/>
          <w:iCs/>
          <w:shd w:val="clear" w:color="auto" w:fill="FFFFFF"/>
          <w:lang w:val="en-GB"/>
        </w:rPr>
        <w:t>Journal of Hazardous Materials</w:t>
      </w:r>
      <w:r w:rsidRPr="001075BA">
        <w:rPr>
          <w:shd w:val="clear" w:color="auto" w:fill="FFFFFF"/>
          <w:lang w:val="en-GB"/>
        </w:rPr>
        <w:t>, </w:t>
      </w:r>
      <w:r w:rsidRPr="001075BA">
        <w:rPr>
          <w:i/>
          <w:iCs/>
          <w:shd w:val="clear" w:color="auto" w:fill="FFFFFF"/>
          <w:lang w:val="en-GB"/>
        </w:rPr>
        <w:t>174</w:t>
      </w:r>
      <w:r w:rsidRPr="001075BA">
        <w:rPr>
          <w:shd w:val="clear" w:color="auto" w:fill="FFFFFF"/>
          <w:lang w:val="en-GB"/>
        </w:rPr>
        <w:t>(1-3), 437-443.</w:t>
      </w:r>
    </w:p>
    <w:p w14:paraId="292DF761" w14:textId="009BE3DD" w:rsidR="008036DB" w:rsidRPr="001075BA" w:rsidRDefault="0017174C" w:rsidP="00717D12">
      <w:pPr>
        <w:pStyle w:val="Rlit"/>
        <w:rPr>
          <w:lang w:val="en-GB"/>
        </w:rPr>
      </w:pPr>
      <w:r w:rsidRPr="001075BA">
        <w:rPr>
          <w:shd w:val="clear" w:color="auto" w:fill="FFFFFF"/>
          <w:lang w:val="en-GB"/>
        </w:rPr>
        <w:t xml:space="preserve">Bhattacharyya, K.G., </w:t>
      </w:r>
      <w:r w:rsidR="008036DB" w:rsidRPr="001075BA">
        <w:rPr>
          <w:shd w:val="clear" w:color="auto" w:fill="FFFFFF"/>
          <w:lang w:val="en-GB"/>
        </w:rPr>
        <w:t>Sarma, A. (2003). Adsorption characteristics of the dye, Brilliant Green, on Neem leaf powder. </w:t>
      </w:r>
      <w:r w:rsidR="008036DB" w:rsidRPr="001075BA">
        <w:rPr>
          <w:i/>
          <w:iCs/>
          <w:shd w:val="clear" w:color="auto" w:fill="FFFFFF"/>
          <w:lang w:val="en-GB"/>
        </w:rPr>
        <w:t xml:space="preserve">Dyes and </w:t>
      </w:r>
      <w:r w:rsidR="00DF49D6" w:rsidRPr="001075BA">
        <w:rPr>
          <w:i/>
          <w:iCs/>
          <w:shd w:val="clear" w:color="auto" w:fill="FFFFFF"/>
          <w:lang w:val="en-GB"/>
        </w:rPr>
        <w:t>P</w:t>
      </w:r>
      <w:r w:rsidR="008036DB" w:rsidRPr="001075BA">
        <w:rPr>
          <w:i/>
          <w:iCs/>
          <w:shd w:val="clear" w:color="auto" w:fill="FFFFFF"/>
          <w:lang w:val="en-GB"/>
        </w:rPr>
        <w:t>igments</w:t>
      </w:r>
      <w:r w:rsidR="008036DB" w:rsidRPr="001075BA">
        <w:rPr>
          <w:shd w:val="clear" w:color="auto" w:fill="FFFFFF"/>
          <w:lang w:val="en-GB"/>
        </w:rPr>
        <w:t>, </w:t>
      </w:r>
      <w:r w:rsidR="008036DB" w:rsidRPr="001075BA">
        <w:rPr>
          <w:i/>
          <w:iCs/>
          <w:shd w:val="clear" w:color="auto" w:fill="FFFFFF"/>
          <w:lang w:val="en-GB"/>
        </w:rPr>
        <w:t>57</w:t>
      </w:r>
      <w:r w:rsidR="008036DB" w:rsidRPr="001075BA">
        <w:rPr>
          <w:shd w:val="clear" w:color="auto" w:fill="FFFFFF"/>
          <w:lang w:val="en-GB"/>
        </w:rPr>
        <w:t>(3), 211-222.</w:t>
      </w:r>
    </w:p>
    <w:p w14:paraId="63781C34" w14:textId="72923D63" w:rsidR="00F41DB3" w:rsidRPr="001075BA" w:rsidRDefault="008036DB" w:rsidP="00717D12">
      <w:pPr>
        <w:pStyle w:val="Rlit"/>
        <w:rPr>
          <w:lang w:val="en-GB"/>
        </w:rPr>
      </w:pPr>
      <w:proofErr w:type="spellStart"/>
      <w:r w:rsidRPr="001075BA">
        <w:rPr>
          <w:rFonts w:eastAsia="AdvGulliv-R"/>
          <w:lang w:val="en-GB"/>
        </w:rPr>
        <w:t>Brouers</w:t>
      </w:r>
      <w:proofErr w:type="spellEnd"/>
      <w:r w:rsidRPr="001075BA">
        <w:rPr>
          <w:rFonts w:eastAsia="AdvGulliv-R"/>
          <w:lang w:val="en-GB"/>
        </w:rPr>
        <w:t>, F.,</w:t>
      </w:r>
      <w:r w:rsidR="0017174C" w:rsidRPr="001075BA">
        <w:rPr>
          <w:rFonts w:eastAsia="AdvGulliv-R"/>
          <w:lang w:val="en-GB"/>
        </w:rPr>
        <w:t xml:space="preserve"> Sotolongo, O., Marquez, F.</w:t>
      </w:r>
      <w:r w:rsidR="00DF49D6" w:rsidRPr="001075BA">
        <w:rPr>
          <w:rFonts w:eastAsia="AdvGulliv-R"/>
          <w:lang w:val="en-GB"/>
        </w:rPr>
        <w:t>,</w:t>
      </w:r>
      <w:r w:rsidR="0017174C" w:rsidRPr="001075BA">
        <w:rPr>
          <w:rFonts w:eastAsia="AdvGulliv-R"/>
          <w:lang w:val="en-GB"/>
        </w:rPr>
        <w:t xml:space="preserve"> </w:t>
      </w:r>
      <w:proofErr w:type="spellStart"/>
      <w:r w:rsidR="0017174C" w:rsidRPr="001075BA">
        <w:rPr>
          <w:rFonts w:eastAsia="AdvGulliv-R"/>
          <w:lang w:val="en-GB"/>
        </w:rPr>
        <w:t>Pirard</w:t>
      </w:r>
      <w:proofErr w:type="spellEnd"/>
      <w:r w:rsidR="0017174C" w:rsidRPr="001075BA">
        <w:rPr>
          <w:rFonts w:eastAsia="AdvGulliv-R"/>
          <w:lang w:val="en-GB"/>
        </w:rPr>
        <w:t>, J.P.</w:t>
      </w:r>
      <w:r w:rsidRPr="001075BA">
        <w:rPr>
          <w:rFonts w:eastAsia="AdvGulliv-R"/>
          <w:lang w:val="en-GB"/>
        </w:rPr>
        <w:t xml:space="preserve"> (2005). Microporous and heterogeneous surface adsorption isotherms arising from Levy distributions. </w:t>
      </w:r>
      <w:hyperlink r:id="rId40" w:history="1">
        <w:r w:rsidRPr="001075BA">
          <w:rPr>
            <w:rFonts w:eastAsia="AdvGulliv-R"/>
            <w:i/>
            <w:lang w:val="en-GB"/>
          </w:rPr>
          <w:t>Physica A: Statistical Mechanics and its Applications</w:t>
        </w:r>
      </w:hyperlink>
      <w:r w:rsidRPr="001075BA">
        <w:rPr>
          <w:rFonts w:eastAsia="AdvGulliv-R"/>
          <w:lang w:val="en-GB"/>
        </w:rPr>
        <w:t xml:space="preserve">, </w:t>
      </w:r>
      <w:r w:rsidRPr="001075BA">
        <w:rPr>
          <w:rFonts w:eastAsia="AdvGulliv-R"/>
          <w:i/>
          <w:lang w:val="en-GB"/>
        </w:rPr>
        <w:t>349</w:t>
      </w:r>
      <w:r w:rsidRPr="001075BA">
        <w:rPr>
          <w:rFonts w:eastAsia="AdvGulliv-R"/>
          <w:lang w:val="en-GB"/>
        </w:rPr>
        <w:t>(1), 271</w:t>
      </w:r>
      <w:r w:rsidR="0099084C">
        <w:rPr>
          <w:rFonts w:eastAsia="AdvGulliv-R"/>
          <w:lang w:val="en-GB"/>
        </w:rPr>
        <w:t>-</w:t>
      </w:r>
      <w:r w:rsidRPr="001075BA">
        <w:rPr>
          <w:rFonts w:eastAsia="AdvGulliv-R"/>
          <w:lang w:val="en-GB"/>
        </w:rPr>
        <w:t>282.</w:t>
      </w:r>
    </w:p>
    <w:p w14:paraId="2D649750" w14:textId="77777777" w:rsidR="008036DB" w:rsidRPr="0099084C" w:rsidRDefault="00DF49D6" w:rsidP="00717D12">
      <w:pPr>
        <w:pStyle w:val="Rlit"/>
        <w:rPr>
          <w:spacing w:val="-4"/>
          <w:lang w:val="en-GB"/>
        </w:rPr>
      </w:pPr>
      <w:r w:rsidRPr="0099084C">
        <w:rPr>
          <w:spacing w:val="-4"/>
          <w:shd w:val="clear" w:color="auto" w:fill="FFFFFF"/>
          <w:lang w:val="en-GB"/>
        </w:rPr>
        <w:t>Dubinin, M.</w:t>
      </w:r>
      <w:r w:rsidR="008036DB" w:rsidRPr="0099084C">
        <w:rPr>
          <w:spacing w:val="-4"/>
          <w:shd w:val="clear" w:color="auto" w:fill="FFFFFF"/>
          <w:lang w:val="en-GB"/>
        </w:rPr>
        <w:t>M. (1947). The equation of the characteristic curve of activated charcoal. In </w:t>
      </w:r>
      <w:proofErr w:type="spellStart"/>
      <w:r w:rsidRPr="0099084C">
        <w:rPr>
          <w:i/>
          <w:iCs/>
          <w:spacing w:val="-4"/>
          <w:shd w:val="clear" w:color="auto" w:fill="FFFFFF"/>
          <w:lang w:val="en-GB"/>
        </w:rPr>
        <w:t>Dokl</w:t>
      </w:r>
      <w:proofErr w:type="spellEnd"/>
      <w:r w:rsidRPr="0099084C">
        <w:rPr>
          <w:i/>
          <w:iCs/>
          <w:spacing w:val="-4"/>
          <w:shd w:val="clear" w:color="auto" w:fill="FFFFFF"/>
          <w:lang w:val="en-GB"/>
        </w:rPr>
        <w:t xml:space="preserve"> </w:t>
      </w:r>
      <w:proofErr w:type="spellStart"/>
      <w:r w:rsidRPr="0099084C">
        <w:rPr>
          <w:i/>
          <w:iCs/>
          <w:spacing w:val="-4"/>
          <w:shd w:val="clear" w:color="auto" w:fill="FFFFFF"/>
          <w:lang w:val="en-GB"/>
        </w:rPr>
        <w:t>Akad</w:t>
      </w:r>
      <w:proofErr w:type="spellEnd"/>
      <w:r w:rsidRPr="0099084C">
        <w:rPr>
          <w:i/>
          <w:iCs/>
          <w:spacing w:val="-4"/>
          <w:shd w:val="clear" w:color="auto" w:fill="FFFFFF"/>
          <w:lang w:val="en-GB"/>
        </w:rPr>
        <w:t xml:space="preserve"> </w:t>
      </w:r>
      <w:proofErr w:type="spellStart"/>
      <w:r w:rsidR="008036DB" w:rsidRPr="0099084C">
        <w:rPr>
          <w:i/>
          <w:iCs/>
          <w:spacing w:val="-4"/>
          <w:shd w:val="clear" w:color="auto" w:fill="FFFFFF"/>
          <w:lang w:val="en-GB"/>
        </w:rPr>
        <w:t>Nau</w:t>
      </w:r>
      <w:r w:rsidRPr="0099084C">
        <w:rPr>
          <w:i/>
          <w:iCs/>
          <w:spacing w:val="-4"/>
          <w:shd w:val="clear" w:color="auto" w:fill="FFFFFF"/>
          <w:lang w:val="en-GB"/>
        </w:rPr>
        <w:t>k</w:t>
      </w:r>
      <w:proofErr w:type="spellEnd"/>
      <w:r w:rsidRPr="0099084C">
        <w:rPr>
          <w:i/>
          <w:iCs/>
          <w:spacing w:val="-4"/>
          <w:shd w:val="clear" w:color="auto" w:fill="FFFFFF"/>
          <w:lang w:val="en-GB"/>
        </w:rPr>
        <w:t xml:space="preserve"> SSSR</w:t>
      </w:r>
      <w:r w:rsidRPr="0099084C">
        <w:rPr>
          <w:spacing w:val="-4"/>
          <w:shd w:val="clear" w:color="auto" w:fill="FFFFFF"/>
          <w:lang w:val="en-GB"/>
        </w:rPr>
        <w:t>, </w:t>
      </w:r>
      <w:r w:rsidRPr="0099084C">
        <w:rPr>
          <w:i/>
          <w:spacing w:val="-4"/>
          <w:shd w:val="clear" w:color="auto" w:fill="FFFFFF"/>
          <w:lang w:val="en-GB"/>
        </w:rPr>
        <w:t>55</w:t>
      </w:r>
      <w:r w:rsidRPr="0099084C">
        <w:rPr>
          <w:spacing w:val="-4"/>
          <w:shd w:val="clear" w:color="auto" w:fill="FFFFFF"/>
          <w:lang w:val="en-GB"/>
        </w:rPr>
        <w:t>, 327-329</w:t>
      </w:r>
      <w:r w:rsidR="008036DB" w:rsidRPr="0099084C">
        <w:rPr>
          <w:spacing w:val="-4"/>
          <w:shd w:val="clear" w:color="auto" w:fill="FFFFFF"/>
          <w:lang w:val="en-GB"/>
        </w:rPr>
        <w:t>.</w:t>
      </w:r>
    </w:p>
    <w:p w14:paraId="070D9CED" w14:textId="75C95B57" w:rsidR="00E0188B" w:rsidRPr="001075BA" w:rsidRDefault="008036DB" w:rsidP="00717D12">
      <w:pPr>
        <w:pStyle w:val="Rlit"/>
        <w:rPr>
          <w:lang w:val="en-GB"/>
        </w:rPr>
      </w:pPr>
      <w:r w:rsidRPr="001075BA">
        <w:rPr>
          <w:shd w:val="clear" w:color="auto" w:fill="FFFFFF"/>
          <w:lang w:val="en-GB"/>
        </w:rPr>
        <w:t>Filipkowska, U.</w:t>
      </w:r>
      <w:r w:rsidR="0017174C" w:rsidRPr="001075BA">
        <w:rPr>
          <w:shd w:val="clear" w:color="auto" w:fill="FFFFFF"/>
          <w:lang w:val="en-GB"/>
        </w:rPr>
        <w:t xml:space="preserve">, </w:t>
      </w:r>
      <w:proofErr w:type="spellStart"/>
      <w:r w:rsidR="0017174C" w:rsidRPr="001075BA">
        <w:rPr>
          <w:shd w:val="clear" w:color="auto" w:fill="FFFFFF"/>
          <w:lang w:val="en-GB"/>
        </w:rPr>
        <w:t>Klimiuk</w:t>
      </w:r>
      <w:proofErr w:type="spellEnd"/>
      <w:r w:rsidR="0017174C" w:rsidRPr="001075BA">
        <w:rPr>
          <w:shd w:val="clear" w:color="auto" w:fill="FFFFFF"/>
          <w:lang w:val="en-GB"/>
        </w:rPr>
        <w:t xml:space="preserve">, E., Grabowski, S., </w:t>
      </w:r>
      <w:r w:rsidRPr="001075BA">
        <w:rPr>
          <w:shd w:val="clear" w:color="auto" w:fill="FFFFFF"/>
          <w:lang w:val="en-GB"/>
        </w:rPr>
        <w:t>Siedlecka, E. (2002). Adsorption of reactive dyes by modified chitin from aqueous solutions. </w:t>
      </w:r>
      <w:r w:rsidRPr="001075BA">
        <w:rPr>
          <w:i/>
          <w:iCs/>
          <w:shd w:val="clear" w:color="auto" w:fill="FFFFFF"/>
          <w:lang w:val="en-GB"/>
        </w:rPr>
        <w:t>Polish Journal of Environmental Studies</w:t>
      </w:r>
      <w:r w:rsidRPr="001075BA">
        <w:rPr>
          <w:shd w:val="clear" w:color="auto" w:fill="FFFFFF"/>
          <w:lang w:val="en-GB"/>
        </w:rPr>
        <w:t>,</w:t>
      </w:r>
      <w:r w:rsidR="00717D12" w:rsidRPr="001075BA">
        <w:rPr>
          <w:shd w:val="clear" w:color="auto" w:fill="FFFFFF"/>
          <w:lang w:val="en-GB"/>
        </w:rPr>
        <w:t xml:space="preserve"> </w:t>
      </w:r>
      <w:r w:rsidRPr="001075BA">
        <w:rPr>
          <w:i/>
          <w:iCs/>
          <w:shd w:val="clear" w:color="auto" w:fill="FFFFFF"/>
          <w:lang w:val="en-GB"/>
        </w:rPr>
        <w:t>11</w:t>
      </w:r>
      <w:r w:rsidRPr="001075BA">
        <w:rPr>
          <w:shd w:val="clear" w:color="auto" w:fill="FFFFFF"/>
          <w:lang w:val="en-GB"/>
        </w:rPr>
        <w:t>(4), 315-324.</w:t>
      </w:r>
    </w:p>
    <w:p w14:paraId="3049E0CD" w14:textId="77777777" w:rsidR="008036DB" w:rsidRDefault="00DF49D6" w:rsidP="00717D12">
      <w:pPr>
        <w:pStyle w:val="Rlit"/>
        <w:rPr>
          <w:shd w:val="clear" w:color="auto" w:fill="FFFFFF"/>
          <w:lang w:val="en-GB"/>
        </w:rPr>
      </w:pPr>
      <w:r w:rsidRPr="001075BA">
        <w:rPr>
          <w:shd w:val="clear" w:color="auto" w:fill="FFFFFF"/>
          <w:lang w:val="en-GB"/>
        </w:rPr>
        <w:t>Freundlich, H.M.</w:t>
      </w:r>
      <w:r w:rsidR="008036DB" w:rsidRPr="001075BA">
        <w:rPr>
          <w:shd w:val="clear" w:color="auto" w:fill="FFFFFF"/>
          <w:lang w:val="en-GB"/>
        </w:rPr>
        <w:t xml:space="preserve">F. (1906). Over the adsorption in solution. </w:t>
      </w:r>
      <w:r w:rsidR="008036DB" w:rsidRPr="001075BA">
        <w:rPr>
          <w:i/>
          <w:shd w:val="clear" w:color="auto" w:fill="FFFFFF"/>
          <w:lang w:val="en-GB"/>
        </w:rPr>
        <w:t>Journal of Physical Chemistry</w:t>
      </w:r>
      <w:r w:rsidR="008036DB" w:rsidRPr="0099084C">
        <w:rPr>
          <w:iCs/>
          <w:shd w:val="clear" w:color="auto" w:fill="FFFFFF"/>
          <w:lang w:val="en-GB"/>
        </w:rPr>
        <w:t xml:space="preserve">, </w:t>
      </w:r>
      <w:r w:rsidR="008036DB" w:rsidRPr="001075BA">
        <w:rPr>
          <w:i/>
          <w:shd w:val="clear" w:color="auto" w:fill="FFFFFF"/>
          <w:lang w:val="en-GB"/>
        </w:rPr>
        <w:t>57</w:t>
      </w:r>
      <w:r w:rsidR="008036DB" w:rsidRPr="001075BA">
        <w:rPr>
          <w:shd w:val="clear" w:color="auto" w:fill="FFFFFF"/>
          <w:lang w:val="en-GB"/>
        </w:rPr>
        <w:t>(385471), 1100-1107.</w:t>
      </w:r>
    </w:p>
    <w:p w14:paraId="44CF15AA" w14:textId="76073540" w:rsidR="00A36887" w:rsidRPr="001075BA" w:rsidRDefault="00A36887" w:rsidP="00717D12">
      <w:pPr>
        <w:pStyle w:val="Rlit"/>
        <w:rPr>
          <w:lang w:val="en-GB"/>
        </w:rPr>
      </w:pPr>
      <w:r w:rsidRPr="00A36887">
        <w:rPr>
          <w:lang w:val="en-GB"/>
        </w:rPr>
        <w:lastRenderedPageBreak/>
        <w:t xml:space="preserve">Gupta, T., Ansari, K., </w:t>
      </w:r>
      <w:proofErr w:type="spellStart"/>
      <w:r w:rsidRPr="00A36887">
        <w:rPr>
          <w:lang w:val="en-GB"/>
        </w:rPr>
        <w:t>Lataye</w:t>
      </w:r>
      <w:proofErr w:type="spellEnd"/>
      <w:r w:rsidRPr="00A36887">
        <w:rPr>
          <w:lang w:val="en-GB"/>
        </w:rPr>
        <w:t xml:space="preserve">, D., Kadu, M., Khan, M. A., Mubarak, N. M., ... &amp; Karri, R. R. (2022). Adsorption of Indigo Carmine Dye by Acacia nilotica sawdust activated carbon in fixed bed column. </w:t>
      </w:r>
      <w:r w:rsidRPr="00A36887">
        <w:rPr>
          <w:i/>
          <w:iCs/>
          <w:lang w:val="en-GB"/>
        </w:rPr>
        <w:t>Scientific Reports</w:t>
      </w:r>
      <w:r w:rsidRPr="00A36887">
        <w:rPr>
          <w:lang w:val="en-GB"/>
        </w:rPr>
        <w:t xml:space="preserve">, </w:t>
      </w:r>
      <w:r w:rsidRPr="00A36887">
        <w:rPr>
          <w:i/>
          <w:iCs/>
          <w:lang w:val="en-GB"/>
        </w:rPr>
        <w:t>12</w:t>
      </w:r>
      <w:r w:rsidRPr="00A36887">
        <w:rPr>
          <w:lang w:val="en-GB"/>
        </w:rPr>
        <w:t>(1), 15522.</w:t>
      </w:r>
    </w:p>
    <w:p w14:paraId="1D41F4DD" w14:textId="5F86F4C3" w:rsidR="008036DB" w:rsidRPr="001075BA" w:rsidRDefault="008036DB" w:rsidP="00717D12">
      <w:pPr>
        <w:pStyle w:val="Rlit"/>
        <w:rPr>
          <w:lang w:val="en-GB"/>
        </w:rPr>
      </w:pPr>
      <w:r w:rsidRPr="001075BA">
        <w:rPr>
          <w:shd w:val="clear" w:color="auto" w:fill="FFFFFF"/>
          <w:lang w:val="en-GB"/>
        </w:rPr>
        <w:t>Garg, V.</w:t>
      </w:r>
      <w:r w:rsidR="0017174C" w:rsidRPr="001075BA">
        <w:rPr>
          <w:shd w:val="clear" w:color="auto" w:fill="FFFFFF"/>
          <w:lang w:val="en-GB"/>
        </w:rPr>
        <w:t xml:space="preserve">K., Gupta, R., Yadav, A.B., </w:t>
      </w:r>
      <w:r w:rsidRPr="001075BA">
        <w:rPr>
          <w:shd w:val="clear" w:color="auto" w:fill="FFFFFF"/>
          <w:lang w:val="en-GB"/>
        </w:rPr>
        <w:t>Kumar, R. (2003). Dye removal from aqueous solution by adsorption on treated sawdust. </w:t>
      </w:r>
      <w:r w:rsidRPr="001075BA">
        <w:rPr>
          <w:i/>
          <w:iCs/>
          <w:shd w:val="clear" w:color="auto" w:fill="FFFFFF"/>
          <w:lang w:val="en-GB"/>
        </w:rPr>
        <w:t xml:space="preserve">Bioresource </w:t>
      </w:r>
      <w:r w:rsidR="00DF49D6" w:rsidRPr="001075BA">
        <w:rPr>
          <w:i/>
          <w:iCs/>
          <w:shd w:val="clear" w:color="auto" w:fill="FFFFFF"/>
          <w:lang w:val="en-GB"/>
        </w:rPr>
        <w:t>T</w:t>
      </w:r>
      <w:r w:rsidRPr="001075BA">
        <w:rPr>
          <w:i/>
          <w:iCs/>
          <w:shd w:val="clear" w:color="auto" w:fill="FFFFFF"/>
          <w:lang w:val="en-GB"/>
        </w:rPr>
        <w:t>echnology</w:t>
      </w:r>
      <w:r w:rsidRPr="001075BA">
        <w:rPr>
          <w:shd w:val="clear" w:color="auto" w:fill="FFFFFF"/>
          <w:lang w:val="en-GB"/>
        </w:rPr>
        <w:t>, </w:t>
      </w:r>
      <w:r w:rsidRPr="001075BA">
        <w:rPr>
          <w:i/>
          <w:iCs/>
          <w:shd w:val="clear" w:color="auto" w:fill="FFFFFF"/>
          <w:lang w:val="en-GB"/>
        </w:rPr>
        <w:t>89</w:t>
      </w:r>
      <w:r w:rsidRPr="001075BA">
        <w:rPr>
          <w:shd w:val="clear" w:color="auto" w:fill="FFFFFF"/>
          <w:lang w:val="en-GB"/>
        </w:rPr>
        <w:t>(2), 121-124.</w:t>
      </w:r>
    </w:p>
    <w:p w14:paraId="065B7457" w14:textId="69A1E6F2" w:rsidR="008036DB" w:rsidRPr="001075BA" w:rsidRDefault="0017174C" w:rsidP="00717D12">
      <w:pPr>
        <w:pStyle w:val="Rlit"/>
        <w:rPr>
          <w:rFonts w:eastAsia="AdvGulliv-R"/>
          <w:lang w:val="en-GB"/>
        </w:rPr>
      </w:pPr>
      <w:r w:rsidRPr="001075BA">
        <w:rPr>
          <w:lang w:val="en-GB"/>
        </w:rPr>
        <w:t xml:space="preserve">Hameed, B.H., </w:t>
      </w:r>
      <w:r w:rsidR="008036DB" w:rsidRPr="001075BA">
        <w:rPr>
          <w:lang w:val="en-GB"/>
        </w:rPr>
        <w:t xml:space="preserve">EI-Khairy, M.I. (2008). Malachite green adsorption by rattan saw dust: Isotherm, kinetic and mechanism </w:t>
      </w:r>
      <w:proofErr w:type="spellStart"/>
      <w:r w:rsidR="008036DB" w:rsidRPr="001075BA">
        <w:rPr>
          <w:lang w:val="en-GB"/>
        </w:rPr>
        <w:t>modeling</w:t>
      </w:r>
      <w:proofErr w:type="spellEnd"/>
      <w:r w:rsidR="008036DB" w:rsidRPr="001075BA">
        <w:rPr>
          <w:lang w:val="en-GB"/>
        </w:rPr>
        <w:t xml:space="preserve">. </w:t>
      </w:r>
      <w:r w:rsidR="008036DB" w:rsidRPr="001075BA">
        <w:rPr>
          <w:i/>
          <w:lang w:val="en-GB"/>
        </w:rPr>
        <w:t xml:space="preserve">Journal of </w:t>
      </w:r>
      <w:r w:rsidR="008036DB" w:rsidRPr="001075BA">
        <w:rPr>
          <w:i/>
          <w:iCs/>
          <w:lang w:val="en-GB"/>
        </w:rPr>
        <w:t>Hazardous Materials</w:t>
      </w:r>
      <w:r w:rsidR="008036DB" w:rsidRPr="0099084C">
        <w:rPr>
          <w:lang w:val="en-GB"/>
        </w:rPr>
        <w:t xml:space="preserve">, </w:t>
      </w:r>
      <w:r w:rsidR="008036DB" w:rsidRPr="001075BA">
        <w:rPr>
          <w:i/>
          <w:lang w:val="en-GB"/>
        </w:rPr>
        <w:t>159</w:t>
      </w:r>
      <w:r w:rsidR="008036DB" w:rsidRPr="001075BA">
        <w:rPr>
          <w:lang w:val="en-GB"/>
        </w:rPr>
        <w:t>(2), 574-579</w:t>
      </w:r>
      <w:r w:rsidR="008036DB" w:rsidRPr="001075BA">
        <w:rPr>
          <w:rFonts w:eastAsia="AdvGulliv-R"/>
          <w:lang w:val="en-GB"/>
        </w:rPr>
        <w:t>.</w:t>
      </w:r>
    </w:p>
    <w:p w14:paraId="7D8AEDF7" w14:textId="5768C6DD" w:rsidR="008036DB" w:rsidRPr="001075BA" w:rsidRDefault="00DF49D6" w:rsidP="00717D12">
      <w:pPr>
        <w:pStyle w:val="Rlit"/>
        <w:rPr>
          <w:lang w:val="en-GB"/>
        </w:rPr>
      </w:pPr>
      <w:r w:rsidRPr="001075BA">
        <w:rPr>
          <w:shd w:val="clear" w:color="auto" w:fill="FFFFFF"/>
          <w:lang w:val="en-GB"/>
        </w:rPr>
        <w:t>Haris, M.</w:t>
      </w:r>
      <w:r w:rsidR="0017174C" w:rsidRPr="001075BA">
        <w:rPr>
          <w:shd w:val="clear" w:color="auto" w:fill="FFFFFF"/>
          <w:lang w:val="en-GB"/>
        </w:rPr>
        <w:t xml:space="preserve">R., </w:t>
      </w:r>
      <w:r w:rsidR="008036DB" w:rsidRPr="001075BA">
        <w:rPr>
          <w:shd w:val="clear" w:color="auto" w:fill="FFFFFF"/>
          <w:lang w:val="en-GB"/>
        </w:rPr>
        <w:t xml:space="preserve">Sathasivam, K. (2009). The removal of methyl red from aqueous solutions using banana </w:t>
      </w:r>
      <w:proofErr w:type="spellStart"/>
      <w:r w:rsidR="008036DB" w:rsidRPr="001075BA">
        <w:rPr>
          <w:shd w:val="clear" w:color="auto" w:fill="FFFFFF"/>
          <w:lang w:val="en-GB"/>
        </w:rPr>
        <w:t>pseudostem</w:t>
      </w:r>
      <w:proofErr w:type="spellEnd"/>
      <w:r w:rsidR="008036DB" w:rsidRPr="001075BA">
        <w:rPr>
          <w:shd w:val="clear" w:color="auto" w:fill="FFFFFF"/>
          <w:lang w:val="en-GB"/>
        </w:rPr>
        <w:t xml:space="preserve"> </w:t>
      </w:r>
      <w:proofErr w:type="spellStart"/>
      <w:r w:rsidR="008036DB" w:rsidRPr="001075BA">
        <w:rPr>
          <w:shd w:val="clear" w:color="auto" w:fill="FFFFFF"/>
          <w:lang w:val="en-GB"/>
        </w:rPr>
        <w:t>fibers</w:t>
      </w:r>
      <w:proofErr w:type="spellEnd"/>
      <w:r w:rsidR="008036DB" w:rsidRPr="001075BA">
        <w:rPr>
          <w:shd w:val="clear" w:color="auto" w:fill="FFFFFF"/>
          <w:lang w:val="en-GB"/>
        </w:rPr>
        <w:t>.</w:t>
      </w:r>
      <w:r w:rsidR="00717D12" w:rsidRPr="001075BA">
        <w:rPr>
          <w:shd w:val="clear" w:color="auto" w:fill="FFFFFF"/>
          <w:lang w:val="en-GB"/>
        </w:rPr>
        <w:t xml:space="preserve"> </w:t>
      </w:r>
      <w:r w:rsidR="008036DB" w:rsidRPr="001075BA">
        <w:rPr>
          <w:i/>
          <w:iCs/>
          <w:shd w:val="clear" w:color="auto" w:fill="FFFFFF"/>
          <w:lang w:val="en-GB"/>
        </w:rPr>
        <w:t>American Journal of Applied Sciences</w:t>
      </w:r>
      <w:r w:rsidR="008036DB" w:rsidRPr="001075BA">
        <w:rPr>
          <w:shd w:val="clear" w:color="auto" w:fill="FFFFFF"/>
          <w:lang w:val="en-GB"/>
        </w:rPr>
        <w:t>, </w:t>
      </w:r>
      <w:r w:rsidR="008036DB" w:rsidRPr="001075BA">
        <w:rPr>
          <w:i/>
          <w:iCs/>
          <w:shd w:val="clear" w:color="auto" w:fill="FFFFFF"/>
          <w:lang w:val="en-GB"/>
        </w:rPr>
        <w:t>6</w:t>
      </w:r>
      <w:r w:rsidR="008036DB" w:rsidRPr="001075BA">
        <w:rPr>
          <w:shd w:val="clear" w:color="auto" w:fill="FFFFFF"/>
          <w:lang w:val="en-GB"/>
        </w:rPr>
        <w:t>(9), 1690.</w:t>
      </w:r>
    </w:p>
    <w:p w14:paraId="4A4D425D" w14:textId="77777777" w:rsidR="00717D12" w:rsidRPr="001075BA" w:rsidRDefault="0017174C" w:rsidP="00717D12">
      <w:pPr>
        <w:pStyle w:val="Rlit"/>
        <w:rPr>
          <w:shd w:val="clear" w:color="auto" w:fill="FFFFFF"/>
          <w:lang w:val="en-GB"/>
        </w:rPr>
      </w:pPr>
      <w:r w:rsidRPr="001075BA">
        <w:rPr>
          <w:shd w:val="clear" w:color="auto" w:fill="FFFFFF"/>
          <w:lang w:val="en-GB"/>
        </w:rPr>
        <w:t xml:space="preserve">Hiroyuki, H., Hideki, N., </w:t>
      </w:r>
      <w:r w:rsidR="008036DB" w:rsidRPr="001075BA">
        <w:rPr>
          <w:shd w:val="clear" w:color="auto" w:fill="FFFFFF"/>
          <w:lang w:val="en-GB"/>
        </w:rPr>
        <w:t>Kataoka, T. (1994). Adsorption of BSA on strongly basic chitosan–</w:t>
      </w:r>
      <w:proofErr w:type="spellStart"/>
      <w:r w:rsidR="008036DB" w:rsidRPr="001075BA">
        <w:rPr>
          <w:shd w:val="clear" w:color="auto" w:fill="FFFFFF"/>
          <w:lang w:val="en-GB"/>
        </w:rPr>
        <w:t>eqiulibria</w:t>
      </w:r>
      <w:proofErr w:type="spellEnd"/>
      <w:r w:rsidR="008036DB" w:rsidRPr="001075BA">
        <w:rPr>
          <w:shd w:val="clear" w:color="auto" w:fill="FFFFFF"/>
          <w:lang w:val="en-GB"/>
        </w:rPr>
        <w:t>. </w:t>
      </w:r>
      <w:r w:rsidR="008036DB" w:rsidRPr="001075BA">
        <w:rPr>
          <w:i/>
          <w:iCs/>
          <w:shd w:val="clear" w:color="auto" w:fill="FFFFFF"/>
          <w:lang w:val="en-GB"/>
        </w:rPr>
        <w:t>Biotechnology and Bioengineering</w:t>
      </w:r>
      <w:r w:rsidR="008036DB" w:rsidRPr="001075BA">
        <w:rPr>
          <w:shd w:val="clear" w:color="auto" w:fill="FFFFFF"/>
          <w:lang w:val="en-GB"/>
        </w:rPr>
        <w:t>, </w:t>
      </w:r>
      <w:r w:rsidR="008036DB" w:rsidRPr="001075BA">
        <w:rPr>
          <w:i/>
          <w:iCs/>
          <w:shd w:val="clear" w:color="auto" w:fill="FFFFFF"/>
          <w:lang w:val="en-GB"/>
        </w:rPr>
        <w:t>43</w:t>
      </w:r>
      <w:r w:rsidR="008036DB" w:rsidRPr="001075BA">
        <w:rPr>
          <w:shd w:val="clear" w:color="auto" w:fill="FFFFFF"/>
          <w:lang w:val="en-GB"/>
        </w:rPr>
        <w:t>, 1087-1093.</w:t>
      </w:r>
    </w:p>
    <w:p w14:paraId="55D81E0E" w14:textId="0325C9E1" w:rsidR="008036DB" w:rsidRPr="0099084C" w:rsidRDefault="0017174C" w:rsidP="00717D12">
      <w:pPr>
        <w:pStyle w:val="Rlit"/>
        <w:rPr>
          <w:spacing w:val="-2"/>
          <w:lang w:val="en-GB"/>
        </w:rPr>
      </w:pPr>
      <w:r w:rsidRPr="0099084C">
        <w:rPr>
          <w:spacing w:val="-2"/>
          <w:lang w:val="en-GB"/>
        </w:rPr>
        <w:t>Ho, Y.S., McKay, G. (1998).</w:t>
      </w:r>
      <w:r w:rsidR="008036DB" w:rsidRPr="0099084C">
        <w:rPr>
          <w:spacing w:val="-2"/>
          <w:lang w:val="en-GB"/>
        </w:rPr>
        <w:t xml:space="preserve"> Sorption of dye from aqueous solution by peat. </w:t>
      </w:r>
      <w:r w:rsidR="008036DB" w:rsidRPr="0099084C">
        <w:rPr>
          <w:i/>
          <w:spacing w:val="-2"/>
          <w:lang w:val="en-GB"/>
        </w:rPr>
        <w:t>Chemical Engineering Journal</w:t>
      </w:r>
      <w:r w:rsidR="008036DB" w:rsidRPr="0099084C">
        <w:rPr>
          <w:spacing w:val="-2"/>
          <w:lang w:val="en-GB"/>
        </w:rPr>
        <w:t xml:space="preserve">, </w:t>
      </w:r>
      <w:r w:rsidR="008036DB" w:rsidRPr="0099084C">
        <w:rPr>
          <w:i/>
          <w:spacing w:val="-2"/>
          <w:lang w:val="en-GB"/>
        </w:rPr>
        <w:t>70</w:t>
      </w:r>
      <w:r w:rsidR="008036DB" w:rsidRPr="0099084C">
        <w:rPr>
          <w:spacing w:val="-2"/>
          <w:lang w:val="en-GB"/>
        </w:rPr>
        <w:t>(2), 115-124.</w:t>
      </w:r>
    </w:p>
    <w:p w14:paraId="75030B17" w14:textId="32C72C76" w:rsidR="008036DB" w:rsidRPr="001075BA" w:rsidRDefault="008036DB" w:rsidP="00717D12">
      <w:pPr>
        <w:pStyle w:val="Rlit"/>
        <w:rPr>
          <w:lang w:val="en-GB"/>
        </w:rPr>
      </w:pPr>
      <w:r w:rsidRPr="001075BA">
        <w:rPr>
          <w:shd w:val="clear" w:color="auto" w:fill="FFFFFF"/>
          <w:lang w:val="en-GB"/>
        </w:rPr>
        <w:t>Jovanović, D.S. (1969). Physical adsorption of gases. </w:t>
      </w:r>
      <w:r w:rsidRPr="001075BA">
        <w:rPr>
          <w:i/>
          <w:iCs/>
          <w:shd w:val="clear" w:color="auto" w:fill="FFFFFF"/>
          <w:lang w:val="en-GB"/>
        </w:rPr>
        <w:t>Kolloid-</w:t>
      </w:r>
      <w:proofErr w:type="spellStart"/>
      <w:r w:rsidRPr="001075BA">
        <w:rPr>
          <w:i/>
          <w:iCs/>
          <w:shd w:val="clear" w:color="auto" w:fill="FFFFFF"/>
          <w:lang w:val="en-GB"/>
        </w:rPr>
        <w:t>Zeitschrift</w:t>
      </w:r>
      <w:proofErr w:type="spellEnd"/>
      <w:r w:rsidRPr="001075BA">
        <w:rPr>
          <w:i/>
          <w:iCs/>
          <w:shd w:val="clear" w:color="auto" w:fill="FFFFFF"/>
          <w:lang w:val="en-GB"/>
        </w:rPr>
        <w:t xml:space="preserve"> und </w:t>
      </w:r>
      <w:proofErr w:type="spellStart"/>
      <w:r w:rsidRPr="001075BA">
        <w:rPr>
          <w:i/>
          <w:iCs/>
          <w:shd w:val="clear" w:color="auto" w:fill="FFFFFF"/>
          <w:lang w:val="en-GB"/>
        </w:rPr>
        <w:t>Zeitschrift</w:t>
      </w:r>
      <w:proofErr w:type="spellEnd"/>
      <w:r w:rsidRPr="001075BA">
        <w:rPr>
          <w:i/>
          <w:iCs/>
          <w:shd w:val="clear" w:color="auto" w:fill="FFFFFF"/>
          <w:lang w:val="en-GB"/>
        </w:rPr>
        <w:t xml:space="preserve"> für </w:t>
      </w:r>
      <w:proofErr w:type="spellStart"/>
      <w:r w:rsidRPr="001075BA">
        <w:rPr>
          <w:i/>
          <w:iCs/>
          <w:shd w:val="clear" w:color="auto" w:fill="FFFFFF"/>
          <w:lang w:val="en-GB"/>
        </w:rPr>
        <w:t>Polymere</w:t>
      </w:r>
      <w:proofErr w:type="spellEnd"/>
      <w:r w:rsidRPr="001075BA">
        <w:rPr>
          <w:shd w:val="clear" w:color="auto" w:fill="FFFFFF"/>
          <w:lang w:val="en-GB"/>
        </w:rPr>
        <w:t>, </w:t>
      </w:r>
      <w:r w:rsidRPr="001075BA">
        <w:rPr>
          <w:i/>
          <w:iCs/>
          <w:shd w:val="clear" w:color="auto" w:fill="FFFFFF"/>
          <w:lang w:val="en-GB"/>
        </w:rPr>
        <w:t>235</w:t>
      </w:r>
      <w:r w:rsidRPr="001075BA">
        <w:rPr>
          <w:shd w:val="clear" w:color="auto" w:fill="FFFFFF"/>
          <w:lang w:val="en-GB"/>
        </w:rPr>
        <w:t>(1), 1203-1213.</w:t>
      </w:r>
    </w:p>
    <w:p w14:paraId="10CD55C4" w14:textId="155B8484" w:rsidR="008036DB" w:rsidRPr="001075BA" w:rsidRDefault="008036DB" w:rsidP="00717D12">
      <w:pPr>
        <w:pStyle w:val="Rlit"/>
        <w:rPr>
          <w:shd w:val="clear" w:color="auto" w:fill="FFFFFF"/>
          <w:lang w:val="en-GB"/>
        </w:rPr>
      </w:pPr>
      <w:proofErr w:type="spellStart"/>
      <w:r w:rsidRPr="001075BA">
        <w:rPr>
          <w:shd w:val="clear" w:color="auto" w:fill="FFFFFF"/>
          <w:lang w:val="en-GB"/>
        </w:rPr>
        <w:t>Kadirvelu</w:t>
      </w:r>
      <w:proofErr w:type="spellEnd"/>
      <w:r w:rsidRPr="001075BA">
        <w:rPr>
          <w:shd w:val="clear" w:color="auto" w:fill="FFFFFF"/>
          <w:lang w:val="en-GB"/>
        </w:rPr>
        <w:t xml:space="preserve">, K., Kavipriya, M., Karthika, C., </w:t>
      </w:r>
      <w:r w:rsidR="0017174C" w:rsidRPr="001075BA">
        <w:rPr>
          <w:shd w:val="clear" w:color="auto" w:fill="FFFFFF"/>
          <w:lang w:val="en-GB"/>
        </w:rPr>
        <w:t xml:space="preserve">Radhika, M., Vennilamani, N., </w:t>
      </w:r>
      <w:proofErr w:type="spellStart"/>
      <w:r w:rsidRPr="001075BA">
        <w:rPr>
          <w:shd w:val="clear" w:color="auto" w:fill="FFFFFF"/>
          <w:lang w:val="en-GB"/>
        </w:rPr>
        <w:t>Pattabhi</w:t>
      </w:r>
      <w:proofErr w:type="spellEnd"/>
      <w:r w:rsidRPr="001075BA">
        <w:rPr>
          <w:shd w:val="clear" w:color="auto" w:fill="FFFFFF"/>
          <w:lang w:val="en-GB"/>
        </w:rPr>
        <w:t>, S. (2003). Utili</w:t>
      </w:r>
      <w:r w:rsidR="00971179">
        <w:rPr>
          <w:shd w:val="clear" w:color="auto" w:fill="FFFFFF"/>
          <w:lang w:val="en-GB"/>
        </w:rPr>
        <w:t>s</w:t>
      </w:r>
      <w:r w:rsidRPr="001075BA">
        <w:rPr>
          <w:shd w:val="clear" w:color="auto" w:fill="FFFFFF"/>
          <w:lang w:val="en-GB"/>
        </w:rPr>
        <w:t>ation of various agricultural wastes for activated carbon preparation and application for the removal of dyes and metal ions from aqueous solutions. </w:t>
      </w:r>
      <w:r w:rsidRPr="001075BA">
        <w:rPr>
          <w:i/>
          <w:iCs/>
          <w:shd w:val="clear" w:color="auto" w:fill="FFFFFF"/>
          <w:lang w:val="en-GB"/>
        </w:rPr>
        <w:t xml:space="preserve">Bioresource </w:t>
      </w:r>
      <w:r w:rsidR="00DF49D6" w:rsidRPr="001075BA">
        <w:rPr>
          <w:i/>
          <w:iCs/>
          <w:shd w:val="clear" w:color="auto" w:fill="FFFFFF"/>
          <w:lang w:val="en-GB"/>
        </w:rPr>
        <w:t>T</w:t>
      </w:r>
      <w:r w:rsidRPr="001075BA">
        <w:rPr>
          <w:i/>
          <w:iCs/>
          <w:shd w:val="clear" w:color="auto" w:fill="FFFFFF"/>
          <w:lang w:val="en-GB"/>
        </w:rPr>
        <w:t>echnology</w:t>
      </w:r>
      <w:r w:rsidRPr="001075BA">
        <w:rPr>
          <w:shd w:val="clear" w:color="auto" w:fill="FFFFFF"/>
          <w:lang w:val="en-GB"/>
        </w:rPr>
        <w:t>, </w:t>
      </w:r>
      <w:r w:rsidRPr="001075BA">
        <w:rPr>
          <w:i/>
          <w:iCs/>
          <w:shd w:val="clear" w:color="auto" w:fill="FFFFFF"/>
          <w:lang w:val="en-GB"/>
        </w:rPr>
        <w:t>87</w:t>
      </w:r>
      <w:r w:rsidRPr="001075BA">
        <w:rPr>
          <w:shd w:val="clear" w:color="auto" w:fill="FFFFFF"/>
          <w:lang w:val="en-GB"/>
        </w:rPr>
        <w:t>(1), 129-132.</w:t>
      </w:r>
    </w:p>
    <w:p w14:paraId="305FE824" w14:textId="77777777" w:rsidR="008036DB" w:rsidRPr="001075BA" w:rsidRDefault="0017174C" w:rsidP="00717D12">
      <w:pPr>
        <w:pStyle w:val="Rlit"/>
        <w:rPr>
          <w:shd w:val="clear" w:color="auto" w:fill="FFFFFF"/>
          <w:lang w:val="en-GB"/>
        </w:rPr>
      </w:pPr>
      <w:r w:rsidRPr="001075BA">
        <w:rPr>
          <w:lang w:val="en-GB"/>
        </w:rPr>
        <w:t>Lagergren, S. (1898).</w:t>
      </w:r>
      <w:r w:rsidR="008036DB" w:rsidRPr="001075BA">
        <w:rPr>
          <w:lang w:val="en-GB"/>
        </w:rPr>
        <w:t xml:space="preserve"> About the theory of so-called adsorption of soluble substances. </w:t>
      </w:r>
      <w:r w:rsidR="008036DB" w:rsidRPr="001075BA">
        <w:rPr>
          <w:i/>
          <w:lang w:val="en-GB"/>
        </w:rPr>
        <w:t xml:space="preserve">Kungliga Svenska </w:t>
      </w:r>
      <w:proofErr w:type="spellStart"/>
      <w:r w:rsidR="008036DB" w:rsidRPr="001075BA">
        <w:rPr>
          <w:i/>
          <w:lang w:val="en-GB"/>
        </w:rPr>
        <w:t>Vetenskapsakademiens</w:t>
      </w:r>
      <w:proofErr w:type="spellEnd"/>
      <w:r w:rsidR="008036DB" w:rsidRPr="001075BA">
        <w:rPr>
          <w:i/>
          <w:lang w:val="en-GB"/>
        </w:rPr>
        <w:t xml:space="preserve"> </w:t>
      </w:r>
      <w:proofErr w:type="spellStart"/>
      <w:r w:rsidR="008036DB" w:rsidRPr="001075BA">
        <w:rPr>
          <w:i/>
          <w:lang w:val="en-GB"/>
        </w:rPr>
        <w:t>Handlingar</w:t>
      </w:r>
      <w:proofErr w:type="spellEnd"/>
      <w:r w:rsidR="008036DB" w:rsidRPr="0099084C">
        <w:rPr>
          <w:bCs/>
          <w:iCs/>
          <w:lang w:val="en-GB"/>
        </w:rPr>
        <w:t>,</w:t>
      </w:r>
      <w:r w:rsidR="008036DB" w:rsidRPr="001075BA">
        <w:rPr>
          <w:lang w:val="en-GB"/>
        </w:rPr>
        <w:t xml:space="preserve"> </w:t>
      </w:r>
      <w:r w:rsidR="008036DB" w:rsidRPr="001075BA">
        <w:rPr>
          <w:i/>
          <w:lang w:val="en-GB"/>
        </w:rPr>
        <w:t>24</w:t>
      </w:r>
      <w:r w:rsidR="008036DB" w:rsidRPr="001075BA">
        <w:rPr>
          <w:lang w:val="en-GB"/>
        </w:rPr>
        <w:t>, 1-39.</w:t>
      </w:r>
    </w:p>
    <w:p w14:paraId="6A597FCC" w14:textId="36D4D8E6" w:rsidR="008036DB" w:rsidRPr="001075BA" w:rsidRDefault="0017174C" w:rsidP="00717D12">
      <w:pPr>
        <w:pStyle w:val="Rlit"/>
        <w:rPr>
          <w:lang w:val="en-GB"/>
        </w:rPr>
      </w:pPr>
      <w:r w:rsidRPr="001075BA">
        <w:rPr>
          <w:lang w:val="en-GB"/>
        </w:rPr>
        <w:t>Langmuir, I. (1916).</w:t>
      </w:r>
      <w:r w:rsidR="008036DB" w:rsidRPr="001075BA">
        <w:rPr>
          <w:lang w:val="en-GB"/>
        </w:rPr>
        <w:t xml:space="preserve"> The constitution and fundamental properties of solids and liquids. </w:t>
      </w:r>
      <w:r w:rsidR="008036DB" w:rsidRPr="001075BA">
        <w:rPr>
          <w:i/>
          <w:lang w:val="en-GB"/>
        </w:rPr>
        <w:t>Journal of the American Chemical Society</w:t>
      </w:r>
      <w:r w:rsidR="008036DB" w:rsidRPr="001075BA">
        <w:rPr>
          <w:lang w:val="en-GB"/>
        </w:rPr>
        <w:t xml:space="preserve">, </w:t>
      </w:r>
      <w:r w:rsidR="008036DB" w:rsidRPr="001075BA">
        <w:rPr>
          <w:i/>
          <w:lang w:val="en-GB"/>
        </w:rPr>
        <w:t>38</w:t>
      </w:r>
      <w:r w:rsidR="008036DB" w:rsidRPr="001075BA">
        <w:rPr>
          <w:lang w:val="en-GB"/>
        </w:rPr>
        <w:t>(11), 2221</w:t>
      </w:r>
      <w:r w:rsidR="0099084C">
        <w:rPr>
          <w:lang w:val="en-GB"/>
        </w:rPr>
        <w:t>-</w:t>
      </w:r>
      <w:r w:rsidR="008036DB" w:rsidRPr="001075BA">
        <w:rPr>
          <w:lang w:val="en-GB"/>
        </w:rPr>
        <w:t>2295.</w:t>
      </w:r>
    </w:p>
    <w:p w14:paraId="0688A355" w14:textId="184AAC15" w:rsidR="008036DB" w:rsidRPr="0099084C" w:rsidRDefault="00DF49D6" w:rsidP="00717D12">
      <w:pPr>
        <w:pStyle w:val="Rlit"/>
        <w:rPr>
          <w:spacing w:val="-2"/>
          <w:lang w:val="en-GB"/>
        </w:rPr>
      </w:pPr>
      <w:r w:rsidRPr="0099084C">
        <w:rPr>
          <w:spacing w:val="-2"/>
          <w:shd w:val="clear" w:color="auto" w:fill="FFFFFF"/>
          <w:lang w:val="en-GB"/>
        </w:rPr>
        <w:t>Mane, V.S., Mall, I.</w:t>
      </w:r>
      <w:r w:rsidR="0017174C" w:rsidRPr="0099084C">
        <w:rPr>
          <w:spacing w:val="-2"/>
          <w:shd w:val="clear" w:color="auto" w:fill="FFFFFF"/>
          <w:lang w:val="en-GB"/>
        </w:rPr>
        <w:t xml:space="preserve">D., </w:t>
      </w:r>
      <w:r w:rsidRPr="0099084C">
        <w:rPr>
          <w:spacing w:val="-2"/>
          <w:shd w:val="clear" w:color="auto" w:fill="FFFFFF"/>
          <w:lang w:val="en-GB"/>
        </w:rPr>
        <w:t>Srivastava, V.</w:t>
      </w:r>
      <w:r w:rsidR="008036DB" w:rsidRPr="0099084C">
        <w:rPr>
          <w:spacing w:val="-2"/>
          <w:shd w:val="clear" w:color="auto" w:fill="FFFFFF"/>
          <w:lang w:val="en-GB"/>
        </w:rPr>
        <w:t>C. (2007). Kinetic and equilibrium isotherm studies for the adsorptive removal of Brilliant Green dye from aqueous solution by rice husk ash. </w:t>
      </w:r>
      <w:r w:rsidR="008036DB" w:rsidRPr="0099084C">
        <w:rPr>
          <w:i/>
          <w:iCs/>
          <w:spacing w:val="-2"/>
          <w:shd w:val="clear" w:color="auto" w:fill="FFFFFF"/>
          <w:lang w:val="en-GB"/>
        </w:rPr>
        <w:t>Journal of Environmental Management</w:t>
      </w:r>
      <w:r w:rsidR="008036DB" w:rsidRPr="0099084C">
        <w:rPr>
          <w:spacing w:val="-2"/>
          <w:shd w:val="clear" w:color="auto" w:fill="FFFFFF"/>
          <w:lang w:val="en-GB"/>
        </w:rPr>
        <w:t>, </w:t>
      </w:r>
      <w:r w:rsidR="008036DB" w:rsidRPr="0099084C">
        <w:rPr>
          <w:i/>
          <w:iCs/>
          <w:spacing w:val="-2"/>
          <w:shd w:val="clear" w:color="auto" w:fill="FFFFFF"/>
          <w:lang w:val="en-GB"/>
        </w:rPr>
        <w:t>84</w:t>
      </w:r>
      <w:r w:rsidR="008036DB" w:rsidRPr="0099084C">
        <w:rPr>
          <w:spacing w:val="-2"/>
          <w:shd w:val="clear" w:color="auto" w:fill="FFFFFF"/>
          <w:lang w:val="en-GB"/>
        </w:rPr>
        <w:t>(4), 390-400.</w:t>
      </w:r>
    </w:p>
    <w:p w14:paraId="42EEAEC6" w14:textId="4BE99E21" w:rsidR="008036DB" w:rsidRPr="0099084C" w:rsidRDefault="0017174C" w:rsidP="00717D12">
      <w:pPr>
        <w:pStyle w:val="Rlit"/>
        <w:rPr>
          <w:spacing w:val="-2"/>
          <w:lang w:val="en-GB"/>
        </w:rPr>
      </w:pPr>
      <w:r w:rsidRPr="0099084C">
        <w:rPr>
          <w:spacing w:val="-2"/>
          <w:shd w:val="clear" w:color="auto" w:fill="FFFFFF"/>
          <w:lang w:val="en-GB"/>
        </w:rPr>
        <w:t xml:space="preserve">Mittal, A., Kaur, D., </w:t>
      </w:r>
      <w:r w:rsidR="008036DB" w:rsidRPr="0099084C">
        <w:rPr>
          <w:spacing w:val="-2"/>
          <w:shd w:val="clear" w:color="auto" w:fill="FFFFFF"/>
          <w:lang w:val="en-GB"/>
        </w:rPr>
        <w:t>Mittal, J. (2008). Applicability of waste materials</w:t>
      </w:r>
      <w:r w:rsidR="0099084C" w:rsidRPr="0099084C">
        <w:rPr>
          <w:spacing w:val="-2"/>
          <w:shd w:val="clear" w:color="auto" w:fill="FFFFFF"/>
          <w:lang w:val="en-GB"/>
        </w:rPr>
        <w:t xml:space="preserve"> – </w:t>
      </w:r>
      <w:r w:rsidR="008036DB" w:rsidRPr="0099084C">
        <w:rPr>
          <w:spacing w:val="-2"/>
          <w:shd w:val="clear" w:color="auto" w:fill="FFFFFF"/>
          <w:lang w:val="en-GB"/>
        </w:rPr>
        <w:t xml:space="preserve">bottom ash and </w:t>
      </w:r>
      <w:proofErr w:type="spellStart"/>
      <w:r w:rsidR="008036DB" w:rsidRPr="0099084C">
        <w:rPr>
          <w:spacing w:val="-2"/>
          <w:shd w:val="clear" w:color="auto" w:fill="FFFFFF"/>
          <w:lang w:val="en-GB"/>
        </w:rPr>
        <w:t>deoiled</w:t>
      </w:r>
      <w:proofErr w:type="spellEnd"/>
      <w:r w:rsidR="008036DB" w:rsidRPr="0099084C">
        <w:rPr>
          <w:spacing w:val="-2"/>
          <w:shd w:val="clear" w:color="auto" w:fill="FFFFFF"/>
          <w:lang w:val="en-GB"/>
        </w:rPr>
        <w:t xml:space="preserve"> soya</w:t>
      </w:r>
      <w:r w:rsidR="0099084C" w:rsidRPr="0099084C">
        <w:rPr>
          <w:spacing w:val="-2"/>
          <w:shd w:val="clear" w:color="auto" w:fill="FFFFFF"/>
          <w:lang w:val="en-GB"/>
        </w:rPr>
        <w:t xml:space="preserve"> – </w:t>
      </w:r>
      <w:r w:rsidR="008036DB" w:rsidRPr="0099084C">
        <w:rPr>
          <w:spacing w:val="-2"/>
          <w:shd w:val="clear" w:color="auto" w:fill="FFFFFF"/>
          <w:lang w:val="en-GB"/>
        </w:rPr>
        <w:t>as adsorbents for the removal and recovery of a hazardous dye, brilliant green. </w:t>
      </w:r>
      <w:r w:rsidR="008036DB" w:rsidRPr="0099084C">
        <w:rPr>
          <w:i/>
          <w:iCs/>
          <w:spacing w:val="-2"/>
          <w:shd w:val="clear" w:color="auto" w:fill="FFFFFF"/>
          <w:lang w:val="en-GB"/>
        </w:rPr>
        <w:t>Journal of Colloid and Interface Science</w:t>
      </w:r>
      <w:r w:rsidR="008036DB" w:rsidRPr="0099084C">
        <w:rPr>
          <w:spacing w:val="-2"/>
          <w:shd w:val="clear" w:color="auto" w:fill="FFFFFF"/>
          <w:lang w:val="en-GB"/>
        </w:rPr>
        <w:t>, </w:t>
      </w:r>
      <w:r w:rsidR="008036DB" w:rsidRPr="0099084C">
        <w:rPr>
          <w:i/>
          <w:iCs/>
          <w:spacing w:val="-2"/>
          <w:shd w:val="clear" w:color="auto" w:fill="FFFFFF"/>
          <w:lang w:val="en-GB"/>
        </w:rPr>
        <w:t>326</w:t>
      </w:r>
      <w:r w:rsidR="008036DB" w:rsidRPr="0099084C">
        <w:rPr>
          <w:spacing w:val="-2"/>
          <w:shd w:val="clear" w:color="auto" w:fill="FFFFFF"/>
          <w:lang w:val="en-GB"/>
        </w:rPr>
        <w:t>(1), 8-17.</w:t>
      </w:r>
    </w:p>
    <w:p w14:paraId="59B3B2ED" w14:textId="77777777" w:rsidR="008036DB" w:rsidRPr="001075BA" w:rsidRDefault="0017174C" w:rsidP="00717D12">
      <w:pPr>
        <w:pStyle w:val="Rlit"/>
        <w:rPr>
          <w:shd w:val="clear" w:color="auto" w:fill="FFFFFF"/>
          <w:lang w:val="en-GB"/>
        </w:rPr>
      </w:pPr>
      <w:proofErr w:type="spellStart"/>
      <w:r w:rsidRPr="001075BA">
        <w:rPr>
          <w:shd w:val="clear" w:color="auto" w:fill="FFFFFF"/>
          <w:lang w:val="en-GB"/>
        </w:rPr>
        <w:t>Namasivayam</w:t>
      </w:r>
      <w:proofErr w:type="spellEnd"/>
      <w:r w:rsidRPr="001075BA">
        <w:rPr>
          <w:shd w:val="clear" w:color="auto" w:fill="FFFFFF"/>
          <w:lang w:val="en-GB"/>
        </w:rPr>
        <w:t xml:space="preserve">, C., Radhika, R., </w:t>
      </w:r>
      <w:r w:rsidR="008036DB" w:rsidRPr="001075BA">
        <w:rPr>
          <w:shd w:val="clear" w:color="auto" w:fill="FFFFFF"/>
          <w:lang w:val="en-GB"/>
        </w:rPr>
        <w:t>Suba, S. (2001). Uptake of dyes by a promising locally available agricultural solid waste: coir pith. </w:t>
      </w:r>
      <w:r w:rsidR="008036DB" w:rsidRPr="001075BA">
        <w:rPr>
          <w:i/>
          <w:iCs/>
          <w:shd w:val="clear" w:color="auto" w:fill="FFFFFF"/>
          <w:lang w:val="en-GB"/>
        </w:rPr>
        <w:t xml:space="preserve">Waste </w:t>
      </w:r>
      <w:r w:rsidR="00695988" w:rsidRPr="001075BA">
        <w:rPr>
          <w:i/>
          <w:iCs/>
          <w:shd w:val="clear" w:color="auto" w:fill="FFFFFF"/>
          <w:lang w:val="en-GB"/>
        </w:rPr>
        <w:t>M</w:t>
      </w:r>
      <w:r w:rsidR="008036DB" w:rsidRPr="001075BA">
        <w:rPr>
          <w:i/>
          <w:iCs/>
          <w:shd w:val="clear" w:color="auto" w:fill="FFFFFF"/>
          <w:lang w:val="en-GB"/>
        </w:rPr>
        <w:t>anagement</w:t>
      </w:r>
      <w:r w:rsidR="008036DB" w:rsidRPr="001075BA">
        <w:rPr>
          <w:shd w:val="clear" w:color="auto" w:fill="FFFFFF"/>
          <w:lang w:val="en-GB"/>
        </w:rPr>
        <w:t>, </w:t>
      </w:r>
      <w:r w:rsidR="008036DB" w:rsidRPr="001075BA">
        <w:rPr>
          <w:i/>
          <w:iCs/>
          <w:shd w:val="clear" w:color="auto" w:fill="FFFFFF"/>
          <w:lang w:val="en-GB"/>
        </w:rPr>
        <w:t>21</w:t>
      </w:r>
      <w:r w:rsidR="008036DB" w:rsidRPr="001075BA">
        <w:rPr>
          <w:shd w:val="clear" w:color="auto" w:fill="FFFFFF"/>
          <w:lang w:val="en-GB"/>
        </w:rPr>
        <w:t>(4), 381-387.</w:t>
      </w:r>
    </w:p>
    <w:p w14:paraId="5DE4157F" w14:textId="00437D6F" w:rsidR="008036DB" w:rsidRPr="001075BA" w:rsidRDefault="00DF49D6" w:rsidP="00717D12">
      <w:pPr>
        <w:pStyle w:val="Rlit"/>
        <w:rPr>
          <w:lang w:val="en-GB"/>
        </w:rPr>
      </w:pPr>
      <w:r w:rsidRPr="001075BA">
        <w:rPr>
          <w:shd w:val="clear" w:color="auto" w:fill="FFFFFF"/>
          <w:lang w:val="en-GB"/>
        </w:rPr>
        <w:t>Nandi, B.</w:t>
      </w:r>
      <w:r w:rsidR="0017174C" w:rsidRPr="001075BA">
        <w:rPr>
          <w:shd w:val="clear" w:color="auto" w:fill="FFFFFF"/>
          <w:lang w:val="en-GB"/>
        </w:rPr>
        <w:t xml:space="preserve">K., Goswami, A., </w:t>
      </w:r>
      <w:r w:rsidRPr="001075BA">
        <w:rPr>
          <w:shd w:val="clear" w:color="auto" w:fill="FFFFFF"/>
          <w:lang w:val="en-GB"/>
        </w:rPr>
        <w:t>Purkait, M.</w:t>
      </w:r>
      <w:r w:rsidR="008036DB" w:rsidRPr="001075BA">
        <w:rPr>
          <w:shd w:val="clear" w:color="auto" w:fill="FFFFFF"/>
          <w:lang w:val="en-GB"/>
        </w:rPr>
        <w:t>K. (2009). Removal of cationic dyes from aqueous solutions by kaolin: kinetic and equilibrium studies.</w:t>
      </w:r>
      <w:r w:rsidR="00717D12" w:rsidRPr="001075BA">
        <w:rPr>
          <w:shd w:val="clear" w:color="auto" w:fill="FFFFFF"/>
          <w:lang w:val="en-GB"/>
        </w:rPr>
        <w:t xml:space="preserve"> </w:t>
      </w:r>
      <w:r w:rsidR="008036DB" w:rsidRPr="001075BA">
        <w:rPr>
          <w:i/>
          <w:iCs/>
          <w:shd w:val="clear" w:color="auto" w:fill="FFFFFF"/>
          <w:lang w:val="en-GB"/>
        </w:rPr>
        <w:t>Applied Clay Science</w:t>
      </w:r>
      <w:r w:rsidRPr="001075BA">
        <w:rPr>
          <w:shd w:val="clear" w:color="auto" w:fill="FFFFFF"/>
          <w:lang w:val="en-GB"/>
        </w:rPr>
        <w:t xml:space="preserve">, </w:t>
      </w:r>
      <w:r w:rsidR="008036DB" w:rsidRPr="001075BA">
        <w:rPr>
          <w:i/>
          <w:iCs/>
          <w:shd w:val="clear" w:color="auto" w:fill="FFFFFF"/>
          <w:lang w:val="en-GB"/>
        </w:rPr>
        <w:t>42</w:t>
      </w:r>
      <w:r w:rsidR="008036DB" w:rsidRPr="001075BA">
        <w:rPr>
          <w:shd w:val="clear" w:color="auto" w:fill="FFFFFF"/>
          <w:lang w:val="en-GB"/>
        </w:rPr>
        <w:t>(3-4), 583-590.</w:t>
      </w:r>
    </w:p>
    <w:p w14:paraId="12199C74" w14:textId="5C642FA7" w:rsidR="00032BFF" w:rsidRPr="001075BA" w:rsidRDefault="00DF49D6" w:rsidP="00717D12">
      <w:pPr>
        <w:pStyle w:val="Rlit"/>
        <w:rPr>
          <w:lang w:val="en-GB"/>
        </w:rPr>
      </w:pPr>
      <w:r w:rsidRPr="001075BA">
        <w:rPr>
          <w:shd w:val="clear" w:color="auto" w:fill="FFFFFF"/>
          <w:lang w:val="en-GB"/>
        </w:rPr>
        <w:t>Nandi, B.</w:t>
      </w:r>
      <w:r w:rsidR="0017174C" w:rsidRPr="001075BA">
        <w:rPr>
          <w:shd w:val="clear" w:color="auto" w:fill="FFFFFF"/>
          <w:lang w:val="en-GB"/>
        </w:rPr>
        <w:t xml:space="preserve">K., Goswami, A., </w:t>
      </w:r>
      <w:r w:rsidRPr="001075BA">
        <w:rPr>
          <w:shd w:val="clear" w:color="auto" w:fill="FFFFFF"/>
          <w:lang w:val="en-GB"/>
        </w:rPr>
        <w:t>Purkait, M.</w:t>
      </w:r>
      <w:r w:rsidR="008036DB" w:rsidRPr="001075BA">
        <w:rPr>
          <w:shd w:val="clear" w:color="auto" w:fill="FFFFFF"/>
          <w:lang w:val="en-GB"/>
        </w:rPr>
        <w:t>K. (2009a). Adsorption characteristics of brilliant green dye on kaolin. </w:t>
      </w:r>
      <w:r w:rsidR="008036DB" w:rsidRPr="001075BA">
        <w:rPr>
          <w:i/>
          <w:iCs/>
          <w:shd w:val="clear" w:color="auto" w:fill="FFFFFF"/>
          <w:lang w:val="en-GB"/>
        </w:rPr>
        <w:t>Journal of Hazardous Materials</w:t>
      </w:r>
      <w:r w:rsidR="008036DB" w:rsidRPr="001075BA">
        <w:rPr>
          <w:shd w:val="clear" w:color="auto" w:fill="FFFFFF"/>
          <w:lang w:val="en-GB"/>
        </w:rPr>
        <w:t>,</w:t>
      </w:r>
      <w:r w:rsidR="00717D12" w:rsidRPr="001075BA">
        <w:rPr>
          <w:shd w:val="clear" w:color="auto" w:fill="FFFFFF"/>
          <w:lang w:val="en-GB"/>
        </w:rPr>
        <w:t xml:space="preserve"> </w:t>
      </w:r>
      <w:r w:rsidR="008036DB" w:rsidRPr="001075BA">
        <w:rPr>
          <w:i/>
          <w:iCs/>
          <w:shd w:val="clear" w:color="auto" w:fill="FFFFFF"/>
          <w:lang w:val="en-GB"/>
        </w:rPr>
        <w:t>161</w:t>
      </w:r>
      <w:r w:rsidR="008036DB" w:rsidRPr="001075BA">
        <w:rPr>
          <w:shd w:val="clear" w:color="auto" w:fill="FFFFFF"/>
          <w:lang w:val="en-GB"/>
        </w:rPr>
        <w:t>(1), 387-395.</w:t>
      </w:r>
    </w:p>
    <w:p w14:paraId="719997FC" w14:textId="77777777" w:rsidR="008036DB" w:rsidRPr="001075BA" w:rsidRDefault="008036DB" w:rsidP="00717D12">
      <w:pPr>
        <w:pStyle w:val="Rlit"/>
        <w:rPr>
          <w:lang w:val="en-GB"/>
        </w:rPr>
      </w:pPr>
      <w:r w:rsidRPr="001075BA">
        <w:rPr>
          <w:lang w:val="en-GB"/>
        </w:rPr>
        <w:t>Radke</w:t>
      </w:r>
      <w:r w:rsidR="00DF49D6" w:rsidRPr="001075BA">
        <w:rPr>
          <w:lang w:val="en-GB"/>
        </w:rPr>
        <w:t>,</w:t>
      </w:r>
      <w:r w:rsidRPr="001075BA">
        <w:rPr>
          <w:lang w:val="en-GB"/>
        </w:rPr>
        <w:t xml:space="preserve"> C</w:t>
      </w:r>
      <w:r w:rsidR="00DF49D6" w:rsidRPr="001075BA">
        <w:rPr>
          <w:lang w:val="en-GB"/>
        </w:rPr>
        <w:t>.</w:t>
      </w:r>
      <w:r w:rsidRPr="001075BA">
        <w:rPr>
          <w:lang w:val="en-GB"/>
        </w:rPr>
        <w:t>J</w:t>
      </w:r>
      <w:r w:rsidR="00DF49D6" w:rsidRPr="001075BA">
        <w:rPr>
          <w:lang w:val="en-GB"/>
        </w:rPr>
        <w:t>.</w:t>
      </w:r>
      <w:r w:rsidRPr="001075BA">
        <w:rPr>
          <w:lang w:val="en-GB"/>
        </w:rPr>
        <w:t xml:space="preserve">, </w:t>
      </w:r>
      <w:proofErr w:type="spellStart"/>
      <w:r w:rsidRPr="001075BA">
        <w:rPr>
          <w:lang w:val="en-GB"/>
        </w:rPr>
        <w:t>Prausnitz</w:t>
      </w:r>
      <w:proofErr w:type="spellEnd"/>
      <w:r w:rsidR="00DF49D6" w:rsidRPr="001075BA">
        <w:rPr>
          <w:lang w:val="en-GB"/>
        </w:rPr>
        <w:t>,</w:t>
      </w:r>
      <w:r w:rsidRPr="001075BA">
        <w:rPr>
          <w:lang w:val="en-GB"/>
        </w:rPr>
        <w:t xml:space="preserve"> J</w:t>
      </w:r>
      <w:r w:rsidR="00DF49D6" w:rsidRPr="001075BA">
        <w:rPr>
          <w:lang w:val="en-GB"/>
        </w:rPr>
        <w:t>.</w:t>
      </w:r>
      <w:r w:rsidRPr="001075BA">
        <w:rPr>
          <w:lang w:val="en-GB"/>
        </w:rPr>
        <w:t>M</w:t>
      </w:r>
      <w:r w:rsidR="00DF49D6" w:rsidRPr="001075BA">
        <w:rPr>
          <w:lang w:val="en-GB"/>
        </w:rPr>
        <w:t>.</w:t>
      </w:r>
      <w:r w:rsidR="00695988" w:rsidRPr="001075BA">
        <w:rPr>
          <w:lang w:val="en-GB"/>
        </w:rPr>
        <w:t xml:space="preserve"> (1972). </w:t>
      </w:r>
      <w:r w:rsidRPr="001075BA">
        <w:rPr>
          <w:lang w:val="en-GB"/>
        </w:rPr>
        <w:t>Thermodynamics of Multi-Solute Adsorption from Dilute Liquid Solutions.</w:t>
      </w:r>
      <w:r w:rsidR="00695988" w:rsidRPr="001075BA">
        <w:rPr>
          <w:lang w:val="en-GB"/>
        </w:rPr>
        <w:t xml:space="preserve"> </w:t>
      </w:r>
      <w:proofErr w:type="spellStart"/>
      <w:r w:rsidR="00695988" w:rsidRPr="001075BA">
        <w:rPr>
          <w:i/>
          <w:lang w:val="en-GB"/>
        </w:rPr>
        <w:t>Alche</w:t>
      </w:r>
      <w:proofErr w:type="spellEnd"/>
      <w:r w:rsidR="00695988" w:rsidRPr="001075BA">
        <w:rPr>
          <w:i/>
          <w:lang w:val="en-GB"/>
        </w:rPr>
        <w:t xml:space="preserve"> Journal</w:t>
      </w:r>
      <w:r w:rsidR="00DF49D6" w:rsidRPr="001075BA">
        <w:rPr>
          <w:lang w:val="en-GB"/>
        </w:rPr>
        <w:t xml:space="preserve">, </w:t>
      </w:r>
      <w:r w:rsidR="00DF49D6" w:rsidRPr="0099084C">
        <w:rPr>
          <w:i/>
          <w:iCs/>
          <w:lang w:val="en-GB"/>
        </w:rPr>
        <w:t>18</w:t>
      </w:r>
      <w:r w:rsidR="00DF49D6" w:rsidRPr="001075BA">
        <w:rPr>
          <w:lang w:val="en-GB"/>
        </w:rPr>
        <w:t xml:space="preserve">, </w:t>
      </w:r>
      <w:r w:rsidRPr="001075BA">
        <w:rPr>
          <w:lang w:val="en-GB"/>
        </w:rPr>
        <w:t>761-768.</w:t>
      </w:r>
    </w:p>
    <w:p w14:paraId="2C689F80" w14:textId="70967AF5" w:rsidR="008036DB" w:rsidRPr="001075BA" w:rsidRDefault="008036DB" w:rsidP="00717D12">
      <w:pPr>
        <w:pStyle w:val="Rlit"/>
        <w:rPr>
          <w:lang w:val="en-GB"/>
        </w:rPr>
      </w:pPr>
      <w:r w:rsidRPr="001075BA">
        <w:rPr>
          <w:lang w:val="en-GB"/>
        </w:rPr>
        <w:t>Redlich</w:t>
      </w:r>
      <w:r w:rsidR="00DF49D6" w:rsidRPr="001075BA">
        <w:rPr>
          <w:lang w:val="en-GB"/>
        </w:rPr>
        <w:t>,</w:t>
      </w:r>
      <w:r w:rsidRPr="001075BA">
        <w:rPr>
          <w:lang w:val="en-GB"/>
        </w:rPr>
        <w:t xml:space="preserve"> O</w:t>
      </w:r>
      <w:r w:rsidR="00DF49D6" w:rsidRPr="001075BA">
        <w:rPr>
          <w:lang w:val="en-GB"/>
        </w:rPr>
        <w:t>.</w:t>
      </w:r>
      <w:r w:rsidRPr="001075BA">
        <w:rPr>
          <w:lang w:val="en-GB"/>
        </w:rPr>
        <w:t>, Peterson</w:t>
      </w:r>
      <w:r w:rsidR="00DF49D6" w:rsidRPr="001075BA">
        <w:rPr>
          <w:lang w:val="en-GB"/>
        </w:rPr>
        <w:t>,</w:t>
      </w:r>
      <w:r w:rsidRPr="001075BA">
        <w:rPr>
          <w:lang w:val="en-GB"/>
        </w:rPr>
        <w:t xml:space="preserve"> D</w:t>
      </w:r>
      <w:r w:rsidR="00DF49D6" w:rsidRPr="001075BA">
        <w:rPr>
          <w:lang w:val="en-GB"/>
        </w:rPr>
        <w:t>.</w:t>
      </w:r>
      <w:r w:rsidRPr="001075BA">
        <w:rPr>
          <w:lang w:val="en-GB"/>
        </w:rPr>
        <w:t>L</w:t>
      </w:r>
      <w:r w:rsidR="00DF49D6" w:rsidRPr="001075BA">
        <w:rPr>
          <w:lang w:val="en-GB"/>
        </w:rPr>
        <w:t>.</w:t>
      </w:r>
      <w:r w:rsidRPr="001075BA">
        <w:rPr>
          <w:lang w:val="en-GB"/>
        </w:rPr>
        <w:t xml:space="preserve"> (1969) A useful adsorption isotherm. </w:t>
      </w:r>
      <w:r w:rsidR="00DF49D6" w:rsidRPr="001075BA">
        <w:rPr>
          <w:i/>
          <w:iCs/>
          <w:shd w:val="clear" w:color="auto" w:fill="FFFFFF"/>
          <w:lang w:val="en-GB"/>
        </w:rPr>
        <w:t xml:space="preserve">Journal of </w:t>
      </w:r>
      <w:r w:rsidRPr="001075BA">
        <w:rPr>
          <w:i/>
          <w:lang w:val="en-GB"/>
        </w:rPr>
        <w:t>Phys</w:t>
      </w:r>
      <w:r w:rsidR="00DF49D6" w:rsidRPr="001075BA">
        <w:rPr>
          <w:i/>
          <w:lang w:val="en-GB"/>
        </w:rPr>
        <w:t>ical Chemistry</w:t>
      </w:r>
      <w:r w:rsidR="00DF49D6" w:rsidRPr="001075BA">
        <w:rPr>
          <w:lang w:val="en-GB"/>
        </w:rPr>
        <w:t xml:space="preserve">, </w:t>
      </w:r>
      <w:r w:rsidR="00DF49D6" w:rsidRPr="001075BA">
        <w:rPr>
          <w:i/>
          <w:lang w:val="en-GB"/>
        </w:rPr>
        <w:t>63</w:t>
      </w:r>
      <w:r w:rsidR="00DF49D6" w:rsidRPr="001075BA">
        <w:rPr>
          <w:lang w:val="en-GB"/>
        </w:rPr>
        <w:t xml:space="preserve">, </w:t>
      </w:r>
      <w:r w:rsidRPr="001075BA">
        <w:rPr>
          <w:lang w:val="en-GB"/>
        </w:rPr>
        <w:t>1024</w:t>
      </w:r>
      <w:r w:rsidR="00A632CD">
        <w:rPr>
          <w:lang w:val="en-GB"/>
        </w:rPr>
        <w:t>-</w:t>
      </w:r>
      <w:r w:rsidRPr="001075BA">
        <w:rPr>
          <w:lang w:val="en-GB"/>
        </w:rPr>
        <w:t>1026.</w:t>
      </w:r>
    </w:p>
    <w:p w14:paraId="44BBBC34" w14:textId="3D561D7D" w:rsidR="008036DB" w:rsidRPr="001075BA" w:rsidRDefault="00DF49D6" w:rsidP="00717D12">
      <w:pPr>
        <w:pStyle w:val="Rlit"/>
        <w:rPr>
          <w:lang w:val="en-GB"/>
        </w:rPr>
      </w:pPr>
      <w:r w:rsidRPr="001075BA">
        <w:rPr>
          <w:shd w:val="clear" w:color="auto" w:fill="FFFFFF"/>
          <w:lang w:val="en-GB"/>
        </w:rPr>
        <w:t>Salman, J.M., Hameed, B.</w:t>
      </w:r>
      <w:r w:rsidR="008036DB" w:rsidRPr="001075BA">
        <w:rPr>
          <w:shd w:val="clear" w:color="auto" w:fill="FFFFFF"/>
          <w:lang w:val="en-GB"/>
        </w:rPr>
        <w:t>H. (2010). Adsorption of 2, 4-dichlorophenoxyacetic acid and carbofuran pesticides onto granular activated carbon. </w:t>
      </w:r>
      <w:r w:rsidR="008036DB" w:rsidRPr="001075BA">
        <w:rPr>
          <w:i/>
          <w:iCs/>
          <w:shd w:val="clear" w:color="auto" w:fill="FFFFFF"/>
          <w:lang w:val="en-GB"/>
        </w:rPr>
        <w:t>Desalination</w:t>
      </w:r>
      <w:r w:rsidR="008036DB" w:rsidRPr="001075BA">
        <w:rPr>
          <w:shd w:val="clear" w:color="auto" w:fill="FFFFFF"/>
          <w:lang w:val="en-GB"/>
        </w:rPr>
        <w:t>, </w:t>
      </w:r>
      <w:r w:rsidR="008036DB" w:rsidRPr="001075BA">
        <w:rPr>
          <w:i/>
          <w:iCs/>
          <w:shd w:val="clear" w:color="auto" w:fill="FFFFFF"/>
          <w:lang w:val="en-GB"/>
        </w:rPr>
        <w:t>256</w:t>
      </w:r>
      <w:r w:rsidR="008036DB" w:rsidRPr="001075BA">
        <w:rPr>
          <w:shd w:val="clear" w:color="auto" w:fill="FFFFFF"/>
          <w:lang w:val="en-GB"/>
        </w:rPr>
        <w:t>(1-3), 129-135.</w:t>
      </w:r>
    </w:p>
    <w:p w14:paraId="212A41BC" w14:textId="77777777" w:rsidR="00717D12" w:rsidRPr="001075BA" w:rsidRDefault="00DF49D6" w:rsidP="00717D12">
      <w:pPr>
        <w:pStyle w:val="Rlit"/>
        <w:rPr>
          <w:shd w:val="clear" w:color="auto" w:fill="FFFFFF"/>
          <w:lang w:val="en-GB"/>
        </w:rPr>
      </w:pPr>
      <w:r w:rsidRPr="001075BA">
        <w:rPr>
          <w:shd w:val="clear" w:color="auto" w:fill="FFFFFF"/>
          <w:lang w:val="en-GB"/>
        </w:rPr>
        <w:t>Sheldon, R.</w:t>
      </w:r>
      <w:r w:rsidR="008036DB" w:rsidRPr="001075BA">
        <w:rPr>
          <w:shd w:val="clear" w:color="auto" w:fill="FFFFFF"/>
          <w:lang w:val="en-GB"/>
        </w:rPr>
        <w:t>A. (1992). Organic synthesis-past, present and future. </w:t>
      </w:r>
      <w:r w:rsidR="008036DB" w:rsidRPr="001075BA">
        <w:rPr>
          <w:i/>
          <w:iCs/>
          <w:shd w:val="clear" w:color="auto" w:fill="FFFFFF"/>
          <w:lang w:val="en-GB"/>
        </w:rPr>
        <w:t>Chemistry and Industry</w:t>
      </w:r>
      <w:r w:rsidR="008036DB" w:rsidRPr="001075BA">
        <w:rPr>
          <w:shd w:val="clear" w:color="auto" w:fill="FFFFFF"/>
          <w:lang w:val="en-GB"/>
        </w:rPr>
        <w:t>, (23), 903-6.</w:t>
      </w:r>
    </w:p>
    <w:p w14:paraId="712FF466" w14:textId="4A7A6DB9" w:rsidR="00032BFF" w:rsidRPr="007F456A" w:rsidRDefault="008036DB" w:rsidP="00717D12">
      <w:pPr>
        <w:pStyle w:val="Rlit"/>
        <w:rPr>
          <w:rFonts w:eastAsia="Calibri"/>
          <w:spacing w:val="-2"/>
          <w:shd w:val="clear" w:color="auto" w:fill="FFFFFF"/>
          <w:lang w:val="en-GB"/>
        </w:rPr>
      </w:pPr>
      <w:r w:rsidRPr="007F456A">
        <w:rPr>
          <w:spacing w:val="-2"/>
          <w:lang w:val="en-GB"/>
        </w:rPr>
        <w:t xml:space="preserve">Sips, R. (1948). Combined form of Langmuir and Freundlich equations. </w:t>
      </w:r>
      <w:r w:rsidRPr="007F456A">
        <w:rPr>
          <w:i/>
          <w:spacing w:val="-2"/>
          <w:lang w:val="en-GB"/>
        </w:rPr>
        <w:t>Journal of Physical Chemistry</w:t>
      </w:r>
      <w:r w:rsidRPr="007F456A">
        <w:rPr>
          <w:iCs/>
          <w:spacing w:val="-2"/>
          <w:lang w:val="en-GB"/>
        </w:rPr>
        <w:t xml:space="preserve">, </w:t>
      </w:r>
      <w:r w:rsidRPr="007F456A">
        <w:rPr>
          <w:i/>
          <w:spacing w:val="-2"/>
          <w:lang w:val="en-GB"/>
        </w:rPr>
        <w:t>16</w:t>
      </w:r>
      <w:r w:rsidRPr="007F456A">
        <w:rPr>
          <w:spacing w:val="-2"/>
          <w:lang w:val="en-GB"/>
        </w:rPr>
        <w:t>(429), 490-495.</w:t>
      </w:r>
    </w:p>
    <w:p w14:paraId="7731E36A" w14:textId="19AE5E4F" w:rsidR="00032BFF" w:rsidRPr="001075BA" w:rsidRDefault="00695988" w:rsidP="00717D12">
      <w:pPr>
        <w:pStyle w:val="Rlit"/>
        <w:rPr>
          <w:lang w:val="en-GB"/>
        </w:rPr>
      </w:pPr>
      <w:proofErr w:type="spellStart"/>
      <w:r w:rsidRPr="001075BA">
        <w:rPr>
          <w:shd w:val="clear" w:color="auto" w:fill="FFFFFF"/>
          <w:lang w:val="en-GB"/>
        </w:rPr>
        <w:t>Sudamalla</w:t>
      </w:r>
      <w:proofErr w:type="spellEnd"/>
      <w:r w:rsidRPr="001075BA">
        <w:rPr>
          <w:shd w:val="clear" w:color="auto" w:fill="FFFFFF"/>
          <w:lang w:val="en-GB"/>
        </w:rPr>
        <w:t xml:space="preserve">, P., </w:t>
      </w:r>
      <w:proofErr w:type="spellStart"/>
      <w:r w:rsidRPr="001075BA">
        <w:rPr>
          <w:shd w:val="clear" w:color="auto" w:fill="FFFFFF"/>
          <w:lang w:val="en-GB"/>
        </w:rPr>
        <w:t>Pichiah</w:t>
      </w:r>
      <w:proofErr w:type="spellEnd"/>
      <w:r w:rsidRPr="001075BA">
        <w:rPr>
          <w:shd w:val="clear" w:color="auto" w:fill="FFFFFF"/>
          <w:lang w:val="en-GB"/>
        </w:rPr>
        <w:t xml:space="preserve">, S., </w:t>
      </w:r>
      <w:r w:rsidR="008036DB" w:rsidRPr="001075BA">
        <w:rPr>
          <w:shd w:val="clear" w:color="auto" w:fill="FFFFFF"/>
          <w:lang w:val="en-GB"/>
        </w:rPr>
        <w:t xml:space="preserve">Manickam, M. (2012). Responses of surface </w:t>
      </w:r>
      <w:proofErr w:type="spellStart"/>
      <w:r w:rsidR="008036DB" w:rsidRPr="001075BA">
        <w:rPr>
          <w:shd w:val="clear" w:color="auto" w:fill="FFFFFF"/>
          <w:lang w:val="en-GB"/>
        </w:rPr>
        <w:t>modeling</w:t>
      </w:r>
      <w:proofErr w:type="spellEnd"/>
      <w:r w:rsidR="008036DB" w:rsidRPr="001075BA">
        <w:rPr>
          <w:shd w:val="clear" w:color="auto" w:fill="FFFFFF"/>
          <w:lang w:val="en-GB"/>
        </w:rPr>
        <w:t xml:space="preserve"> and optimi</w:t>
      </w:r>
      <w:r w:rsidR="00971179">
        <w:rPr>
          <w:shd w:val="clear" w:color="auto" w:fill="FFFFFF"/>
          <w:lang w:val="en-GB"/>
        </w:rPr>
        <w:t>s</w:t>
      </w:r>
      <w:r w:rsidR="008036DB" w:rsidRPr="001075BA">
        <w:rPr>
          <w:shd w:val="clear" w:color="auto" w:fill="FFFFFF"/>
          <w:lang w:val="en-GB"/>
        </w:rPr>
        <w:t>ation of Brilliant Green adsorption by adsorbent prepared from Citrus limetta peel. </w:t>
      </w:r>
      <w:r w:rsidR="008036DB" w:rsidRPr="001075BA">
        <w:rPr>
          <w:i/>
          <w:iCs/>
          <w:shd w:val="clear" w:color="auto" w:fill="FFFFFF"/>
          <w:lang w:val="en-GB"/>
        </w:rPr>
        <w:t>Desalination and Water Treatment</w:t>
      </w:r>
      <w:r w:rsidR="008036DB" w:rsidRPr="001075BA">
        <w:rPr>
          <w:shd w:val="clear" w:color="auto" w:fill="FFFFFF"/>
          <w:lang w:val="en-GB"/>
        </w:rPr>
        <w:t>, </w:t>
      </w:r>
      <w:r w:rsidR="008036DB" w:rsidRPr="001075BA">
        <w:rPr>
          <w:i/>
          <w:iCs/>
          <w:shd w:val="clear" w:color="auto" w:fill="FFFFFF"/>
          <w:lang w:val="en-GB"/>
        </w:rPr>
        <w:t>50</w:t>
      </w:r>
      <w:r w:rsidR="008036DB" w:rsidRPr="001075BA">
        <w:rPr>
          <w:shd w:val="clear" w:color="auto" w:fill="FFFFFF"/>
          <w:lang w:val="en-GB"/>
        </w:rPr>
        <w:t>(1-3), 367-375.</w:t>
      </w:r>
    </w:p>
    <w:p w14:paraId="6BA7B54A" w14:textId="6C4A8756" w:rsidR="008036DB" w:rsidRPr="001075BA" w:rsidRDefault="008036DB" w:rsidP="00717D12">
      <w:pPr>
        <w:pStyle w:val="Rlit"/>
        <w:rPr>
          <w:shd w:val="clear" w:color="auto" w:fill="FFFFFF"/>
          <w:lang w:val="en-GB"/>
        </w:rPr>
      </w:pPr>
      <w:r w:rsidRPr="001075BA">
        <w:rPr>
          <w:lang w:val="en-GB"/>
        </w:rPr>
        <w:t>Toth</w:t>
      </w:r>
      <w:r w:rsidR="00695988" w:rsidRPr="001075BA">
        <w:rPr>
          <w:lang w:val="en-GB"/>
        </w:rPr>
        <w:t>,</w:t>
      </w:r>
      <w:r w:rsidRPr="001075BA">
        <w:rPr>
          <w:lang w:val="en-GB"/>
        </w:rPr>
        <w:t xml:space="preserve"> J</w:t>
      </w:r>
      <w:r w:rsidR="00695988" w:rsidRPr="001075BA">
        <w:rPr>
          <w:lang w:val="en-GB"/>
        </w:rPr>
        <w:t xml:space="preserve">. (1971). </w:t>
      </w:r>
      <w:r w:rsidRPr="001075BA">
        <w:rPr>
          <w:lang w:val="en-GB"/>
        </w:rPr>
        <w:t>State equations o</w:t>
      </w:r>
      <w:r w:rsidR="00695988" w:rsidRPr="001075BA">
        <w:rPr>
          <w:lang w:val="en-GB"/>
        </w:rPr>
        <w:t xml:space="preserve">f the solid gas interface layer. </w:t>
      </w:r>
      <w:r w:rsidR="00695988" w:rsidRPr="001075BA">
        <w:rPr>
          <w:i/>
          <w:lang w:val="en-GB"/>
        </w:rPr>
        <w:t xml:space="preserve">Acta Chem </w:t>
      </w:r>
      <w:proofErr w:type="spellStart"/>
      <w:r w:rsidR="00695988" w:rsidRPr="001075BA">
        <w:rPr>
          <w:i/>
          <w:lang w:val="en-GB"/>
        </w:rPr>
        <w:t>Acad</w:t>
      </w:r>
      <w:proofErr w:type="spellEnd"/>
      <w:r w:rsidR="00695988" w:rsidRPr="001075BA">
        <w:rPr>
          <w:i/>
          <w:lang w:val="en-GB"/>
        </w:rPr>
        <w:t xml:space="preserve"> Hungary</w:t>
      </w:r>
      <w:r w:rsidR="00695988" w:rsidRPr="001075BA">
        <w:rPr>
          <w:lang w:val="en-GB"/>
        </w:rPr>
        <w:t xml:space="preserve">, </w:t>
      </w:r>
      <w:r w:rsidR="00695988" w:rsidRPr="001075BA">
        <w:rPr>
          <w:i/>
          <w:lang w:val="en-GB"/>
        </w:rPr>
        <w:t>69</w:t>
      </w:r>
      <w:r w:rsidR="00695988" w:rsidRPr="001075BA">
        <w:rPr>
          <w:lang w:val="en-GB"/>
        </w:rPr>
        <w:t xml:space="preserve">, </w:t>
      </w:r>
      <w:r w:rsidRPr="001075BA">
        <w:rPr>
          <w:lang w:val="en-GB"/>
        </w:rPr>
        <w:t>311</w:t>
      </w:r>
      <w:r w:rsidR="007F456A">
        <w:rPr>
          <w:lang w:val="en-GB"/>
        </w:rPr>
        <w:t>-</w:t>
      </w:r>
      <w:r w:rsidRPr="001075BA">
        <w:rPr>
          <w:lang w:val="en-GB"/>
        </w:rPr>
        <w:t>317</w:t>
      </w:r>
      <w:r w:rsidR="007F456A">
        <w:rPr>
          <w:lang w:val="en-GB"/>
        </w:rPr>
        <w:t>.</w:t>
      </w:r>
    </w:p>
    <w:p w14:paraId="1BE2D551" w14:textId="76A3EE01" w:rsidR="00E0188B" w:rsidRPr="007F456A" w:rsidRDefault="00E0188B" w:rsidP="00717D12">
      <w:pPr>
        <w:pStyle w:val="Rlit"/>
        <w:rPr>
          <w:spacing w:val="-2"/>
          <w:lang w:val="en-GB"/>
        </w:rPr>
      </w:pPr>
      <w:r w:rsidRPr="007F456A">
        <w:rPr>
          <w:spacing w:val="-2"/>
          <w:lang w:val="en-GB"/>
        </w:rPr>
        <w:t>Vieth</w:t>
      </w:r>
      <w:r w:rsidR="00695988" w:rsidRPr="007F456A">
        <w:rPr>
          <w:spacing w:val="-2"/>
          <w:lang w:val="en-GB"/>
        </w:rPr>
        <w:t>,</w:t>
      </w:r>
      <w:r w:rsidRPr="007F456A">
        <w:rPr>
          <w:spacing w:val="-2"/>
          <w:lang w:val="en-GB"/>
        </w:rPr>
        <w:t xml:space="preserve"> W</w:t>
      </w:r>
      <w:r w:rsidR="00695988" w:rsidRPr="007F456A">
        <w:rPr>
          <w:spacing w:val="-2"/>
          <w:lang w:val="en-GB"/>
        </w:rPr>
        <w:t>.</w:t>
      </w:r>
      <w:r w:rsidRPr="007F456A">
        <w:rPr>
          <w:spacing w:val="-2"/>
          <w:lang w:val="en-GB"/>
        </w:rPr>
        <w:t>R</w:t>
      </w:r>
      <w:r w:rsidR="00695988" w:rsidRPr="007F456A">
        <w:rPr>
          <w:spacing w:val="-2"/>
          <w:lang w:val="en-GB"/>
        </w:rPr>
        <w:t>.</w:t>
      </w:r>
      <w:r w:rsidRPr="007F456A">
        <w:rPr>
          <w:spacing w:val="-2"/>
          <w:lang w:val="en-GB"/>
        </w:rPr>
        <w:t>, Sladek</w:t>
      </w:r>
      <w:r w:rsidR="00695988" w:rsidRPr="007F456A">
        <w:rPr>
          <w:spacing w:val="-2"/>
          <w:lang w:val="en-GB"/>
        </w:rPr>
        <w:t>,</w:t>
      </w:r>
      <w:r w:rsidRPr="007F456A">
        <w:rPr>
          <w:spacing w:val="-2"/>
          <w:lang w:val="en-GB"/>
        </w:rPr>
        <w:t xml:space="preserve"> K</w:t>
      </w:r>
      <w:r w:rsidR="00695988" w:rsidRPr="007F456A">
        <w:rPr>
          <w:spacing w:val="-2"/>
          <w:lang w:val="en-GB"/>
        </w:rPr>
        <w:t>.</w:t>
      </w:r>
      <w:r w:rsidRPr="007F456A">
        <w:rPr>
          <w:spacing w:val="-2"/>
          <w:lang w:val="en-GB"/>
        </w:rPr>
        <w:t>J</w:t>
      </w:r>
      <w:r w:rsidR="00695988" w:rsidRPr="007F456A">
        <w:rPr>
          <w:spacing w:val="-2"/>
          <w:lang w:val="en-GB"/>
        </w:rPr>
        <w:t>.</w:t>
      </w:r>
      <w:r w:rsidRPr="007F456A">
        <w:rPr>
          <w:spacing w:val="-2"/>
          <w:lang w:val="en-GB"/>
        </w:rPr>
        <w:t xml:space="preserve"> (1965)</w:t>
      </w:r>
      <w:r w:rsidR="00695988" w:rsidRPr="007F456A">
        <w:rPr>
          <w:spacing w:val="-2"/>
          <w:lang w:val="en-GB"/>
        </w:rPr>
        <w:t>.</w:t>
      </w:r>
      <w:r w:rsidRPr="007F456A">
        <w:rPr>
          <w:spacing w:val="-2"/>
          <w:lang w:val="en-GB"/>
        </w:rPr>
        <w:t xml:space="preserve"> A model for di</w:t>
      </w:r>
      <w:r w:rsidR="00695988" w:rsidRPr="007F456A">
        <w:rPr>
          <w:spacing w:val="-2"/>
          <w:lang w:val="en-GB"/>
        </w:rPr>
        <w:t xml:space="preserve">ffusion in a glassy polymer. </w:t>
      </w:r>
      <w:r w:rsidR="00695988" w:rsidRPr="007F456A">
        <w:rPr>
          <w:i/>
          <w:spacing w:val="-2"/>
          <w:lang w:val="en-GB"/>
        </w:rPr>
        <w:t>Journal of Colloid Science</w:t>
      </w:r>
      <w:r w:rsidR="00695988" w:rsidRPr="007F456A">
        <w:rPr>
          <w:spacing w:val="-2"/>
          <w:lang w:val="en-GB"/>
        </w:rPr>
        <w:t xml:space="preserve">, </w:t>
      </w:r>
      <w:r w:rsidR="00695988" w:rsidRPr="007F456A">
        <w:rPr>
          <w:i/>
          <w:spacing w:val="-2"/>
          <w:lang w:val="en-GB"/>
        </w:rPr>
        <w:t>20</w:t>
      </w:r>
      <w:r w:rsidR="00695988" w:rsidRPr="007F456A">
        <w:rPr>
          <w:spacing w:val="-2"/>
          <w:lang w:val="en-GB"/>
        </w:rPr>
        <w:t xml:space="preserve">(9), </w:t>
      </w:r>
      <w:r w:rsidRPr="007F456A">
        <w:rPr>
          <w:spacing w:val="-2"/>
          <w:lang w:val="en-GB"/>
        </w:rPr>
        <w:t>1014-1033.</w:t>
      </w:r>
    </w:p>
    <w:p w14:paraId="1BF363DF" w14:textId="2ECDAB67" w:rsidR="00717D12" w:rsidRPr="001075BA" w:rsidRDefault="00695988" w:rsidP="00717D12">
      <w:pPr>
        <w:pStyle w:val="Rlit"/>
        <w:rPr>
          <w:shd w:val="clear" w:color="auto" w:fill="FFFFFF"/>
          <w:lang w:val="en-GB"/>
        </w:rPr>
      </w:pPr>
      <w:r w:rsidRPr="001075BA">
        <w:rPr>
          <w:lang w:val="en-GB"/>
        </w:rPr>
        <w:t xml:space="preserve">Wang, H.L., Chen, J.L., </w:t>
      </w:r>
      <w:r w:rsidR="008036DB" w:rsidRPr="001075BA">
        <w:rPr>
          <w:lang w:val="en-GB"/>
        </w:rPr>
        <w:t xml:space="preserve">Zhai, Z.C. (2004). Study on thermodynamics and kinetics of adsorption of p-toluidine from aqueous solution by </w:t>
      </w:r>
      <w:proofErr w:type="spellStart"/>
      <w:r w:rsidR="008036DB" w:rsidRPr="001075BA">
        <w:rPr>
          <w:lang w:val="en-GB"/>
        </w:rPr>
        <w:t>hypercrosslinked</w:t>
      </w:r>
      <w:proofErr w:type="spellEnd"/>
      <w:r w:rsidR="008036DB" w:rsidRPr="001075BA">
        <w:rPr>
          <w:lang w:val="en-GB"/>
        </w:rPr>
        <w:t xml:space="preserve"> polymeric adsorbents. </w:t>
      </w:r>
      <w:r w:rsidR="008036DB" w:rsidRPr="001075BA">
        <w:rPr>
          <w:i/>
          <w:lang w:val="en-GB"/>
        </w:rPr>
        <w:t>Environmental Chemistry</w:t>
      </w:r>
      <w:r w:rsidR="008036DB" w:rsidRPr="001075BA">
        <w:rPr>
          <w:lang w:val="en-GB"/>
        </w:rPr>
        <w:t xml:space="preserve">, </w:t>
      </w:r>
      <w:r w:rsidR="008036DB" w:rsidRPr="001075BA">
        <w:rPr>
          <w:i/>
          <w:lang w:val="en-GB"/>
        </w:rPr>
        <w:t>23</w:t>
      </w:r>
      <w:r w:rsidR="008036DB" w:rsidRPr="001075BA">
        <w:rPr>
          <w:lang w:val="en-GB"/>
        </w:rPr>
        <w:t>(2), 188-192.</w:t>
      </w:r>
    </w:p>
    <w:p w14:paraId="681E3A99" w14:textId="56E6ADF7" w:rsidR="008036DB" w:rsidRPr="001075BA" w:rsidRDefault="008036DB" w:rsidP="00717D12">
      <w:pPr>
        <w:pStyle w:val="Rlit"/>
        <w:rPr>
          <w:shd w:val="clear" w:color="auto" w:fill="FFFFFF"/>
          <w:lang w:val="en-GB"/>
        </w:rPr>
      </w:pPr>
      <w:r w:rsidRPr="001075BA">
        <w:rPr>
          <w:shd w:val="clear" w:color="auto" w:fill="FFFFFF"/>
          <w:lang w:val="en-GB"/>
        </w:rPr>
        <w:t xml:space="preserve">Wang, </w:t>
      </w:r>
      <w:r w:rsidR="00695988" w:rsidRPr="001075BA">
        <w:rPr>
          <w:shd w:val="clear" w:color="auto" w:fill="FFFFFF"/>
          <w:lang w:val="en-GB"/>
        </w:rPr>
        <w:t xml:space="preserve">S., Li, H., Xie, S., Liu, S., </w:t>
      </w:r>
      <w:r w:rsidRPr="001075BA">
        <w:rPr>
          <w:shd w:val="clear" w:color="auto" w:fill="FFFFFF"/>
          <w:lang w:val="en-GB"/>
        </w:rPr>
        <w:t>Xu, L. (2006). Physical and chemical regeneration of zeolitic adsorbents for dye removal in wastewater treatment. </w:t>
      </w:r>
      <w:r w:rsidRPr="001075BA">
        <w:rPr>
          <w:i/>
          <w:iCs/>
          <w:shd w:val="clear" w:color="auto" w:fill="FFFFFF"/>
          <w:lang w:val="en-GB"/>
        </w:rPr>
        <w:t>Chemosphere</w:t>
      </w:r>
      <w:r w:rsidRPr="001075BA">
        <w:rPr>
          <w:shd w:val="clear" w:color="auto" w:fill="FFFFFF"/>
          <w:lang w:val="en-GB"/>
        </w:rPr>
        <w:t>, </w:t>
      </w:r>
      <w:r w:rsidRPr="001075BA">
        <w:rPr>
          <w:i/>
          <w:iCs/>
          <w:shd w:val="clear" w:color="auto" w:fill="FFFFFF"/>
          <w:lang w:val="en-GB"/>
        </w:rPr>
        <w:t>65</w:t>
      </w:r>
      <w:r w:rsidRPr="001075BA">
        <w:rPr>
          <w:shd w:val="clear" w:color="auto" w:fill="FFFFFF"/>
          <w:lang w:val="en-GB"/>
        </w:rPr>
        <w:t>(1), 82-87.</w:t>
      </w:r>
    </w:p>
    <w:p w14:paraId="02D6E34B" w14:textId="4706B342" w:rsidR="00A36887" w:rsidRPr="00A36887" w:rsidRDefault="00A36887" w:rsidP="00A36887">
      <w:pPr>
        <w:pStyle w:val="Rlit"/>
        <w:rPr>
          <w:lang w:val="en-GB"/>
        </w:rPr>
      </w:pPr>
      <w:r w:rsidRPr="00A36887">
        <w:rPr>
          <w:lang w:val="en-GB"/>
        </w:rPr>
        <w:t xml:space="preserve">Waghmare, C., </w:t>
      </w:r>
      <w:proofErr w:type="spellStart"/>
      <w:r w:rsidRPr="00A36887">
        <w:rPr>
          <w:lang w:val="en-GB"/>
        </w:rPr>
        <w:t>Ghodmare</w:t>
      </w:r>
      <w:proofErr w:type="spellEnd"/>
      <w:r w:rsidRPr="00A36887">
        <w:rPr>
          <w:lang w:val="en-GB"/>
        </w:rPr>
        <w:t xml:space="preserve">, S. D., Ansari, </w:t>
      </w:r>
      <w:r>
        <w:rPr>
          <w:lang w:val="en-GB"/>
        </w:rPr>
        <w:t xml:space="preserve">&amp; </w:t>
      </w:r>
      <w:r w:rsidRPr="00A36887">
        <w:rPr>
          <w:lang w:val="en-GB"/>
        </w:rPr>
        <w:t xml:space="preserve">K. A. (2023). Experimental investigation of H3PO4 activated papaya peels for methylene blue dye removal from aqueous solution: Evaluation on optimization, kinetics, isotherm, thermodynamics, and reusability studies. </w:t>
      </w:r>
      <w:r w:rsidRPr="00A36887">
        <w:rPr>
          <w:i/>
          <w:iCs/>
          <w:lang w:val="en-GB"/>
        </w:rPr>
        <w:t>Journal of Environmental Management</w:t>
      </w:r>
      <w:r w:rsidRPr="00A36887">
        <w:rPr>
          <w:lang w:val="en-GB"/>
        </w:rPr>
        <w:t xml:space="preserve">, </w:t>
      </w:r>
      <w:r w:rsidRPr="00A36887">
        <w:rPr>
          <w:i/>
          <w:iCs/>
          <w:lang w:val="en-GB"/>
        </w:rPr>
        <w:t>345</w:t>
      </w:r>
      <w:r w:rsidRPr="00A36887">
        <w:rPr>
          <w:lang w:val="en-GB"/>
        </w:rPr>
        <w:t xml:space="preserve">, 118815. </w:t>
      </w:r>
      <w:r>
        <w:rPr>
          <w:lang w:val="en-GB"/>
        </w:rPr>
        <w:br/>
      </w:r>
      <w:r w:rsidRPr="00A36887">
        <w:rPr>
          <w:lang w:val="en-GB"/>
        </w:rPr>
        <w:t>https://doi.org/10.1016/j.jenvman.2023.118815</w:t>
      </w:r>
    </w:p>
    <w:p w14:paraId="55BA698F" w14:textId="08DA5E19" w:rsidR="00A36887" w:rsidRDefault="00A36887" w:rsidP="00A36887">
      <w:pPr>
        <w:pStyle w:val="Rlit"/>
        <w:rPr>
          <w:lang w:val="en-GB"/>
        </w:rPr>
      </w:pPr>
      <w:r w:rsidRPr="00A36887">
        <w:rPr>
          <w:lang w:val="en-GB"/>
        </w:rPr>
        <w:t xml:space="preserve">Waghmare, C., </w:t>
      </w:r>
      <w:proofErr w:type="spellStart"/>
      <w:r w:rsidRPr="00A36887">
        <w:rPr>
          <w:lang w:val="en-GB"/>
        </w:rPr>
        <w:t>Ghodmare</w:t>
      </w:r>
      <w:proofErr w:type="spellEnd"/>
      <w:r w:rsidRPr="00A36887">
        <w:rPr>
          <w:lang w:val="en-GB"/>
        </w:rPr>
        <w:t xml:space="preserve">, S., Ansari, K., </w:t>
      </w:r>
      <w:proofErr w:type="spellStart"/>
      <w:r w:rsidRPr="00A36887">
        <w:rPr>
          <w:lang w:val="en-GB"/>
        </w:rPr>
        <w:t>Alfaisal</w:t>
      </w:r>
      <w:proofErr w:type="spellEnd"/>
      <w:r w:rsidRPr="00A36887">
        <w:rPr>
          <w:lang w:val="en-GB"/>
        </w:rPr>
        <w:t xml:space="preserve">, F. M., Alam, S., Khan, M. A., &amp; </w:t>
      </w:r>
      <w:proofErr w:type="spellStart"/>
      <w:r w:rsidRPr="00A36887">
        <w:rPr>
          <w:lang w:val="en-GB"/>
        </w:rPr>
        <w:t>Ezaier</w:t>
      </w:r>
      <w:proofErr w:type="spellEnd"/>
      <w:r w:rsidRPr="00A36887">
        <w:rPr>
          <w:lang w:val="en-GB"/>
        </w:rPr>
        <w:t>, Y. (2024). Adsorption of methylene blue dye onto phosphoric acid-treated pomegranate peel adsorbent: Kinetic and thermodynamic studies. Desalination and Water Treatment, 100406.</w:t>
      </w:r>
    </w:p>
    <w:p w14:paraId="6ABAE5EF" w14:textId="0D92D9CE" w:rsidR="00E0188B" w:rsidRPr="00911272" w:rsidRDefault="00E0188B" w:rsidP="00717D12">
      <w:pPr>
        <w:pStyle w:val="Rlit"/>
        <w:rPr>
          <w:lang w:val="en-GB"/>
        </w:rPr>
      </w:pPr>
      <w:r w:rsidRPr="00911272">
        <w:rPr>
          <w:lang w:val="en-GB"/>
        </w:rPr>
        <w:t>Webber</w:t>
      </w:r>
      <w:r w:rsidR="00695988" w:rsidRPr="00911272">
        <w:rPr>
          <w:lang w:val="en-GB"/>
        </w:rPr>
        <w:t>,</w:t>
      </w:r>
      <w:r w:rsidRPr="00911272">
        <w:rPr>
          <w:lang w:val="en-GB"/>
        </w:rPr>
        <w:t xml:space="preserve"> T</w:t>
      </w:r>
      <w:r w:rsidR="00695988" w:rsidRPr="00911272">
        <w:rPr>
          <w:lang w:val="en-GB"/>
        </w:rPr>
        <w:t>.</w:t>
      </w:r>
      <w:r w:rsidRPr="00911272">
        <w:rPr>
          <w:lang w:val="en-GB"/>
        </w:rPr>
        <w:t>W</w:t>
      </w:r>
      <w:r w:rsidR="00695988" w:rsidRPr="00911272">
        <w:rPr>
          <w:lang w:val="en-GB"/>
        </w:rPr>
        <w:t>.</w:t>
      </w:r>
      <w:r w:rsidRPr="00911272">
        <w:rPr>
          <w:lang w:val="en-GB"/>
        </w:rPr>
        <w:t xml:space="preserve">, </w:t>
      </w:r>
      <w:proofErr w:type="spellStart"/>
      <w:r w:rsidRPr="00911272">
        <w:rPr>
          <w:lang w:val="en-GB"/>
        </w:rPr>
        <w:t>Chakkravorti</w:t>
      </w:r>
      <w:proofErr w:type="spellEnd"/>
      <w:r w:rsidR="00695988" w:rsidRPr="00911272">
        <w:rPr>
          <w:lang w:val="en-GB"/>
        </w:rPr>
        <w:t>,</w:t>
      </w:r>
      <w:r w:rsidRPr="00911272">
        <w:rPr>
          <w:lang w:val="en-GB"/>
        </w:rPr>
        <w:t xml:space="preserve"> R</w:t>
      </w:r>
      <w:r w:rsidR="00695988" w:rsidRPr="00911272">
        <w:rPr>
          <w:lang w:val="en-GB"/>
        </w:rPr>
        <w:t>.</w:t>
      </w:r>
      <w:r w:rsidRPr="00911272">
        <w:rPr>
          <w:lang w:val="en-GB"/>
        </w:rPr>
        <w:t>K</w:t>
      </w:r>
      <w:r w:rsidR="00695988" w:rsidRPr="00911272">
        <w:rPr>
          <w:lang w:val="en-GB"/>
        </w:rPr>
        <w:t>.</w:t>
      </w:r>
      <w:r w:rsidRPr="00911272">
        <w:rPr>
          <w:lang w:val="en-GB"/>
        </w:rPr>
        <w:t xml:space="preserve"> (1974)</w:t>
      </w:r>
      <w:r w:rsidR="00695988" w:rsidRPr="00911272">
        <w:rPr>
          <w:lang w:val="en-GB"/>
        </w:rPr>
        <w:t>.</w:t>
      </w:r>
      <w:r w:rsidRPr="00911272">
        <w:rPr>
          <w:lang w:val="en-GB"/>
        </w:rPr>
        <w:t xml:space="preserve"> Pore and solid diffusion models for fixed-bed a</w:t>
      </w:r>
      <w:r w:rsidR="00695988" w:rsidRPr="00911272">
        <w:rPr>
          <w:lang w:val="en-GB"/>
        </w:rPr>
        <w:t xml:space="preserve">dsorbers. </w:t>
      </w:r>
      <w:proofErr w:type="spellStart"/>
      <w:r w:rsidR="00695988" w:rsidRPr="00911272">
        <w:rPr>
          <w:i/>
          <w:lang w:val="en-GB"/>
        </w:rPr>
        <w:t>Alche</w:t>
      </w:r>
      <w:proofErr w:type="spellEnd"/>
      <w:r w:rsidR="00695988" w:rsidRPr="00911272">
        <w:rPr>
          <w:i/>
          <w:lang w:val="en-GB"/>
        </w:rPr>
        <w:t xml:space="preserve"> Journal</w:t>
      </w:r>
      <w:r w:rsidR="00695988" w:rsidRPr="00911272">
        <w:rPr>
          <w:lang w:val="en-GB"/>
        </w:rPr>
        <w:t xml:space="preserve">, </w:t>
      </w:r>
      <w:r w:rsidR="00695988" w:rsidRPr="00911272">
        <w:rPr>
          <w:i/>
          <w:lang w:val="en-GB"/>
        </w:rPr>
        <w:t>20</w:t>
      </w:r>
      <w:r w:rsidR="00695988" w:rsidRPr="00911272">
        <w:rPr>
          <w:lang w:val="en-GB"/>
        </w:rPr>
        <w:t xml:space="preserve">(2), </w:t>
      </w:r>
      <w:r w:rsidRPr="00911272">
        <w:rPr>
          <w:lang w:val="en-GB"/>
        </w:rPr>
        <w:t>228</w:t>
      </w:r>
      <w:r w:rsidR="00911272" w:rsidRPr="00911272">
        <w:rPr>
          <w:lang w:val="en-GB"/>
        </w:rPr>
        <w:t>-</w:t>
      </w:r>
      <w:r w:rsidRPr="00911272">
        <w:rPr>
          <w:lang w:val="en-GB"/>
        </w:rPr>
        <w:t>238.</w:t>
      </w:r>
    </w:p>
    <w:p w14:paraId="1F13E050" w14:textId="51DBD845" w:rsidR="008036DB" w:rsidRPr="001075BA" w:rsidRDefault="008036DB" w:rsidP="00717D12">
      <w:pPr>
        <w:pStyle w:val="Rlit"/>
        <w:rPr>
          <w:shd w:val="clear" w:color="auto" w:fill="FFFFFF"/>
          <w:lang w:val="en-GB"/>
        </w:rPr>
      </w:pPr>
      <w:r w:rsidRPr="001075BA">
        <w:rPr>
          <w:shd w:val="clear" w:color="auto" w:fill="FFFFFF"/>
          <w:lang w:val="en-GB"/>
        </w:rPr>
        <w:t>Zollinger, H. (2002). Synthesis, properties and applications of organic dyes and pigments. Colour chemistry.</w:t>
      </w:r>
    </w:p>
    <w:p w14:paraId="41A60A55" w14:textId="77777777" w:rsidR="00F21B33" w:rsidRPr="001075BA" w:rsidRDefault="00F21B33" w:rsidP="00F21B33">
      <w:pPr>
        <w:pStyle w:val="Rlit"/>
        <w:rPr>
          <w:shd w:val="clear" w:color="auto" w:fill="FFFFFF"/>
          <w:lang w:val="en-GB"/>
        </w:rPr>
      </w:pPr>
      <w:hyperlink r:id="rId41" w:history="1">
        <w:r w:rsidRPr="001075BA">
          <w:rPr>
            <w:shd w:val="clear" w:color="auto" w:fill="FFFFFF"/>
            <w:lang w:val="en-GB"/>
          </w:rPr>
          <w:t>https://www.ibef.org/</w:t>
        </w:r>
      </w:hyperlink>
    </w:p>
    <w:p w14:paraId="19E730EE" w14:textId="77777777" w:rsidR="00F21B33" w:rsidRPr="001075BA" w:rsidRDefault="00F21B33" w:rsidP="00F21B33">
      <w:pPr>
        <w:pStyle w:val="Rlit"/>
        <w:rPr>
          <w:lang w:val="en-GB"/>
        </w:rPr>
      </w:pPr>
      <w:r w:rsidRPr="001075BA">
        <w:rPr>
          <w:rFonts w:eastAsia="Calibri"/>
          <w:shd w:val="clear" w:color="auto" w:fill="FFFFFF"/>
          <w:lang w:val="en-GB"/>
        </w:rPr>
        <w:t>http://www.spices.res.in/spices/fennel.php</w:t>
      </w:r>
    </w:p>
    <w:p w14:paraId="507C2C92" w14:textId="77777777" w:rsidR="00A16268" w:rsidRPr="001075BA" w:rsidRDefault="00A16268" w:rsidP="00717D12">
      <w:pPr>
        <w:pStyle w:val="Rlit"/>
        <w:rPr>
          <w:lang w:val="en-GB"/>
        </w:rPr>
      </w:pPr>
    </w:p>
    <w:sectPr w:rsidR="00A16268" w:rsidRPr="001075BA" w:rsidSect="00BB5893">
      <w:headerReference w:type="even" r:id="rId42"/>
      <w:headerReference w:type="default" r:id="rId43"/>
      <w:footerReference w:type="first" r:id="rId44"/>
      <w:pgSz w:w="11906" w:h="16838" w:code="9"/>
      <w:pgMar w:top="1134" w:right="1134" w:bottom="1134" w:left="1134" w:header="567" w:footer="567" w:gutter="0"/>
      <w:pgNumType w:start="3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F501D" w14:textId="77777777" w:rsidR="001F3730" w:rsidRDefault="001F3730" w:rsidP="006D5F9E">
      <w:pPr>
        <w:spacing w:after="0" w:line="240" w:lineRule="auto"/>
      </w:pPr>
      <w:r>
        <w:separator/>
      </w:r>
    </w:p>
  </w:endnote>
  <w:endnote w:type="continuationSeparator" w:id="0">
    <w:p w14:paraId="5D647723" w14:textId="77777777" w:rsidR="001F3730" w:rsidRDefault="001F3730" w:rsidP="006D5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ulliverRM">
    <w:panose1 w:val="00000000000000000000"/>
    <w:charset w:val="00"/>
    <w:family w:val="auto"/>
    <w:notTrueType/>
    <w:pitch w:val="default"/>
    <w:sig w:usb0="00000003" w:usb1="00000000" w:usb2="00000000" w:usb3="00000000" w:csb0="00000001" w:csb1="00000000"/>
  </w:font>
  <w:font w:name="AdvGulliv-R">
    <w:altName w:val="MS Mincho"/>
    <w:panose1 w:val="00000000000000000000"/>
    <w:charset w:val="80"/>
    <w:family w:val="auto"/>
    <w:notTrueType/>
    <w:pitch w:val="default"/>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AdvOT863180fb">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DA7408" w:rsidRPr="00DA7408" w14:paraId="0632C895" w14:textId="77777777" w:rsidTr="00FE4B27">
      <w:trPr>
        <w:trHeight w:val="198"/>
      </w:trPr>
      <w:tc>
        <w:tcPr>
          <w:tcW w:w="1384" w:type="dxa"/>
          <w:shd w:val="clear" w:color="auto" w:fill="auto"/>
          <w:vAlign w:val="center"/>
        </w:tcPr>
        <w:p w14:paraId="3A309DDD" w14:textId="77777777" w:rsidR="00DA7408" w:rsidRPr="00DA7408" w:rsidRDefault="00DA7408" w:rsidP="00DA7408">
          <w:pPr>
            <w:spacing w:after="0" w:line="240" w:lineRule="auto"/>
            <w:ind w:left="-105"/>
            <w:rPr>
              <w:rFonts w:ascii="Times New Roman" w:hAnsi="Times New Roman" w:cs="Times New Roman"/>
              <w:lang w:val="en-GB"/>
            </w:rPr>
          </w:pPr>
          <w:bookmarkStart w:id="3" w:name="_Hlk104286226"/>
          <w:bookmarkStart w:id="4" w:name="_Hlk104286227"/>
          <w:bookmarkStart w:id="5" w:name="_Hlk154270864"/>
          <w:bookmarkStart w:id="6" w:name="_Hlk154270865"/>
          <w:r w:rsidRPr="00DA7408">
            <w:rPr>
              <w:rFonts w:ascii="Times New Roman" w:hAnsi="Times New Roman" w:cs="Times New Roman"/>
              <w:noProof/>
              <w:lang w:val="en-GB"/>
            </w:rPr>
            <w:drawing>
              <wp:inline distT="0" distB="0" distL="0" distR="0" wp14:anchorId="3F010CE0" wp14:editId="2657C545">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76250B63" w14:textId="16D5E990" w:rsidR="00DA7408" w:rsidRPr="00DA7408" w:rsidRDefault="00DA7408" w:rsidP="00DA7408">
          <w:pPr>
            <w:suppressAutoHyphens/>
            <w:spacing w:after="0" w:line="240" w:lineRule="auto"/>
            <w:ind w:left="-75"/>
            <w:rPr>
              <w:rFonts w:ascii="Times New Roman" w:hAnsi="Times New Roman" w:cs="Times New Roman"/>
              <w:sz w:val="18"/>
              <w:szCs w:val="18"/>
              <w:lang w:val="en-GB"/>
            </w:rPr>
          </w:pPr>
          <w:r w:rsidRPr="00DA7408">
            <w:rPr>
              <w:rFonts w:ascii="Times New Roman" w:hAnsi="Times New Roman" w:cs="Times New Roman"/>
              <w:sz w:val="18"/>
              <w:szCs w:val="18"/>
              <w:lang w:val="en-GB"/>
            </w:rPr>
            <w:t>© 202</w:t>
          </w:r>
          <w:r w:rsidR="009D5B6C">
            <w:rPr>
              <w:rFonts w:ascii="Times New Roman" w:hAnsi="Times New Roman" w:cs="Times New Roman"/>
              <w:sz w:val="18"/>
              <w:szCs w:val="18"/>
              <w:lang w:val="en-GB"/>
            </w:rPr>
            <w:t>5</w:t>
          </w:r>
          <w:r w:rsidRPr="00DA7408">
            <w:rPr>
              <w:rFonts w:ascii="Times New Roman" w:hAnsi="Times New Roman" w:cs="Times New Roman"/>
              <w:sz w:val="18"/>
              <w:szCs w:val="18"/>
              <w:lang w:val="en-GB"/>
            </w:rPr>
            <w:t>. Author(s). This work is licensed under a Creative Commons Attribution 4.0 International License (CC BY-SA)</w:t>
          </w:r>
        </w:p>
      </w:tc>
    </w:tr>
    <w:bookmarkEnd w:id="3"/>
    <w:bookmarkEnd w:id="4"/>
    <w:bookmarkEnd w:id="5"/>
    <w:bookmarkEnd w:id="6"/>
  </w:tbl>
  <w:p w14:paraId="6545BA18" w14:textId="77777777" w:rsidR="00DA7408" w:rsidRPr="00DA7408" w:rsidRDefault="00DA7408" w:rsidP="00DA7408">
    <w:pPr>
      <w:pStyle w:val="Stopka"/>
      <w:spacing w:after="0" w:line="240" w:lineRule="auto"/>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52E53" w14:textId="77777777" w:rsidR="001F3730" w:rsidRDefault="001F3730" w:rsidP="006D5F9E">
      <w:pPr>
        <w:spacing w:after="0" w:line="240" w:lineRule="auto"/>
      </w:pPr>
      <w:r>
        <w:separator/>
      </w:r>
    </w:p>
  </w:footnote>
  <w:footnote w:type="continuationSeparator" w:id="0">
    <w:p w14:paraId="5F1E2F04" w14:textId="77777777" w:rsidR="001F3730" w:rsidRDefault="001F3730" w:rsidP="006D5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DA7408" w:rsidRPr="00007E12" w14:paraId="10546794" w14:textId="77777777" w:rsidTr="00FE4B27">
      <w:trPr>
        <w:trHeight w:hRule="exact" w:val="284"/>
      </w:trPr>
      <w:tc>
        <w:tcPr>
          <w:tcW w:w="397" w:type="dxa"/>
          <w:shd w:val="clear" w:color="auto" w:fill="auto"/>
          <w:vAlign w:val="center"/>
        </w:tcPr>
        <w:p w14:paraId="5471BED1" w14:textId="77777777" w:rsidR="00DA7408" w:rsidRPr="00007E12" w:rsidRDefault="00DA7408" w:rsidP="00DA7408">
          <w:pPr>
            <w:pStyle w:val="Nagwek"/>
            <w:spacing w:after="0" w:line="240" w:lineRule="auto"/>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2</w:t>
          </w:r>
          <w:r w:rsidRPr="00007E12">
            <w:rPr>
              <w:rFonts w:ascii="Arial" w:hAnsi="Arial" w:cs="Arial"/>
              <w:sz w:val="20"/>
              <w:lang w:val="en-GB"/>
            </w:rPr>
            <w:fldChar w:fldCharType="end"/>
          </w:r>
        </w:p>
      </w:tc>
      <w:tc>
        <w:tcPr>
          <w:tcW w:w="9242" w:type="dxa"/>
          <w:shd w:val="clear" w:color="auto" w:fill="auto"/>
          <w:vAlign w:val="center"/>
        </w:tcPr>
        <w:p w14:paraId="2AB22C26" w14:textId="7C55B6F2" w:rsidR="00DA7408" w:rsidRPr="00007E12" w:rsidRDefault="00DA7408" w:rsidP="00DA7408">
          <w:pPr>
            <w:pStyle w:val="Nagwek"/>
            <w:spacing w:after="0" w:line="240" w:lineRule="auto"/>
            <w:jc w:val="center"/>
            <w:rPr>
              <w:rFonts w:ascii="Arial" w:hAnsi="Arial" w:cs="Arial"/>
              <w:i/>
              <w:sz w:val="20"/>
              <w:lang w:val="en-GB"/>
            </w:rPr>
          </w:pPr>
          <w:r w:rsidRPr="00DA7408">
            <w:rPr>
              <w:rFonts w:ascii="Arial" w:hAnsi="Arial" w:cs="Arial"/>
              <w:i/>
              <w:sz w:val="20"/>
              <w:lang w:val="en-GB"/>
            </w:rPr>
            <w:t xml:space="preserve">Razia </w:t>
          </w:r>
          <w:proofErr w:type="spellStart"/>
          <w:r w:rsidRPr="00DA7408">
            <w:rPr>
              <w:rFonts w:ascii="Arial" w:hAnsi="Arial" w:cs="Arial"/>
              <w:i/>
              <w:sz w:val="20"/>
              <w:lang w:val="en-GB"/>
            </w:rPr>
            <w:t>Sulthana</w:t>
          </w:r>
          <w:proofErr w:type="spellEnd"/>
          <w:r w:rsidRPr="00007E12">
            <w:rPr>
              <w:rFonts w:ascii="Arial" w:hAnsi="Arial" w:cs="Arial"/>
              <w:i/>
              <w:sz w:val="20"/>
              <w:lang w:val="en-GB"/>
            </w:rPr>
            <w:t xml:space="preserve"> et al.</w:t>
          </w:r>
        </w:p>
      </w:tc>
    </w:tr>
  </w:tbl>
  <w:p w14:paraId="11164DF8" w14:textId="77777777" w:rsidR="00DA7408" w:rsidRPr="00007E12" w:rsidRDefault="00DA7408" w:rsidP="00DA7408">
    <w:pPr>
      <w:pStyle w:val="Nagwek"/>
      <w:spacing w:after="0" w:line="240" w:lineRule="auto"/>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A7408" w:rsidRPr="00007E12" w14:paraId="7B46FDC6" w14:textId="77777777" w:rsidTr="00FE4B27">
      <w:trPr>
        <w:trHeight w:hRule="exact" w:val="284"/>
        <w:jc w:val="right"/>
      </w:trPr>
      <w:tc>
        <w:tcPr>
          <w:tcW w:w="9243" w:type="dxa"/>
          <w:shd w:val="clear" w:color="auto" w:fill="auto"/>
          <w:vAlign w:val="center"/>
        </w:tcPr>
        <w:p w14:paraId="42305DF9" w14:textId="5E927664" w:rsidR="00DA7408" w:rsidRPr="00007E12" w:rsidRDefault="00C37EAF" w:rsidP="00DA7408">
          <w:pPr>
            <w:pStyle w:val="Nagwek"/>
            <w:spacing w:after="0" w:line="240" w:lineRule="auto"/>
            <w:jc w:val="center"/>
            <w:rPr>
              <w:rFonts w:ascii="Arial" w:hAnsi="Arial" w:cs="Arial"/>
              <w:i/>
              <w:sz w:val="20"/>
              <w:szCs w:val="16"/>
              <w:lang w:val="en-GB"/>
            </w:rPr>
          </w:pPr>
          <w:r w:rsidRPr="00C37EAF">
            <w:rPr>
              <w:rFonts w:ascii="Arial" w:hAnsi="Arial" w:cs="Arial"/>
              <w:i/>
              <w:sz w:val="20"/>
              <w:szCs w:val="16"/>
              <w:lang w:val="en-GB"/>
            </w:rPr>
            <w:t>Utilizing Industrial Fennel Seed Waste and Brilliant Green</w:t>
          </w:r>
          <w:r w:rsidR="00DA7408">
            <w:rPr>
              <w:rFonts w:ascii="Arial" w:hAnsi="Arial" w:cs="Arial"/>
              <w:i/>
              <w:sz w:val="20"/>
              <w:szCs w:val="16"/>
              <w:lang w:val="en-GB"/>
            </w:rPr>
            <w:t>…</w:t>
          </w:r>
        </w:p>
      </w:tc>
      <w:tc>
        <w:tcPr>
          <w:tcW w:w="397" w:type="dxa"/>
          <w:shd w:val="clear" w:color="auto" w:fill="auto"/>
          <w:vAlign w:val="center"/>
        </w:tcPr>
        <w:p w14:paraId="5491DFE4" w14:textId="77777777" w:rsidR="00DA7408" w:rsidRPr="00007E12" w:rsidRDefault="00DA7408" w:rsidP="00DA7408">
          <w:pPr>
            <w:pStyle w:val="Nagwek"/>
            <w:spacing w:after="0" w:line="240" w:lineRule="auto"/>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6D828DDD" w14:textId="77777777" w:rsidR="00DA7408" w:rsidRPr="00007E12" w:rsidRDefault="00DA7408" w:rsidP="00DA7408">
    <w:pPr>
      <w:pStyle w:val="Nagwek"/>
      <w:spacing w:after="0" w:line="240" w:lineRule="auto"/>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01BEF"/>
    <w:multiLevelType w:val="multilevel"/>
    <w:tmpl w:val="C97044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2F700AEC"/>
    <w:multiLevelType w:val="multilevel"/>
    <w:tmpl w:val="87EE22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C856CEA"/>
    <w:multiLevelType w:val="multilevel"/>
    <w:tmpl w:val="16F62B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4FA6A18"/>
    <w:multiLevelType w:val="multilevel"/>
    <w:tmpl w:val="CC78A6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766051"/>
    <w:multiLevelType w:val="multilevel"/>
    <w:tmpl w:val="AC82636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0A96405"/>
    <w:multiLevelType w:val="multilevel"/>
    <w:tmpl w:val="AA8C57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F34B9D"/>
    <w:multiLevelType w:val="multilevel"/>
    <w:tmpl w:val="2F763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1604509">
    <w:abstractNumId w:val="2"/>
  </w:num>
  <w:num w:numId="2" w16cid:durableId="1719818219">
    <w:abstractNumId w:val="4"/>
  </w:num>
  <w:num w:numId="3" w16cid:durableId="2004624611">
    <w:abstractNumId w:val="1"/>
  </w:num>
  <w:num w:numId="4" w16cid:durableId="205802286">
    <w:abstractNumId w:val="3"/>
  </w:num>
  <w:num w:numId="5" w16cid:durableId="958948914">
    <w:abstractNumId w:val="0"/>
  </w:num>
  <w:num w:numId="6" w16cid:durableId="320621336">
    <w:abstractNumId w:val="6"/>
  </w:num>
  <w:num w:numId="7" w16cid:durableId="12134190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mirrorMargins/>
  <w:bordersDoNotSurroundHeader/>
  <w:bordersDoNotSurroundFooter/>
  <w:hideSpellingErrors/>
  <w:hideGrammaticalErrors/>
  <w:proofState w:spelling="clean"/>
  <w:defaultTabStop w:val="420"/>
  <w:autoHyphenation/>
  <w:hyphenationZone w:val="425"/>
  <w:evenAndOddHeaders/>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W0NDY0NzKxtDCwMDVW0lEKTi0uzszPAykwqgUAS+XHQywAAAA="/>
  </w:docVars>
  <w:rsids>
    <w:rsidRoot w:val="0099405C"/>
    <w:rsid w:val="00003E0C"/>
    <w:rsid w:val="00012E7C"/>
    <w:rsid w:val="000174F2"/>
    <w:rsid w:val="00032489"/>
    <w:rsid w:val="00032BFF"/>
    <w:rsid w:val="00037810"/>
    <w:rsid w:val="00050A31"/>
    <w:rsid w:val="00054B30"/>
    <w:rsid w:val="00056976"/>
    <w:rsid w:val="000716D2"/>
    <w:rsid w:val="00071AAB"/>
    <w:rsid w:val="00092694"/>
    <w:rsid w:val="00093AD4"/>
    <w:rsid w:val="000A2A83"/>
    <w:rsid w:val="000B76C4"/>
    <w:rsid w:val="000C0E58"/>
    <w:rsid w:val="000C18EF"/>
    <w:rsid w:val="000C3501"/>
    <w:rsid w:val="000C5610"/>
    <w:rsid w:val="000D3EB4"/>
    <w:rsid w:val="000D5C7A"/>
    <w:rsid w:val="000E6552"/>
    <w:rsid w:val="000E7720"/>
    <w:rsid w:val="000F3A4F"/>
    <w:rsid w:val="000F59AC"/>
    <w:rsid w:val="001075BA"/>
    <w:rsid w:val="00110489"/>
    <w:rsid w:val="0011490D"/>
    <w:rsid w:val="001364FE"/>
    <w:rsid w:val="001368DD"/>
    <w:rsid w:val="00147DB3"/>
    <w:rsid w:val="001518A5"/>
    <w:rsid w:val="0015705D"/>
    <w:rsid w:val="00166C2F"/>
    <w:rsid w:val="00170095"/>
    <w:rsid w:val="00170E4F"/>
    <w:rsid w:val="0017174C"/>
    <w:rsid w:val="001743F4"/>
    <w:rsid w:val="001767EC"/>
    <w:rsid w:val="00187C33"/>
    <w:rsid w:val="001936B7"/>
    <w:rsid w:val="00196AB1"/>
    <w:rsid w:val="001A69A0"/>
    <w:rsid w:val="001B302C"/>
    <w:rsid w:val="001C4AFC"/>
    <w:rsid w:val="001D035F"/>
    <w:rsid w:val="001D5908"/>
    <w:rsid w:val="001F223C"/>
    <w:rsid w:val="001F3730"/>
    <w:rsid w:val="00201333"/>
    <w:rsid w:val="00210FA7"/>
    <w:rsid w:val="0021190D"/>
    <w:rsid w:val="00216417"/>
    <w:rsid w:val="00222234"/>
    <w:rsid w:val="002226D7"/>
    <w:rsid w:val="002311B1"/>
    <w:rsid w:val="00234F0C"/>
    <w:rsid w:val="00265AD2"/>
    <w:rsid w:val="0026631D"/>
    <w:rsid w:val="00276E6D"/>
    <w:rsid w:val="00277B77"/>
    <w:rsid w:val="00286865"/>
    <w:rsid w:val="002931AC"/>
    <w:rsid w:val="002A0A60"/>
    <w:rsid w:val="002A15CC"/>
    <w:rsid w:val="002A5DB6"/>
    <w:rsid w:val="002A7B72"/>
    <w:rsid w:val="002B42CB"/>
    <w:rsid w:val="002C2F53"/>
    <w:rsid w:val="002C350C"/>
    <w:rsid w:val="002C7CD3"/>
    <w:rsid w:val="002D2B9B"/>
    <w:rsid w:val="002E24DF"/>
    <w:rsid w:val="002E6815"/>
    <w:rsid w:val="002F400E"/>
    <w:rsid w:val="003116A5"/>
    <w:rsid w:val="00311B7C"/>
    <w:rsid w:val="003236A6"/>
    <w:rsid w:val="0033518C"/>
    <w:rsid w:val="00342E68"/>
    <w:rsid w:val="003434E9"/>
    <w:rsid w:val="003437C2"/>
    <w:rsid w:val="00346C21"/>
    <w:rsid w:val="003549BC"/>
    <w:rsid w:val="003601AC"/>
    <w:rsid w:val="003623A7"/>
    <w:rsid w:val="00377186"/>
    <w:rsid w:val="003833C4"/>
    <w:rsid w:val="00387BBE"/>
    <w:rsid w:val="00390061"/>
    <w:rsid w:val="00397075"/>
    <w:rsid w:val="003A1C03"/>
    <w:rsid w:val="003A3439"/>
    <w:rsid w:val="003B294B"/>
    <w:rsid w:val="003C0F9B"/>
    <w:rsid w:val="003C2715"/>
    <w:rsid w:val="003C2DCD"/>
    <w:rsid w:val="003D055E"/>
    <w:rsid w:val="003D2D65"/>
    <w:rsid w:val="004112F9"/>
    <w:rsid w:val="00414627"/>
    <w:rsid w:val="00415498"/>
    <w:rsid w:val="00416935"/>
    <w:rsid w:val="00425AB6"/>
    <w:rsid w:val="00425D63"/>
    <w:rsid w:val="0043243B"/>
    <w:rsid w:val="004426EB"/>
    <w:rsid w:val="00444020"/>
    <w:rsid w:val="004643D8"/>
    <w:rsid w:val="00466698"/>
    <w:rsid w:val="00467F0C"/>
    <w:rsid w:val="00495254"/>
    <w:rsid w:val="00497C24"/>
    <w:rsid w:val="004B5F2E"/>
    <w:rsid w:val="004C7BA5"/>
    <w:rsid w:val="004D2C12"/>
    <w:rsid w:val="004E7628"/>
    <w:rsid w:val="004F461E"/>
    <w:rsid w:val="004F48F2"/>
    <w:rsid w:val="00505067"/>
    <w:rsid w:val="00505FD2"/>
    <w:rsid w:val="00506EA9"/>
    <w:rsid w:val="005149B1"/>
    <w:rsid w:val="0052184A"/>
    <w:rsid w:val="00522B3D"/>
    <w:rsid w:val="0052659A"/>
    <w:rsid w:val="00531305"/>
    <w:rsid w:val="00533351"/>
    <w:rsid w:val="00542094"/>
    <w:rsid w:val="00543E60"/>
    <w:rsid w:val="00547BBF"/>
    <w:rsid w:val="00555BB6"/>
    <w:rsid w:val="005647F2"/>
    <w:rsid w:val="005662D1"/>
    <w:rsid w:val="00571BCA"/>
    <w:rsid w:val="005727A3"/>
    <w:rsid w:val="00573A09"/>
    <w:rsid w:val="005A4526"/>
    <w:rsid w:val="005B65C7"/>
    <w:rsid w:val="005C1B16"/>
    <w:rsid w:val="005D668B"/>
    <w:rsid w:val="005E1898"/>
    <w:rsid w:val="005E305D"/>
    <w:rsid w:val="005E53D0"/>
    <w:rsid w:val="005F41A3"/>
    <w:rsid w:val="006002EB"/>
    <w:rsid w:val="00604FD9"/>
    <w:rsid w:val="006128EF"/>
    <w:rsid w:val="0062544B"/>
    <w:rsid w:val="006264B4"/>
    <w:rsid w:val="00643033"/>
    <w:rsid w:val="00644CC3"/>
    <w:rsid w:val="00645320"/>
    <w:rsid w:val="00656FAD"/>
    <w:rsid w:val="00661468"/>
    <w:rsid w:val="00663738"/>
    <w:rsid w:val="006649F0"/>
    <w:rsid w:val="0067245D"/>
    <w:rsid w:val="00672D46"/>
    <w:rsid w:val="006776D6"/>
    <w:rsid w:val="006829CF"/>
    <w:rsid w:val="0068470E"/>
    <w:rsid w:val="00695988"/>
    <w:rsid w:val="00695DCD"/>
    <w:rsid w:val="006A05CC"/>
    <w:rsid w:val="006A1012"/>
    <w:rsid w:val="006A35A7"/>
    <w:rsid w:val="006B04C0"/>
    <w:rsid w:val="006C0582"/>
    <w:rsid w:val="006C28D7"/>
    <w:rsid w:val="006C4AC6"/>
    <w:rsid w:val="006D5F9E"/>
    <w:rsid w:val="006E190C"/>
    <w:rsid w:val="006F227E"/>
    <w:rsid w:val="00701FF2"/>
    <w:rsid w:val="00714A14"/>
    <w:rsid w:val="007152D7"/>
    <w:rsid w:val="00717196"/>
    <w:rsid w:val="00717D12"/>
    <w:rsid w:val="00723B13"/>
    <w:rsid w:val="0072410C"/>
    <w:rsid w:val="00727766"/>
    <w:rsid w:val="00732DC1"/>
    <w:rsid w:val="00732EFD"/>
    <w:rsid w:val="00740A04"/>
    <w:rsid w:val="00740C97"/>
    <w:rsid w:val="007431E4"/>
    <w:rsid w:val="00745A41"/>
    <w:rsid w:val="00746C14"/>
    <w:rsid w:val="007479F4"/>
    <w:rsid w:val="0075007E"/>
    <w:rsid w:val="007704D8"/>
    <w:rsid w:val="00773032"/>
    <w:rsid w:val="007855F4"/>
    <w:rsid w:val="00787A7E"/>
    <w:rsid w:val="00793945"/>
    <w:rsid w:val="00794532"/>
    <w:rsid w:val="00795E2E"/>
    <w:rsid w:val="007A187B"/>
    <w:rsid w:val="007B62EF"/>
    <w:rsid w:val="007C2C59"/>
    <w:rsid w:val="007C3635"/>
    <w:rsid w:val="007C70F3"/>
    <w:rsid w:val="007D7033"/>
    <w:rsid w:val="007E198A"/>
    <w:rsid w:val="007E7A59"/>
    <w:rsid w:val="007F03C8"/>
    <w:rsid w:val="007F1581"/>
    <w:rsid w:val="007F456A"/>
    <w:rsid w:val="007F7A86"/>
    <w:rsid w:val="00801F23"/>
    <w:rsid w:val="008036DB"/>
    <w:rsid w:val="00821AE1"/>
    <w:rsid w:val="00824F04"/>
    <w:rsid w:val="00835F5B"/>
    <w:rsid w:val="00837632"/>
    <w:rsid w:val="00840E0D"/>
    <w:rsid w:val="00851D3F"/>
    <w:rsid w:val="00854A12"/>
    <w:rsid w:val="0085640F"/>
    <w:rsid w:val="008567AA"/>
    <w:rsid w:val="00865B82"/>
    <w:rsid w:val="00892712"/>
    <w:rsid w:val="00892E92"/>
    <w:rsid w:val="00897028"/>
    <w:rsid w:val="008A680A"/>
    <w:rsid w:val="008A7B85"/>
    <w:rsid w:val="008B0BB0"/>
    <w:rsid w:val="008B3347"/>
    <w:rsid w:val="008B5630"/>
    <w:rsid w:val="008E6C4B"/>
    <w:rsid w:val="008F18C0"/>
    <w:rsid w:val="008F31CC"/>
    <w:rsid w:val="00907648"/>
    <w:rsid w:val="00911272"/>
    <w:rsid w:val="009115DF"/>
    <w:rsid w:val="009206D8"/>
    <w:rsid w:val="009234CB"/>
    <w:rsid w:val="009269DF"/>
    <w:rsid w:val="00926C23"/>
    <w:rsid w:val="00930FDE"/>
    <w:rsid w:val="00931CF8"/>
    <w:rsid w:val="00931E90"/>
    <w:rsid w:val="009342DF"/>
    <w:rsid w:val="009403E3"/>
    <w:rsid w:val="00943AD3"/>
    <w:rsid w:val="00945545"/>
    <w:rsid w:val="009463EF"/>
    <w:rsid w:val="00957F7A"/>
    <w:rsid w:val="00967904"/>
    <w:rsid w:val="00971179"/>
    <w:rsid w:val="00972918"/>
    <w:rsid w:val="0097516A"/>
    <w:rsid w:val="00975B9A"/>
    <w:rsid w:val="00984C93"/>
    <w:rsid w:val="00987CE1"/>
    <w:rsid w:val="0099084C"/>
    <w:rsid w:val="00990E3B"/>
    <w:rsid w:val="00993000"/>
    <w:rsid w:val="00993ADC"/>
    <w:rsid w:val="0099405C"/>
    <w:rsid w:val="009B37DC"/>
    <w:rsid w:val="009C0856"/>
    <w:rsid w:val="009C600F"/>
    <w:rsid w:val="009C61A2"/>
    <w:rsid w:val="009C759B"/>
    <w:rsid w:val="009D023C"/>
    <w:rsid w:val="009D3723"/>
    <w:rsid w:val="009D5B6C"/>
    <w:rsid w:val="009D615E"/>
    <w:rsid w:val="009E04F2"/>
    <w:rsid w:val="009E2E51"/>
    <w:rsid w:val="009F211D"/>
    <w:rsid w:val="009F535A"/>
    <w:rsid w:val="00A0146C"/>
    <w:rsid w:val="00A03B7B"/>
    <w:rsid w:val="00A16268"/>
    <w:rsid w:val="00A200C9"/>
    <w:rsid w:val="00A23FB5"/>
    <w:rsid w:val="00A250D5"/>
    <w:rsid w:val="00A26883"/>
    <w:rsid w:val="00A32F56"/>
    <w:rsid w:val="00A36028"/>
    <w:rsid w:val="00A36887"/>
    <w:rsid w:val="00A445B8"/>
    <w:rsid w:val="00A56AB3"/>
    <w:rsid w:val="00A632CD"/>
    <w:rsid w:val="00A91424"/>
    <w:rsid w:val="00A92A95"/>
    <w:rsid w:val="00AA2C77"/>
    <w:rsid w:val="00AB2051"/>
    <w:rsid w:val="00AC01AF"/>
    <w:rsid w:val="00AC1512"/>
    <w:rsid w:val="00AC3CFF"/>
    <w:rsid w:val="00AC3FB9"/>
    <w:rsid w:val="00AC702A"/>
    <w:rsid w:val="00AD226F"/>
    <w:rsid w:val="00AE04A9"/>
    <w:rsid w:val="00AE16B2"/>
    <w:rsid w:val="00B13A52"/>
    <w:rsid w:val="00B20985"/>
    <w:rsid w:val="00B2256D"/>
    <w:rsid w:val="00B24CF4"/>
    <w:rsid w:val="00B26993"/>
    <w:rsid w:val="00B4570C"/>
    <w:rsid w:val="00B5208C"/>
    <w:rsid w:val="00B64A1D"/>
    <w:rsid w:val="00B74876"/>
    <w:rsid w:val="00B755EC"/>
    <w:rsid w:val="00B84B13"/>
    <w:rsid w:val="00B90D2D"/>
    <w:rsid w:val="00BA0AE1"/>
    <w:rsid w:val="00BB161E"/>
    <w:rsid w:val="00BB4731"/>
    <w:rsid w:val="00BB5893"/>
    <w:rsid w:val="00BB7C2B"/>
    <w:rsid w:val="00BC1664"/>
    <w:rsid w:val="00BC2546"/>
    <w:rsid w:val="00BC2B1A"/>
    <w:rsid w:val="00BC54F8"/>
    <w:rsid w:val="00BC69FE"/>
    <w:rsid w:val="00BE44EC"/>
    <w:rsid w:val="00BE5E8B"/>
    <w:rsid w:val="00BE6494"/>
    <w:rsid w:val="00BF26DF"/>
    <w:rsid w:val="00BF7367"/>
    <w:rsid w:val="00C05085"/>
    <w:rsid w:val="00C12734"/>
    <w:rsid w:val="00C1593D"/>
    <w:rsid w:val="00C160E0"/>
    <w:rsid w:val="00C2272E"/>
    <w:rsid w:val="00C27CF2"/>
    <w:rsid w:val="00C37EAF"/>
    <w:rsid w:val="00C4714A"/>
    <w:rsid w:val="00C53F26"/>
    <w:rsid w:val="00C56C7E"/>
    <w:rsid w:val="00C74454"/>
    <w:rsid w:val="00C74B55"/>
    <w:rsid w:val="00C776A4"/>
    <w:rsid w:val="00C77A67"/>
    <w:rsid w:val="00CA2C6C"/>
    <w:rsid w:val="00CB37FD"/>
    <w:rsid w:val="00CC0168"/>
    <w:rsid w:val="00CC0600"/>
    <w:rsid w:val="00CC3AC6"/>
    <w:rsid w:val="00CC78AC"/>
    <w:rsid w:val="00CD305E"/>
    <w:rsid w:val="00CD3DBC"/>
    <w:rsid w:val="00CD5DDA"/>
    <w:rsid w:val="00CE7315"/>
    <w:rsid w:val="00CF7953"/>
    <w:rsid w:val="00D06E4A"/>
    <w:rsid w:val="00D07232"/>
    <w:rsid w:val="00D10245"/>
    <w:rsid w:val="00D202F4"/>
    <w:rsid w:val="00D21BDD"/>
    <w:rsid w:val="00D246A4"/>
    <w:rsid w:val="00D257D2"/>
    <w:rsid w:val="00D27572"/>
    <w:rsid w:val="00D36CE4"/>
    <w:rsid w:val="00D471EF"/>
    <w:rsid w:val="00D518CE"/>
    <w:rsid w:val="00D548FE"/>
    <w:rsid w:val="00D5570E"/>
    <w:rsid w:val="00D65F07"/>
    <w:rsid w:val="00D706F4"/>
    <w:rsid w:val="00D73919"/>
    <w:rsid w:val="00D850AB"/>
    <w:rsid w:val="00D85E1D"/>
    <w:rsid w:val="00D92BB7"/>
    <w:rsid w:val="00DA2C1C"/>
    <w:rsid w:val="00DA4ED0"/>
    <w:rsid w:val="00DA7408"/>
    <w:rsid w:val="00DB287E"/>
    <w:rsid w:val="00DB2AF9"/>
    <w:rsid w:val="00DC76D2"/>
    <w:rsid w:val="00DD30ED"/>
    <w:rsid w:val="00DD3DB7"/>
    <w:rsid w:val="00DD3F1D"/>
    <w:rsid w:val="00DE0363"/>
    <w:rsid w:val="00DF234E"/>
    <w:rsid w:val="00DF36D6"/>
    <w:rsid w:val="00DF49D6"/>
    <w:rsid w:val="00DF6318"/>
    <w:rsid w:val="00E0188B"/>
    <w:rsid w:val="00E02581"/>
    <w:rsid w:val="00E127FF"/>
    <w:rsid w:val="00E129E5"/>
    <w:rsid w:val="00E13FB8"/>
    <w:rsid w:val="00E1401B"/>
    <w:rsid w:val="00E25DD0"/>
    <w:rsid w:val="00E358C4"/>
    <w:rsid w:val="00E449FA"/>
    <w:rsid w:val="00E47002"/>
    <w:rsid w:val="00E64C21"/>
    <w:rsid w:val="00E80D7B"/>
    <w:rsid w:val="00E818AB"/>
    <w:rsid w:val="00E84914"/>
    <w:rsid w:val="00E85C2C"/>
    <w:rsid w:val="00E923F6"/>
    <w:rsid w:val="00E9261C"/>
    <w:rsid w:val="00E940A3"/>
    <w:rsid w:val="00E969B3"/>
    <w:rsid w:val="00E970AF"/>
    <w:rsid w:val="00EA304C"/>
    <w:rsid w:val="00EC24C6"/>
    <w:rsid w:val="00EE0E63"/>
    <w:rsid w:val="00EE4088"/>
    <w:rsid w:val="00EE6149"/>
    <w:rsid w:val="00EE6E7E"/>
    <w:rsid w:val="00EF2933"/>
    <w:rsid w:val="00F05146"/>
    <w:rsid w:val="00F1115D"/>
    <w:rsid w:val="00F12958"/>
    <w:rsid w:val="00F21832"/>
    <w:rsid w:val="00F21B33"/>
    <w:rsid w:val="00F2329F"/>
    <w:rsid w:val="00F3513C"/>
    <w:rsid w:val="00F41DB3"/>
    <w:rsid w:val="00F455D3"/>
    <w:rsid w:val="00F465C5"/>
    <w:rsid w:val="00F5180D"/>
    <w:rsid w:val="00F51B21"/>
    <w:rsid w:val="00F51D87"/>
    <w:rsid w:val="00F52C99"/>
    <w:rsid w:val="00F6600E"/>
    <w:rsid w:val="00F8455C"/>
    <w:rsid w:val="00F84749"/>
    <w:rsid w:val="00F850CE"/>
    <w:rsid w:val="00F9117B"/>
    <w:rsid w:val="00F970FD"/>
    <w:rsid w:val="00FA668C"/>
    <w:rsid w:val="00FC1BE6"/>
    <w:rsid w:val="00FC247E"/>
    <w:rsid w:val="00FD1233"/>
    <w:rsid w:val="00FD3593"/>
    <w:rsid w:val="00FF2E56"/>
    <w:rsid w:val="00FF3F9F"/>
    <w:rsid w:val="061331F0"/>
    <w:rsid w:val="0A7252A6"/>
    <w:rsid w:val="13F73357"/>
    <w:rsid w:val="20092336"/>
    <w:rsid w:val="219D6946"/>
    <w:rsid w:val="26B7357E"/>
    <w:rsid w:val="30B63461"/>
    <w:rsid w:val="3DAF616E"/>
    <w:rsid w:val="3F6B2E84"/>
    <w:rsid w:val="43B77B17"/>
    <w:rsid w:val="46827FC7"/>
    <w:rsid w:val="483256B7"/>
    <w:rsid w:val="4D5D212E"/>
    <w:rsid w:val="4FD16F14"/>
    <w:rsid w:val="52DF57ED"/>
    <w:rsid w:val="5C673930"/>
    <w:rsid w:val="61CB0E41"/>
    <w:rsid w:val="668C30CE"/>
    <w:rsid w:val="67AE7F28"/>
    <w:rsid w:val="73731625"/>
    <w:rsid w:val="79DD0D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2CD8A7"/>
  <w15:docId w15:val="{F3F3FA11-BD94-4B3D-AF4D-C322809E7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376">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Hyperlink" w:uiPriority="99"/>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rPr>
      <w:rFonts w:eastAsiaTheme="minorHAnsi"/>
      <w:sz w:val="22"/>
      <w:szCs w:val="22"/>
    </w:rPr>
  </w:style>
  <w:style w:type="paragraph" w:styleId="Nagwek1">
    <w:name w:val="heading 1"/>
    <w:basedOn w:val="Normalny"/>
    <w:next w:val="Normalny"/>
    <w:link w:val="Nagwek1Znak"/>
    <w:rsid w:val="004666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next w:val="Nagwek"/>
    <w:link w:val="StopkaZnak"/>
    <w:uiPriority w:val="99"/>
    <w:pPr>
      <w:tabs>
        <w:tab w:val="center" w:pos="4153"/>
        <w:tab w:val="right" w:pos="8306"/>
      </w:tabs>
      <w:snapToGrid w:val="0"/>
      <w:jc w:val="both"/>
    </w:pPr>
    <w:rPr>
      <w:rFonts w:eastAsiaTheme="minorEastAsia"/>
      <w:b/>
      <w:smallCaps/>
      <w:sz w:val="24"/>
      <w:szCs w:val="18"/>
      <w:u w:val="thick"/>
    </w:rPr>
  </w:style>
  <w:style w:type="paragraph" w:styleId="Nagwek">
    <w:name w:val="header"/>
    <w:basedOn w:val="Normalny"/>
    <w:link w:val="NagwekZnak"/>
    <w:uiPriority w:val="99"/>
    <w:pPr>
      <w:tabs>
        <w:tab w:val="center" w:pos="4153"/>
        <w:tab w:val="right" w:pos="8306"/>
      </w:tabs>
      <w:snapToGrid w:val="0"/>
    </w:pPr>
    <w:rPr>
      <w:sz w:val="18"/>
      <w:szCs w:val="18"/>
    </w:rPr>
  </w:style>
  <w:style w:type="table" w:customStyle="1" w:styleId="TableGrid17">
    <w:name w:val="Table Grid17"/>
    <w:basedOn w:val="Standardowy"/>
    <w:uiPriority w:val="59"/>
    <w:qFormat/>
    <w:pPr>
      <w:spacing w:after="0" w:line="240" w:lineRule="auto"/>
    </w:pPr>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7431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7431E4"/>
    <w:rPr>
      <w:rFonts w:ascii="Tahoma" w:eastAsiaTheme="minorHAnsi" w:hAnsi="Tahoma" w:cs="Tahoma"/>
      <w:sz w:val="16"/>
      <w:szCs w:val="16"/>
    </w:rPr>
  </w:style>
  <w:style w:type="table" w:styleId="Tabela-Siatka">
    <w:name w:val="Table Grid"/>
    <w:basedOn w:val="Standardowy"/>
    <w:uiPriority w:val="59"/>
    <w:rsid w:val="000C18E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
    <w:name w:val="Table Grid1"/>
    <w:basedOn w:val="Standardowy"/>
    <w:uiPriority w:val="59"/>
    <w:rsid w:val="003623A7"/>
    <w:pPr>
      <w:spacing w:after="0" w:line="240" w:lineRule="auto"/>
    </w:pPr>
    <w:rPr>
      <w:rFonts w:ascii="Calibri" w:eastAsia="Calibri" w:hAnsi="Calibri" w:cs="Times New Roman"/>
      <w:sz w:val="22"/>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rdowy"/>
    <w:next w:val="Tabela-Siatka"/>
    <w:uiPriority w:val="59"/>
    <w:rsid w:val="00DB287E"/>
    <w:pPr>
      <w:spacing w:after="0" w:line="240" w:lineRule="auto"/>
    </w:pPr>
    <w:rPr>
      <w:rFonts w:ascii="Calibri" w:eastAsia="Times New Roman" w:hAnsi="Calibri" w:cs="Times New Roman"/>
      <w:sz w:val="22"/>
      <w:szCs w:val="22"/>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rdowy"/>
    <w:next w:val="Tabela-Siatka"/>
    <w:uiPriority w:val="59"/>
    <w:rsid w:val="007479F4"/>
    <w:pPr>
      <w:spacing w:after="0" w:line="240" w:lineRule="auto"/>
    </w:pPr>
    <w:rPr>
      <w:sz w:val="22"/>
      <w:szCs w:val="22"/>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rdowy"/>
    <w:next w:val="Tabela-Siatka"/>
    <w:uiPriority w:val="59"/>
    <w:rsid w:val="007479F4"/>
    <w:pPr>
      <w:spacing w:after="0" w:line="240" w:lineRule="auto"/>
    </w:pPr>
    <w:rPr>
      <w:sz w:val="22"/>
      <w:szCs w:val="22"/>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Standardowy"/>
    <w:next w:val="Tabela-Siatka"/>
    <w:uiPriority w:val="59"/>
    <w:rsid w:val="007479F4"/>
    <w:pPr>
      <w:spacing w:after="0" w:line="240" w:lineRule="auto"/>
    </w:pPr>
    <w:rPr>
      <w:sz w:val="22"/>
      <w:szCs w:val="22"/>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Standardowy"/>
    <w:next w:val="Tabela-Siatka"/>
    <w:uiPriority w:val="59"/>
    <w:rsid w:val="00F2329F"/>
    <w:pPr>
      <w:spacing w:after="0" w:line="240" w:lineRule="auto"/>
    </w:pPr>
    <w:rPr>
      <w:sz w:val="22"/>
      <w:szCs w:val="22"/>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Standardowy"/>
    <w:next w:val="Tabela-Siatka"/>
    <w:uiPriority w:val="59"/>
    <w:rsid w:val="004D2C12"/>
    <w:pPr>
      <w:spacing w:after="0" w:line="240" w:lineRule="auto"/>
    </w:pPr>
    <w:rPr>
      <w:sz w:val="22"/>
      <w:szCs w:val="22"/>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Standardowy"/>
    <w:next w:val="Tabela-Siatka"/>
    <w:uiPriority w:val="59"/>
    <w:rsid w:val="004D2C12"/>
    <w:pPr>
      <w:spacing w:after="0" w:line="240" w:lineRule="auto"/>
    </w:pPr>
    <w:rPr>
      <w:sz w:val="22"/>
      <w:szCs w:val="22"/>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opkaZnak">
    <w:name w:val="Stopka Znak"/>
    <w:basedOn w:val="Domylnaczcionkaakapitu"/>
    <w:link w:val="Stopka"/>
    <w:uiPriority w:val="99"/>
    <w:rsid w:val="006D5F9E"/>
    <w:rPr>
      <w:b/>
      <w:smallCaps/>
      <w:sz w:val="24"/>
      <w:szCs w:val="18"/>
      <w:u w:val="thick"/>
    </w:rPr>
  </w:style>
  <w:style w:type="character" w:styleId="Odwoaniedelikatne">
    <w:name w:val="Subtle Reference"/>
    <w:basedOn w:val="Domylnaczcionkaakapitu"/>
    <w:uiPriority w:val="31"/>
    <w:qFormat/>
    <w:rsid w:val="00D471EF"/>
    <w:rPr>
      <w:smallCaps/>
      <w:color w:val="ED7D31" w:themeColor="accent2"/>
      <w:u w:val="single"/>
    </w:rPr>
  </w:style>
  <w:style w:type="paragraph" w:styleId="NormalnyWeb">
    <w:name w:val="Normal (Web)"/>
    <w:basedOn w:val="Normalny"/>
    <w:uiPriority w:val="99"/>
    <w:unhideWhenUsed/>
    <w:rsid w:val="007E198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Zagicieodgryformularza">
    <w:name w:val="HTML Top of Form"/>
    <w:basedOn w:val="Normalny"/>
    <w:next w:val="Normalny"/>
    <w:link w:val="ZagicieodgryformularzaZnak"/>
    <w:hidden/>
    <w:uiPriority w:val="99"/>
    <w:semiHidden/>
    <w:unhideWhenUsed/>
    <w:rsid w:val="007E198A"/>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agicieodgryformularzaZnak">
    <w:name w:val="Zagięcie od góry formularza Znak"/>
    <w:basedOn w:val="Domylnaczcionkaakapitu"/>
    <w:link w:val="Zagicieodgryformularza"/>
    <w:uiPriority w:val="99"/>
    <w:semiHidden/>
    <w:rsid w:val="007E198A"/>
    <w:rPr>
      <w:rFonts w:ascii="Arial" w:eastAsia="Times New Roman" w:hAnsi="Arial" w:cs="Arial"/>
      <w:vanish/>
      <w:sz w:val="16"/>
      <w:szCs w:val="16"/>
      <w:lang w:val="en-IN" w:eastAsia="en-IN"/>
    </w:rPr>
  </w:style>
  <w:style w:type="paragraph" w:customStyle="1" w:styleId="IEEEAuthorAffiliation">
    <w:name w:val="IEEE Author Affiliation"/>
    <w:basedOn w:val="Normalny"/>
    <w:next w:val="Normalny"/>
    <w:rsid w:val="00E84914"/>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Els-Affiliation">
    <w:name w:val="Els-Affiliation"/>
    <w:next w:val="Normalny"/>
    <w:rsid w:val="001F223C"/>
    <w:pPr>
      <w:suppressAutoHyphens/>
      <w:spacing w:after="0" w:line="200" w:lineRule="exact"/>
      <w:jc w:val="center"/>
    </w:pPr>
    <w:rPr>
      <w:rFonts w:ascii="Times New Roman" w:eastAsia="SimSun" w:hAnsi="Times New Roman" w:cs="Times New Roman"/>
      <w:i/>
      <w:noProof/>
      <w:sz w:val="16"/>
    </w:rPr>
  </w:style>
  <w:style w:type="character" w:styleId="Hipercze">
    <w:name w:val="Hyperlink"/>
    <w:basedOn w:val="Domylnaczcionkaakapitu"/>
    <w:uiPriority w:val="99"/>
    <w:unhideWhenUsed/>
    <w:rsid w:val="009F211D"/>
    <w:rPr>
      <w:color w:val="0563C1" w:themeColor="hyperlink"/>
      <w:u w:val="single"/>
    </w:rPr>
  </w:style>
  <w:style w:type="character" w:customStyle="1" w:styleId="Nagwek1Znak">
    <w:name w:val="Nagłówek 1 Znak"/>
    <w:basedOn w:val="Domylnaczcionkaakapitu"/>
    <w:link w:val="Nagwek1"/>
    <w:rsid w:val="00466698"/>
    <w:rPr>
      <w:rFonts w:asciiTheme="majorHAnsi" w:eastAsiaTheme="majorEastAsia" w:hAnsiTheme="majorHAnsi" w:cstheme="majorBidi"/>
      <w:color w:val="2E74B5" w:themeColor="accent1" w:themeShade="BF"/>
      <w:sz w:val="32"/>
      <w:szCs w:val="32"/>
    </w:rPr>
  </w:style>
  <w:style w:type="character" w:styleId="Nierozpoznanawzmianka">
    <w:name w:val="Unresolved Mention"/>
    <w:basedOn w:val="Domylnaczcionkaakapitu"/>
    <w:uiPriority w:val="99"/>
    <w:semiHidden/>
    <w:unhideWhenUsed/>
    <w:rsid w:val="007F03C8"/>
    <w:rPr>
      <w:color w:val="605E5C"/>
      <w:shd w:val="clear" w:color="auto" w:fill="E1DFDD"/>
    </w:rPr>
  </w:style>
  <w:style w:type="paragraph" w:customStyle="1" w:styleId="Rab1">
    <w:name w:val="R_ab1"/>
    <w:next w:val="Normalny"/>
    <w:autoRedefine/>
    <w:qFormat/>
    <w:rsid w:val="002931AC"/>
    <w:pPr>
      <w:suppressAutoHyphens/>
      <w:spacing w:before="120" w:after="0" w:line="240" w:lineRule="auto"/>
      <w:ind w:left="567" w:right="567"/>
      <w:jc w:val="both"/>
    </w:pPr>
    <w:rPr>
      <w:rFonts w:ascii="Times New Roman" w:eastAsia="SimSun" w:hAnsi="Times New Roman" w:cs="Times New Roman"/>
      <w:kern w:val="2"/>
      <w:sz w:val="18"/>
      <w:lang w:val="en-GB" w:eastAsia="pl-PL"/>
      <w14:ligatures w14:val="standardContextual"/>
    </w:rPr>
  </w:style>
  <w:style w:type="paragraph" w:customStyle="1" w:styleId="Rab2">
    <w:name w:val="R_ab2"/>
    <w:basedOn w:val="Rab1"/>
    <w:next w:val="Normalny"/>
    <w:autoRedefine/>
    <w:qFormat/>
    <w:rsid w:val="002931AC"/>
    <w:pPr>
      <w:spacing w:before="60"/>
    </w:pPr>
  </w:style>
  <w:style w:type="paragraph" w:customStyle="1" w:styleId="Rafiliacja">
    <w:name w:val="R_afiliacja"/>
    <w:basedOn w:val="Normalny"/>
    <w:link w:val="RafiliacjaZnak"/>
    <w:qFormat/>
    <w:rsid w:val="002931AC"/>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2931AC"/>
    <w:rPr>
      <w:rFonts w:ascii="Times New Roman" w:eastAsiaTheme="minorHAnsi" w:hAnsi="Times New Roman" w:cs="Times New Roman"/>
      <w:i/>
      <w:kern w:val="2"/>
      <w:szCs w:val="28"/>
      <w:lang w:val="pl-PL"/>
      <w14:ligatures w14:val="standardContextual"/>
    </w:rPr>
  </w:style>
  <w:style w:type="paragraph" w:customStyle="1" w:styleId="Rauco">
    <w:name w:val="R_au_co"/>
    <w:basedOn w:val="Rafiliacja"/>
    <w:autoRedefine/>
    <w:qFormat/>
    <w:rsid w:val="002931AC"/>
    <w:pPr>
      <w:spacing w:before="120"/>
    </w:pPr>
    <w:rPr>
      <w:lang w:val="en-GB"/>
    </w:rPr>
  </w:style>
  <w:style w:type="paragraph" w:customStyle="1" w:styleId="Rn1">
    <w:name w:val="R_n1"/>
    <w:basedOn w:val="Normalny"/>
    <w:link w:val="Rn1Znak"/>
    <w:qFormat/>
    <w:rsid w:val="002931AC"/>
    <w:pPr>
      <w:suppressAutoHyphens/>
      <w:spacing w:before="240" w:after="120" w:line="240" w:lineRule="auto"/>
      <w:jc w:val="both"/>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2931AC"/>
    <w:rPr>
      <w:rFonts w:ascii="Times New Roman" w:eastAsiaTheme="minorHAnsi" w:hAnsi="Times New Roman"/>
      <w:b/>
      <w:kern w:val="2"/>
      <w:sz w:val="24"/>
      <w:szCs w:val="22"/>
      <w:lang w:val="pl-PL"/>
      <w14:ligatures w14:val="standardContextual"/>
    </w:rPr>
  </w:style>
  <w:style w:type="paragraph" w:customStyle="1" w:styleId="Rn2">
    <w:name w:val="R_n2"/>
    <w:basedOn w:val="Rn1"/>
    <w:link w:val="Rn2Znak"/>
    <w:qFormat/>
    <w:rsid w:val="002931AC"/>
    <w:pPr>
      <w:spacing w:before="120"/>
      <w:jc w:val="left"/>
    </w:pPr>
    <w:rPr>
      <w:sz w:val="22"/>
    </w:rPr>
  </w:style>
  <w:style w:type="character" w:customStyle="1" w:styleId="Rn2Znak">
    <w:name w:val="R_n2 Znak"/>
    <w:link w:val="Rn2"/>
    <w:rsid w:val="002931AC"/>
    <w:rPr>
      <w:rFonts w:ascii="Times New Roman" w:eastAsiaTheme="minorHAnsi" w:hAnsi="Times New Roman"/>
      <w:b/>
      <w:kern w:val="2"/>
      <w:sz w:val="22"/>
      <w:szCs w:val="22"/>
      <w:lang w:val="pl-PL"/>
      <w14:ligatures w14:val="standardContextual"/>
    </w:rPr>
  </w:style>
  <w:style w:type="paragraph" w:customStyle="1" w:styleId="Rtytu">
    <w:name w:val="R_tytuł"/>
    <w:basedOn w:val="Rn2"/>
    <w:link w:val="RtytuZnak"/>
    <w:autoRedefine/>
    <w:qFormat/>
    <w:rsid w:val="002931AC"/>
    <w:pPr>
      <w:spacing w:before="240" w:after="0"/>
      <w:jc w:val="center"/>
    </w:pPr>
    <w:rPr>
      <w:sz w:val="24"/>
      <w:szCs w:val="28"/>
    </w:rPr>
  </w:style>
  <w:style w:type="character" w:customStyle="1" w:styleId="RtytuZnak">
    <w:name w:val="R_tytuł Znak"/>
    <w:basedOn w:val="Rn2Znak"/>
    <w:link w:val="Rtytu"/>
    <w:rsid w:val="002931AC"/>
    <w:rPr>
      <w:rFonts w:ascii="Times New Roman" w:eastAsiaTheme="minorHAnsi" w:hAnsi="Times New Roman"/>
      <w:b/>
      <w:kern w:val="2"/>
      <w:sz w:val="24"/>
      <w:szCs w:val="28"/>
      <w:lang w:val="pl-PL"/>
      <w14:ligatures w14:val="standardContextual"/>
    </w:rPr>
  </w:style>
  <w:style w:type="paragraph" w:customStyle="1" w:styleId="Rautor">
    <w:name w:val="R_autor"/>
    <w:basedOn w:val="Rtytu"/>
    <w:link w:val="RautorZnak"/>
    <w:autoRedefine/>
    <w:qFormat/>
    <w:rsid w:val="002931AC"/>
    <w:pPr>
      <w:spacing w:before="120"/>
    </w:pPr>
    <w:rPr>
      <w:rFonts w:eastAsia="Calibri" w:cs="Times New Roman"/>
      <w:b w:val="0"/>
      <w:i/>
    </w:rPr>
  </w:style>
  <w:style w:type="character" w:customStyle="1" w:styleId="RautorZnak">
    <w:name w:val="R_autor Znak"/>
    <w:link w:val="Rautor"/>
    <w:rsid w:val="002931AC"/>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2931AC"/>
    <w:pPr>
      <w:spacing w:after="0" w:line="240" w:lineRule="auto"/>
      <w:ind w:left="425" w:hanging="425"/>
      <w:jc w:val="both"/>
    </w:pPr>
    <w:rPr>
      <w:rFonts w:ascii="Times New Roman" w:eastAsia="Times New Roman" w:hAnsi="Times New Roman" w:cs="Times New Roman"/>
      <w:kern w:val="2"/>
      <w:sz w:val="20"/>
      <w:szCs w:val="20"/>
      <w:lang w:eastAsia="pl-PL"/>
      <w14:ligatures w14:val="standardContextual"/>
    </w:rPr>
  </w:style>
  <w:style w:type="character" w:customStyle="1" w:styleId="RlitZnak">
    <w:name w:val="R_lit Znak"/>
    <w:basedOn w:val="Domylnaczcionkaakapitu"/>
    <w:link w:val="Rlit"/>
    <w:rsid w:val="002931AC"/>
    <w:rPr>
      <w:rFonts w:ascii="Times New Roman" w:eastAsia="Times New Roman" w:hAnsi="Times New Roman" w:cs="Times New Roman"/>
      <w:kern w:val="2"/>
      <w:lang w:eastAsia="pl-PL"/>
      <w14:ligatures w14:val="standardContextual"/>
    </w:rPr>
  </w:style>
  <w:style w:type="paragraph" w:customStyle="1" w:styleId="Rtab">
    <w:name w:val="R_tab"/>
    <w:basedOn w:val="Normalny"/>
    <w:link w:val="RtabZnak"/>
    <w:qFormat/>
    <w:rsid w:val="002931AC"/>
    <w:pPr>
      <w:suppressAutoHyphens/>
      <w:spacing w:after="120" w:line="240" w:lineRule="auto"/>
    </w:pPr>
    <w:rPr>
      <w:rFonts w:ascii="Times New Roman" w:hAnsi="Times New Roman"/>
      <w:kern w:val="2"/>
      <w:sz w:val="20"/>
      <w:lang w:val="pl-PL"/>
      <w14:ligatures w14:val="standardContextual"/>
    </w:rPr>
  </w:style>
  <w:style w:type="character" w:customStyle="1" w:styleId="RtabZnak">
    <w:name w:val="R_tab Znak"/>
    <w:basedOn w:val="Domylnaczcionkaakapitu"/>
    <w:link w:val="Rtab"/>
    <w:rsid w:val="002931AC"/>
    <w:rPr>
      <w:rFonts w:ascii="Times New Roman" w:eastAsiaTheme="minorHAnsi" w:hAnsi="Times New Roman"/>
      <w:kern w:val="2"/>
      <w:szCs w:val="22"/>
      <w:lang w:val="pl-PL"/>
      <w14:ligatures w14:val="standardContextual"/>
    </w:rPr>
  </w:style>
  <w:style w:type="paragraph" w:customStyle="1" w:styleId="Rn3">
    <w:name w:val="R_n3"/>
    <w:basedOn w:val="Rtab"/>
    <w:link w:val="Rn3Znak"/>
    <w:autoRedefine/>
    <w:qFormat/>
    <w:rsid w:val="002931AC"/>
    <w:pPr>
      <w:spacing w:before="120"/>
      <w:jc w:val="both"/>
    </w:pPr>
    <w:rPr>
      <w:i/>
    </w:rPr>
  </w:style>
  <w:style w:type="character" w:customStyle="1" w:styleId="Rn3Znak">
    <w:name w:val="R_n3 Znak"/>
    <w:basedOn w:val="RtabZnak"/>
    <w:link w:val="Rn3"/>
    <w:rsid w:val="002931AC"/>
    <w:rPr>
      <w:rFonts w:ascii="Times New Roman" w:eastAsiaTheme="minorHAnsi" w:hAnsi="Times New Roman"/>
      <w:i/>
      <w:kern w:val="2"/>
      <w:szCs w:val="22"/>
      <w:lang w:val="pl-PL"/>
      <w14:ligatures w14:val="standardContextual"/>
    </w:rPr>
  </w:style>
  <w:style w:type="paragraph" w:customStyle="1" w:styleId="Rrys">
    <w:name w:val="R_rys"/>
    <w:basedOn w:val="Rafiliacja"/>
    <w:link w:val="RrysZnak"/>
    <w:qFormat/>
    <w:rsid w:val="002931AC"/>
    <w:pPr>
      <w:spacing w:before="120"/>
      <w:jc w:val="left"/>
    </w:pPr>
    <w:rPr>
      <w:i w:val="0"/>
    </w:rPr>
  </w:style>
  <w:style w:type="character" w:customStyle="1" w:styleId="RrysZnak">
    <w:name w:val="R_rys Znak"/>
    <w:basedOn w:val="RafiliacjaZnak"/>
    <w:link w:val="Rrys"/>
    <w:rsid w:val="002931AC"/>
    <w:rPr>
      <w:rFonts w:ascii="Times New Roman" w:eastAsiaTheme="minorHAnsi" w:hAnsi="Times New Roman" w:cs="Times New Roman"/>
      <w:i w:val="0"/>
      <w:kern w:val="2"/>
      <w:szCs w:val="28"/>
      <w:lang w:val="pl-PL"/>
      <w14:ligatures w14:val="standardContextual"/>
    </w:rPr>
  </w:style>
  <w:style w:type="character" w:customStyle="1" w:styleId="NagwekZnak">
    <w:name w:val="Nagłówek Znak"/>
    <w:basedOn w:val="Domylnaczcionkaakapitu"/>
    <w:link w:val="Nagwek"/>
    <w:uiPriority w:val="99"/>
    <w:rsid w:val="00DA7408"/>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6242">
      <w:bodyDiv w:val="1"/>
      <w:marLeft w:val="0"/>
      <w:marRight w:val="0"/>
      <w:marTop w:val="0"/>
      <w:marBottom w:val="0"/>
      <w:divBdr>
        <w:top w:val="none" w:sz="0" w:space="0" w:color="auto"/>
        <w:left w:val="none" w:sz="0" w:space="0" w:color="auto"/>
        <w:bottom w:val="none" w:sz="0" w:space="0" w:color="auto"/>
        <w:right w:val="none" w:sz="0" w:space="0" w:color="auto"/>
      </w:divBdr>
    </w:div>
    <w:div w:id="202325089">
      <w:bodyDiv w:val="1"/>
      <w:marLeft w:val="0"/>
      <w:marRight w:val="0"/>
      <w:marTop w:val="0"/>
      <w:marBottom w:val="0"/>
      <w:divBdr>
        <w:top w:val="none" w:sz="0" w:space="0" w:color="auto"/>
        <w:left w:val="none" w:sz="0" w:space="0" w:color="auto"/>
        <w:bottom w:val="none" w:sz="0" w:space="0" w:color="auto"/>
        <w:right w:val="none" w:sz="0" w:space="0" w:color="auto"/>
      </w:divBdr>
    </w:div>
    <w:div w:id="223755892">
      <w:bodyDiv w:val="1"/>
      <w:marLeft w:val="0"/>
      <w:marRight w:val="0"/>
      <w:marTop w:val="0"/>
      <w:marBottom w:val="0"/>
      <w:divBdr>
        <w:top w:val="none" w:sz="0" w:space="0" w:color="auto"/>
        <w:left w:val="none" w:sz="0" w:space="0" w:color="auto"/>
        <w:bottom w:val="none" w:sz="0" w:space="0" w:color="auto"/>
        <w:right w:val="none" w:sz="0" w:space="0" w:color="auto"/>
      </w:divBdr>
    </w:div>
    <w:div w:id="277417224">
      <w:bodyDiv w:val="1"/>
      <w:marLeft w:val="0"/>
      <w:marRight w:val="0"/>
      <w:marTop w:val="0"/>
      <w:marBottom w:val="0"/>
      <w:divBdr>
        <w:top w:val="none" w:sz="0" w:space="0" w:color="auto"/>
        <w:left w:val="none" w:sz="0" w:space="0" w:color="auto"/>
        <w:bottom w:val="none" w:sz="0" w:space="0" w:color="auto"/>
        <w:right w:val="none" w:sz="0" w:space="0" w:color="auto"/>
      </w:divBdr>
    </w:div>
    <w:div w:id="315304535">
      <w:bodyDiv w:val="1"/>
      <w:marLeft w:val="0"/>
      <w:marRight w:val="0"/>
      <w:marTop w:val="0"/>
      <w:marBottom w:val="0"/>
      <w:divBdr>
        <w:top w:val="none" w:sz="0" w:space="0" w:color="auto"/>
        <w:left w:val="none" w:sz="0" w:space="0" w:color="auto"/>
        <w:bottom w:val="none" w:sz="0" w:space="0" w:color="auto"/>
        <w:right w:val="none" w:sz="0" w:space="0" w:color="auto"/>
      </w:divBdr>
    </w:div>
    <w:div w:id="388379496">
      <w:bodyDiv w:val="1"/>
      <w:marLeft w:val="0"/>
      <w:marRight w:val="0"/>
      <w:marTop w:val="0"/>
      <w:marBottom w:val="0"/>
      <w:divBdr>
        <w:top w:val="none" w:sz="0" w:space="0" w:color="auto"/>
        <w:left w:val="none" w:sz="0" w:space="0" w:color="auto"/>
        <w:bottom w:val="none" w:sz="0" w:space="0" w:color="auto"/>
        <w:right w:val="none" w:sz="0" w:space="0" w:color="auto"/>
      </w:divBdr>
    </w:div>
    <w:div w:id="400104747">
      <w:bodyDiv w:val="1"/>
      <w:marLeft w:val="0"/>
      <w:marRight w:val="0"/>
      <w:marTop w:val="0"/>
      <w:marBottom w:val="0"/>
      <w:divBdr>
        <w:top w:val="none" w:sz="0" w:space="0" w:color="auto"/>
        <w:left w:val="none" w:sz="0" w:space="0" w:color="auto"/>
        <w:bottom w:val="none" w:sz="0" w:space="0" w:color="auto"/>
        <w:right w:val="none" w:sz="0" w:space="0" w:color="auto"/>
      </w:divBdr>
    </w:div>
    <w:div w:id="504328069">
      <w:bodyDiv w:val="1"/>
      <w:marLeft w:val="0"/>
      <w:marRight w:val="0"/>
      <w:marTop w:val="0"/>
      <w:marBottom w:val="0"/>
      <w:divBdr>
        <w:top w:val="none" w:sz="0" w:space="0" w:color="auto"/>
        <w:left w:val="none" w:sz="0" w:space="0" w:color="auto"/>
        <w:bottom w:val="none" w:sz="0" w:space="0" w:color="auto"/>
        <w:right w:val="none" w:sz="0" w:space="0" w:color="auto"/>
      </w:divBdr>
    </w:div>
    <w:div w:id="582373828">
      <w:bodyDiv w:val="1"/>
      <w:marLeft w:val="0"/>
      <w:marRight w:val="0"/>
      <w:marTop w:val="0"/>
      <w:marBottom w:val="0"/>
      <w:divBdr>
        <w:top w:val="none" w:sz="0" w:space="0" w:color="auto"/>
        <w:left w:val="none" w:sz="0" w:space="0" w:color="auto"/>
        <w:bottom w:val="none" w:sz="0" w:space="0" w:color="auto"/>
        <w:right w:val="none" w:sz="0" w:space="0" w:color="auto"/>
      </w:divBdr>
      <w:divsChild>
        <w:div w:id="987515260">
          <w:marLeft w:val="0"/>
          <w:marRight w:val="0"/>
          <w:marTop w:val="0"/>
          <w:marBottom w:val="0"/>
          <w:divBdr>
            <w:top w:val="single" w:sz="2" w:space="0" w:color="D9D9E3"/>
            <w:left w:val="single" w:sz="2" w:space="0" w:color="D9D9E3"/>
            <w:bottom w:val="single" w:sz="2" w:space="0" w:color="D9D9E3"/>
            <w:right w:val="single" w:sz="2" w:space="0" w:color="D9D9E3"/>
          </w:divBdr>
          <w:divsChild>
            <w:div w:id="1880972953">
              <w:marLeft w:val="0"/>
              <w:marRight w:val="0"/>
              <w:marTop w:val="0"/>
              <w:marBottom w:val="0"/>
              <w:divBdr>
                <w:top w:val="single" w:sz="2" w:space="0" w:color="D9D9E3"/>
                <w:left w:val="single" w:sz="2" w:space="0" w:color="D9D9E3"/>
                <w:bottom w:val="single" w:sz="2" w:space="0" w:color="D9D9E3"/>
                <w:right w:val="single" w:sz="2" w:space="0" w:color="D9D9E3"/>
              </w:divBdr>
              <w:divsChild>
                <w:div w:id="2072608072">
                  <w:marLeft w:val="0"/>
                  <w:marRight w:val="0"/>
                  <w:marTop w:val="0"/>
                  <w:marBottom w:val="0"/>
                  <w:divBdr>
                    <w:top w:val="single" w:sz="2" w:space="0" w:color="D9D9E3"/>
                    <w:left w:val="single" w:sz="2" w:space="0" w:color="D9D9E3"/>
                    <w:bottom w:val="single" w:sz="2" w:space="0" w:color="D9D9E3"/>
                    <w:right w:val="single" w:sz="2" w:space="0" w:color="D9D9E3"/>
                  </w:divBdr>
                  <w:divsChild>
                    <w:div w:id="1407995726">
                      <w:marLeft w:val="0"/>
                      <w:marRight w:val="0"/>
                      <w:marTop w:val="0"/>
                      <w:marBottom w:val="0"/>
                      <w:divBdr>
                        <w:top w:val="single" w:sz="2" w:space="0" w:color="D9D9E3"/>
                        <w:left w:val="single" w:sz="2" w:space="0" w:color="D9D9E3"/>
                        <w:bottom w:val="single" w:sz="2" w:space="0" w:color="D9D9E3"/>
                        <w:right w:val="single" w:sz="2" w:space="0" w:color="D9D9E3"/>
                      </w:divBdr>
                      <w:divsChild>
                        <w:div w:id="2040544129">
                          <w:marLeft w:val="0"/>
                          <w:marRight w:val="0"/>
                          <w:marTop w:val="0"/>
                          <w:marBottom w:val="0"/>
                          <w:divBdr>
                            <w:top w:val="single" w:sz="2" w:space="0" w:color="auto"/>
                            <w:left w:val="single" w:sz="2" w:space="0" w:color="auto"/>
                            <w:bottom w:val="single" w:sz="6" w:space="0" w:color="auto"/>
                            <w:right w:val="single" w:sz="2" w:space="0" w:color="auto"/>
                          </w:divBdr>
                          <w:divsChild>
                            <w:div w:id="16347501">
                              <w:marLeft w:val="0"/>
                              <w:marRight w:val="0"/>
                              <w:marTop w:val="100"/>
                              <w:marBottom w:val="100"/>
                              <w:divBdr>
                                <w:top w:val="single" w:sz="2" w:space="0" w:color="D9D9E3"/>
                                <w:left w:val="single" w:sz="2" w:space="0" w:color="D9D9E3"/>
                                <w:bottom w:val="single" w:sz="2" w:space="0" w:color="D9D9E3"/>
                                <w:right w:val="single" w:sz="2" w:space="0" w:color="D9D9E3"/>
                              </w:divBdr>
                              <w:divsChild>
                                <w:div w:id="2056932277">
                                  <w:marLeft w:val="0"/>
                                  <w:marRight w:val="0"/>
                                  <w:marTop w:val="0"/>
                                  <w:marBottom w:val="0"/>
                                  <w:divBdr>
                                    <w:top w:val="single" w:sz="2" w:space="0" w:color="D9D9E3"/>
                                    <w:left w:val="single" w:sz="2" w:space="0" w:color="D9D9E3"/>
                                    <w:bottom w:val="single" w:sz="2" w:space="0" w:color="D9D9E3"/>
                                    <w:right w:val="single" w:sz="2" w:space="0" w:color="D9D9E3"/>
                                  </w:divBdr>
                                  <w:divsChild>
                                    <w:div w:id="1525367963">
                                      <w:marLeft w:val="0"/>
                                      <w:marRight w:val="0"/>
                                      <w:marTop w:val="0"/>
                                      <w:marBottom w:val="0"/>
                                      <w:divBdr>
                                        <w:top w:val="single" w:sz="2" w:space="0" w:color="D9D9E3"/>
                                        <w:left w:val="single" w:sz="2" w:space="0" w:color="D9D9E3"/>
                                        <w:bottom w:val="single" w:sz="2" w:space="0" w:color="D9D9E3"/>
                                        <w:right w:val="single" w:sz="2" w:space="0" w:color="D9D9E3"/>
                                      </w:divBdr>
                                      <w:divsChild>
                                        <w:div w:id="502473122">
                                          <w:marLeft w:val="0"/>
                                          <w:marRight w:val="0"/>
                                          <w:marTop w:val="0"/>
                                          <w:marBottom w:val="0"/>
                                          <w:divBdr>
                                            <w:top w:val="single" w:sz="2" w:space="0" w:color="D9D9E3"/>
                                            <w:left w:val="single" w:sz="2" w:space="0" w:color="D9D9E3"/>
                                            <w:bottom w:val="single" w:sz="2" w:space="0" w:color="D9D9E3"/>
                                            <w:right w:val="single" w:sz="2" w:space="0" w:color="D9D9E3"/>
                                          </w:divBdr>
                                          <w:divsChild>
                                            <w:div w:id="15551983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84692614">
          <w:marLeft w:val="0"/>
          <w:marRight w:val="0"/>
          <w:marTop w:val="0"/>
          <w:marBottom w:val="0"/>
          <w:divBdr>
            <w:top w:val="none" w:sz="0" w:space="0" w:color="auto"/>
            <w:left w:val="none" w:sz="0" w:space="0" w:color="auto"/>
            <w:bottom w:val="none" w:sz="0" w:space="0" w:color="auto"/>
            <w:right w:val="none" w:sz="0" w:space="0" w:color="auto"/>
          </w:divBdr>
        </w:div>
      </w:divsChild>
    </w:div>
    <w:div w:id="643236081">
      <w:bodyDiv w:val="1"/>
      <w:marLeft w:val="0"/>
      <w:marRight w:val="0"/>
      <w:marTop w:val="0"/>
      <w:marBottom w:val="0"/>
      <w:divBdr>
        <w:top w:val="none" w:sz="0" w:space="0" w:color="auto"/>
        <w:left w:val="none" w:sz="0" w:space="0" w:color="auto"/>
        <w:bottom w:val="none" w:sz="0" w:space="0" w:color="auto"/>
        <w:right w:val="none" w:sz="0" w:space="0" w:color="auto"/>
      </w:divBdr>
      <w:divsChild>
        <w:div w:id="2117094558">
          <w:marLeft w:val="0"/>
          <w:marRight w:val="0"/>
          <w:marTop w:val="0"/>
          <w:marBottom w:val="0"/>
          <w:divBdr>
            <w:top w:val="single" w:sz="2" w:space="0" w:color="auto"/>
            <w:left w:val="single" w:sz="2" w:space="0" w:color="auto"/>
            <w:bottom w:val="single" w:sz="6" w:space="0" w:color="auto"/>
            <w:right w:val="single" w:sz="2" w:space="0" w:color="auto"/>
          </w:divBdr>
          <w:divsChild>
            <w:div w:id="2046366958">
              <w:marLeft w:val="0"/>
              <w:marRight w:val="0"/>
              <w:marTop w:val="100"/>
              <w:marBottom w:val="100"/>
              <w:divBdr>
                <w:top w:val="single" w:sz="2" w:space="0" w:color="D9D9E3"/>
                <w:left w:val="single" w:sz="2" w:space="0" w:color="D9D9E3"/>
                <w:bottom w:val="single" w:sz="2" w:space="0" w:color="D9D9E3"/>
                <w:right w:val="single" w:sz="2" w:space="0" w:color="D9D9E3"/>
              </w:divBdr>
              <w:divsChild>
                <w:div w:id="144052035">
                  <w:marLeft w:val="0"/>
                  <w:marRight w:val="0"/>
                  <w:marTop w:val="0"/>
                  <w:marBottom w:val="0"/>
                  <w:divBdr>
                    <w:top w:val="single" w:sz="2" w:space="0" w:color="D9D9E3"/>
                    <w:left w:val="single" w:sz="2" w:space="0" w:color="D9D9E3"/>
                    <w:bottom w:val="single" w:sz="2" w:space="0" w:color="D9D9E3"/>
                    <w:right w:val="single" w:sz="2" w:space="0" w:color="D9D9E3"/>
                  </w:divBdr>
                  <w:divsChild>
                    <w:div w:id="28536039">
                      <w:marLeft w:val="0"/>
                      <w:marRight w:val="0"/>
                      <w:marTop w:val="0"/>
                      <w:marBottom w:val="0"/>
                      <w:divBdr>
                        <w:top w:val="single" w:sz="2" w:space="0" w:color="D9D9E3"/>
                        <w:left w:val="single" w:sz="2" w:space="0" w:color="D9D9E3"/>
                        <w:bottom w:val="single" w:sz="2" w:space="0" w:color="D9D9E3"/>
                        <w:right w:val="single" w:sz="2" w:space="0" w:color="D9D9E3"/>
                      </w:divBdr>
                      <w:divsChild>
                        <w:div w:id="886530148">
                          <w:marLeft w:val="0"/>
                          <w:marRight w:val="0"/>
                          <w:marTop w:val="0"/>
                          <w:marBottom w:val="0"/>
                          <w:divBdr>
                            <w:top w:val="single" w:sz="2" w:space="0" w:color="D9D9E3"/>
                            <w:left w:val="single" w:sz="2" w:space="0" w:color="D9D9E3"/>
                            <w:bottom w:val="single" w:sz="2" w:space="0" w:color="D9D9E3"/>
                            <w:right w:val="single" w:sz="2" w:space="0" w:color="D9D9E3"/>
                          </w:divBdr>
                          <w:divsChild>
                            <w:div w:id="12921738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70996035">
          <w:marLeft w:val="0"/>
          <w:marRight w:val="0"/>
          <w:marTop w:val="0"/>
          <w:marBottom w:val="0"/>
          <w:divBdr>
            <w:top w:val="single" w:sz="2" w:space="0" w:color="auto"/>
            <w:left w:val="single" w:sz="2" w:space="0" w:color="auto"/>
            <w:bottom w:val="single" w:sz="6" w:space="0" w:color="auto"/>
            <w:right w:val="single" w:sz="2" w:space="0" w:color="auto"/>
          </w:divBdr>
          <w:divsChild>
            <w:div w:id="20422475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0686864">
                  <w:marLeft w:val="0"/>
                  <w:marRight w:val="0"/>
                  <w:marTop w:val="0"/>
                  <w:marBottom w:val="0"/>
                  <w:divBdr>
                    <w:top w:val="single" w:sz="2" w:space="0" w:color="D9D9E3"/>
                    <w:left w:val="single" w:sz="2" w:space="0" w:color="D9D9E3"/>
                    <w:bottom w:val="single" w:sz="2" w:space="0" w:color="D9D9E3"/>
                    <w:right w:val="single" w:sz="2" w:space="0" w:color="D9D9E3"/>
                  </w:divBdr>
                  <w:divsChild>
                    <w:div w:id="2122525854">
                      <w:marLeft w:val="0"/>
                      <w:marRight w:val="0"/>
                      <w:marTop w:val="0"/>
                      <w:marBottom w:val="0"/>
                      <w:divBdr>
                        <w:top w:val="single" w:sz="2" w:space="0" w:color="D9D9E3"/>
                        <w:left w:val="single" w:sz="2" w:space="0" w:color="D9D9E3"/>
                        <w:bottom w:val="single" w:sz="2" w:space="0" w:color="D9D9E3"/>
                        <w:right w:val="single" w:sz="2" w:space="0" w:color="D9D9E3"/>
                      </w:divBdr>
                      <w:divsChild>
                        <w:div w:id="19477367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0591371">
                  <w:marLeft w:val="0"/>
                  <w:marRight w:val="0"/>
                  <w:marTop w:val="0"/>
                  <w:marBottom w:val="0"/>
                  <w:divBdr>
                    <w:top w:val="single" w:sz="2" w:space="0" w:color="D9D9E3"/>
                    <w:left w:val="single" w:sz="2" w:space="0" w:color="D9D9E3"/>
                    <w:bottom w:val="single" w:sz="2" w:space="0" w:color="D9D9E3"/>
                    <w:right w:val="single" w:sz="2" w:space="0" w:color="D9D9E3"/>
                  </w:divBdr>
                  <w:divsChild>
                    <w:div w:id="862130948">
                      <w:marLeft w:val="0"/>
                      <w:marRight w:val="0"/>
                      <w:marTop w:val="0"/>
                      <w:marBottom w:val="0"/>
                      <w:divBdr>
                        <w:top w:val="single" w:sz="2" w:space="0" w:color="D9D9E3"/>
                        <w:left w:val="single" w:sz="2" w:space="0" w:color="D9D9E3"/>
                        <w:bottom w:val="single" w:sz="2" w:space="0" w:color="D9D9E3"/>
                        <w:right w:val="single" w:sz="2" w:space="0" w:color="D9D9E3"/>
                      </w:divBdr>
                      <w:divsChild>
                        <w:div w:id="10423745">
                          <w:marLeft w:val="0"/>
                          <w:marRight w:val="0"/>
                          <w:marTop w:val="0"/>
                          <w:marBottom w:val="0"/>
                          <w:divBdr>
                            <w:top w:val="single" w:sz="2" w:space="0" w:color="D9D9E3"/>
                            <w:left w:val="single" w:sz="2" w:space="0" w:color="D9D9E3"/>
                            <w:bottom w:val="single" w:sz="2" w:space="0" w:color="D9D9E3"/>
                            <w:right w:val="single" w:sz="2" w:space="0" w:color="D9D9E3"/>
                          </w:divBdr>
                          <w:divsChild>
                            <w:div w:id="14218700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50287265">
          <w:marLeft w:val="0"/>
          <w:marRight w:val="0"/>
          <w:marTop w:val="0"/>
          <w:marBottom w:val="0"/>
          <w:divBdr>
            <w:top w:val="single" w:sz="2" w:space="0" w:color="auto"/>
            <w:left w:val="single" w:sz="2" w:space="0" w:color="auto"/>
            <w:bottom w:val="single" w:sz="6" w:space="0" w:color="auto"/>
            <w:right w:val="single" w:sz="2" w:space="0" w:color="auto"/>
          </w:divBdr>
          <w:divsChild>
            <w:div w:id="679158754">
              <w:marLeft w:val="0"/>
              <w:marRight w:val="0"/>
              <w:marTop w:val="100"/>
              <w:marBottom w:val="100"/>
              <w:divBdr>
                <w:top w:val="single" w:sz="2" w:space="0" w:color="D9D9E3"/>
                <w:left w:val="single" w:sz="2" w:space="0" w:color="D9D9E3"/>
                <w:bottom w:val="single" w:sz="2" w:space="0" w:color="D9D9E3"/>
                <w:right w:val="single" w:sz="2" w:space="0" w:color="D9D9E3"/>
              </w:divBdr>
              <w:divsChild>
                <w:div w:id="1414661183">
                  <w:marLeft w:val="0"/>
                  <w:marRight w:val="0"/>
                  <w:marTop w:val="0"/>
                  <w:marBottom w:val="0"/>
                  <w:divBdr>
                    <w:top w:val="single" w:sz="2" w:space="0" w:color="D9D9E3"/>
                    <w:left w:val="single" w:sz="2" w:space="0" w:color="D9D9E3"/>
                    <w:bottom w:val="single" w:sz="2" w:space="0" w:color="D9D9E3"/>
                    <w:right w:val="single" w:sz="2" w:space="0" w:color="D9D9E3"/>
                  </w:divBdr>
                  <w:divsChild>
                    <w:div w:id="1278680215">
                      <w:marLeft w:val="0"/>
                      <w:marRight w:val="0"/>
                      <w:marTop w:val="0"/>
                      <w:marBottom w:val="0"/>
                      <w:divBdr>
                        <w:top w:val="single" w:sz="2" w:space="0" w:color="D9D9E3"/>
                        <w:left w:val="single" w:sz="2" w:space="0" w:color="D9D9E3"/>
                        <w:bottom w:val="single" w:sz="2" w:space="0" w:color="D9D9E3"/>
                        <w:right w:val="single" w:sz="2" w:space="0" w:color="D9D9E3"/>
                      </w:divBdr>
                      <w:divsChild>
                        <w:div w:id="869418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27576216">
                  <w:marLeft w:val="0"/>
                  <w:marRight w:val="0"/>
                  <w:marTop w:val="0"/>
                  <w:marBottom w:val="0"/>
                  <w:divBdr>
                    <w:top w:val="single" w:sz="2" w:space="0" w:color="D9D9E3"/>
                    <w:left w:val="single" w:sz="2" w:space="0" w:color="D9D9E3"/>
                    <w:bottom w:val="single" w:sz="2" w:space="0" w:color="D9D9E3"/>
                    <w:right w:val="single" w:sz="2" w:space="0" w:color="D9D9E3"/>
                  </w:divBdr>
                  <w:divsChild>
                    <w:div w:id="806094431">
                      <w:marLeft w:val="0"/>
                      <w:marRight w:val="0"/>
                      <w:marTop w:val="0"/>
                      <w:marBottom w:val="0"/>
                      <w:divBdr>
                        <w:top w:val="single" w:sz="2" w:space="0" w:color="D9D9E3"/>
                        <w:left w:val="single" w:sz="2" w:space="0" w:color="D9D9E3"/>
                        <w:bottom w:val="single" w:sz="2" w:space="0" w:color="D9D9E3"/>
                        <w:right w:val="single" w:sz="2" w:space="0" w:color="D9D9E3"/>
                      </w:divBdr>
                      <w:divsChild>
                        <w:div w:id="497382893">
                          <w:marLeft w:val="0"/>
                          <w:marRight w:val="0"/>
                          <w:marTop w:val="0"/>
                          <w:marBottom w:val="0"/>
                          <w:divBdr>
                            <w:top w:val="single" w:sz="2" w:space="0" w:color="D9D9E3"/>
                            <w:left w:val="single" w:sz="2" w:space="0" w:color="D9D9E3"/>
                            <w:bottom w:val="single" w:sz="2" w:space="0" w:color="D9D9E3"/>
                            <w:right w:val="single" w:sz="2" w:space="0" w:color="D9D9E3"/>
                          </w:divBdr>
                          <w:divsChild>
                            <w:div w:id="206656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68638447">
      <w:bodyDiv w:val="1"/>
      <w:marLeft w:val="0"/>
      <w:marRight w:val="0"/>
      <w:marTop w:val="0"/>
      <w:marBottom w:val="0"/>
      <w:divBdr>
        <w:top w:val="none" w:sz="0" w:space="0" w:color="auto"/>
        <w:left w:val="none" w:sz="0" w:space="0" w:color="auto"/>
        <w:bottom w:val="none" w:sz="0" w:space="0" w:color="auto"/>
        <w:right w:val="none" w:sz="0" w:space="0" w:color="auto"/>
      </w:divBdr>
    </w:div>
    <w:div w:id="938148387">
      <w:bodyDiv w:val="1"/>
      <w:marLeft w:val="0"/>
      <w:marRight w:val="0"/>
      <w:marTop w:val="0"/>
      <w:marBottom w:val="0"/>
      <w:divBdr>
        <w:top w:val="none" w:sz="0" w:space="0" w:color="auto"/>
        <w:left w:val="none" w:sz="0" w:space="0" w:color="auto"/>
        <w:bottom w:val="none" w:sz="0" w:space="0" w:color="auto"/>
        <w:right w:val="none" w:sz="0" w:space="0" w:color="auto"/>
      </w:divBdr>
    </w:div>
    <w:div w:id="954600399">
      <w:bodyDiv w:val="1"/>
      <w:marLeft w:val="0"/>
      <w:marRight w:val="0"/>
      <w:marTop w:val="0"/>
      <w:marBottom w:val="0"/>
      <w:divBdr>
        <w:top w:val="none" w:sz="0" w:space="0" w:color="auto"/>
        <w:left w:val="none" w:sz="0" w:space="0" w:color="auto"/>
        <w:bottom w:val="none" w:sz="0" w:space="0" w:color="auto"/>
        <w:right w:val="none" w:sz="0" w:space="0" w:color="auto"/>
      </w:divBdr>
    </w:div>
    <w:div w:id="977107405">
      <w:bodyDiv w:val="1"/>
      <w:marLeft w:val="0"/>
      <w:marRight w:val="0"/>
      <w:marTop w:val="0"/>
      <w:marBottom w:val="0"/>
      <w:divBdr>
        <w:top w:val="none" w:sz="0" w:space="0" w:color="auto"/>
        <w:left w:val="none" w:sz="0" w:space="0" w:color="auto"/>
        <w:bottom w:val="none" w:sz="0" w:space="0" w:color="auto"/>
        <w:right w:val="none" w:sz="0" w:space="0" w:color="auto"/>
      </w:divBdr>
      <w:divsChild>
        <w:div w:id="1651641111">
          <w:marLeft w:val="0"/>
          <w:marRight w:val="0"/>
          <w:marTop w:val="0"/>
          <w:marBottom w:val="0"/>
          <w:divBdr>
            <w:top w:val="single" w:sz="2" w:space="0" w:color="D9D9E3"/>
            <w:left w:val="single" w:sz="2" w:space="0" w:color="D9D9E3"/>
            <w:bottom w:val="single" w:sz="2" w:space="0" w:color="D9D9E3"/>
            <w:right w:val="single" w:sz="2" w:space="0" w:color="D9D9E3"/>
          </w:divBdr>
          <w:divsChild>
            <w:div w:id="1550339010">
              <w:marLeft w:val="0"/>
              <w:marRight w:val="0"/>
              <w:marTop w:val="0"/>
              <w:marBottom w:val="0"/>
              <w:divBdr>
                <w:top w:val="single" w:sz="2" w:space="0" w:color="D9D9E3"/>
                <w:left w:val="single" w:sz="2" w:space="0" w:color="D9D9E3"/>
                <w:bottom w:val="single" w:sz="2" w:space="0" w:color="D9D9E3"/>
                <w:right w:val="single" w:sz="2" w:space="0" w:color="D9D9E3"/>
              </w:divBdr>
              <w:divsChild>
                <w:div w:id="738944416">
                  <w:marLeft w:val="0"/>
                  <w:marRight w:val="0"/>
                  <w:marTop w:val="0"/>
                  <w:marBottom w:val="0"/>
                  <w:divBdr>
                    <w:top w:val="single" w:sz="2" w:space="0" w:color="D9D9E3"/>
                    <w:left w:val="single" w:sz="2" w:space="0" w:color="D9D9E3"/>
                    <w:bottom w:val="single" w:sz="2" w:space="0" w:color="D9D9E3"/>
                    <w:right w:val="single" w:sz="2" w:space="0" w:color="D9D9E3"/>
                  </w:divBdr>
                  <w:divsChild>
                    <w:div w:id="1172984435">
                      <w:marLeft w:val="0"/>
                      <w:marRight w:val="0"/>
                      <w:marTop w:val="0"/>
                      <w:marBottom w:val="0"/>
                      <w:divBdr>
                        <w:top w:val="single" w:sz="2" w:space="0" w:color="D9D9E3"/>
                        <w:left w:val="single" w:sz="2" w:space="0" w:color="D9D9E3"/>
                        <w:bottom w:val="single" w:sz="2" w:space="0" w:color="D9D9E3"/>
                        <w:right w:val="single" w:sz="2" w:space="0" w:color="D9D9E3"/>
                      </w:divBdr>
                      <w:divsChild>
                        <w:div w:id="1738044039">
                          <w:marLeft w:val="0"/>
                          <w:marRight w:val="0"/>
                          <w:marTop w:val="0"/>
                          <w:marBottom w:val="0"/>
                          <w:divBdr>
                            <w:top w:val="single" w:sz="2" w:space="0" w:color="auto"/>
                            <w:left w:val="single" w:sz="2" w:space="0" w:color="auto"/>
                            <w:bottom w:val="single" w:sz="6" w:space="0" w:color="auto"/>
                            <w:right w:val="single" w:sz="2" w:space="0" w:color="auto"/>
                          </w:divBdr>
                          <w:divsChild>
                            <w:div w:id="1352294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411004038">
                                  <w:marLeft w:val="0"/>
                                  <w:marRight w:val="0"/>
                                  <w:marTop w:val="0"/>
                                  <w:marBottom w:val="0"/>
                                  <w:divBdr>
                                    <w:top w:val="single" w:sz="2" w:space="0" w:color="D9D9E3"/>
                                    <w:left w:val="single" w:sz="2" w:space="0" w:color="D9D9E3"/>
                                    <w:bottom w:val="single" w:sz="2" w:space="0" w:color="D9D9E3"/>
                                    <w:right w:val="single" w:sz="2" w:space="0" w:color="D9D9E3"/>
                                  </w:divBdr>
                                  <w:divsChild>
                                    <w:div w:id="388767194">
                                      <w:marLeft w:val="0"/>
                                      <w:marRight w:val="0"/>
                                      <w:marTop w:val="0"/>
                                      <w:marBottom w:val="0"/>
                                      <w:divBdr>
                                        <w:top w:val="single" w:sz="2" w:space="0" w:color="D9D9E3"/>
                                        <w:left w:val="single" w:sz="2" w:space="0" w:color="D9D9E3"/>
                                        <w:bottom w:val="single" w:sz="2" w:space="0" w:color="D9D9E3"/>
                                        <w:right w:val="single" w:sz="2" w:space="0" w:color="D9D9E3"/>
                                      </w:divBdr>
                                      <w:divsChild>
                                        <w:div w:id="79758056">
                                          <w:marLeft w:val="0"/>
                                          <w:marRight w:val="0"/>
                                          <w:marTop w:val="0"/>
                                          <w:marBottom w:val="0"/>
                                          <w:divBdr>
                                            <w:top w:val="single" w:sz="2" w:space="0" w:color="D9D9E3"/>
                                            <w:left w:val="single" w:sz="2" w:space="0" w:color="D9D9E3"/>
                                            <w:bottom w:val="single" w:sz="2" w:space="0" w:color="D9D9E3"/>
                                            <w:right w:val="single" w:sz="2" w:space="0" w:color="D9D9E3"/>
                                          </w:divBdr>
                                          <w:divsChild>
                                            <w:div w:id="1372150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3916199">
          <w:marLeft w:val="0"/>
          <w:marRight w:val="0"/>
          <w:marTop w:val="0"/>
          <w:marBottom w:val="0"/>
          <w:divBdr>
            <w:top w:val="none" w:sz="0" w:space="0" w:color="auto"/>
            <w:left w:val="none" w:sz="0" w:space="0" w:color="auto"/>
            <w:bottom w:val="none" w:sz="0" w:space="0" w:color="auto"/>
            <w:right w:val="none" w:sz="0" w:space="0" w:color="auto"/>
          </w:divBdr>
        </w:div>
      </w:divsChild>
    </w:div>
    <w:div w:id="979729778">
      <w:bodyDiv w:val="1"/>
      <w:marLeft w:val="0"/>
      <w:marRight w:val="0"/>
      <w:marTop w:val="0"/>
      <w:marBottom w:val="0"/>
      <w:divBdr>
        <w:top w:val="none" w:sz="0" w:space="0" w:color="auto"/>
        <w:left w:val="none" w:sz="0" w:space="0" w:color="auto"/>
        <w:bottom w:val="none" w:sz="0" w:space="0" w:color="auto"/>
        <w:right w:val="none" w:sz="0" w:space="0" w:color="auto"/>
      </w:divBdr>
    </w:div>
    <w:div w:id="1172523776">
      <w:bodyDiv w:val="1"/>
      <w:marLeft w:val="0"/>
      <w:marRight w:val="0"/>
      <w:marTop w:val="0"/>
      <w:marBottom w:val="0"/>
      <w:divBdr>
        <w:top w:val="none" w:sz="0" w:space="0" w:color="auto"/>
        <w:left w:val="none" w:sz="0" w:space="0" w:color="auto"/>
        <w:bottom w:val="none" w:sz="0" w:space="0" w:color="auto"/>
        <w:right w:val="none" w:sz="0" w:space="0" w:color="auto"/>
      </w:divBdr>
    </w:div>
    <w:div w:id="1197818776">
      <w:bodyDiv w:val="1"/>
      <w:marLeft w:val="0"/>
      <w:marRight w:val="0"/>
      <w:marTop w:val="0"/>
      <w:marBottom w:val="0"/>
      <w:divBdr>
        <w:top w:val="none" w:sz="0" w:space="0" w:color="auto"/>
        <w:left w:val="none" w:sz="0" w:space="0" w:color="auto"/>
        <w:bottom w:val="none" w:sz="0" w:space="0" w:color="auto"/>
        <w:right w:val="none" w:sz="0" w:space="0" w:color="auto"/>
      </w:divBdr>
    </w:div>
    <w:div w:id="1215579161">
      <w:bodyDiv w:val="1"/>
      <w:marLeft w:val="0"/>
      <w:marRight w:val="0"/>
      <w:marTop w:val="0"/>
      <w:marBottom w:val="0"/>
      <w:divBdr>
        <w:top w:val="none" w:sz="0" w:space="0" w:color="auto"/>
        <w:left w:val="none" w:sz="0" w:space="0" w:color="auto"/>
        <w:bottom w:val="none" w:sz="0" w:space="0" w:color="auto"/>
        <w:right w:val="none" w:sz="0" w:space="0" w:color="auto"/>
      </w:divBdr>
    </w:div>
    <w:div w:id="1218978456">
      <w:bodyDiv w:val="1"/>
      <w:marLeft w:val="0"/>
      <w:marRight w:val="0"/>
      <w:marTop w:val="0"/>
      <w:marBottom w:val="0"/>
      <w:divBdr>
        <w:top w:val="none" w:sz="0" w:space="0" w:color="auto"/>
        <w:left w:val="none" w:sz="0" w:space="0" w:color="auto"/>
        <w:bottom w:val="none" w:sz="0" w:space="0" w:color="auto"/>
        <w:right w:val="none" w:sz="0" w:space="0" w:color="auto"/>
      </w:divBdr>
    </w:div>
    <w:div w:id="1274897205">
      <w:bodyDiv w:val="1"/>
      <w:marLeft w:val="0"/>
      <w:marRight w:val="0"/>
      <w:marTop w:val="0"/>
      <w:marBottom w:val="0"/>
      <w:divBdr>
        <w:top w:val="none" w:sz="0" w:space="0" w:color="auto"/>
        <w:left w:val="none" w:sz="0" w:space="0" w:color="auto"/>
        <w:bottom w:val="none" w:sz="0" w:space="0" w:color="auto"/>
        <w:right w:val="none" w:sz="0" w:space="0" w:color="auto"/>
      </w:divBdr>
    </w:div>
    <w:div w:id="1310017533">
      <w:bodyDiv w:val="1"/>
      <w:marLeft w:val="0"/>
      <w:marRight w:val="0"/>
      <w:marTop w:val="0"/>
      <w:marBottom w:val="0"/>
      <w:divBdr>
        <w:top w:val="none" w:sz="0" w:space="0" w:color="auto"/>
        <w:left w:val="none" w:sz="0" w:space="0" w:color="auto"/>
        <w:bottom w:val="none" w:sz="0" w:space="0" w:color="auto"/>
        <w:right w:val="none" w:sz="0" w:space="0" w:color="auto"/>
      </w:divBdr>
    </w:div>
    <w:div w:id="1554152099">
      <w:bodyDiv w:val="1"/>
      <w:marLeft w:val="0"/>
      <w:marRight w:val="0"/>
      <w:marTop w:val="0"/>
      <w:marBottom w:val="0"/>
      <w:divBdr>
        <w:top w:val="none" w:sz="0" w:space="0" w:color="auto"/>
        <w:left w:val="none" w:sz="0" w:space="0" w:color="auto"/>
        <w:bottom w:val="none" w:sz="0" w:space="0" w:color="auto"/>
        <w:right w:val="none" w:sz="0" w:space="0" w:color="auto"/>
      </w:divBdr>
    </w:div>
    <w:div w:id="1599174800">
      <w:bodyDiv w:val="1"/>
      <w:marLeft w:val="0"/>
      <w:marRight w:val="0"/>
      <w:marTop w:val="0"/>
      <w:marBottom w:val="0"/>
      <w:divBdr>
        <w:top w:val="none" w:sz="0" w:space="0" w:color="auto"/>
        <w:left w:val="none" w:sz="0" w:space="0" w:color="auto"/>
        <w:bottom w:val="none" w:sz="0" w:space="0" w:color="auto"/>
        <w:right w:val="none" w:sz="0" w:space="0" w:color="auto"/>
      </w:divBdr>
    </w:div>
    <w:div w:id="1926257167">
      <w:bodyDiv w:val="1"/>
      <w:marLeft w:val="0"/>
      <w:marRight w:val="0"/>
      <w:marTop w:val="0"/>
      <w:marBottom w:val="0"/>
      <w:divBdr>
        <w:top w:val="none" w:sz="0" w:space="0" w:color="auto"/>
        <w:left w:val="none" w:sz="0" w:space="0" w:color="auto"/>
        <w:bottom w:val="none" w:sz="0" w:space="0" w:color="auto"/>
        <w:right w:val="none" w:sz="0" w:space="0" w:color="auto"/>
      </w:divBdr>
    </w:div>
    <w:div w:id="1941252957">
      <w:bodyDiv w:val="1"/>
      <w:marLeft w:val="0"/>
      <w:marRight w:val="0"/>
      <w:marTop w:val="0"/>
      <w:marBottom w:val="0"/>
      <w:divBdr>
        <w:top w:val="none" w:sz="0" w:space="0" w:color="auto"/>
        <w:left w:val="none" w:sz="0" w:space="0" w:color="auto"/>
        <w:bottom w:val="none" w:sz="0" w:space="0" w:color="auto"/>
        <w:right w:val="none" w:sz="0" w:space="0" w:color="auto"/>
      </w:divBdr>
    </w:div>
    <w:div w:id="1987008353">
      <w:bodyDiv w:val="1"/>
      <w:marLeft w:val="0"/>
      <w:marRight w:val="0"/>
      <w:marTop w:val="0"/>
      <w:marBottom w:val="0"/>
      <w:divBdr>
        <w:top w:val="none" w:sz="0" w:space="0" w:color="auto"/>
        <w:left w:val="none" w:sz="0" w:space="0" w:color="auto"/>
        <w:bottom w:val="none" w:sz="0" w:space="0" w:color="auto"/>
        <w:right w:val="none" w:sz="0" w:space="0" w:color="auto"/>
      </w:divBdr>
    </w:div>
    <w:div w:id="1997880835">
      <w:bodyDiv w:val="1"/>
      <w:marLeft w:val="0"/>
      <w:marRight w:val="0"/>
      <w:marTop w:val="0"/>
      <w:marBottom w:val="0"/>
      <w:divBdr>
        <w:top w:val="none" w:sz="0" w:space="0" w:color="auto"/>
        <w:left w:val="none" w:sz="0" w:space="0" w:color="auto"/>
        <w:bottom w:val="none" w:sz="0" w:space="0" w:color="auto"/>
        <w:right w:val="none" w:sz="0" w:space="0" w:color="auto"/>
      </w:divBdr>
    </w:div>
    <w:div w:id="2058316864">
      <w:bodyDiv w:val="1"/>
      <w:marLeft w:val="0"/>
      <w:marRight w:val="0"/>
      <w:marTop w:val="0"/>
      <w:marBottom w:val="0"/>
      <w:divBdr>
        <w:top w:val="none" w:sz="0" w:space="0" w:color="auto"/>
        <w:left w:val="none" w:sz="0" w:space="0" w:color="auto"/>
        <w:bottom w:val="none" w:sz="0" w:space="0" w:color="auto"/>
        <w:right w:val="none" w:sz="0" w:space="0" w:color="auto"/>
      </w:divBdr>
    </w:div>
    <w:div w:id="2075352176">
      <w:bodyDiv w:val="1"/>
      <w:marLeft w:val="0"/>
      <w:marRight w:val="0"/>
      <w:marTop w:val="0"/>
      <w:marBottom w:val="0"/>
      <w:divBdr>
        <w:top w:val="none" w:sz="0" w:space="0" w:color="auto"/>
        <w:left w:val="none" w:sz="0" w:space="0" w:color="auto"/>
        <w:bottom w:val="none" w:sz="0" w:space="0" w:color="auto"/>
        <w:right w:val="none" w:sz="0" w:space="0" w:color="auto"/>
      </w:divBdr>
    </w:div>
    <w:div w:id="2124568403">
      <w:bodyDiv w:val="1"/>
      <w:marLeft w:val="0"/>
      <w:marRight w:val="0"/>
      <w:marTop w:val="0"/>
      <w:marBottom w:val="0"/>
      <w:divBdr>
        <w:top w:val="none" w:sz="0" w:space="0" w:color="auto"/>
        <w:left w:val="none" w:sz="0" w:space="0" w:color="auto"/>
        <w:bottom w:val="none" w:sz="0" w:space="0" w:color="auto"/>
        <w:right w:val="none" w:sz="0" w:space="0" w:color="auto"/>
      </w:divBdr>
    </w:div>
    <w:div w:id="2146578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spices.res.in/"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hyperlink" Target="https://www.ibef.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bef.org/" TargetMode="External"/><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hyperlink" Target="http://orbi.ulg.ac.be/browse?type=journal&amp;value=Physica+A%3A+Statistical+Mechanics+and+its+Applications"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9.xml"/><Relationship Id="rId10" Type="http://schemas.openxmlformats.org/officeDocument/2006/relationships/hyperlink" Target="mailto:akheelahmed54@gmail.com" TargetMode="External"/><Relationship Id="rId19" Type="http://schemas.openxmlformats.org/officeDocument/2006/relationships/chart" Target="charts/chart4.xml"/><Relationship Id="rId31" Type="http://schemas.openxmlformats.org/officeDocument/2006/relationships/image" Target="media/image5.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tiff"/><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6.pn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D:\Usman%20Modelling\Razia\BG-FSS%20Modelling\BG-FSS%20kinetics%20calculations.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a:solidFill>
                <a:schemeClr val="tx1"/>
              </a:solidFill>
            </a:ln>
          </c:spPr>
          <c:marker>
            <c:spPr>
              <a:solidFill>
                <a:schemeClr val="tx1"/>
              </a:solidFill>
              <a:ln>
                <a:solidFill>
                  <a:schemeClr val="tx1"/>
                </a:solidFill>
              </a:ln>
            </c:spPr>
          </c:marker>
          <c:xVal>
            <c:numRef>
              <c:f>Sheet1!$A$65:$A$73</c:f>
              <c:numCache>
                <c:formatCode>General</c:formatCode>
                <c:ptCount val="9"/>
                <c:pt idx="0">
                  <c:v>25</c:v>
                </c:pt>
                <c:pt idx="1">
                  <c:v>50</c:v>
                </c:pt>
                <c:pt idx="2">
                  <c:v>75</c:v>
                </c:pt>
                <c:pt idx="3">
                  <c:v>100</c:v>
                </c:pt>
                <c:pt idx="4">
                  <c:v>125</c:v>
                </c:pt>
                <c:pt idx="5">
                  <c:v>150</c:v>
                </c:pt>
                <c:pt idx="6">
                  <c:v>175</c:v>
                </c:pt>
                <c:pt idx="7">
                  <c:v>200</c:v>
                </c:pt>
                <c:pt idx="8">
                  <c:v>300</c:v>
                </c:pt>
              </c:numCache>
            </c:numRef>
          </c:xVal>
          <c:yVal>
            <c:numRef>
              <c:f>Sheet1!$B$65:$B$73</c:f>
              <c:numCache>
                <c:formatCode>General</c:formatCode>
                <c:ptCount val="9"/>
                <c:pt idx="0">
                  <c:v>18</c:v>
                </c:pt>
                <c:pt idx="1">
                  <c:v>40</c:v>
                </c:pt>
                <c:pt idx="2">
                  <c:v>63</c:v>
                </c:pt>
                <c:pt idx="3">
                  <c:v>80</c:v>
                </c:pt>
                <c:pt idx="4">
                  <c:v>95</c:v>
                </c:pt>
                <c:pt idx="5">
                  <c:v>105</c:v>
                </c:pt>
                <c:pt idx="6">
                  <c:v>120</c:v>
                </c:pt>
                <c:pt idx="7">
                  <c:v>130</c:v>
                </c:pt>
                <c:pt idx="8">
                  <c:v>150</c:v>
                </c:pt>
              </c:numCache>
            </c:numRef>
          </c:yVal>
          <c:smooth val="1"/>
          <c:extLst>
            <c:ext xmlns:c16="http://schemas.microsoft.com/office/drawing/2014/chart" uri="{C3380CC4-5D6E-409C-BE32-E72D297353CC}">
              <c16:uniqueId val="{00000000-93EC-4156-8683-B79734FE46EC}"/>
            </c:ext>
          </c:extLst>
        </c:ser>
        <c:dLbls>
          <c:showLegendKey val="0"/>
          <c:showVal val="0"/>
          <c:showCatName val="0"/>
          <c:showSerName val="0"/>
          <c:showPercent val="0"/>
          <c:showBubbleSize val="0"/>
        </c:dLbls>
        <c:axId val="37814656"/>
        <c:axId val="37825536"/>
      </c:scatterChart>
      <c:valAx>
        <c:axId val="37814656"/>
        <c:scaling>
          <c:orientation val="minMax"/>
        </c:scaling>
        <c:delete val="0"/>
        <c:axPos val="b"/>
        <c:title>
          <c:tx>
            <c:rich>
              <a:bodyPr/>
              <a:lstStyle/>
              <a:p>
                <a:pPr>
                  <a:defRPr/>
                </a:pPr>
                <a:r>
                  <a:rPr lang="en-US"/>
                  <a:t>Concentartion (mg</a:t>
                </a:r>
                <a:r>
                  <a:rPr lang="en-US" baseline="0"/>
                  <a:t> L</a:t>
                </a:r>
                <a:r>
                  <a:rPr lang="en-US" baseline="30000"/>
                  <a:t>-1</a:t>
                </a:r>
                <a:r>
                  <a:rPr lang="en-US"/>
                  <a:t>)</a:t>
                </a:r>
              </a:p>
            </c:rich>
          </c:tx>
          <c:overlay val="0"/>
        </c:title>
        <c:numFmt formatCode="General" sourceLinked="1"/>
        <c:majorTickMark val="none"/>
        <c:minorTickMark val="none"/>
        <c:tickLblPos val="nextTo"/>
        <c:spPr>
          <a:ln>
            <a:solidFill>
              <a:schemeClr val="tx1"/>
            </a:solidFill>
          </a:ln>
        </c:spPr>
        <c:crossAx val="37825536"/>
        <c:crosses val="autoZero"/>
        <c:crossBetween val="midCat"/>
      </c:valAx>
      <c:valAx>
        <c:axId val="37825536"/>
        <c:scaling>
          <c:orientation val="minMax"/>
        </c:scaling>
        <c:delete val="0"/>
        <c:axPos val="l"/>
        <c:title>
          <c:tx>
            <c:rich>
              <a:bodyPr/>
              <a:lstStyle/>
              <a:p>
                <a:pPr>
                  <a:defRPr/>
                </a:pPr>
                <a:r>
                  <a:rPr lang="en-US" b="1"/>
                  <a:t>q</a:t>
                </a:r>
                <a:r>
                  <a:rPr lang="en-US" b="1" baseline="-25000"/>
                  <a:t>e</a:t>
                </a:r>
                <a:r>
                  <a:rPr lang="en-US" b="1"/>
                  <a:t>(mg</a:t>
                </a:r>
                <a:r>
                  <a:rPr lang="en-US" b="1" baseline="0"/>
                  <a:t> </a:t>
                </a:r>
                <a:r>
                  <a:rPr lang="en-US" b="1"/>
                  <a:t>g</a:t>
                </a:r>
                <a:r>
                  <a:rPr lang="en-US" b="1" baseline="30000"/>
                  <a:t>-1</a:t>
                </a:r>
                <a:r>
                  <a:rPr lang="en-US"/>
                  <a:t>)</a:t>
                </a:r>
              </a:p>
            </c:rich>
          </c:tx>
          <c:overlay val="0"/>
        </c:title>
        <c:numFmt formatCode="General" sourceLinked="1"/>
        <c:majorTickMark val="none"/>
        <c:minorTickMark val="none"/>
        <c:tickLblPos val="nextTo"/>
        <c:spPr>
          <a:ln>
            <a:solidFill>
              <a:schemeClr val="tx1"/>
            </a:solidFill>
          </a:ln>
        </c:spPr>
        <c:crossAx val="37814656"/>
        <c:crosses val="autoZero"/>
        <c:crossBetween val="midCat"/>
      </c:valAx>
      <c:spPr>
        <a:ln>
          <a:solidFill>
            <a:schemeClr val="tx1"/>
          </a:solid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50 ppm</a:t>
            </a:r>
          </a:p>
        </c:rich>
      </c:tx>
      <c:layout>
        <c:manualLayout>
          <c:xMode val="edge"/>
          <c:yMode val="edge"/>
          <c:x val="0.46667968723230746"/>
          <c:y val="5.5904973869927176E-2"/>
        </c:manualLayout>
      </c:layout>
      <c:overlay val="1"/>
    </c:title>
    <c:autoTitleDeleted val="0"/>
    <c:plotArea>
      <c:layout>
        <c:manualLayout>
          <c:layoutTarget val="inner"/>
          <c:xMode val="edge"/>
          <c:yMode val="edge"/>
          <c:x val="8.5017329564573668E-2"/>
          <c:y val="3.4447950538249228E-2"/>
          <c:w val="0.8814148366772151"/>
          <c:h val="0.84619133059120155"/>
        </c:manualLayout>
      </c:layout>
      <c:scatterChart>
        <c:scatterStyle val="lineMarker"/>
        <c:varyColors val="0"/>
        <c:ser>
          <c:idx val="0"/>
          <c:order val="0"/>
          <c:tx>
            <c:strRef>
              <c:f>'50 ppm'!$B$3</c:f>
              <c:strCache>
                <c:ptCount val="1"/>
                <c:pt idx="0">
                  <c:v>Experimental 303K</c:v>
                </c:pt>
              </c:strCache>
            </c:strRef>
          </c:tx>
          <c:spPr>
            <a:ln w="12700">
              <a:noFill/>
            </a:ln>
          </c:spPr>
          <c:marker>
            <c:symbol val="diamond"/>
            <c:size val="7"/>
            <c:spPr>
              <a:solidFill>
                <a:schemeClr val="tx1"/>
              </a:solidFill>
              <a:ln>
                <a:noFill/>
              </a:ln>
            </c:spPr>
          </c:marker>
          <c:xVal>
            <c:numRef>
              <c:f>'50 ppm'!$B$6:$B$17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'50 ppm'!$C$6:$C$17</c:f>
              <c:numCache>
                <c:formatCode>General</c:formatCode>
                <c:ptCount val="12"/>
                <c:pt idx="0">
                  <c:v>10</c:v>
                </c:pt>
                <c:pt idx="1">
                  <c:v>15</c:v>
                </c:pt>
                <c:pt idx="2">
                  <c:v>17</c:v>
                </c:pt>
                <c:pt idx="3">
                  <c:v>20</c:v>
                </c:pt>
                <c:pt idx="4">
                  <c:v>22</c:v>
                </c:pt>
                <c:pt idx="5">
                  <c:v>24</c:v>
                </c:pt>
                <c:pt idx="6">
                  <c:v>26</c:v>
                </c:pt>
                <c:pt idx="7">
                  <c:v>28</c:v>
                </c:pt>
                <c:pt idx="8">
                  <c:v>32</c:v>
                </c:pt>
                <c:pt idx="9">
                  <c:v>34</c:v>
                </c:pt>
              </c:numCache>
            </c:numRef>
          </c:yVal>
          <c:smooth val="0"/>
          <c:extLst>
            <c:ext xmlns:c16="http://schemas.microsoft.com/office/drawing/2014/chart" uri="{C3380CC4-5D6E-409C-BE32-E72D297353CC}">
              <c16:uniqueId val="{00000000-7588-4DD5-8893-8C8ACE2BBAE8}"/>
            </c:ext>
          </c:extLst>
        </c:ser>
        <c:ser>
          <c:idx val="1"/>
          <c:order val="1"/>
          <c:tx>
            <c:strRef>
              <c:f>'50 ppm'!$F$5</c:f>
              <c:strCache>
                <c:ptCount val="1"/>
                <c:pt idx="0">
                  <c:v>qt(Pseudo 1st order fitted)</c:v>
                </c:pt>
              </c:strCache>
            </c:strRef>
          </c:tx>
          <c:spPr>
            <a:ln w="22225">
              <a:solidFill>
                <a:sysClr val="windowText" lastClr="000000">
                  <a:shade val="95000"/>
                  <a:satMod val="105000"/>
                </a:sysClr>
              </a:solidFill>
              <a:prstDash val="dash"/>
            </a:ln>
          </c:spPr>
          <c:marker>
            <c:symbol val="none"/>
          </c:marker>
          <c:xVal>
            <c:numRef>
              <c:f>'50 ppm'!$B$6:$B$17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'50 ppm'!$F$6:$F$17</c:f>
              <c:numCache>
                <c:formatCode>General</c:formatCode>
                <c:ptCount val="12"/>
                <c:pt idx="0">
                  <c:v>7.0419636967538475</c:v>
                </c:pt>
                <c:pt idx="1">
                  <c:v>12.555716788247803</c:v>
                </c:pt>
                <c:pt idx="2">
                  <c:v>16.872903650198456</c:v>
                </c:pt>
                <c:pt idx="3">
                  <c:v>20.253196908116056</c:v>
                </c:pt>
                <c:pt idx="4">
                  <c:v>22.899916374958948</c:v>
                </c:pt>
                <c:pt idx="5">
                  <c:v>24.972258447575616</c:v>
                </c:pt>
                <c:pt idx="6">
                  <c:v>27.865353521082302</c:v>
                </c:pt>
                <c:pt idx="7">
                  <c:v>29.63901106599052</c:v>
                </c:pt>
                <c:pt idx="8">
                  <c:v>30.726379785884255</c:v>
                </c:pt>
                <c:pt idx="9">
                  <c:v>32.205852455078592</c:v>
                </c:pt>
              </c:numCache>
            </c:numRef>
          </c:yVal>
          <c:smooth val="0"/>
          <c:extLst>
            <c:ext xmlns:c16="http://schemas.microsoft.com/office/drawing/2014/chart" uri="{C3380CC4-5D6E-409C-BE32-E72D297353CC}">
              <c16:uniqueId val="{00000001-7588-4DD5-8893-8C8ACE2BBAE8}"/>
            </c:ext>
          </c:extLst>
        </c:ser>
        <c:ser>
          <c:idx val="2"/>
          <c:order val="2"/>
          <c:tx>
            <c:strRef>
              <c:f>'50 ppm'!$J$5</c:f>
              <c:strCache>
                <c:ptCount val="1"/>
                <c:pt idx="0">
                  <c:v>qt(Pseudo 2nd order fitted)</c:v>
                </c:pt>
              </c:strCache>
            </c:strRef>
          </c:tx>
          <c:spPr>
            <a:ln w="22225">
              <a:solidFill>
                <a:sysClr val="windowText" lastClr="000000">
                  <a:shade val="95000"/>
                  <a:satMod val="105000"/>
                </a:sysClr>
              </a:solidFill>
              <a:prstDash val="solid"/>
            </a:ln>
          </c:spPr>
          <c:marker>
            <c:symbol val="none"/>
          </c:marker>
          <c:xVal>
            <c:numRef>
              <c:f>'50 ppm'!$B$6:$B$17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'50 ppm'!$J$6:$J$17</c:f>
              <c:numCache>
                <c:formatCode>General</c:formatCode>
                <c:ptCount val="12"/>
                <c:pt idx="0">
                  <c:v>8.3221535358445866</c:v>
                </c:pt>
                <c:pt idx="1">
                  <c:v>13.76827558905876</c:v>
                </c:pt>
                <c:pt idx="2">
                  <c:v>17.609587516700017</c:v>
                </c:pt>
                <c:pt idx="3">
                  <c:v>20.464334744769587</c:v>
                </c:pt>
                <c:pt idx="4">
                  <c:v>22.669334231492233</c:v>
                </c:pt>
                <c:pt idx="5">
                  <c:v>24.423747503166943</c:v>
                </c:pt>
                <c:pt idx="6">
                  <c:v>27.039534403487675</c:v>
                </c:pt>
                <c:pt idx="7">
                  <c:v>28.896420927170727</c:v>
                </c:pt>
                <c:pt idx="8">
                  <c:v>30.282829875792579</c:v>
                </c:pt>
                <c:pt idx="9">
                  <c:v>33.497117451767075</c:v>
                </c:pt>
              </c:numCache>
            </c:numRef>
          </c:yVal>
          <c:smooth val="0"/>
          <c:extLst>
            <c:ext xmlns:c16="http://schemas.microsoft.com/office/drawing/2014/chart" uri="{C3380CC4-5D6E-409C-BE32-E72D297353CC}">
              <c16:uniqueId val="{00000002-7588-4DD5-8893-8C8ACE2BBAE8}"/>
            </c:ext>
          </c:extLst>
        </c:ser>
        <c:ser>
          <c:idx val="4"/>
          <c:order val="3"/>
          <c:tx>
            <c:strRef>
              <c:f>'50 ppm'!$S$3</c:f>
              <c:strCache>
                <c:ptCount val="1"/>
                <c:pt idx="0">
                  <c:v>Experimental 313K</c:v>
                </c:pt>
              </c:strCache>
            </c:strRef>
          </c:tx>
          <c:spPr>
            <a:ln w="12700">
              <a:noFill/>
              <a:prstDash val="lgDash"/>
            </a:ln>
          </c:spPr>
          <c:marker>
            <c:symbol val="square"/>
            <c:size val="5"/>
            <c:spPr>
              <a:solidFill>
                <a:sysClr val="windowText" lastClr="000000"/>
              </a:solidFill>
              <a:ln>
                <a:noFill/>
              </a:ln>
            </c:spPr>
          </c:marker>
          <c:xVal>
            <c:numRef>
              <c:f>'50 ppm'!$S$6:$S$17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'50 ppm'!$T$6:$T$17</c:f>
              <c:numCache>
                <c:formatCode>General</c:formatCode>
                <c:ptCount val="12"/>
                <c:pt idx="0">
                  <c:v>12</c:v>
                </c:pt>
                <c:pt idx="1">
                  <c:v>15</c:v>
                </c:pt>
                <c:pt idx="2">
                  <c:v>18</c:v>
                </c:pt>
                <c:pt idx="3">
                  <c:v>20</c:v>
                </c:pt>
                <c:pt idx="4">
                  <c:v>22</c:v>
                </c:pt>
                <c:pt idx="5">
                  <c:v>25</c:v>
                </c:pt>
                <c:pt idx="6">
                  <c:v>28</c:v>
                </c:pt>
                <c:pt idx="7">
                  <c:v>30</c:v>
                </c:pt>
                <c:pt idx="8">
                  <c:v>33</c:v>
                </c:pt>
                <c:pt idx="9">
                  <c:v>35</c:v>
                </c:pt>
              </c:numCache>
            </c:numRef>
          </c:yVal>
          <c:smooth val="0"/>
          <c:extLst>
            <c:ext xmlns:c16="http://schemas.microsoft.com/office/drawing/2014/chart" uri="{C3380CC4-5D6E-409C-BE32-E72D297353CC}">
              <c16:uniqueId val="{00000003-7588-4DD5-8893-8C8ACE2BBAE8}"/>
            </c:ext>
          </c:extLst>
        </c:ser>
        <c:ser>
          <c:idx val="5"/>
          <c:order val="4"/>
          <c:tx>
            <c:strRef>
              <c:f>'50 ppm'!$AJ$3</c:f>
              <c:strCache>
                <c:ptCount val="1"/>
                <c:pt idx="0">
                  <c:v>Experimental 323K</c:v>
                </c:pt>
              </c:strCache>
            </c:strRef>
          </c:tx>
          <c:spPr>
            <a:ln w="15875">
              <a:noFill/>
              <a:prstDash val="sysDash"/>
            </a:ln>
          </c:spPr>
          <c:marker>
            <c:spPr>
              <a:solidFill>
                <a:sysClr val="windowText" lastClr="000000"/>
              </a:solidFill>
              <a:ln>
                <a:noFill/>
              </a:ln>
            </c:spPr>
          </c:marker>
          <c:xVal>
            <c:numRef>
              <c:f>'50 ppm'!$AJ$6:$AJ$17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'50 ppm'!$AK$6:$AK$17</c:f>
              <c:numCache>
                <c:formatCode>General</c:formatCode>
                <c:ptCount val="12"/>
                <c:pt idx="0">
                  <c:v>15</c:v>
                </c:pt>
                <c:pt idx="1">
                  <c:v>20</c:v>
                </c:pt>
                <c:pt idx="2">
                  <c:v>25</c:v>
                </c:pt>
                <c:pt idx="3">
                  <c:v>26</c:v>
                </c:pt>
                <c:pt idx="4">
                  <c:v>28</c:v>
                </c:pt>
                <c:pt idx="5">
                  <c:v>31</c:v>
                </c:pt>
                <c:pt idx="6">
                  <c:v>34</c:v>
                </c:pt>
                <c:pt idx="7">
                  <c:v>36</c:v>
                </c:pt>
                <c:pt idx="8">
                  <c:v>38</c:v>
                </c:pt>
                <c:pt idx="9">
                  <c:v>40</c:v>
                </c:pt>
              </c:numCache>
            </c:numRef>
          </c:yVal>
          <c:smooth val="0"/>
          <c:extLst>
            <c:ext xmlns:c16="http://schemas.microsoft.com/office/drawing/2014/chart" uri="{C3380CC4-5D6E-409C-BE32-E72D297353CC}">
              <c16:uniqueId val="{00000004-7588-4DD5-8893-8C8ACE2BBAE8}"/>
            </c:ext>
          </c:extLst>
        </c:ser>
        <c:ser>
          <c:idx val="6"/>
          <c:order val="5"/>
          <c:tx>
            <c:strRef>
              <c:f>'50 ppm'!$W$5</c:f>
              <c:strCache>
                <c:ptCount val="1"/>
                <c:pt idx="0">
                  <c:v>qt(Pseudo 1st order fitted)</c:v>
                </c:pt>
              </c:strCache>
            </c:strRef>
          </c:tx>
          <c:spPr>
            <a:ln w="22225">
              <a:solidFill>
                <a:sysClr val="windowText" lastClr="000000"/>
              </a:solidFill>
              <a:prstDash val="dash"/>
            </a:ln>
          </c:spPr>
          <c:marker>
            <c:symbol val="none"/>
          </c:marker>
          <c:xVal>
            <c:numRef>
              <c:f>'50 ppm'!$S$6:$S$17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'50 ppm'!$W$6:$W$17</c:f>
              <c:numCache>
                <c:formatCode>General</c:formatCode>
                <c:ptCount val="12"/>
                <c:pt idx="0">
                  <c:v>7.3161476565407835</c:v>
                </c:pt>
                <c:pt idx="1">
                  <c:v>13.04978212495655</c:v>
                </c:pt>
                <c:pt idx="2">
                  <c:v>17.54320759430377</c:v>
                </c:pt>
                <c:pt idx="3">
                  <c:v>21.0646864328662</c:v>
                </c:pt>
                <c:pt idx="4">
                  <c:v>23.824454742152202</c:v>
                </c:pt>
                <c:pt idx="5">
                  <c:v>25.987273679905208</c:v>
                </c:pt>
                <c:pt idx="6">
                  <c:v>29.010624212087784</c:v>
                </c:pt>
                <c:pt idx="7">
                  <c:v>30.867503121841359</c:v>
                </c:pt>
                <c:pt idx="8">
                  <c:v>32.007959462839473</c:v>
                </c:pt>
                <c:pt idx="9">
                  <c:v>33.565099091567198</c:v>
                </c:pt>
              </c:numCache>
            </c:numRef>
          </c:yVal>
          <c:smooth val="0"/>
          <c:extLst>
            <c:ext xmlns:c16="http://schemas.microsoft.com/office/drawing/2014/chart" uri="{C3380CC4-5D6E-409C-BE32-E72D297353CC}">
              <c16:uniqueId val="{00000005-7588-4DD5-8893-8C8ACE2BBAE8}"/>
            </c:ext>
          </c:extLst>
        </c:ser>
        <c:ser>
          <c:idx val="7"/>
          <c:order val="6"/>
          <c:tx>
            <c:strRef>
              <c:f>'50 ppm'!$AA$5</c:f>
              <c:strCache>
                <c:ptCount val="1"/>
                <c:pt idx="0">
                  <c:v>qt(Pseudo 2nd order fitted)</c:v>
                </c:pt>
              </c:strCache>
            </c:strRef>
          </c:tx>
          <c:spPr>
            <a:ln w="22225">
              <a:solidFill>
                <a:sysClr val="windowText" lastClr="000000">
                  <a:shade val="95000"/>
                  <a:satMod val="105000"/>
                </a:sysClr>
              </a:solidFill>
            </a:ln>
          </c:spPr>
          <c:marker>
            <c:symbol val="none"/>
          </c:marker>
          <c:xVal>
            <c:numRef>
              <c:f>'50 ppm'!$S$6:$S$17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'50 ppm'!$AA$6:$AA$17</c:f>
              <c:numCache>
                <c:formatCode>General</c:formatCode>
                <c:ptCount val="12"/>
                <c:pt idx="0">
                  <c:v>8.7188528352563299</c:v>
                </c:pt>
                <c:pt idx="1">
                  <c:v>14.397672711369347</c:v>
                </c:pt>
                <c:pt idx="2">
                  <c:v>18.390388481492831</c:v>
                </c:pt>
                <c:pt idx="3">
                  <c:v>21.350864654268783</c:v>
                </c:pt>
                <c:pt idx="4">
                  <c:v>23.633578090765049</c:v>
                </c:pt>
                <c:pt idx="5">
                  <c:v>25.447370506827543</c:v>
                </c:pt>
                <c:pt idx="6">
                  <c:v>28.147660594056795</c:v>
                </c:pt>
                <c:pt idx="7">
                  <c:v>30.061612552928626</c:v>
                </c:pt>
                <c:pt idx="8">
                  <c:v>31.489049795606363</c:v>
                </c:pt>
                <c:pt idx="9">
                  <c:v>34.793278498300772</c:v>
                </c:pt>
              </c:numCache>
            </c:numRef>
          </c:yVal>
          <c:smooth val="0"/>
          <c:extLst>
            <c:ext xmlns:c16="http://schemas.microsoft.com/office/drawing/2014/chart" uri="{C3380CC4-5D6E-409C-BE32-E72D297353CC}">
              <c16:uniqueId val="{00000006-7588-4DD5-8893-8C8ACE2BBAE8}"/>
            </c:ext>
          </c:extLst>
        </c:ser>
        <c:ser>
          <c:idx val="9"/>
          <c:order val="7"/>
          <c:tx>
            <c:strRef>
              <c:f>'50 ppm'!$AN$5</c:f>
              <c:strCache>
                <c:ptCount val="1"/>
                <c:pt idx="0">
                  <c:v>qt(Pseudo 1st order fitted)</c:v>
                </c:pt>
              </c:strCache>
            </c:strRef>
          </c:tx>
          <c:spPr>
            <a:ln w="22225">
              <a:solidFill>
                <a:sysClr val="windowText" lastClr="000000">
                  <a:shade val="95000"/>
                  <a:satMod val="105000"/>
                </a:sysClr>
              </a:solidFill>
              <a:prstDash val="dash"/>
            </a:ln>
          </c:spPr>
          <c:marker>
            <c:symbol val="none"/>
          </c:marker>
          <c:xVal>
            <c:numRef>
              <c:f>'50 ppm'!$AJ$6:$AJ$17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'50 ppm'!$AN$6:$AN$17</c:f>
              <c:numCache>
                <c:formatCode>General</c:formatCode>
                <c:ptCount val="12"/>
                <c:pt idx="0">
                  <c:v>10.702596759939897</c:v>
                </c:pt>
                <c:pt idx="1">
                  <c:v>18.364375541899356</c:v>
                </c:pt>
                <c:pt idx="2">
                  <c:v>23.849292466305076</c:v>
                </c:pt>
                <c:pt idx="3">
                  <c:v>27.775836748485258</c:v>
                </c:pt>
                <c:pt idx="4">
                  <c:v>30.58677266828359</c:v>
                </c:pt>
                <c:pt idx="5">
                  <c:v>32.599066476116398</c:v>
                </c:pt>
                <c:pt idx="6">
                  <c:v>35.070897841603575</c:v>
                </c:pt>
                <c:pt idx="7">
                  <c:v>36.337673559211169</c:v>
                </c:pt>
                <c:pt idx="8">
                  <c:v>36.986876713247504</c:v>
                </c:pt>
                <c:pt idx="9">
                  <c:v>37.622254798097273</c:v>
                </c:pt>
              </c:numCache>
            </c:numRef>
          </c:yVal>
          <c:smooth val="0"/>
          <c:extLst>
            <c:ext xmlns:c16="http://schemas.microsoft.com/office/drawing/2014/chart" uri="{C3380CC4-5D6E-409C-BE32-E72D297353CC}">
              <c16:uniqueId val="{00000007-7588-4DD5-8893-8C8ACE2BBAE8}"/>
            </c:ext>
          </c:extLst>
        </c:ser>
        <c:ser>
          <c:idx val="10"/>
          <c:order val="8"/>
          <c:tx>
            <c:strRef>
              <c:f>'50 ppm'!$AR$5</c:f>
              <c:strCache>
                <c:ptCount val="1"/>
                <c:pt idx="0">
                  <c:v>qt(Pseudo 2nd order fitted)</c:v>
                </c:pt>
              </c:strCache>
            </c:strRef>
          </c:tx>
          <c:spPr>
            <a:ln w="22225">
              <a:solidFill>
                <a:sysClr val="windowText" lastClr="000000">
                  <a:shade val="95000"/>
                  <a:satMod val="105000"/>
                </a:sysClr>
              </a:solidFill>
            </a:ln>
          </c:spPr>
          <c:marker>
            <c:symbol val="none"/>
          </c:marker>
          <c:xVal>
            <c:numRef>
              <c:f>'50 ppm'!$AJ$6:$AJ$17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'50 ppm'!$AR$6:$AR$17</c:f>
              <c:numCache>
                <c:formatCode>General</c:formatCode>
                <c:ptCount val="12"/>
                <c:pt idx="0">
                  <c:v>12.821349588491913</c:v>
                </c:pt>
                <c:pt idx="1">
                  <c:v>19.907678933475434</c:v>
                </c:pt>
                <c:pt idx="2">
                  <c:v>24.403619748239223</c:v>
                </c:pt>
                <c:pt idx="3">
                  <c:v>27.510047860910753</c:v>
                </c:pt>
                <c:pt idx="4">
                  <c:v>29.784907268490997</c:v>
                </c:pt>
                <c:pt idx="5">
                  <c:v>31.522688941406649</c:v>
                </c:pt>
                <c:pt idx="6">
                  <c:v>34.002507577788904</c:v>
                </c:pt>
                <c:pt idx="7">
                  <c:v>35.68695478432771</c:v>
                </c:pt>
                <c:pt idx="8">
                  <c:v>36.905803673854962</c:v>
                </c:pt>
                <c:pt idx="9">
                  <c:v>39.611584306357784</c:v>
                </c:pt>
              </c:numCache>
            </c:numRef>
          </c:yVal>
          <c:smooth val="0"/>
          <c:extLst>
            <c:ext xmlns:c16="http://schemas.microsoft.com/office/drawing/2014/chart" uri="{C3380CC4-5D6E-409C-BE32-E72D297353CC}">
              <c16:uniqueId val="{00000008-7588-4DD5-8893-8C8ACE2BBAE8}"/>
            </c:ext>
          </c:extLst>
        </c:ser>
        <c:dLbls>
          <c:showLegendKey val="0"/>
          <c:showVal val="0"/>
          <c:showCatName val="0"/>
          <c:showSerName val="0"/>
          <c:showPercent val="0"/>
          <c:showBubbleSize val="0"/>
        </c:dLbls>
        <c:axId val="68960640"/>
        <c:axId val="68962560"/>
      </c:scatterChart>
      <c:valAx>
        <c:axId val="68960640"/>
        <c:scaling>
          <c:orientation val="minMax"/>
        </c:scaling>
        <c:delete val="0"/>
        <c:axPos val="b"/>
        <c:title>
          <c:tx>
            <c:rich>
              <a:bodyPr/>
              <a:lstStyle/>
              <a:p>
                <a:pPr>
                  <a:defRPr/>
                </a:pPr>
                <a:r>
                  <a:rPr lang="en-US"/>
                  <a:t>time</a:t>
                </a:r>
                <a:r>
                  <a:rPr lang="en-US" baseline="0"/>
                  <a:t> [minute]</a:t>
                </a:r>
                <a:endParaRPr lang="en-US"/>
              </a:p>
            </c:rich>
          </c:tx>
          <c:overlay val="0"/>
        </c:title>
        <c:numFmt formatCode="General" sourceLinked="1"/>
        <c:majorTickMark val="out"/>
        <c:minorTickMark val="none"/>
        <c:tickLblPos val="nextTo"/>
        <c:crossAx val="68962560"/>
        <c:crosses val="autoZero"/>
        <c:crossBetween val="midCat"/>
      </c:valAx>
      <c:valAx>
        <c:axId val="68962560"/>
        <c:scaling>
          <c:orientation val="minMax"/>
        </c:scaling>
        <c:delete val="0"/>
        <c:axPos val="l"/>
        <c:title>
          <c:tx>
            <c:rich>
              <a:bodyPr rot="-5400000" vert="horz"/>
              <a:lstStyle/>
              <a:p>
                <a:pPr>
                  <a:defRPr sz="1100"/>
                </a:pPr>
                <a:r>
                  <a:rPr lang="en-US" sz="1100"/>
                  <a:t>qt [mg.g</a:t>
                </a:r>
                <a:r>
                  <a:rPr lang="en-US" sz="1100" baseline="30000"/>
                  <a:t>-1</a:t>
                </a:r>
                <a:r>
                  <a:rPr lang="en-US" sz="1100" baseline="0"/>
                  <a:t>]</a:t>
                </a:r>
                <a:endParaRPr lang="en-US" sz="1100" baseline="30000"/>
              </a:p>
            </c:rich>
          </c:tx>
          <c:overlay val="0"/>
        </c:title>
        <c:numFmt formatCode="General" sourceLinked="1"/>
        <c:majorTickMark val="out"/>
        <c:minorTickMark val="none"/>
        <c:tickLblPos val="nextTo"/>
        <c:crossAx val="68960640"/>
        <c:crosses val="autoZero"/>
        <c:crossBetween val="midCat"/>
      </c:valAx>
      <c:spPr>
        <a:ln>
          <a:solidFill>
            <a:schemeClr val="tx1">
              <a:shade val="95000"/>
              <a:satMod val="105000"/>
            </a:schemeClr>
          </a:solidFill>
        </a:ln>
      </c:spPr>
    </c:plotArea>
    <c:legend>
      <c:legendPos val="b"/>
      <c:legendEntry>
        <c:idx val="1"/>
        <c:delete val="1"/>
      </c:legendEntry>
      <c:legendEntry>
        <c:idx val="2"/>
        <c:delete val="1"/>
      </c:legendEntry>
      <c:legendEntry>
        <c:idx val="7"/>
        <c:delete val="1"/>
      </c:legendEntry>
      <c:legendEntry>
        <c:idx val="8"/>
        <c:delete val="1"/>
      </c:legendEntry>
      <c:layout>
        <c:manualLayout>
          <c:xMode val="edge"/>
          <c:yMode val="edge"/>
          <c:x val="0.63522188650185551"/>
          <c:y val="0.63034608797415759"/>
          <c:w val="0.31879215368714903"/>
          <c:h val="0.23460104097702525"/>
        </c:manualLayout>
      </c:layout>
      <c:overlay val="0"/>
      <c:spPr>
        <a:ln>
          <a:solidFill>
            <a:sysClr val="windowText" lastClr="000000"/>
          </a:solidFill>
        </a:ln>
      </c:sp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100 ppm</a:t>
            </a:r>
          </a:p>
        </c:rich>
      </c:tx>
      <c:layout>
        <c:manualLayout>
          <c:xMode val="edge"/>
          <c:yMode val="edge"/>
          <c:x val="0.44256789478078723"/>
          <c:y val="0.11902230340512233"/>
        </c:manualLayout>
      </c:layout>
      <c:overlay val="0"/>
    </c:title>
    <c:autoTitleDeleted val="0"/>
    <c:plotArea>
      <c:layout>
        <c:manualLayout>
          <c:layoutTarget val="inner"/>
          <c:xMode val="edge"/>
          <c:yMode val="edge"/>
          <c:x val="7.5822201146265686E-2"/>
          <c:y val="0.1249098239813206"/>
          <c:w val="0.8823952400140852"/>
          <c:h val="0.7701034772094566"/>
        </c:manualLayout>
      </c:layout>
      <c:scatterChart>
        <c:scatterStyle val="lineMarker"/>
        <c:varyColors val="0"/>
        <c:ser>
          <c:idx val="0"/>
          <c:order val="0"/>
          <c:tx>
            <c:strRef>
              <c:f>'100 ppm'!$A$3</c:f>
              <c:strCache>
                <c:ptCount val="1"/>
                <c:pt idx="0">
                  <c:v>Experimental 303K</c:v>
                </c:pt>
              </c:strCache>
            </c:strRef>
          </c:tx>
          <c:spPr>
            <a:ln>
              <a:noFill/>
            </a:ln>
          </c:spPr>
          <c:marker>
            <c:symbol val="diamond"/>
            <c:size val="5"/>
            <c:spPr>
              <a:solidFill>
                <a:sysClr val="windowText" lastClr="000000"/>
              </a:solidFill>
              <a:ln>
                <a:noFill/>
              </a:ln>
            </c:spPr>
          </c:marker>
          <c:xVal>
            <c:numRef>
              <c:f>'100 ppm'!$A$6:$A$17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'100 ppm'!$B$6:$B$17</c:f>
              <c:numCache>
                <c:formatCode>General</c:formatCode>
                <c:ptCount val="12"/>
                <c:pt idx="0">
                  <c:v>17</c:v>
                </c:pt>
                <c:pt idx="1">
                  <c:v>25</c:v>
                </c:pt>
                <c:pt idx="2">
                  <c:v>30</c:v>
                </c:pt>
                <c:pt idx="3">
                  <c:v>38</c:v>
                </c:pt>
                <c:pt idx="4">
                  <c:v>44</c:v>
                </c:pt>
                <c:pt idx="5">
                  <c:v>49</c:v>
                </c:pt>
                <c:pt idx="6">
                  <c:v>55</c:v>
                </c:pt>
                <c:pt idx="7">
                  <c:v>59</c:v>
                </c:pt>
                <c:pt idx="8">
                  <c:v>63</c:v>
                </c:pt>
                <c:pt idx="9">
                  <c:v>66</c:v>
                </c:pt>
              </c:numCache>
            </c:numRef>
          </c:yVal>
          <c:smooth val="0"/>
          <c:extLst>
            <c:ext xmlns:c16="http://schemas.microsoft.com/office/drawing/2014/chart" uri="{C3380CC4-5D6E-409C-BE32-E72D297353CC}">
              <c16:uniqueId val="{00000000-50CF-4319-941A-EC71A7C674E4}"/>
            </c:ext>
          </c:extLst>
        </c:ser>
        <c:ser>
          <c:idx val="1"/>
          <c:order val="1"/>
          <c:tx>
            <c:strRef>
              <c:f>'100 ppm'!$E$5</c:f>
              <c:strCache>
                <c:ptCount val="1"/>
                <c:pt idx="0">
                  <c:v>qt(Pseudo 1st order fitted)</c:v>
                </c:pt>
              </c:strCache>
            </c:strRef>
          </c:tx>
          <c:spPr>
            <a:ln w="22225">
              <a:solidFill>
                <a:sysClr val="windowText" lastClr="000000"/>
              </a:solidFill>
              <a:prstDash val="dash"/>
            </a:ln>
          </c:spPr>
          <c:marker>
            <c:symbol val="none"/>
          </c:marker>
          <c:xVal>
            <c:numRef>
              <c:f>'100 ppm'!$A$6:$A$17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'100 ppm'!$E$6:$E$17</c:f>
              <c:numCache>
                <c:formatCode>General</c:formatCode>
                <c:ptCount val="12"/>
                <c:pt idx="0">
                  <c:v>13.092980107083216</c:v>
                </c:pt>
                <c:pt idx="1">
                  <c:v>23.624366349865916</c:v>
                </c:pt>
                <c:pt idx="2">
                  <c:v>32.095325236809543</c:v>
                </c:pt>
                <c:pt idx="3">
                  <c:v>38.90897187458863</c:v>
                </c:pt>
                <c:pt idx="4">
                  <c:v>44.38955336767966</c:v>
                </c:pt>
                <c:pt idx="5">
                  <c:v>48.797879055699553</c:v>
                </c:pt>
                <c:pt idx="6">
                  <c:v>55.195851517497914</c:v>
                </c:pt>
                <c:pt idx="7">
                  <c:v>59.335242339177334</c:v>
                </c:pt>
                <c:pt idx="8">
                  <c:v>62.013365209651148</c:v>
                </c:pt>
                <c:pt idx="9">
                  <c:v>66.061647914688521</c:v>
                </c:pt>
              </c:numCache>
            </c:numRef>
          </c:yVal>
          <c:smooth val="0"/>
          <c:extLst>
            <c:ext xmlns:c16="http://schemas.microsoft.com/office/drawing/2014/chart" uri="{C3380CC4-5D6E-409C-BE32-E72D297353CC}">
              <c16:uniqueId val="{00000001-50CF-4319-941A-EC71A7C674E4}"/>
            </c:ext>
          </c:extLst>
        </c:ser>
        <c:ser>
          <c:idx val="2"/>
          <c:order val="2"/>
          <c:tx>
            <c:strRef>
              <c:f>'100 ppm'!$I$5</c:f>
              <c:strCache>
                <c:ptCount val="1"/>
                <c:pt idx="0">
                  <c:v>qt(Pseudo 2nd order fitted)</c:v>
                </c:pt>
              </c:strCache>
            </c:strRef>
          </c:tx>
          <c:spPr>
            <a:ln w="22225">
              <a:solidFill>
                <a:sysClr val="windowText" lastClr="000000"/>
              </a:solidFill>
            </a:ln>
          </c:spPr>
          <c:marker>
            <c:symbol val="none"/>
          </c:marker>
          <c:xVal>
            <c:numRef>
              <c:f>'100 ppm'!$A$6:$A$17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'100 ppm'!$I$6:$I$17</c:f>
              <c:numCache>
                <c:formatCode>General</c:formatCode>
                <c:ptCount val="12"/>
                <c:pt idx="0">
                  <c:v>15.001367002818418</c:v>
                </c:pt>
                <c:pt idx="1">
                  <c:v>25.48880806852069</c:v>
                </c:pt>
                <c:pt idx="2">
                  <c:v>33.233253008933637</c:v>
                </c:pt>
                <c:pt idx="3">
                  <c:v>39.18639248482225</c:v>
                </c:pt>
                <c:pt idx="4">
                  <c:v>43.905299238092461</c:v>
                </c:pt>
                <c:pt idx="5">
                  <c:v>47.737752058032257</c:v>
                </c:pt>
                <c:pt idx="6">
                  <c:v>53.584419907437486</c:v>
                </c:pt>
                <c:pt idx="7">
                  <c:v>57.834368806776098</c:v>
                </c:pt>
                <c:pt idx="8">
                  <c:v>61.063106864824135</c:v>
                </c:pt>
                <c:pt idx="9">
                  <c:v>68.738027116000666</c:v>
                </c:pt>
              </c:numCache>
            </c:numRef>
          </c:yVal>
          <c:smooth val="0"/>
          <c:extLst>
            <c:ext xmlns:c16="http://schemas.microsoft.com/office/drawing/2014/chart" uri="{C3380CC4-5D6E-409C-BE32-E72D297353CC}">
              <c16:uniqueId val="{00000002-50CF-4319-941A-EC71A7C674E4}"/>
            </c:ext>
          </c:extLst>
        </c:ser>
        <c:ser>
          <c:idx val="4"/>
          <c:order val="3"/>
          <c:tx>
            <c:strRef>
              <c:f>'100 ppm'!$R$3</c:f>
              <c:strCache>
                <c:ptCount val="1"/>
                <c:pt idx="0">
                  <c:v>Experimental 313K</c:v>
                </c:pt>
              </c:strCache>
            </c:strRef>
          </c:tx>
          <c:spPr>
            <a:ln>
              <a:noFill/>
            </a:ln>
          </c:spPr>
          <c:marker>
            <c:symbol val="square"/>
            <c:size val="5"/>
            <c:spPr>
              <a:solidFill>
                <a:sysClr val="windowText" lastClr="000000"/>
              </a:solidFill>
              <a:ln>
                <a:noFill/>
              </a:ln>
            </c:spPr>
          </c:marker>
          <c:xVal>
            <c:numRef>
              <c:f>'100 ppm'!$R$6:$R$17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'100 ppm'!$S$6:$S$17</c:f>
              <c:numCache>
                <c:formatCode>General</c:formatCode>
                <c:ptCount val="12"/>
                <c:pt idx="0">
                  <c:v>21</c:v>
                </c:pt>
                <c:pt idx="1">
                  <c:v>29</c:v>
                </c:pt>
                <c:pt idx="2">
                  <c:v>34</c:v>
                </c:pt>
                <c:pt idx="3">
                  <c:v>46</c:v>
                </c:pt>
                <c:pt idx="4">
                  <c:v>52</c:v>
                </c:pt>
                <c:pt idx="5">
                  <c:v>58</c:v>
                </c:pt>
                <c:pt idx="6">
                  <c:v>60</c:v>
                </c:pt>
                <c:pt idx="7">
                  <c:v>64</c:v>
                </c:pt>
                <c:pt idx="8">
                  <c:v>68</c:v>
                </c:pt>
                <c:pt idx="9">
                  <c:v>70</c:v>
                </c:pt>
              </c:numCache>
            </c:numRef>
          </c:yVal>
          <c:smooth val="0"/>
          <c:extLst>
            <c:ext xmlns:c16="http://schemas.microsoft.com/office/drawing/2014/chart" uri="{C3380CC4-5D6E-409C-BE32-E72D297353CC}">
              <c16:uniqueId val="{00000003-50CF-4319-941A-EC71A7C674E4}"/>
            </c:ext>
          </c:extLst>
        </c:ser>
        <c:ser>
          <c:idx val="5"/>
          <c:order val="4"/>
          <c:tx>
            <c:strRef>
              <c:f>'100 ppm'!$V$5</c:f>
              <c:strCache>
                <c:ptCount val="1"/>
                <c:pt idx="0">
                  <c:v>qt(Pseudo 1st order fitted)</c:v>
                </c:pt>
              </c:strCache>
            </c:strRef>
          </c:tx>
          <c:spPr>
            <a:ln w="22225">
              <a:solidFill>
                <a:sysClr val="windowText" lastClr="000000"/>
              </a:solidFill>
              <a:prstDash val="dash"/>
            </a:ln>
          </c:spPr>
          <c:marker>
            <c:symbol val="none"/>
          </c:marker>
          <c:xVal>
            <c:numRef>
              <c:f>'100 ppm'!$R$6:$R$17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'100 ppm'!$V$6:$V$17</c:f>
              <c:numCache>
                <c:formatCode>General</c:formatCode>
                <c:ptCount val="12"/>
                <c:pt idx="0">
                  <c:v>16.299501045624762</c:v>
                </c:pt>
                <c:pt idx="1">
                  <c:v>28.803580320237216</c:v>
                </c:pt>
                <c:pt idx="2">
                  <c:v>38.396021099138352</c:v>
                </c:pt>
                <c:pt idx="3">
                  <c:v>45.754813224164863</c:v>
                </c:pt>
                <c:pt idx="4">
                  <c:v>51.400073152009405</c:v>
                </c:pt>
                <c:pt idx="5">
                  <c:v>55.730805575411338</c:v>
                </c:pt>
                <c:pt idx="6">
                  <c:v>61.601789943107022</c:v>
                </c:pt>
                <c:pt idx="7">
                  <c:v>65.056930668171873</c:v>
                </c:pt>
                <c:pt idx="8">
                  <c:v>67.090320076545865</c:v>
                </c:pt>
                <c:pt idx="9">
                  <c:v>69.649626169607103</c:v>
                </c:pt>
              </c:numCache>
            </c:numRef>
          </c:yVal>
          <c:smooth val="0"/>
          <c:extLst>
            <c:ext xmlns:c16="http://schemas.microsoft.com/office/drawing/2014/chart" uri="{C3380CC4-5D6E-409C-BE32-E72D297353CC}">
              <c16:uniqueId val="{00000004-50CF-4319-941A-EC71A7C674E4}"/>
            </c:ext>
          </c:extLst>
        </c:ser>
        <c:ser>
          <c:idx val="6"/>
          <c:order val="5"/>
          <c:tx>
            <c:strRef>
              <c:f>'100 ppm'!$Z$5</c:f>
              <c:strCache>
                <c:ptCount val="1"/>
                <c:pt idx="0">
                  <c:v>qt(Pseudo 2nd order fitted)</c:v>
                </c:pt>
              </c:strCache>
            </c:strRef>
          </c:tx>
          <c:spPr>
            <a:ln w="22225">
              <a:solidFill>
                <a:sysClr val="windowText" lastClr="000000"/>
              </a:solidFill>
            </a:ln>
          </c:spPr>
          <c:marker>
            <c:symbol val="none"/>
          </c:marker>
          <c:xVal>
            <c:numRef>
              <c:f>'100 ppm'!$R$6:$R$17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'100 ppm'!$Z$6:$Z$17</c:f>
              <c:numCache>
                <c:formatCode>General</c:formatCode>
                <c:ptCount val="12"/>
                <c:pt idx="0">
                  <c:v>18.907892856190681</c:v>
                </c:pt>
                <c:pt idx="1">
                  <c:v>31.009567440754285</c:v>
                </c:pt>
                <c:pt idx="2">
                  <c:v>39.419492156609152</c:v>
                </c:pt>
                <c:pt idx="3">
                  <c:v>45.603410187669979</c:v>
                </c:pt>
                <c:pt idx="4">
                  <c:v>50.341822929689805</c:v>
                </c:pt>
                <c:pt idx="5">
                  <c:v>54.088527654637815</c:v>
                </c:pt>
                <c:pt idx="6">
                  <c:v>59.636618356703039</c:v>
                </c:pt>
                <c:pt idx="7">
                  <c:v>63.547628968840684</c:v>
                </c:pt>
                <c:pt idx="8">
                  <c:v>66.452984021699393</c:v>
                </c:pt>
                <c:pt idx="9">
                  <c:v>73.140888977718689</c:v>
                </c:pt>
              </c:numCache>
            </c:numRef>
          </c:yVal>
          <c:smooth val="0"/>
          <c:extLst>
            <c:ext xmlns:c16="http://schemas.microsoft.com/office/drawing/2014/chart" uri="{C3380CC4-5D6E-409C-BE32-E72D297353CC}">
              <c16:uniqueId val="{00000005-50CF-4319-941A-EC71A7C674E4}"/>
            </c:ext>
          </c:extLst>
        </c:ser>
        <c:ser>
          <c:idx val="8"/>
          <c:order val="6"/>
          <c:tx>
            <c:strRef>
              <c:f>'100 ppm'!$AI$3</c:f>
              <c:strCache>
                <c:ptCount val="1"/>
                <c:pt idx="0">
                  <c:v>Experimental 323K</c:v>
                </c:pt>
              </c:strCache>
            </c:strRef>
          </c:tx>
          <c:spPr>
            <a:ln>
              <a:noFill/>
            </a:ln>
          </c:spPr>
          <c:marker>
            <c:symbol val="circle"/>
            <c:size val="5"/>
            <c:spPr>
              <a:solidFill>
                <a:sysClr val="windowText" lastClr="000000"/>
              </a:solidFill>
              <a:ln>
                <a:noFill/>
              </a:ln>
            </c:spPr>
          </c:marker>
          <c:xVal>
            <c:numRef>
              <c:f>'100 ppm'!$AI$6:$AI$17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'100 ppm'!$AJ$6:$AJ$17</c:f>
              <c:numCache>
                <c:formatCode>General</c:formatCode>
                <c:ptCount val="12"/>
                <c:pt idx="0">
                  <c:v>22</c:v>
                </c:pt>
                <c:pt idx="1">
                  <c:v>28</c:v>
                </c:pt>
                <c:pt idx="2">
                  <c:v>35</c:v>
                </c:pt>
                <c:pt idx="3">
                  <c:v>40</c:v>
                </c:pt>
                <c:pt idx="4">
                  <c:v>46</c:v>
                </c:pt>
                <c:pt idx="5">
                  <c:v>50</c:v>
                </c:pt>
                <c:pt idx="6">
                  <c:v>54</c:v>
                </c:pt>
                <c:pt idx="7">
                  <c:v>60</c:v>
                </c:pt>
                <c:pt idx="8">
                  <c:v>68</c:v>
                </c:pt>
                <c:pt idx="9">
                  <c:v>72</c:v>
                </c:pt>
              </c:numCache>
            </c:numRef>
          </c:yVal>
          <c:smooth val="0"/>
          <c:extLst>
            <c:ext xmlns:c16="http://schemas.microsoft.com/office/drawing/2014/chart" uri="{C3380CC4-5D6E-409C-BE32-E72D297353CC}">
              <c16:uniqueId val="{00000006-50CF-4319-941A-EC71A7C674E4}"/>
            </c:ext>
          </c:extLst>
        </c:ser>
        <c:ser>
          <c:idx val="9"/>
          <c:order val="7"/>
          <c:tx>
            <c:strRef>
              <c:f>'100 ppm'!$AM$5</c:f>
              <c:strCache>
                <c:ptCount val="1"/>
                <c:pt idx="0">
                  <c:v>qt(Pseudo 1st order fitted)</c:v>
                </c:pt>
              </c:strCache>
            </c:strRef>
          </c:tx>
          <c:spPr>
            <a:ln w="22225">
              <a:solidFill>
                <a:sysClr val="windowText" lastClr="000000"/>
              </a:solidFill>
              <a:prstDash val="dash"/>
            </a:ln>
          </c:spPr>
          <c:marker>
            <c:symbol val="none"/>
          </c:marker>
          <c:xVal>
            <c:numRef>
              <c:f>'100 ppm'!$AI$6:$AI$17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'100 ppm'!$AM$6:$AM$17</c:f>
              <c:numCache>
                <c:formatCode>General</c:formatCode>
                <c:ptCount val="12"/>
                <c:pt idx="0">
                  <c:v>13.927855914993268</c:v>
                </c:pt>
                <c:pt idx="1">
                  <c:v>25.092381543613087</c:v>
                </c:pt>
                <c:pt idx="2">
                  <c:v>34.041830279504119</c:v>
                </c:pt>
                <c:pt idx="3">
                  <c:v>41.215680323882822</c:v>
                </c:pt>
                <c:pt idx="4">
                  <c:v>46.966216024795855</c:v>
                </c:pt>
                <c:pt idx="5">
                  <c:v>51.575827410998066</c:v>
                </c:pt>
                <c:pt idx="6">
                  <c:v>58.232817964197189</c:v>
                </c:pt>
                <c:pt idx="7">
                  <c:v>62.510317390870078</c:v>
                </c:pt>
                <c:pt idx="8">
                  <c:v>65.258856869628104</c:v>
                </c:pt>
                <c:pt idx="9">
                  <c:v>69.35749827244058</c:v>
                </c:pt>
              </c:numCache>
            </c:numRef>
          </c:yVal>
          <c:smooth val="0"/>
          <c:extLst>
            <c:ext xmlns:c16="http://schemas.microsoft.com/office/drawing/2014/chart" uri="{C3380CC4-5D6E-409C-BE32-E72D297353CC}">
              <c16:uniqueId val="{00000007-50CF-4319-941A-EC71A7C674E4}"/>
            </c:ext>
          </c:extLst>
        </c:ser>
        <c:ser>
          <c:idx val="10"/>
          <c:order val="8"/>
          <c:tx>
            <c:strRef>
              <c:f>'100 ppm'!$AQ$5</c:f>
              <c:strCache>
                <c:ptCount val="1"/>
                <c:pt idx="0">
                  <c:v>qt(Pseudo 2nd order fitted)</c:v>
                </c:pt>
              </c:strCache>
            </c:strRef>
          </c:tx>
          <c:spPr>
            <a:ln w="22225">
              <a:solidFill>
                <a:sysClr val="windowText" lastClr="000000"/>
              </a:solidFill>
            </a:ln>
          </c:spPr>
          <c:marker>
            <c:symbol val="none"/>
          </c:marker>
          <c:xVal>
            <c:numRef>
              <c:f>'100 ppm'!$AI$6:$AI$17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'100 ppm'!$AQ$6:$AQ$17</c:f>
              <c:numCache>
                <c:formatCode>General</c:formatCode>
                <c:ptCount val="12"/>
                <c:pt idx="0">
                  <c:v>16.341950093989631</c:v>
                </c:pt>
                <c:pt idx="1">
                  <c:v>27.532558276469835</c:v>
                </c:pt>
                <c:pt idx="2">
                  <c:v>35.67592025425509</c:v>
                </c:pt>
                <c:pt idx="3">
                  <c:v>41.867545762539798</c:v>
                </c:pt>
                <c:pt idx="4">
                  <c:v>46.734013222571939</c:v>
                </c:pt>
                <c:pt idx="5">
                  <c:v>50.659621901584849</c:v>
                </c:pt>
                <c:pt idx="6">
                  <c:v>56.602847572979044</c:v>
                </c:pt>
                <c:pt idx="7">
                  <c:v>60.888816947392066</c:v>
                </c:pt>
                <c:pt idx="8">
                  <c:v>64.125893371169155</c:v>
                </c:pt>
                <c:pt idx="9">
                  <c:v>71.755469737002969</c:v>
                </c:pt>
              </c:numCache>
            </c:numRef>
          </c:yVal>
          <c:smooth val="0"/>
          <c:extLst>
            <c:ext xmlns:c16="http://schemas.microsoft.com/office/drawing/2014/chart" uri="{C3380CC4-5D6E-409C-BE32-E72D297353CC}">
              <c16:uniqueId val="{00000008-50CF-4319-941A-EC71A7C674E4}"/>
            </c:ext>
          </c:extLst>
        </c:ser>
        <c:dLbls>
          <c:showLegendKey val="0"/>
          <c:showVal val="0"/>
          <c:showCatName val="0"/>
          <c:showSerName val="0"/>
          <c:showPercent val="0"/>
          <c:showBubbleSize val="0"/>
        </c:dLbls>
        <c:axId val="70932736"/>
        <c:axId val="70947200"/>
      </c:scatterChart>
      <c:valAx>
        <c:axId val="70932736"/>
        <c:scaling>
          <c:orientation val="minMax"/>
        </c:scaling>
        <c:delete val="0"/>
        <c:axPos val="b"/>
        <c:title>
          <c:tx>
            <c:rich>
              <a:bodyPr/>
              <a:lstStyle/>
              <a:p>
                <a:pPr>
                  <a:defRPr/>
                </a:pPr>
                <a:r>
                  <a:rPr lang="en-US"/>
                  <a:t>time</a:t>
                </a:r>
                <a:r>
                  <a:rPr lang="en-US" baseline="0"/>
                  <a:t> [minute]</a:t>
                </a:r>
                <a:endParaRPr lang="en-US"/>
              </a:p>
            </c:rich>
          </c:tx>
          <c:overlay val="0"/>
        </c:title>
        <c:numFmt formatCode="General" sourceLinked="1"/>
        <c:majorTickMark val="out"/>
        <c:minorTickMark val="none"/>
        <c:tickLblPos val="nextTo"/>
        <c:crossAx val="70947200"/>
        <c:crosses val="autoZero"/>
        <c:crossBetween val="midCat"/>
      </c:valAx>
      <c:valAx>
        <c:axId val="70947200"/>
        <c:scaling>
          <c:orientation val="minMax"/>
          <c:min val="5"/>
        </c:scaling>
        <c:delete val="0"/>
        <c:axPos val="l"/>
        <c:title>
          <c:tx>
            <c:rich>
              <a:bodyPr rot="-5400000" vert="horz"/>
              <a:lstStyle/>
              <a:p>
                <a:pPr>
                  <a:defRPr/>
                </a:pPr>
                <a:r>
                  <a:rPr lang="en-US" baseline="0"/>
                  <a:t>qt[mg.g</a:t>
                </a:r>
                <a:r>
                  <a:rPr lang="en-US" baseline="30000"/>
                  <a:t>-1</a:t>
                </a:r>
                <a:r>
                  <a:rPr lang="en-US" baseline="0"/>
                  <a:t>]</a:t>
                </a:r>
                <a:endParaRPr lang="en-US"/>
              </a:p>
            </c:rich>
          </c:tx>
          <c:overlay val="0"/>
        </c:title>
        <c:numFmt formatCode="General" sourceLinked="1"/>
        <c:majorTickMark val="out"/>
        <c:minorTickMark val="none"/>
        <c:tickLblPos val="nextTo"/>
        <c:crossAx val="70932736"/>
        <c:crosses val="autoZero"/>
        <c:crossBetween val="midCat"/>
      </c:valAx>
      <c:spPr>
        <a:noFill/>
        <a:ln w="9525">
          <a:solidFill>
            <a:sysClr val="windowText" lastClr="000000">
              <a:shade val="95000"/>
              <a:satMod val="105000"/>
            </a:sysClr>
          </a:solidFill>
        </a:ln>
      </c:spPr>
    </c:plotArea>
    <c:legend>
      <c:legendPos val="r"/>
      <c:legendEntry>
        <c:idx val="1"/>
        <c:delete val="1"/>
      </c:legendEntry>
      <c:legendEntry>
        <c:idx val="2"/>
        <c:delete val="1"/>
      </c:legendEntry>
      <c:legendEntry>
        <c:idx val="4"/>
        <c:delete val="1"/>
      </c:legendEntry>
      <c:legendEntry>
        <c:idx val="5"/>
        <c:delete val="1"/>
      </c:legendEntry>
      <c:layout>
        <c:manualLayout>
          <c:xMode val="edge"/>
          <c:yMode val="edge"/>
          <c:x val="0.63105784227585537"/>
          <c:y val="0.63120915553571999"/>
          <c:w val="0.31186838159752844"/>
          <c:h val="0.24795599164835627"/>
        </c:manualLayout>
      </c:layout>
      <c:overlay val="0"/>
      <c:spPr>
        <a:ln>
          <a:solidFill>
            <a:sysClr val="windowText" lastClr="000000">
              <a:shade val="95000"/>
              <a:satMod val="105000"/>
            </a:sysClr>
          </a:solidFill>
        </a:ln>
      </c:sp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200 ppm</a:t>
            </a:r>
          </a:p>
        </c:rich>
      </c:tx>
      <c:layout>
        <c:manualLayout>
          <c:xMode val="edge"/>
          <c:yMode val="edge"/>
          <c:x val="0.44448608382699673"/>
          <c:y val="0.10081915563957151"/>
        </c:manualLayout>
      </c:layout>
      <c:overlay val="0"/>
    </c:title>
    <c:autoTitleDeleted val="0"/>
    <c:plotArea>
      <c:layout>
        <c:manualLayout>
          <c:layoutTarget val="inner"/>
          <c:xMode val="edge"/>
          <c:yMode val="edge"/>
          <c:x val="8.1383188500401174E-2"/>
          <c:y val="0.10605559938278036"/>
          <c:w val="0.87321934998381479"/>
          <c:h val="0.77735538256205683"/>
        </c:manualLayout>
      </c:layout>
      <c:scatterChart>
        <c:scatterStyle val="lineMarker"/>
        <c:varyColors val="0"/>
        <c:ser>
          <c:idx val="0"/>
          <c:order val="0"/>
          <c:tx>
            <c:strRef>
              <c:f>'200 ppm'!$A$3</c:f>
              <c:strCache>
                <c:ptCount val="1"/>
                <c:pt idx="0">
                  <c:v>Experimental 303K</c:v>
                </c:pt>
              </c:strCache>
            </c:strRef>
          </c:tx>
          <c:spPr>
            <a:ln>
              <a:noFill/>
            </a:ln>
          </c:spPr>
          <c:marker>
            <c:symbol val="diamond"/>
            <c:size val="5"/>
            <c:spPr>
              <a:solidFill>
                <a:sysClr val="windowText" lastClr="000000"/>
              </a:solidFill>
              <a:ln>
                <a:noFill/>
              </a:ln>
            </c:spPr>
          </c:marker>
          <c:xVal>
            <c:numRef>
              <c:f>'200 ppm'!$A$6:$A$17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'200 ppm'!$B$6:$B$17</c:f>
              <c:numCache>
                <c:formatCode>General</c:formatCode>
                <c:ptCount val="12"/>
                <c:pt idx="0">
                  <c:v>29</c:v>
                </c:pt>
                <c:pt idx="1">
                  <c:v>35</c:v>
                </c:pt>
                <c:pt idx="2">
                  <c:v>42</c:v>
                </c:pt>
                <c:pt idx="3">
                  <c:v>50</c:v>
                </c:pt>
                <c:pt idx="4">
                  <c:v>58</c:v>
                </c:pt>
                <c:pt idx="5">
                  <c:v>75</c:v>
                </c:pt>
                <c:pt idx="6">
                  <c:v>81</c:v>
                </c:pt>
                <c:pt idx="7">
                  <c:v>89</c:v>
                </c:pt>
                <c:pt idx="8">
                  <c:v>95</c:v>
                </c:pt>
                <c:pt idx="9">
                  <c:v>111</c:v>
                </c:pt>
              </c:numCache>
            </c:numRef>
          </c:yVal>
          <c:smooth val="0"/>
          <c:extLst>
            <c:ext xmlns:c16="http://schemas.microsoft.com/office/drawing/2014/chart" uri="{C3380CC4-5D6E-409C-BE32-E72D297353CC}">
              <c16:uniqueId val="{00000000-F18A-4B80-83F7-CDF7ED1EB87E}"/>
            </c:ext>
          </c:extLst>
        </c:ser>
        <c:ser>
          <c:idx val="1"/>
          <c:order val="1"/>
          <c:tx>
            <c:strRef>
              <c:f>'200 ppm'!$E$5</c:f>
              <c:strCache>
                <c:ptCount val="1"/>
                <c:pt idx="0">
                  <c:v>qt(Pseudo 1st order fitted)</c:v>
                </c:pt>
              </c:strCache>
            </c:strRef>
          </c:tx>
          <c:spPr>
            <a:ln w="22225">
              <a:solidFill>
                <a:sysClr val="windowText" lastClr="000000"/>
              </a:solidFill>
              <a:prstDash val="dash"/>
            </a:ln>
          </c:spPr>
          <c:marker>
            <c:symbol val="none"/>
          </c:marker>
          <c:xVal>
            <c:numRef>
              <c:f>'200 ppm'!$A$6:$A$17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'200 ppm'!$E$6:$E$17</c:f>
              <c:numCache>
                <c:formatCode>General</c:formatCode>
                <c:ptCount val="12"/>
                <c:pt idx="0">
                  <c:v>16.857413568129456</c:v>
                </c:pt>
                <c:pt idx="1">
                  <c:v>31.199222219676969</c:v>
                </c:pt>
                <c:pt idx="2">
                  <c:v>43.400825660579358</c:v>
                </c:pt>
                <c:pt idx="3">
                  <c:v>53.781603297922665</c:v>
                </c:pt>
                <c:pt idx="4">
                  <c:v>62.613274059712069</c:v>
                </c:pt>
                <c:pt idx="5">
                  <c:v>70.127008692082825</c:v>
                </c:pt>
                <c:pt idx="6">
                  <c:v>81.958014314285123</c:v>
                </c:pt>
                <c:pt idx="7">
                  <c:v>90.52144181315839</c:v>
                </c:pt>
                <c:pt idx="8">
                  <c:v>96.71975604528437</c:v>
                </c:pt>
                <c:pt idx="9">
                  <c:v>108.50523439466693</c:v>
                </c:pt>
              </c:numCache>
            </c:numRef>
          </c:yVal>
          <c:smooth val="0"/>
          <c:extLst>
            <c:ext xmlns:c16="http://schemas.microsoft.com/office/drawing/2014/chart" uri="{C3380CC4-5D6E-409C-BE32-E72D297353CC}">
              <c16:uniqueId val="{00000001-F18A-4B80-83F7-CDF7ED1EB87E}"/>
            </c:ext>
          </c:extLst>
        </c:ser>
        <c:ser>
          <c:idx val="2"/>
          <c:order val="2"/>
          <c:tx>
            <c:strRef>
              <c:f>'200 ppm'!$I$5</c:f>
              <c:strCache>
                <c:ptCount val="1"/>
                <c:pt idx="0">
                  <c:v>qt(Pseudo 2nd order fitted)</c:v>
                </c:pt>
              </c:strCache>
            </c:strRef>
          </c:tx>
          <c:spPr>
            <a:ln w="22225">
              <a:solidFill>
                <a:sysClr val="windowText" lastClr="000000"/>
              </a:solidFill>
            </a:ln>
          </c:spPr>
          <c:marker>
            <c:symbol val="none"/>
          </c:marker>
          <c:xVal>
            <c:numRef>
              <c:f>'200 ppm'!$A$6:$A$17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'200 ppm'!$I$6:$I$17</c:f>
              <c:numCache>
                <c:formatCode>General</c:formatCode>
                <c:ptCount val="12"/>
                <c:pt idx="0">
                  <c:v>18.947081541178161</c:v>
                </c:pt>
                <c:pt idx="1">
                  <c:v>33.627337763799574</c:v>
                </c:pt>
                <c:pt idx="2">
                  <c:v>45.33621730341018</c:v>
                </c:pt>
                <c:pt idx="3">
                  <c:v>54.892949685137673</c:v>
                </c:pt>
                <c:pt idx="4">
                  <c:v>62.840955445557583</c:v>
                </c:pt>
                <c:pt idx="5">
                  <c:v>69.554905577816911</c:v>
                </c:pt>
                <c:pt idx="6">
                  <c:v>80.275770592644761</c:v>
                </c:pt>
                <c:pt idx="7">
                  <c:v>88.456313952284887</c:v>
                </c:pt>
                <c:pt idx="8">
                  <c:v>94.903793625732618</c:v>
                </c:pt>
                <c:pt idx="9">
                  <c:v>111.09964621547289</c:v>
                </c:pt>
              </c:numCache>
            </c:numRef>
          </c:yVal>
          <c:smooth val="0"/>
          <c:extLst>
            <c:ext xmlns:c16="http://schemas.microsoft.com/office/drawing/2014/chart" uri="{C3380CC4-5D6E-409C-BE32-E72D297353CC}">
              <c16:uniqueId val="{00000002-F18A-4B80-83F7-CDF7ED1EB87E}"/>
            </c:ext>
          </c:extLst>
        </c:ser>
        <c:ser>
          <c:idx val="4"/>
          <c:order val="3"/>
          <c:tx>
            <c:strRef>
              <c:f>'200 ppm'!$R$3</c:f>
              <c:strCache>
                <c:ptCount val="1"/>
                <c:pt idx="0">
                  <c:v>Experimental 313K</c:v>
                </c:pt>
              </c:strCache>
            </c:strRef>
          </c:tx>
          <c:spPr>
            <a:ln>
              <a:noFill/>
            </a:ln>
          </c:spPr>
          <c:marker>
            <c:symbol val="square"/>
            <c:size val="5"/>
            <c:spPr>
              <a:solidFill>
                <a:sysClr val="windowText" lastClr="000000"/>
              </a:solidFill>
              <a:ln>
                <a:noFill/>
              </a:ln>
            </c:spPr>
          </c:marker>
          <c:xVal>
            <c:numRef>
              <c:f>'200 ppm'!$R$6:$R$17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'200 ppm'!$S$6:$S$17</c:f>
              <c:numCache>
                <c:formatCode>General</c:formatCode>
                <c:ptCount val="12"/>
                <c:pt idx="0">
                  <c:v>39</c:v>
                </c:pt>
                <c:pt idx="1">
                  <c:v>45</c:v>
                </c:pt>
                <c:pt idx="2">
                  <c:v>58</c:v>
                </c:pt>
                <c:pt idx="3">
                  <c:v>65</c:v>
                </c:pt>
                <c:pt idx="4">
                  <c:v>74</c:v>
                </c:pt>
                <c:pt idx="5">
                  <c:v>85</c:v>
                </c:pt>
                <c:pt idx="6">
                  <c:v>91</c:v>
                </c:pt>
                <c:pt idx="7">
                  <c:v>105</c:v>
                </c:pt>
                <c:pt idx="8">
                  <c:v>114</c:v>
                </c:pt>
                <c:pt idx="9">
                  <c:v>121</c:v>
                </c:pt>
              </c:numCache>
            </c:numRef>
          </c:yVal>
          <c:smooth val="0"/>
          <c:extLst>
            <c:ext xmlns:c16="http://schemas.microsoft.com/office/drawing/2014/chart" uri="{C3380CC4-5D6E-409C-BE32-E72D297353CC}">
              <c16:uniqueId val="{00000003-F18A-4B80-83F7-CDF7ED1EB87E}"/>
            </c:ext>
          </c:extLst>
        </c:ser>
        <c:ser>
          <c:idx val="5"/>
          <c:order val="4"/>
          <c:tx>
            <c:strRef>
              <c:f>'200 ppm'!$V$5</c:f>
              <c:strCache>
                <c:ptCount val="1"/>
                <c:pt idx="0">
                  <c:v>qt(Pseudo 1st order fitted)</c:v>
                </c:pt>
              </c:strCache>
            </c:strRef>
          </c:tx>
          <c:spPr>
            <a:ln w="22225">
              <a:solidFill>
                <a:sysClr val="windowText" lastClr="000000"/>
              </a:solidFill>
              <a:prstDash val="dash"/>
            </a:ln>
          </c:spPr>
          <c:marker>
            <c:symbol val="none"/>
          </c:marker>
          <c:xVal>
            <c:numRef>
              <c:f>'200 ppm'!$R$6:$R$17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'200 ppm'!$V$6:$V$17</c:f>
              <c:numCache>
                <c:formatCode>General</c:formatCode>
                <c:ptCount val="12"/>
                <c:pt idx="0">
                  <c:v>22.773337975663924</c:v>
                </c:pt>
                <c:pt idx="1">
                  <c:v>41.227212296732866</c:v>
                </c:pt>
                <c:pt idx="2">
                  <c:v>56.180904101672589</c:v>
                </c:pt>
                <c:pt idx="3">
                  <c:v>68.298299869444804</c:v>
                </c:pt>
                <c:pt idx="4">
                  <c:v>78.117365429183067</c:v>
                </c:pt>
                <c:pt idx="5">
                  <c:v>86.074029576677844</c:v>
                </c:pt>
                <c:pt idx="6">
                  <c:v>97.746134207712942</c:v>
                </c:pt>
                <c:pt idx="7">
                  <c:v>105.41040615388205</c:v>
                </c:pt>
                <c:pt idx="8">
                  <c:v>110.4430087839722</c:v>
                </c:pt>
                <c:pt idx="9">
                  <c:v>118.27784631526636</c:v>
                </c:pt>
              </c:numCache>
            </c:numRef>
          </c:yVal>
          <c:smooth val="0"/>
          <c:extLst>
            <c:ext xmlns:c16="http://schemas.microsoft.com/office/drawing/2014/chart" uri="{C3380CC4-5D6E-409C-BE32-E72D297353CC}">
              <c16:uniqueId val="{00000004-F18A-4B80-83F7-CDF7ED1EB87E}"/>
            </c:ext>
          </c:extLst>
        </c:ser>
        <c:ser>
          <c:idx val="6"/>
          <c:order val="5"/>
          <c:tx>
            <c:strRef>
              <c:f>'200 ppm'!$Z$5</c:f>
              <c:strCache>
                <c:ptCount val="1"/>
                <c:pt idx="0">
                  <c:v>qt(Pseudo 2nd order fitted)</c:v>
                </c:pt>
              </c:strCache>
            </c:strRef>
          </c:tx>
          <c:spPr>
            <a:ln w="22225">
              <a:solidFill>
                <a:sysClr val="windowText" lastClr="000000"/>
              </a:solidFill>
            </a:ln>
          </c:spPr>
          <c:marker>
            <c:symbol val="none"/>
          </c:marker>
          <c:xVal>
            <c:numRef>
              <c:f>'200 ppm'!$R$6:$R$17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'200 ppm'!$Z$6:$Z$17</c:f>
              <c:numCache>
                <c:formatCode>General</c:formatCode>
                <c:ptCount val="12"/>
                <c:pt idx="0">
                  <c:v>26.632533923933853</c:v>
                </c:pt>
                <c:pt idx="1">
                  <c:v>45.247048465685836</c:v>
                </c:pt>
                <c:pt idx="2">
                  <c:v>58.990674638991216</c:v>
                </c:pt>
                <c:pt idx="3">
                  <c:v>69.554072777681782</c:v>
                </c:pt>
                <c:pt idx="4">
                  <c:v>77.926615033602928</c:v>
                </c:pt>
                <c:pt idx="5">
                  <c:v>84.725839930714841</c:v>
                </c:pt>
                <c:pt idx="6">
                  <c:v>95.097618837317029</c:v>
                </c:pt>
                <c:pt idx="7">
                  <c:v>102.63619189371434</c:v>
                </c:pt>
                <c:pt idx="8">
                  <c:v>108.36295315180881</c:v>
                </c:pt>
                <c:pt idx="9">
                  <c:v>121.97450381508519</c:v>
                </c:pt>
              </c:numCache>
            </c:numRef>
          </c:yVal>
          <c:smooth val="0"/>
          <c:extLst>
            <c:ext xmlns:c16="http://schemas.microsoft.com/office/drawing/2014/chart" uri="{C3380CC4-5D6E-409C-BE32-E72D297353CC}">
              <c16:uniqueId val="{00000005-F18A-4B80-83F7-CDF7ED1EB87E}"/>
            </c:ext>
          </c:extLst>
        </c:ser>
        <c:ser>
          <c:idx val="8"/>
          <c:order val="6"/>
          <c:tx>
            <c:strRef>
              <c:f>'200 ppm'!$AI$3</c:f>
              <c:strCache>
                <c:ptCount val="1"/>
                <c:pt idx="0">
                  <c:v>Experimental 323K</c:v>
                </c:pt>
              </c:strCache>
            </c:strRef>
          </c:tx>
          <c:spPr>
            <a:ln>
              <a:noFill/>
            </a:ln>
          </c:spPr>
          <c:marker>
            <c:symbol val="circle"/>
            <c:size val="5"/>
            <c:spPr>
              <a:solidFill>
                <a:sysClr val="windowText" lastClr="000000"/>
              </a:solidFill>
              <a:ln>
                <a:noFill/>
              </a:ln>
            </c:spPr>
          </c:marker>
          <c:xVal>
            <c:numRef>
              <c:f>'200 ppm'!$AI$6:$AI$17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'200 ppm'!$AJ$6:$AJ$17</c:f>
              <c:numCache>
                <c:formatCode>General</c:formatCode>
                <c:ptCount val="12"/>
                <c:pt idx="0">
                  <c:v>38</c:v>
                </c:pt>
                <c:pt idx="1">
                  <c:v>48</c:v>
                </c:pt>
                <c:pt idx="2">
                  <c:v>54</c:v>
                </c:pt>
                <c:pt idx="3">
                  <c:v>68</c:v>
                </c:pt>
                <c:pt idx="4">
                  <c:v>80</c:v>
                </c:pt>
                <c:pt idx="5">
                  <c:v>94</c:v>
                </c:pt>
                <c:pt idx="6">
                  <c:v>109</c:v>
                </c:pt>
                <c:pt idx="7">
                  <c:v>117</c:v>
                </c:pt>
                <c:pt idx="8">
                  <c:v>121</c:v>
                </c:pt>
                <c:pt idx="9">
                  <c:v>130</c:v>
                </c:pt>
              </c:numCache>
            </c:numRef>
          </c:yVal>
          <c:smooth val="0"/>
          <c:extLst>
            <c:ext xmlns:c16="http://schemas.microsoft.com/office/drawing/2014/chart" uri="{C3380CC4-5D6E-409C-BE32-E72D297353CC}">
              <c16:uniqueId val="{00000006-F18A-4B80-83F7-CDF7ED1EB87E}"/>
            </c:ext>
          </c:extLst>
        </c:ser>
        <c:ser>
          <c:idx val="9"/>
          <c:order val="7"/>
          <c:tx>
            <c:strRef>
              <c:f>'200 ppm'!$AM$5</c:f>
              <c:strCache>
                <c:ptCount val="1"/>
                <c:pt idx="0">
                  <c:v>qt(Pseudo 1st order fitted)</c:v>
                </c:pt>
              </c:strCache>
            </c:strRef>
          </c:tx>
          <c:spPr>
            <a:ln w="22225">
              <a:solidFill>
                <a:sysClr val="windowText" lastClr="000000"/>
              </a:solidFill>
              <a:prstDash val="dash"/>
            </a:ln>
          </c:spPr>
          <c:marker>
            <c:symbol val="none"/>
          </c:marker>
          <c:xVal>
            <c:numRef>
              <c:f>'200 ppm'!$AI$6:$AI$17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'200 ppm'!$AM$6:$AM$17</c:f>
              <c:numCache>
                <c:formatCode>General</c:formatCode>
                <c:ptCount val="12"/>
                <c:pt idx="0">
                  <c:v>24.041066265613789</c:v>
                </c:pt>
                <c:pt idx="1">
                  <c:v>43.744345736616012</c:v>
                </c:pt>
                <c:pt idx="2">
                  <c:v>59.892515606589356</c:v>
                </c:pt>
                <c:pt idx="3">
                  <c:v>73.12703276061373</c:v>
                </c:pt>
                <c:pt idx="4">
                  <c:v>83.973614491578289</c:v>
                </c:pt>
                <c:pt idx="5">
                  <c:v>92.863121670215307</c:v>
                </c:pt>
                <c:pt idx="6">
                  <c:v>106.1196766316309</c:v>
                </c:pt>
                <c:pt idx="7">
                  <c:v>115.0239864090122</c:v>
                </c:pt>
                <c:pt idx="8">
                  <c:v>121.00493189917459</c:v>
                </c:pt>
                <c:pt idx="9">
                  <c:v>130.75064047570302</c:v>
                </c:pt>
              </c:numCache>
            </c:numRef>
          </c:yVal>
          <c:smooth val="0"/>
          <c:extLst>
            <c:ext xmlns:c16="http://schemas.microsoft.com/office/drawing/2014/chart" uri="{C3380CC4-5D6E-409C-BE32-E72D297353CC}">
              <c16:uniqueId val="{00000007-F18A-4B80-83F7-CDF7ED1EB87E}"/>
            </c:ext>
          </c:extLst>
        </c:ser>
        <c:ser>
          <c:idx val="10"/>
          <c:order val="8"/>
          <c:tx>
            <c:strRef>
              <c:f>'200 ppm'!$AQ$5</c:f>
              <c:strCache>
                <c:ptCount val="1"/>
                <c:pt idx="0">
                  <c:v>qt(Pseudo 2nd order fitted)</c:v>
                </c:pt>
              </c:strCache>
            </c:strRef>
          </c:tx>
          <c:spPr>
            <a:ln w="22225">
              <a:solidFill>
                <a:sysClr val="windowText" lastClr="000000"/>
              </a:solidFill>
            </a:ln>
          </c:spPr>
          <c:marker>
            <c:symbol val="none"/>
          </c:marker>
          <c:xVal>
            <c:numRef>
              <c:f>'200 ppm'!$AI$6:$AI$17</c:f>
              <c:numCache>
                <c:formatCode>General</c:formatCode>
                <c:ptCount val="12"/>
                <c:pt idx="0">
                  <c:v>5</c:v>
                </c:pt>
                <c:pt idx="1">
                  <c:v>10</c:v>
                </c:pt>
                <c:pt idx="2">
                  <c:v>15</c:v>
                </c:pt>
                <c:pt idx="3">
                  <c:v>20</c:v>
                </c:pt>
                <c:pt idx="4">
                  <c:v>25</c:v>
                </c:pt>
                <c:pt idx="5">
                  <c:v>30</c:v>
                </c:pt>
                <c:pt idx="6">
                  <c:v>40</c:v>
                </c:pt>
                <c:pt idx="7">
                  <c:v>50</c:v>
                </c:pt>
                <c:pt idx="8">
                  <c:v>60</c:v>
                </c:pt>
                <c:pt idx="9">
                  <c:v>100</c:v>
                </c:pt>
              </c:numCache>
            </c:numRef>
          </c:xVal>
          <c:yVal>
            <c:numRef>
              <c:f>'200 ppm'!$AQ$6:$AQ$17</c:f>
              <c:numCache>
                <c:formatCode>General</c:formatCode>
                <c:ptCount val="12"/>
                <c:pt idx="0">
                  <c:v>27.475486653940663</c:v>
                </c:pt>
                <c:pt idx="1">
                  <c:v>47.321296081379103</c:v>
                </c:pt>
                <c:pt idx="2">
                  <c:v>62.3280020818937</c:v>
                </c:pt>
                <c:pt idx="3">
                  <c:v>74.07318441008249</c:v>
                </c:pt>
                <c:pt idx="4">
                  <c:v>83.515901568979032</c:v>
                </c:pt>
                <c:pt idx="5">
                  <c:v>91.272760486745355</c:v>
                </c:pt>
                <c:pt idx="6">
                  <c:v>103.26123882079527</c:v>
                </c:pt>
                <c:pt idx="7">
                  <c:v>112.09532491808544</c:v>
                </c:pt>
                <c:pt idx="8">
                  <c:v>118.87524314470494</c:v>
                </c:pt>
                <c:pt idx="9">
                  <c:v>135.23410917860389</c:v>
                </c:pt>
              </c:numCache>
            </c:numRef>
          </c:yVal>
          <c:smooth val="0"/>
          <c:extLst>
            <c:ext xmlns:c16="http://schemas.microsoft.com/office/drawing/2014/chart" uri="{C3380CC4-5D6E-409C-BE32-E72D297353CC}">
              <c16:uniqueId val="{00000008-F18A-4B80-83F7-CDF7ED1EB87E}"/>
            </c:ext>
          </c:extLst>
        </c:ser>
        <c:dLbls>
          <c:showLegendKey val="0"/>
          <c:showVal val="0"/>
          <c:showCatName val="0"/>
          <c:showSerName val="0"/>
          <c:showPercent val="0"/>
          <c:showBubbleSize val="0"/>
        </c:dLbls>
        <c:axId val="70971776"/>
        <c:axId val="70973696"/>
      </c:scatterChart>
      <c:valAx>
        <c:axId val="70971776"/>
        <c:scaling>
          <c:orientation val="minMax"/>
        </c:scaling>
        <c:delete val="0"/>
        <c:axPos val="b"/>
        <c:title>
          <c:tx>
            <c:rich>
              <a:bodyPr/>
              <a:lstStyle/>
              <a:p>
                <a:pPr>
                  <a:defRPr/>
                </a:pPr>
                <a:r>
                  <a:rPr lang="en-US"/>
                  <a:t>time</a:t>
                </a:r>
                <a:r>
                  <a:rPr lang="en-US" baseline="0"/>
                  <a:t> [minute]</a:t>
                </a:r>
                <a:endParaRPr lang="en-US"/>
              </a:p>
            </c:rich>
          </c:tx>
          <c:overlay val="0"/>
        </c:title>
        <c:numFmt formatCode="General" sourceLinked="1"/>
        <c:majorTickMark val="out"/>
        <c:minorTickMark val="none"/>
        <c:tickLblPos val="nextTo"/>
        <c:crossAx val="70973696"/>
        <c:crosses val="autoZero"/>
        <c:crossBetween val="midCat"/>
      </c:valAx>
      <c:valAx>
        <c:axId val="70973696"/>
        <c:scaling>
          <c:orientation val="minMax"/>
          <c:min val="5"/>
        </c:scaling>
        <c:delete val="0"/>
        <c:axPos val="l"/>
        <c:title>
          <c:tx>
            <c:rich>
              <a:bodyPr rot="-5400000" vert="horz"/>
              <a:lstStyle/>
              <a:p>
                <a:pPr>
                  <a:defRPr/>
                </a:pPr>
                <a:r>
                  <a:rPr lang="en-US"/>
                  <a:t>qt</a:t>
                </a:r>
                <a:r>
                  <a:rPr lang="en-US" baseline="0"/>
                  <a:t> [mg.g</a:t>
                </a:r>
                <a:r>
                  <a:rPr lang="en-US" baseline="30000"/>
                  <a:t>-1</a:t>
                </a:r>
                <a:r>
                  <a:rPr lang="en-US" baseline="0"/>
                  <a:t>]</a:t>
                </a:r>
                <a:endParaRPr lang="en-US"/>
              </a:p>
            </c:rich>
          </c:tx>
          <c:overlay val="0"/>
        </c:title>
        <c:numFmt formatCode="General" sourceLinked="1"/>
        <c:majorTickMark val="out"/>
        <c:minorTickMark val="none"/>
        <c:tickLblPos val="nextTo"/>
        <c:crossAx val="70971776"/>
        <c:crosses val="autoZero"/>
        <c:crossBetween val="midCat"/>
      </c:valAx>
      <c:spPr>
        <a:noFill/>
        <a:ln w="9525">
          <a:solidFill>
            <a:sysClr val="windowText" lastClr="000000"/>
          </a:solidFill>
        </a:ln>
      </c:spPr>
    </c:plotArea>
    <c:legend>
      <c:legendPos val="r"/>
      <c:legendEntry>
        <c:idx val="1"/>
        <c:delete val="1"/>
      </c:legendEntry>
      <c:legendEntry>
        <c:idx val="2"/>
        <c:delete val="1"/>
      </c:legendEntry>
      <c:legendEntry>
        <c:idx val="4"/>
        <c:delete val="1"/>
      </c:legendEntry>
      <c:legendEntry>
        <c:idx val="5"/>
        <c:delete val="1"/>
      </c:legendEntry>
      <c:layout>
        <c:manualLayout>
          <c:xMode val="edge"/>
          <c:yMode val="edge"/>
          <c:x val="0.62326571965477084"/>
          <c:y val="0.57043558939828354"/>
          <c:w val="0.31573029078786402"/>
          <c:h val="0.29584279900883553"/>
        </c:manualLayout>
      </c:layout>
      <c:overlay val="0"/>
      <c:spPr>
        <a:ln>
          <a:solidFill>
            <a:sysClr val="windowText" lastClr="000000"/>
          </a:solidFill>
        </a:ln>
      </c:sp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a:t>
            </a:r>
          </a:p>
        </c:rich>
      </c:tx>
      <c:layout>
        <c:manualLayout>
          <c:xMode val="edge"/>
          <c:yMode val="edge"/>
          <c:x val="0.22228848301360532"/>
          <c:y val="0.7137476687239257"/>
        </c:manualLayout>
      </c:layout>
      <c:overlay val="1"/>
    </c:title>
    <c:autoTitleDeleted val="0"/>
    <c:plotArea>
      <c:layout>
        <c:manualLayout>
          <c:layoutTarget val="inner"/>
          <c:xMode val="edge"/>
          <c:yMode val="edge"/>
          <c:x val="0.19162861916923266"/>
          <c:y val="3.733507596521056E-2"/>
          <c:w val="0.74399983908684764"/>
          <c:h val="0.91024281281777908"/>
        </c:manualLayout>
      </c:layout>
      <c:scatterChart>
        <c:scatterStyle val="lineMarker"/>
        <c:varyColors val="0"/>
        <c:ser>
          <c:idx val="0"/>
          <c:order val="0"/>
          <c:spPr>
            <a:ln w="15875">
              <a:solidFill>
                <a:sysClr val="windowText" lastClr="000000"/>
              </a:solidFill>
            </a:ln>
          </c:spPr>
          <c:marker>
            <c:symbol val="x"/>
            <c:size val="5"/>
            <c:spPr>
              <a:solidFill>
                <a:schemeClr val="tx1"/>
              </a:solidFill>
              <a:ln>
                <a:noFill/>
              </a:ln>
            </c:spPr>
          </c:marker>
          <c:xVal>
            <c:numRef>
              <c:f>Diffusion!$A$3:$A$15</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Diffusion!$D$3:$D$15</c:f>
              <c:numCache>
                <c:formatCode>General</c:formatCode>
                <c:ptCount val="13"/>
                <c:pt idx="0">
                  <c:v>-3.1167924515813877E-2</c:v>
                </c:pt>
                <c:pt idx="1">
                  <c:v>-7.3563487615238399E-2</c:v>
                </c:pt>
                <c:pt idx="2">
                  <c:v>-9.6985209005457221E-2</c:v>
                </c:pt>
                <c:pt idx="3">
                  <c:v>-0.14086669456737697</c:v>
                </c:pt>
                <c:pt idx="4">
                  <c:v>-0.17729596019405192</c:v>
                </c:pt>
                <c:pt idx="5">
                  <c:v>-0.22104746805712838</c:v>
                </c:pt>
                <c:pt idx="6">
                  <c:v>-0.27420597320210827</c:v>
                </c:pt>
                <c:pt idx="7">
                  <c:v>-0.34002325769175157</c:v>
                </c:pt>
                <c:pt idx="8">
                  <c:v>-0.53631790283571967</c:v>
                </c:pt>
                <c:pt idx="9">
                  <c:v>-0.70017470547438954</c:v>
                </c:pt>
              </c:numCache>
            </c:numRef>
          </c:yVal>
          <c:smooth val="0"/>
          <c:extLst>
            <c:ext xmlns:c16="http://schemas.microsoft.com/office/drawing/2014/chart" uri="{C3380CC4-5D6E-409C-BE32-E72D297353CC}">
              <c16:uniqueId val="{00000000-5F15-4C70-9803-14CD4C1B29D7}"/>
            </c:ext>
          </c:extLst>
        </c:ser>
        <c:ser>
          <c:idx val="1"/>
          <c:order val="1"/>
          <c:spPr>
            <a:ln w="15875">
              <a:solidFill>
                <a:sysClr val="windowText" lastClr="000000"/>
              </a:solidFill>
              <a:prstDash val="lgDash"/>
            </a:ln>
          </c:spPr>
          <c:marker>
            <c:symbol val="triangle"/>
            <c:size val="5"/>
            <c:spPr>
              <a:solidFill>
                <a:sysClr val="windowText" lastClr="000000"/>
              </a:solidFill>
              <a:ln>
                <a:noFill/>
              </a:ln>
            </c:spPr>
          </c:marker>
          <c:xVal>
            <c:numRef>
              <c:f>Diffusion!$A$3:$A$15</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Diffusion!$J$3:$J$12</c:f>
              <c:numCache>
                <c:formatCode>General</c:formatCode>
                <c:ptCount val="10"/>
                <c:pt idx="0">
                  <c:v>-4.0958607678906384E-2</c:v>
                </c:pt>
                <c:pt idx="1">
                  <c:v>-6.581728448964333E-2</c:v>
                </c:pt>
                <c:pt idx="2">
                  <c:v>-9.8269308270781272E-2</c:v>
                </c:pt>
                <c:pt idx="3">
                  <c:v>-0.12493873660829995</c:v>
                </c:pt>
                <c:pt idx="4">
                  <c:v>-0.15645578805436483</c:v>
                </c:pt>
                <c:pt idx="5">
                  <c:v>-0.21511536695738798</c:v>
                </c:pt>
                <c:pt idx="6">
                  <c:v>-0.29242982390206362</c:v>
                </c:pt>
                <c:pt idx="7">
                  <c:v>-0.35902194264166792</c:v>
                </c:pt>
                <c:pt idx="8">
                  <c:v>-0.49569908252121192</c:v>
                </c:pt>
                <c:pt idx="9">
                  <c:v>-0.63008871492820595</c:v>
                </c:pt>
              </c:numCache>
            </c:numRef>
          </c:yVal>
          <c:smooth val="0"/>
          <c:extLst>
            <c:ext xmlns:c16="http://schemas.microsoft.com/office/drawing/2014/chart" uri="{C3380CC4-5D6E-409C-BE32-E72D297353CC}">
              <c16:uniqueId val="{00000001-5F15-4C70-9803-14CD4C1B29D7}"/>
            </c:ext>
          </c:extLst>
        </c:ser>
        <c:ser>
          <c:idx val="2"/>
          <c:order val="2"/>
          <c:spPr>
            <a:ln w="15875">
              <a:solidFill>
                <a:sysClr val="windowText" lastClr="000000">
                  <a:shade val="95000"/>
                  <a:satMod val="105000"/>
                </a:sysClr>
              </a:solidFill>
              <a:prstDash val="sysDash"/>
            </a:ln>
          </c:spPr>
          <c:marker>
            <c:symbol val="circle"/>
            <c:size val="5"/>
            <c:spPr>
              <a:solidFill>
                <a:sysClr val="windowText" lastClr="000000"/>
              </a:solidFill>
              <a:ln>
                <a:noFill/>
              </a:ln>
            </c:spPr>
          </c:marker>
          <c:xVal>
            <c:numRef>
              <c:f>Diffusion!$A$3:$A$15</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Diffusion!$P$3:$P$12</c:f>
              <c:numCache>
                <c:formatCode>General</c:formatCode>
                <c:ptCount val="10"/>
                <c:pt idx="0">
                  <c:v>-5.9259960964322206E-2</c:v>
                </c:pt>
                <c:pt idx="1">
                  <c:v>-0.11168421047534079</c:v>
                </c:pt>
                <c:pt idx="2">
                  <c:v>-0.18997485671670059</c:v>
                </c:pt>
                <c:pt idx="3">
                  <c:v>-0.20986968543363985</c:v>
                </c:pt>
                <c:pt idx="4">
                  <c:v>-0.25527250510330607</c:v>
                </c:pt>
                <c:pt idx="5">
                  <c:v>-0.34178303551712003</c:v>
                </c:pt>
                <c:pt idx="6">
                  <c:v>-0.46259500152306599</c:v>
                </c:pt>
                <c:pt idx="7">
                  <c:v>-0.57625272772167679</c:v>
                </c:pt>
                <c:pt idx="8">
                  <c:v>-0.74134860247589507</c:v>
                </c:pt>
                <c:pt idx="9">
                  <c:v>-1.0316547327481027</c:v>
                </c:pt>
              </c:numCache>
            </c:numRef>
          </c:yVal>
          <c:smooth val="0"/>
          <c:extLst>
            <c:ext xmlns:c16="http://schemas.microsoft.com/office/drawing/2014/chart" uri="{C3380CC4-5D6E-409C-BE32-E72D297353CC}">
              <c16:uniqueId val="{00000002-5F15-4C70-9803-14CD4C1B29D7}"/>
            </c:ext>
          </c:extLst>
        </c:ser>
        <c:dLbls>
          <c:showLegendKey val="0"/>
          <c:showVal val="0"/>
          <c:showCatName val="0"/>
          <c:showSerName val="0"/>
          <c:showPercent val="0"/>
          <c:showBubbleSize val="0"/>
        </c:dLbls>
        <c:axId val="71625344"/>
        <c:axId val="73282688"/>
      </c:scatterChart>
      <c:valAx>
        <c:axId val="71625344"/>
        <c:scaling>
          <c:orientation val="minMax"/>
        </c:scaling>
        <c:delete val="0"/>
        <c:axPos val="b"/>
        <c:title>
          <c:tx>
            <c:rich>
              <a:bodyPr/>
              <a:lstStyle/>
              <a:p>
                <a:pPr>
                  <a:defRPr/>
                </a:pPr>
                <a:r>
                  <a:rPr lang="en-US" i="1"/>
                  <a:t>t</a:t>
                </a:r>
                <a:r>
                  <a:rPr lang="en-US"/>
                  <a:t> [minute]</a:t>
                </a:r>
              </a:p>
            </c:rich>
          </c:tx>
          <c:layout>
            <c:manualLayout>
              <c:xMode val="edge"/>
              <c:yMode val="edge"/>
              <c:x val="0.36014368113633838"/>
              <c:y val="0.91005064857146856"/>
            </c:manualLayout>
          </c:layout>
          <c:overlay val="0"/>
        </c:title>
        <c:numFmt formatCode="General" sourceLinked="1"/>
        <c:majorTickMark val="in"/>
        <c:minorTickMark val="none"/>
        <c:tickLblPos val="high"/>
        <c:crossAx val="73282688"/>
        <c:crosses val="autoZero"/>
        <c:crossBetween val="midCat"/>
      </c:valAx>
      <c:valAx>
        <c:axId val="73282688"/>
        <c:scaling>
          <c:orientation val="minMax"/>
        </c:scaling>
        <c:delete val="0"/>
        <c:axPos val="l"/>
        <c:title>
          <c:tx>
            <c:rich>
              <a:bodyPr rot="-5400000" vert="horz"/>
              <a:lstStyle/>
              <a:p>
                <a:pPr>
                  <a:defRPr i="1"/>
                </a:pPr>
                <a:r>
                  <a:rPr lang="en-US" i="1"/>
                  <a:t>log(1-F</a:t>
                </a:r>
                <a:r>
                  <a:rPr lang="en-US" i="1" baseline="30000"/>
                  <a:t>2</a:t>
                </a:r>
                <a:r>
                  <a:rPr lang="en-US" i="1"/>
                  <a:t>)</a:t>
                </a:r>
              </a:p>
            </c:rich>
          </c:tx>
          <c:overlay val="0"/>
        </c:title>
        <c:numFmt formatCode="General" sourceLinked="1"/>
        <c:majorTickMark val="out"/>
        <c:minorTickMark val="none"/>
        <c:tickLblPos val="nextTo"/>
        <c:crossAx val="71625344"/>
        <c:crosses val="autoZero"/>
        <c:crossBetween val="midCat"/>
      </c:valAx>
      <c:spPr>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a:t>
            </a:r>
          </a:p>
        </c:rich>
      </c:tx>
      <c:layout>
        <c:manualLayout>
          <c:xMode val="edge"/>
          <c:yMode val="edge"/>
          <c:x val="0.23430359521559505"/>
          <c:y val="0.70759562234053874"/>
        </c:manualLayout>
      </c:layout>
      <c:overlay val="1"/>
    </c:title>
    <c:autoTitleDeleted val="0"/>
    <c:plotArea>
      <c:layout>
        <c:manualLayout>
          <c:layoutTarget val="inner"/>
          <c:xMode val="edge"/>
          <c:yMode val="edge"/>
          <c:x val="0.20239273309563444"/>
          <c:y val="3.1332127534625345E-2"/>
          <c:w val="0.7312579510646412"/>
          <c:h val="0.85709522922959791"/>
        </c:manualLayout>
      </c:layout>
      <c:scatterChart>
        <c:scatterStyle val="lineMarker"/>
        <c:varyColors val="0"/>
        <c:ser>
          <c:idx val="0"/>
          <c:order val="0"/>
          <c:spPr>
            <a:ln w="15875">
              <a:solidFill>
                <a:sysClr val="windowText" lastClr="000000">
                  <a:shade val="95000"/>
                  <a:satMod val="105000"/>
                </a:sysClr>
              </a:solidFill>
            </a:ln>
          </c:spPr>
          <c:marker>
            <c:symbol val="x"/>
            <c:size val="5"/>
            <c:spPr>
              <a:solidFill>
                <a:schemeClr val="tx1"/>
              </a:solidFill>
              <a:ln>
                <a:noFill/>
              </a:ln>
            </c:spPr>
          </c:marker>
          <c:xVal>
            <c:numRef>
              <c:f>Diffusion!$A$26:$A$38</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Diffusion!$D$26:$D$38</c:f>
              <c:numCache>
                <c:formatCode>General</c:formatCode>
                <c:ptCount val="13"/>
                <c:pt idx="0">
                  <c:v>-2.2906705874907528E-2</c:v>
                </c:pt>
                <c:pt idx="1">
                  <c:v>-5.1152522447381311E-2</c:v>
                </c:pt>
                <c:pt idx="2">
                  <c:v>-7.5720713938118356E-2</c:v>
                </c:pt>
                <c:pt idx="3">
                  <c:v>-0.12884235923298537</c:v>
                </c:pt>
                <c:pt idx="4">
                  <c:v>-0.18321387155659669</c:v>
                </c:pt>
                <c:pt idx="5">
                  <c:v>-0.24172749365034699</c:v>
                </c:pt>
                <c:pt idx="6">
                  <c:v>-0.33514917881258205</c:v>
                </c:pt>
                <c:pt idx="7">
                  <c:v>-0.41889774576266764</c:v>
                </c:pt>
                <c:pt idx="8">
                  <c:v>-0.53106219433453861</c:v>
                </c:pt>
                <c:pt idx="9">
                  <c:v>-0.6466609046886953</c:v>
                </c:pt>
              </c:numCache>
            </c:numRef>
          </c:yVal>
          <c:smooth val="0"/>
          <c:extLst>
            <c:ext xmlns:c16="http://schemas.microsoft.com/office/drawing/2014/chart" uri="{C3380CC4-5D6E-409C-BE32-E72D297353CC}">
              <c16:uniqueId val="{00000000-21D7-47F1-9EDB-5C0259C00705}"/>
            </c:ext>
          </c:extLst>
        </c:ser>
        <c:ser>
          <c:idx val="1"/>
          <c:order val="1"/>
          <c:spPr>
            <a:ln w="15875">
              <a:solidFill>
                <a:sysClr val="windowText" lastClr="000000">
                  <a:shade val="95000"/>
                  <a:satMod val="105000"/>
                </a:sysClr>
              </a:solidFill>
              <a:prstDash val="lgDash"/>
            </a:ln>
          </c:spPr>
          <c:marker>
            <c:symbol val="triangle"/>
            <c:size val="5"/>
            <c:spPr>
              <a:solidFill>
                <a:sysClr val="windowText" lastClr="000000"/>
              </a:solidFill>
              <a:ln>
                <a:noFill/>
              </a:ln>
            </c:spPr>
          </c:marker>
          <c:xVal>
            <c:numRef>
              <c:f>Diffusion!$A$26:$A$38</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Diffusion!$J$26:$J$38</c:f>
              <c:numCache>
                <c:formatCode>General</c:formatCode>
                <c:ptCount val="13"/>
                <c:pt idx="0">
                  <c:v>-3.1006588559100382E-2</c:v>
                </c:pt>
                <c:pt idx="1">
                  <c:v>-6.1183299945327146E-2</c:v>
                </c:pt>
                <c:pt idx="2">
                  <c:v>-8.6517290965840515E-2</c:v>
                </c:pt>
                <c:pt idx="3">
                  <c:v>-0.17433051182406911</c:v>
                </c:pt>
                <c:pt idx="4">
                  <c:v>-0.23844801143581815</c:v>
                </c:pt>
                <c:pt idx="5">
                  <c:v>-0.32387820676044443</c:v>
                </c:pt>
                <c:pt idx="6">
                  <c:v>-0.35902194264166792</c:v>
                </c:pt>
                <c:pt idx="7">
                  <c:v>-0.4436974992327129</c:v>
                </c:pt>
                <c:pt idx="8">
                  <c:v>-0.55673701254130481</c:v>
                </c:pt>
                <c:pt idx="9">
                  <c:v>-0.63008871492820595</c:v>
                </c:pt>
              </c:numCache>
            </c:numRef>
          </c:yVal>
          <c:smooth val="0"/>
          <c:extLst>
            <c:ext xmlns:c16="http://schemas.microsoft.com/office/drawing/2014/chart" uri="{C3380CC4-5D6E-409C-BE32-E72D297353CC}">
              <c16:uniqueId val="{00000001-21D7-47F1-9EDB-5C0259C00705}"/>
            </c:ext>
          </c:extLst>
        </c:ser>
        <c:ser>
          <c:idx val="2"/>
          <c:order val="2"/>
          <c:spPr>
            <a:ln w="15875">
              <a:solidFill>
                <a:sysClr val="windowText" lastClr="000000">
                  <a:shade val="95000"/>
                  <a:satMod val="105000"/>
                </a:sysClr>
              </a:solidFill>
              <a:prstDash val="sysDash"/>
            </a:ln>
          </c:spPr>
          <c:marker>
            <c:symbol val="circle"/>
            <c:size val="5"/>
            <c:spPr>
              <a:solidFill>
                <a:sysClr val="windowText" lastClr="000000"/>
              </a:solidFill>
              <a:ln>
                <a:noFill/>
              </a:ln>
            </c:spPr>
          </c:marker>
          <c:xVal>
            <c:numRef>
              <c:f>Diffusion!$A$26:$A$38</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Diffusion!$P$26:$P$38</c:f>
              <c:numCache>
                <c:formatCode>General</c:formatCode>
                <c:ptCount val="13"/>
                <c:pt idx="0">
                  <c:v>-3.2443115085009411E-2</c:v>
                </c:pt>
                <c:pt idx="1">
                  <c:v>-5.3841259786239853E-2</c:v>
                </c:pt>
                <c:pt idx="2">
                  <c:v>-8.7343985085554271E-2</c:v>
                </c:pt>
                <c:pt idx="3">
                  <c:v>-0.11801858369478467</c:v>
                </c:pt>
                <c:pt idx="4">
                  <c:v>-0.16411523435227776</c:v>
                </c:pt>
                <c:pt idx="5">
                  <c:v>-0.20190379524167754</c:v>
                </c:pt>
                <c:pt idx="6">
                  <c:v>-0.24693076505499673</c:v>
                </c:pt>
                <c:pt idx="7">
                  <c:v>-0.33291667956217069</c:v>
                </c:pt>
                <c:pt idx="8">
                  <c:v>-0.505408410033514</c:v>
                </c:pt>
                <c:pt idx="9">
                  <c:v>-0.64010698393097043</c:v>
                </c:pt>
              </c:numCache>
            </c:numRef>
          </c:yVal>
          <c:smooth val="0"/>
          <c:extLst>
            <c:ext xmlns:c16="http://schemas.microsoft.com/office/drawing/2014/chart" uri="{C3380CC4-5D6E-409C-BE32-E72D297353CC}">
              <c16:uniqueId val="{00000002-21D7-47F1-9EDB-5C0259C00705}"/>
            </c:ext>
          </c:extLst>
        </c:ser>
        <c:dLbls>
          <c:showLegendKey val="0"/>
          <c:showVal val="0"/>
          <c:showCatName val="0"/>
          <c:showSerName val="0"/>
          <c:showPercent val="0"/>
          <c:showBubbleSize val="0"/>
        </c:dLbls>
        <c:axId val="73870720"/>
        <c:axId val="73877376"/>
      </c:scatterChart>
      <c:valAx>
        <c:axId val="73870720"/>
        <c:scaling>
          <c:orientation val="minMax"/>
        </c:scaling>
        <c:delete val="0"/>
        <c:axPos val="b"/>
        <c:title>
          <c:tx>
            <c:rich>
              <a:bodyPr/>
              <a:lstStyle/>
              <a:p>
                <a:pPr>
                  <a:defRPr/>
                </a:pPr>
                <a:r>
                  <a:rPr lang="en-US" i="1"/>
                  <a:t>t</a:t>
                </a:r>
                <a:r>
                  <a:rPr lang="en-US"/>
                  <a:t> [minute]</a:t>
                </a:r>
              </a:p>
            </c:rich>
          </c:tx>
          <c:layout>
            <c:manualLayout>
              <c:xMode val="edge"/>
              <c:yMode val="edge"/>
              <c:x val="0.38684125923801199"/>
              <c:y val="0.9072261656689129"/>
            </c:manualLayout>
          </c:layout>
          <c:overlay val="0"/>
        </c:title>
        <c:numFmt formatCode="General" sourceLinked="1"/>
        <c:majorTickMark val="in"/>
        <c:minorTickMark val="none"/>
        <c:tickLblPos val="high"/>
        <c:crossAx val="73877376"/>
        <c:crosses val="autoZero"/>
        <c:crossBetween val="midCat"/>
      </c:valAx>
      <c:valAx>
        <c:axId val="73877376"/>
        <c:scaling>
          <c:orientation val="minMax"/>
        </c:scaling>
        <c:delete val="0"/>
        <c:axPos val="l"/>
        <c:title>
          <c:tx>
            <c:rich>
              <a:bodyPr rot="-5400000" vert="horz"/>
              <a:lstStyle/>
              <a:p>
                <a:pPr>
                  <a:defRPr i="1"/>
                </a:pPr>
                <a:r>
                  <a:rPr lang="en-US"/>
                  <a:t>log(1-F</a:t>
                </a:r>
                <a:r>
                  <a:rPr lang="en-US" baseline="30000"/>
                  <a:t>2</a:t>
                </a:r>
                <a:r>
                  <a:rPr lang="en-US"/>
                  <a:t>)</a:t>
                </a:r>
              </a:p>
            </c:rich>
          </c:tx>
          <c:overlay val="0"/>
        </c:title>
        <c:numFmt formatCode="General" sourceLinked="1"/>
        <c:majorTickMark val="out"/>
        <c:minorTickMark val="none"/>
        <c:tickLblPos val="nextTo"/>
        <c:crossAx val="73870720"/>
        <c:crosses val="autoZero"/>
        <c:crossBetween val="midCat"/>
      </c:valAx>
      <c:spPr>
        <a:noFill/>
        <a:ln w="25400">
          <a:noFill/>
        </a:ln>
      </c:spPr>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t>
            </a:r>
          </a:p>
        </c:rich>
      </c:tx>
      <c:layout>
        <c:manualLayout>
          <c:xMode val="edge"/>
          <c:yMode val="edge"/>
          <c:x val="0.23055465669531039"/>
          <c:y val="0.74283920357563094"/>
        </c:manualLayout>
      </c:layout>
      <c:overlay val="1"/>
    </c:title>
    <c:autoTitleDeleted val="0"/>
    <c:plotArea>
      <c:layout>
        <c:manualLayout>
          <c:layoutTarget val="inner"/>
          <c:xMode val="edge"/>
          <c:yMode val="edge"/>
          <c:x val="0.19743326565625538"/>
          <c:y val="3.0303975032878464E-2"/>
          <c:w val="0.73784291518354728"/>
          <c:h val="0.88217908106504095"/>
        </c:manualLayout>
      </c:layout>
      <c:scatterChart>
        <c:scatterStyle val="lineMarker"/>
        <c:varyColors val="0"/>
        <c:ser>
          <c:idx val="0"/>
          <c:order val="0"/>
          <c:spPr>
            <a:ln w="15875">
              <a:solidFill>
                <a:sysClr val="windowText" lastClr="000000">
                  <a:shade val="95000"/>
                  <a:satMod val="105000"/>
                </a:sysClr>
              </a:solidFill>
            </a:ln>
          </c:spPr>
          <c:marker>
            <c:symbol val="x"/>
            <c:size val="5"/>
            <c:spPr>
              <a:solidFill>
                <a:schemeClr val="tx1"/>
              </a:solidFill>
              <a:ln>
                <a:noFill/>
              </a:ln>
            </c:spPr>
          </c:marker>
          <c:xVal>
            <c:numRef>
              <c:f>Diffusion!$A$48:$A$60</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Diffusion!$D$48:$D$60</c:f>
              <c:numCache>
                <c:formatCode>General</c:formatCode>
                <c:ptCount val="13"/>
                <c:pt idx="0">
                  <c:v>-2.5259765502391913E-2</c:v>
                </c:pt>
                <c:pt idx="1">
                  <c:v>-3.7300756321644174E-2</c:v>
                </c:pt>
                <c:pt idx="2">
                  <c:v>-5.4785826309854985E-2</c:v>
                </c:pt>
                <c:pt idx="3">
                  <c:v>-7.9858718010679078E-2</c:v>
                </c:pt>
                <c:pt idx="4">
                  <c:v>-0.1112671822623032</c:v>
                </c:pt>
                <c:pt idx="5">
                  <c:v>-0.20615557725218608</c:v>
                </c:pt>
                <c:pt idx="6">
                  <c:v>-0.252439766716548</c:v>
                </c:pt>
                <c:pt idx="7">
                  <c:v>-0.32992326617391632</c:v>
                </c:pt>
                <c:pt idx="8">
                  <c:v>-0.40489616334197964</c:v>
                </c:pt>
                <c:pt idx="9">
                  <c:v>-0.76397105516525243</c:v>
                </c:pt>
              </c:numCache>
            </c:numRef>
          </c:yVal>
          <c:smooth val="0"/>
          <c:extLst>
            <c:ext xmlns:c16="http://schemas.microsoft.com/office/drawing/2014/chart" uri="{C3380CC4-5D6E-409C-BE32-E72D297353CC}">
              <c16:uniqueId val="{00000000-F3A7-46B0-BC46-04A9EDC30847}"/>
            </c:ext>
          </c:extLst>
        </c:ser>
        <c:ser>
          <c:idx val="1"/>
          <c:order val="1"/>
          <c:spPr>
            <a:ln w="15875">
              <a:solidFill>
                <a:sysClr val="windowText" lastClr="000000">
                  <a:shade val="95000"/>
                  <a:satMod val="105000"/>
                </a:sysClr>
              </a:solidFill>
              <a:prstDash val="lgDash"/>
            </a:ln>
          </c:spPr>
          <c:marker>
            <c:symbol val="triangle"/>
            <c:size val="5"/>
            <c:spPr>
              <a:solidFill>
                <a:sysClr val="windowText" lastClr="000000"/>
              </a:solidFill>
              <a:ln>
                <a:noFill/>
              </a:ln>
            </c:spPr>
          </c:marker>
          <c:xVal>
            <c:numRef>
              <c:f>Diffusion!$A$48:$A$60</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Diffusion!$J$48:$J$60</c:f>
              <c:numCache>
                <c:formatCode>General</c:formatCode>
                <c:ptCount val="13"/>
                <c:pt idx="0">
                  <c:v>-4.0958607678906384E-2</c:v>
                </c:pt>
                <c:pt idx="1">
                  <c:v>-5.5429730213086364E-2</c:v>
                </c:pt>
                <c:pt idx="2">
                  <c:v>-9.6396358918725222E-2</c:v>
                </c:pt>
                <c:pt idx="3">
                  <c:v>-0.12493873660829995</c:v>
                </c:pt>
                <c:pt idx="4">
                  <c:v>-0.17006851018157432</c:v>
                </c:pt>
                <c:pt idx="5">
                  <c:v>-0.24223573092272455</c:v>
                </c:pt>
                <c:pt idx="6">
                  <c:v>-0.29242982390206362</c:v>
                </c:pt>
                <c:pt idx="7">
                  <c:v>-0.45887883366989973</c:v>
                </c:pt>
                <c:pt idx="8">
                  <c:v>-0.63637689561901922</c:v>
                </c:pt>
                <c:pt idx="9">
                  <c:v>-0.87397047369331049</c:v>
                </c:pt>
              </c:numCache>
            </c:numRef>
          </c:yVal>
          <c:smooth val="0"/>
          <c:extLst>
            <c:ext xmlns:c16="http://schemas.microsoft.com/office/drawing/2014/chart" uri="{C3380CC4-5D6E-409C-BE32-E72D297353CC}">
              <c16:uniqueId val="{00000001-F3A7-46B0-BC46-04A9EDC30847}"/>
            </c:ext>
          </c:extLst>
        </c:ser>
        <c:ser>
          <c:idx val="2"/>
          <c:order val="2"/>
          <c:spPr>
            <a:ln w="15875">
              <a:solidFill>
                <a:sysClr val="windowText" lastClr="000000">
                  <a:shade val="95000"/>
                  <a:satMod val="105000"/>
                </a:sysClr>
              </a:solidFill>
              <a:prstDash val="sysDash"/>
            </a:ln>
          </c:spPr>
          <c:marker>
            <c:symbol val="circle"/>
            <c:size val="5"/>
            <c:spPr>
              <a:solidFill>
                <a:sysClr val="windowText" lastClr="000000"/>
              </a:solidFill>
              <a:ln>
                <a:noFill/>
              </a:ln>
            </c:spPr>
          </c:marker>
          <c:xVal>
            <c:numRef>
              <c:f>Diffusion!$A$48:$A$60</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Diffusion!$P$48:$P$60</c:f>
              <c:numCache>
                <c:formatCode>General</c:formatCode>
                <c:ptCount val="13"/>
                <c:pt idx="0">
                  <c:v>-0.32307766230279639</c:v>
                </c:pt>
                <c:pt idx="1">
                  <c:v>-0.38697027999358541</c:v>
                </c:pt>
                <c:pt idx="2">
                  <c:v>-0.42659832728534741</c:v>
                </c:pt>
                <c:pt idx="3">
                  <c:v>-0.52573144617311529</c:v>
                </c:pt>
                <c:pt idx="4">
                  <c:v>-0.62230587647561131</c:v>
                </c:pt>
                <c:pt idx="5">
                  <c:v>-0.75776633297268015</c:v>
                </c:pt>
                <c:pt idx="6">
                  <c:v>-0.95365278586907587</c:v>
                </c:pt>
                <c:pt idx="7">
                  <c:v>-1.1011362230909068</c:v>
                </c:pt>
                <c:pt idx="8">
                  <c:v>-1.1964212431759158</c:v>
                </c:pt>
                <c:pt idx="9">
                  <c:v>-1.5313835616951403</c:v>
                </c:pt>
              </c:numCache>
            </c:numRef>
          </c:yVal>
          <c:smooth val="0"/>
          <c:extLst>
            <c:ext xmlns:c16="http://schemas.microsoft.com/office/drawing/2014/chart" uri="{C3380CC4-5D6E-409C-BE32-E72D297353CC}">
              <c16:uniqueId val="{00000002-F3A7-46B0-BC46-04A9EDC30847}"/>
            </c:ext>
          </c:extLst>
        </c:ser>
        <c:dLbls>
          <c:showLegendKey val="0"/>
          <c:showVal val="0"/>
          <c:showCatName val="0"/>
          <c:showSerName val="0"/>
          <c:showPercent val="0"/>
          <c:showBubbleSize val="0"/>
        </c:dLbls>
        <c:axId val="73887744"/>
        <c:axId val="73890048"/>
      </c:scatterChart>
      <c:valAx>
        <c:axId val="73887744"/>
        <c:scaling>
          <c:orientation val="minMax"/>
        </c:scaling>
        <c:delete val="0"/>
        <c:axPos val="b"/>
        <c:title>
          <c:tx>
            <c:rich>
              <a:bodyPr/>
              <a:lstStyle/>
              <a:p>
                <a:pPr>
                  <a:defRPr/>
                </a:pPr>
                <a:r>
                  <a:rPr lang="en-US" i="1"/>
                  <a:t>t</a:t>
                </a:r>
                <a:r>
                  <a:rPr lang="en-US"/>
                  <a:t> [minute]</a:t>
                </a:r>
              </a:p>
            </c:rich>
          </c:tx>
          <c:layout>
            <c:manualLayout>
              <c:xMode val="edge"/>
              <c:yMode val="edge"/>
              <c:x val="0.38034290808173998"/>
              <c:y val="0.91005064857146856"/>
            </c:manualLayout>
          </c:layout>
          <c:overlay val="0"/>
        </c:title>
        <c:numFmt formatCode="General" sourceLinked="1"/>
        <c:majorTickMark val="in"/>
        <c:minorTickMark val="none"/>
        <c:tickLblPos val="high"/>
        <c:crossAx val="73890048"/>
        <c:crosses val="autoZero"/>
        <c:crossBetween val="midCat"/>
      </c:valAx>
      <c:valAx>
        <c:axId val="73890048"/>
        <c:scaling>
          <c:orientation val="minMax"/>
        </c:scaling>
        <c:delete val="0"/>
        <c:axPos val="l"/>
        <c:title>
          <c:tx>
            <c:rich>
              <a:bodyPr rot="-5400000" vert="horz"/>
              <a:lstStyle/>
              <a:p>
                <a:pPr>
                  <a:defRPr i="1"/>
                </a:pPr>
                <a:r>
                  <a:rPr lang="en-US"/>
                  <a:t>log(1-F</a:t>
                </a:r>
                <a:r>
                  <a:rPr lang="en-US" baseline="30000"/>
                  <a:t>2</a:t>
                </a:r>
                <a:r>
                  <a:rPr lang="en-US"/>
                  <a:t>)</a:t>
                </a:r>
              </a:p>
            </c:rich>
          </c:tx>
          <c:overlay val="0"/>
        </c:title>
        <c:numFmt formatCode="General" sourceLinked="1"/>
        <c:majorTickMark val="out"/>
        <c:minorTickMark val="none"/>
        <c:tickLblPos val="nextTo"/>
        <c:crossAx val="73887744"/>
        <c:crosses val="autoZero"/>
        <c:crossBetween val="midCat"/>
      </c:valAx>
      <c:spPr>
        <a:ln>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a:t>
            </a:r>
          </a:p>
        </c:rich>
      </c:tx>
      <c:overlay val="1"/>
    </c:title>
    <c:autoTitleDeleted val="0"/>
    <c:plotArea>
      <c:layout>
        <c:manualLayout>
          <c:layoutTarget val="inner"/>
          <c:xMode val="edge"/>
          <c:yMode val="edge"/>
          <c:x val="0.1686541178360689"/>
          <c:y val="3.9923331951927064E-2"/>
          <c:w val="0.63727138898056901"/>
          <c:h val="0.76652551764362775"/>
        </c:manualLayout>
      </c:layout>
      <c:scatterChart>
        <c:scatterStyle val="lineMarker"/>
        <c:varyColors val="0"/>
        <c:ser>
          <c:idx val="1"/>
          <c:order val="0"/>
          <c:tx>
            <c:strRef>
              <c:f>Diffusion!$B$1</c:f>
              <c:strCache>
                <c:ptCount val="1"/>
                <c:pt idx="0">
                  <c:v>303 K</c:v>
                </c:pt>
              </c:strCache>
            </c:strRef>
          </c:tx>
          <c:spPr>
            <a:ln w="28575">
              <a:noFill/>
            </a:ln>
          </c:spPr>
          <c:marker>
            <c:symbol val="square"/>
            <c:size val="5"/>
            <c:spPr>
              <a:solidFill>
                <a:sysClr val="windowText" lastClr="000000"/>
              </a:solidFill>
              <a:ln>
                <a:noFill/>
              </a:ln>
            </c:spPr>
          </c:marker>
          <c:trendline>
            <c:trendlineType val="linear"/>
            <c:dispRSqr val="0"/>
            <c:dispEq val="0"/>
          </c:trendline>
          <c:xVal>
            <c:numRef>
              <c:f>Diffusion!$E$3:$E$15</c:f>
              <c:numCache>
                <c:formatCode>General</c:formatCode>
                <c:ptCount val="13"/>
                <c:pt idx="0">
                  <c:v>2.2360679774997898</c:v>
                </c:pt>
                <c:pt idx="1">
                  <c:v>3.1622776601683795</c:v>
                </c:pt>
                <c:pt idx="2">
                  <c:v>3.872983346207417</c:v>
                </c:pt>
                <c:pt idx="3">
                  <c:v>4.4721359549995796</c:v>
                </c:pt>
                <c:pt idx="4">
                  <c:v>5</c:v>
                </c:pt>
                <c:pt idx="5">
                  <c:v>5.4772255750516612</c:v>
                </c:pt>
                <c:pt idx="6">
                  <c:v>6.324555320336759</c:v>
                </c:pt>
                <c:pt idx="7">
                  <c:v>7.0710678118654755</c:v>
                </c:pt>
                <c:pt idx="8">
                  <c:v>7.745966692414834</c:v>
                </c:pt>
                <c:pt idx="9">
                  <c:v>10</c:v>
                </c:pt>
              </c:numCache>
            </c:numRef>
          </c:xVal>
          <c:yVal>
            <c:numRef>
              <c:f>Diffusion!$B$3:$B$15</c:f>
              <c:numCache>
                <c:formatCode>General</c:formatCode>
                <c:ptCount val="13"/>
                <c:pt idx="0">
                  <c:v>10</c:v>
                </c:pt>
                <c:pt idx="1">
                  <c:v>15</c:v>
                </c:pt>
                <c:pt idx="2">
                  <c:v>17</c:v>
                </c:pt>
                <c:pt idx="3">
                  <c:v>20</c:v>
                </c:pt>
                <c:pt idx="4">
                  <c:v>22</c:v>
                </c:pt>
                <c:pt idx="5">
                  <c:v>24</c:v>
                </c:pt>
                <c:pt idx="6">
                  <c:v>26</c:v>
                </c:pt>
                <c:pt idx="7">
                  <c:v>28</c:v>
                </c:pt>
                <c:pt idx="8">
                  <c:v>32</c:v>
                </c:pt>
                <c:pt idx="9">
                  <c:v>34</c:v>
                </c:pt>
              </c:numCache>
            </c:numRef>
          </c:yVal>
          <c:smooth val="0"/>
          <c:extLst>
            <c:ext xmlns:c16="http://schemas.microsoft.com/office/drawing/2014/chart" uri="{C3380CC4-5D6E-409C-BE32-E72D297353CC}">
              <c16:uniqueId val="{00000001-31F9-4F68-937D-8C9DBA2B2122}"/>
            </c:ext>
          </c:extLst>
        </c:ser>
        <c:ser>
          <c:idx val="2"/>
          <c:order val="1"/>
          <c:tx>
            <c:strRef>
              <c:f>Diffusion!$H$1</c:f>
              <c:strCache>
                <c:ptCount val="1"/>
                <c:pt idx="0">
                  <c:v>313 K</c:v>
                </c:pt>
              </c:strCache>
            </c:strRef>
          </c:tx>
          <c:spPr>
            <a:ln w="28575">
              <a:noFill/>
            </a:ln>
          </c:spPr>
          <c:marker>
            <c:symbol val="triangle"/>
            <c:size val="5"/>
            <c:spPr>
              <a:solidFill>
                <a:sysClr val="windowText" lastClr="000000"/>
              </a:solidFill>
              <a:ln>
                <a:noFill/>
              </a:ln>
            </c:spPr>
          </c:marker>
          <c:trendline>
            <c:trendlineType val="linear"/>
            <c:dispRSqr val="0"/>
            <c:dispEq val="0"/>
          </c:trendline>
          <c:xVal>
            <c:numRef>
              <c:f>Diffusion!$K$3:$K$15</c:f>
              <c:numCache>
                <c:formatCode>General</c:formatCode>
                <c:ptCount val="13"/>
                <c:pt idx="0">
                  <c:v>2.2360679774997898</c:v>
                </c:pt>
                <c:pt idx="1">
                  <c:v>3.1622776601683795</c:v>
                </c:pt>
                <c:pt idx="2">
                  <c:v>3.872983346207417</c:v>
                </c:pt>
                <c:pt idx="3">
                  <c:v>4.4721359549995796</c:v>
                </c:pt>
                <c:pt idx="4">
                  <c:v>5</c:v>
                </c:pt>
                <c:pt idx="5">
                  <c:v>5.4772255750516612</c:v>
                </c:pt>
                <c:pt idx="6">
                  <c:v>6.324555320336759</c:v>
                </c:pt>
                <c:pt idx="7">
                  <c:v>7.0710678118654755</c:v>
                </c:pt>
                <c:pt idx="8">
                  <c:v>7.745966692414834</c:v>
                </c:pt>
                <c:pt idx="9">
                  <c:v>10</c:v>
                </c:pt>
              </c:numCache>
            </c:numRef>
          </c:xVal>
          <c:yVal>
            <c:numRef>
              <c:f>Diffusion!$H$3:$H$15</c:f>
              <c:numCache>
                <c:formatCode>General</c:formatCode>
                <c:ptCount val="13"/>
                <c:pt idx="0">
                  <c:v>12</c:v>
                </c:pt>
                <c:pt idx="1">
                  <c:v>15</c:v>
                </c:pt>
                <c:pt idx="2">
                  <c:v>18</c:v>
                </c:pt>
                <c:pt idx="3">
                  <c:v>20</c:v>
                </c:pt>
                <c:pt idx="4">
                  <c:v>22</c:v>
                </c:pt>
                <c:pt idx="5">
                  <c:v>25</c:v>
                </c:pt>
                <c:pt idx="6">
                  <c:v>28</c:v>
                </c:pt>
                <c:pt idx="7">
                  <c:v>30</c:v>
                </c:pt>
                <c:pt idx="8">
                  <c:v>33</c:v>
                </c:pt>
                <c:pt idx="9">
                  <c:v>35</c:v>
                </c:pt>
              </c:numCache>
            </c:numRef>
          </c:yVal>
          <c:smooth val="0"/>
          <c:extLst>
            <c:ext xmlns:c16="http://schemas.microsoft.com/office/drawing/2014/chart" uri="{C3380CC4-5D6E-409C-BE32-E72D297353CC}">
              <c16:uniqueId val="{00000003-31F9-4F68-937D-8C9DBA2B2122}"/>
            </c:ext>
          </c:extLst>
        </c:ser>
        <c:ser>
          <c:idx val="3"/>
          <c:order val="2"/>
          <c:tx>
            <c:strRef>
              <c:f>Diffusion!$N$1</c:f>
              <c:strCache>
                <c:ptCount val="1"/>
                <c:pt idx="0">
                  <c:v>323 K</c:v>
                </c:pt>
              </c:strCache>
            </c:strRef>
          </c:tx>
          <c:spPr>
            <a:ln w="28575">
              <a:noFill/>
            </a:ln>
          </c:spPr>
          <c:marker>
            <c:symbol val="circle"/>
            <c:size val="7"/>
            <c:spPr>
              <a:solidFill>
                <a:sysClr val="windowText" lastClr="000000"/>
              </a:solidFill>
              <a:ln>
                <a:noFill/>
              </a:ln>
            </c:spPr>
          </c:marker>
          <c:trendline>
            <c:trendlineType val="linear"/>
            <c:dispRSqr val="0"/>
            <c:dispEq val="0"/>
          </c:trendline>
          <c:xVal>
            <c:numRef>
              <c:f>Diffusion!$Q$3:$Q$15</c:f>
              <c:numCache>
                <c:formatCode>General</c:formatCode>
                <c:ptCount val="13"/>
                <c:pt idx="0">
                  <c:v>2.2360679774997898</c:v>
                </c:pt>
                <c:pt idx="1">
                  <c:v>3.1622776601683795</c:v>
                </c:pt>
                <c:pt idx="2">
                  <c:v>3.872983346207417</c:v>
                </c:pt>
                <c:pt idx="3">
                  <c:v>4.4721359549995796</c:v>
                </c:pt>
                <c:pt idx="4">
                  <c:v>5</c:v>
                </c:pt>
                <c:pt idx="5">
                  <c:v>5.4772255750516612</c:v>
                </c:pt>
                <c:pt idx="6">
                  <c:v>6.324555320336759</c:v>
                </c:pt>
                <c:pt idx="7">
                  <c:v>7.0710678118654755</c:v>
                </c:pt>
                <c:pt idx="8">
                  <c:v>7.745966692414834</c:v>
                </c:pt>
                <c:pt idx="9">
                  <c:v>10</c:v>
                </c:pt>
              </c:numCache>
            </c:numRef>
          </c:xVal>
          <c:yVal>
            <c:numRef>
              <c:f>Diffusion!$N$3:$N$15</c:f>
              <c:numCache>
                <c:formatCode>General</c:formatCode>
                <c:ptCount val="13"/>
                <c:pt idx="0">
                  <c:v>15</c:v>
                </c:pt>
                <c:pt idx="1">
                  <c:v>20</c:v>
                </c:pt>
                <c:pt idx="2">
                  <c:v>25</c:v>
                </c:pt>
                <c:pt idx="3">
                  <c:v>26</c:v>
                </c:pt>
                <c:pt idx="4">
                  <c:v>28</c:v>
                </c:pt>
                <c:pt idx="5">
                  <c:v>31</c:v>
                </c:pt>
                <c:pt idx="6">
                  <c:v>34</c:v>
                </c:pt>
                <c:pt idx="7">
                  <c:v>36</c:v>
                </c:pt>
                <c:pt idx="8">
                  <c:v>38</c:v>
                </c:pt>
                <c:pt idx="9">
                  <c:v>40</c:v>
                </c:pt>
              </c:numCache>
            </c:numRef>
          </c:yVal>
          <c:smooth val="0"/>
          <c:extLst>
            <c:ext xmlns:c16="http://schemas.microsoft.com/office/drawing/2014/chart" uri="{C3380CC4-5D6E-409C-BE32-E72D297353CC}">
              <c16:uniqueId val="{00000005-31F9-4F68-937D-8C9DBA2B2122}"/>
            </c:ext>
          </c:extLst>
        </c:ser>
        <c:dLbls>
          <c:showLegendKey val="0"/>
          <c:showVal val="0"/>
          <c:showCatName val="0"/>
          <c:showSerName val="0"/>
          <c:showPercent val="0"/>
          <c:showBubbleSize val="0"/>
        </c:dLbls>
        <c:axId val="73915776"/>
        <c:axId val="73917952"/>
      </c:scatterChart>
      <c:valAx>
        <c:axId val="73915776"/>
        <c:scaling>
          <c:orientation val="minMax"/>
        </c:scaling>
        <c:delete val="0"/>
        <c:axPos val="b"/>
        <c:title>
          <c:tx>
            <c:rich>
              <a:bodyPr/>
              <a:lstStyle/>
              <a:p>
                <a:pPr>
                  <a:defRPr/>
                </a:pPr>
                <a:r>
                  <a:rPr lang="en-US" i="1"/>
                  <a:t>t</a:t>
                </a:r>
                <a:r>
                  <a:rPr lang="en-US" i="1" baseline="30000"/>
                  <a:t>0.5</a:t>
                </a:r>
                <a:r>
                  <a:rPr lang="en-US"/>
                  <a:t> [minute</a:t>
                </a:r>
                <a:r>
                  <a:rPr lang="en-US" baseline="30000"/>
                  <a:t>0.5</a:t>
                </a:r>
                <a:r>
                  <a:rPr lang="en-US"/>
                  <a:t>]</a:t>
                </a:r>
              </a:p>
            </c:rich>
          </c:tx>
          <c:overlay val="0"/>
        </c:title>
        <c:numFmt formatCode="General" sourceLinked="1"/>
        <c:majorTickMark val="out"/>
        <c:minorTickMark val="none"/>
        <c:tickLblPos val="nextTo"/>
        <c:crossAx val="73917952"/>
        <c:crosses val="autoZero"/>
        <c:crossBetween val="midCat"/>
      </c:valAx>
      <c:valAx>
        <c:axId val="73917952"/>
        <c:scaling>
          <c:orientation val="minMax"/>
          <c:min val="10"/>
        </c:scaling>
        <c:delete val="0"/>
        <c:axPos val="l"/>
        <c:title>
          <c:tx>
            <c:rich>
              <a:bodyPr rot="-5400000" vert="horz"/>
              <a:lstStyle/>
              <a:p>
                <a:pPr>
                  <a:defRPr/>
                </a:pPr>
                <a:r>
                  <a:rPr lang="en-US" i="1"/>
                  <a:t>qt</a:t>
                </a:r>
                <a:r>
                  <a:rPr lang="en-US"/>
                  <a:t> [mg.g</a:t>
                </a:r>
                <a:r>
                  <a:rPr lang="en-US" baseline="30000"/>
                  <a:t>-1</a:t>
                </a:r>
                <a:r>
                  <a:rPr lang="en-US"/>
                  <a:t>]</a:t>
                </a:r>
              </a:p>
            </c:rich>
          </c:tx>
          <c:layout>
            <c:manualLayout>
              <c:xMode val="edge"/>
              <c:yMode val="edge"/>
              <c:x val="0"/>
              <c:y val="0.25973998659182629"/>
            </c:manualLayout>
          </c:layout>
          <c:overlay val="0"/>
        </c:title>
        <c:numFmt formatCode="General" sourceLinked="1"/>
        <c:majorTickMark val="out"/>
        <c:minorTickMark val="none"/>
        <c:tickLblPos val="nextTo"/>
        <c:crossAx val="73915776"/>
        <c:crosses val="autoZero"/>
        <c:crossBetween val="midCat"/>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a:t>
            </a:r>
          </a:p>
        </c:rich>
      </c:tx>
      <c:overlay val="1"/>
    </c:title>
    <c:autoTitleDeleted val="0"/>
    <c:plotArea>
      <c:layout>
        <c:manualLayout>
          <c:layoutTarget val="inner"/>
          <c:xMode val="edge"/>
          <c:yMode val="edge"/>
          <c:x val="0.15873716580656047"/>
          <c:y val="2.3293846679728815E-2"/>
          <c:w val="0.64464902588774986"/>
          <c:h val="0.76652551764362775"/>
        </c:manualLayout>
      </c:layout>
      <c:scatterChart>
        <c:scatterStyle val="lineMarker"/>
        <c:varyColors val="0"/>
        <c:ser>
          <c:idx val="1"/>
          <c:order val="0"/>
          <c:tx>
            <c:strRef>
              <c:f>Diffusion!$B$24</c:f>
              <c:strCache>
                <c:ptCount val="1"/>
                <c:pt idx="0">
                  <c:v>303 K</c:v>
                </c:pt>
              </c:strCache>
            </c:strRef>
          </c:tx>
          <c:spPr>
            <a:ln w="28575">
              <a:noFill/>
            </a:ln>
          </c:spPr>
          <c:marker>
            <c:symbol val="square"/>
            <c:size val="5"/>
            <c:spPr>
              <a:solidFill>
                <a:sysClr val="windowText" lastClr="000000"/>
              </a:solidFill>
              <a:ln>
                <a:noFill/>
              </a:ln>
            </c:spPr>
          </c:marker>
          <c:trendline>
            <c:trendlineType val="linear"/>
            <c:dispRSqr val="0"/>
            <c:dispEq val="0"/>
          </c:trendline>
          <c:xVal>
            <c:numRef>
              <c:f>Diffusion!$E$26:$E$38</c:f>
              <c:numCache>
                <c:formatCode>General</c:formatCode>
                <c:ptCount val="13"/>
                <c:pt idx="0">
                  <c:v>2.2360679774997898</c:v>
                </c:pt>
                <c:pt idx="1">
                  <c:v>3.1622776601683795</c:v>
                </c:pt>
                <c:pt idx="2">
                  <c:v>3.872983346207417</c:v>
                </c:pt>
                <c:pt idx="3">
                  <c:v>4.4721359549995796</c:v>
                </c:pt>
                <c:pt idx="4">
                  <c:v>5</c:v>
                </c:pt>
                <c:pt idx="5">
                  <c:v>5.4772255750516612</c:v>
                </c:pt>
                <c:pt idx="6">
                  <c:v>6.324555320336759</c:v>
                </c:pt>
                <c:pt idx="7">
                  <c:v>7.0710678118654755</c:v>
                </c:pt>
                <c:pt idx="8">
                  <c:v>7.745966692414834</c:v>
                </c:pt>
                <c:pt idx="9">
                  <c:v>10</c:v>
                </c:pt>
              </c:numCache>
            </c:numRef>
          </c:xVal>
          <c:yVal>
            <c:numRef>
              <c:f>Diffusion!$B$26:$B$38</c:f>
              <c:numCache>
                <c:formatCode>General</c:formatCode>
                <c:ptCount val="13"/>
                <c:pt idx="0">
                  <c:v>17</c:v>
                </c:pt>
                <c:pt idx="1">
                  <c:v>25</c:v>
                </c:pt>
                <c:pt idx="2">
                  <c:v>30</c:v>
                </c:pt>
                <c:pt idx="3">
                  <c:v>38</c:v>
                </c:pt>
                <c:pt idx="4">
                  <c:v>44</c:v>
                </c:pt>
                <c:pt idx="5">
                  <c:v>49</c:v>
                </c:pt>
                <c:pt idx="6">
                  <c:v>55</c:v>
                </c:pt>
                <c:pt idx="7">
                  <c:v>59</c:v>
                </c:pt>
                <c:pt idx="8">
                  <c:v>63</c:v>
                </c:pt>
                <c:pt idx="9">
                  <c:v>66</c:v>
                </c:pt>
              </c:numCache>
            </c:numRef>
          </c:yVal>
          <c:smooth val="0"/>
          <c:extLst>
            <c:ext xmlns:c16="http://schemas.microsoft.com/office/drawing/2014/chart" uri="{C3380CC4-5D6E-409C-BE32-E72D297353CC}">
              <c16:uniqueId val="{00000001-B7F7-455A-957B-E345C7D3167D}"/>
            </c:ext>
          </c:extLst>
        </c:ser>
        <c:ser>
          <c:idx val="2"/>
          <c:order val="1"/>
          <c:tx>
            <c:strRef>
              <c:f>Diffusion!$H$24</c:f>
              <c:strCache>
                <c:ptCount val="1"/>
                <c:pt idx="0">
                  <c:v>313 K</c:v>
                </c:pt>
              </c:strCache>
            </c:strRef>
          </c:tx>
          <c:spPr>
            <a:ln w="28575">
              <a:noFill/>
            </a:ln>
          </c:spPr>
          <c:marker>
            <c:symbol val="triangle"/>
            <c:size val="5"/>
            <c:spPr>
              <a:solidFill>
                <a:sysClr val="windowText" lastClr="000000"/>
              </a:solidFill>
              <a:ln>
                <a:noFill/>
              </a:ln>
            </c:spPr>
          </c:marker>
          <c:trendline>
            <c:trendlineType val="linear"/>
            <c:dispRSqr val="0"/>
            <c:dispEq val="0"/>
          </c:trendline>
          <c:xVal>
            <c:numRef>
              <c:f>Diffusion!$K$26:$K$38</c:f>
              <c:numCache>
                <c:formatCode>General</c:formatCode>
                <c:ptCount val="13"/>
                <c:pt idx="0">
                  <c:v>2.2360679774997898</c:v>
                </c:pt>
                <c:pt idx="1">
                  <c:v>3.1622776601683795</c:v>
                </c:pt>
                <c:pt idx="2">
                  <c:v>3.872983346207417</c:v>
                </c:pt>
                <c:pt idx="3">
                  <c:v>4.4721359549995796</c:v>
                </c:pt>
                <c:pt idx="4">
                  <c:v>5</c:v>
                </c:pt>
                <c:pt idx="5">
                  <c:v>5.4772255750516612</c:v>
                </c:pt>
                <c:pt idx="6">
                  <c:v>6.324555320336759</c:v>
                </c:pt>
                <c:pt idx="7">
                  <c:v>7.0710678118654755</c:v>
                </c:pt>
                <c:pt idx="8">
                  <c:v>7.745966692414834</c:v>
                </c:pt>
                <c:pt idx="9">
                  <c:v>10</c:v>
                </c:pt>
              </c:numCache>
            </c:numRef>
          </c:xVal>
          <c:yVal>
            <c:numRef>
              <c:f>Diffusion!$H$26:$H$38</c:f>
              <c:numCache>
                <c:formatCode>General</c:formatCode>
                <c:ptCount val="13"/>
                <c:pt idx="0">
                  <c:v>21</c:v>
                </c:pt>
                <c:pt idx="1">
                  <c:v>29</c:v>
                </c:pt>
                <c:pt idx="2">
                  <c:v>34</c:v>
                </c:pt>
                <c:pt idx="3">
                  <c:v>46</c:v>
                </c:pt>
                <c:pt idx="4">
                  <c:v>52</c:v>
                </c:pt>
                <c:pt idx="5">
                  <c:v>58</c:v>
                </c:pt>
                <c:pt idx="6">
                  <c:v>60</c:v>
                </c:pt>
                <c:pt idx="7">
                  <c:v>64</c:v>
                </c:pt>
                <c:pt idx="8">
                  <c:v>68</c:v>
                </c:pt>
                <c:pt idx="9">
                  <c:v>70</c:v>
                </c:pt>
              </c:numCache>
            </c:numRef>
          </c:yVal>
          <c:smooth val="0"/>
          <c:extLst>
            <c:ext xmlns:c16="http://schemas.microsoft.com/office/drawing/2014/chart" uri="{C3380CC4-5D6E-409C-BE32-E72D297353CC}">
              <c16:uniqueId val="{00000003-B7F7-455A-957B-E345C7D3167D}"/>
            </c:ext>
          </c:extLst>
        </c:ser>
        <c:ser>
          <c:idx val="3"/>
          <c:order val="2"/>
          <c:tx>
            <c:strRef>
              <c:f>Diffusion!$N$24</c:f>
              <c:strCache>
                <c:ptCount val="1"/>
                <c:pt idx="0">
                  <c:v>323 K</c:v>
                </c:pt>
              </c:strCache>
            </c:strRef>
          </c:tx>
          <c:spPr>
            <a:ln w="28575">
              <a:noFill/>
            </a:ln>
          </c:spPr>
          <c:marker>
            <c:symbol val="circle"/>
            <c:size val="7"/>
            <c:spPr>
              <a:solidFill>
                <a:sysClr val="windowText" lastClr="000000"/>
              </a:solidFill>
              <a:ln>
                <a:noFill/>
              </a:ln>
            </c:spPr>
          </c:marker>
          <c:trendline>
            <c:trendlineType val="linear"/>
            <c:dispRSqr val="0"/>
            <c:dispEq val="0"/>
          </c:trendline>
          <c:xVal>
            <c:numRef>
              <c:f>Diffusion!$Q$26:$Q$38</c:f>
              <c:numCache>
                <c:formatCode>General</c:formatCode>
                <c:ptCount val="13"/>
                <c:pt idx="0">
                  <c:v>2.2360679774997898</c:v>
                </c:pt>
                <c:pt idx="1">
                  <c:v>3.1622776601683795</c:v>
                </c:pt>
                <c:pt idx="2">
                  <c:v>3.872983346207417</c:v>
                </c:pt>
                <c:pt idx="3">
                  <c:v>4.4721359549995796</c:v>
                </c:pt>
                <c:pt idx="4">
                  <c:v>5</c:v>
                </c:pt>
                <c:pt idx="5">
                  <c:v>5.4772255750516612</c:v>
                </c:pt>
                <c:pt idx="6">
                  <c:v>6.324555320336759</c:v>
                </c:pt>
                <c:pt idx="7">
                  <c:v>7.0710678118654755</c:v>
                </c:pt>
                <c:pt idx="8">
                  <c:v>7.745966692414834</c:v>
                </c:pt>
                <c:pt idx="9">
                  <c:v>10</c:v>
                </c:pt>
              </c:numCache>
            </c:numRef>
          </c:xVal>
          <c:yVal>
            <c:numRef>
              <c:f>Diffusion!$N$26:$N$38</c:f>
              <c:numCache>
                <c:formatCode>General</c:formatCode>
                <c:ptCount val="13"/>
                <c:pt idx="0">
                  <c:v>22</c:v>
                </c:pt>
                <c:pt idx="1">
                  <c:v>28</c:v>
                </c:pt>
                <c:pt idx="2">
                  <c:v>35</c:v>
                </c:pt>
                <c:pt idx="3">
                  <c:v>40</c:v>
                </c:pt>
                <c:pt idx="4">
                  <c:v>46</c:v>
                </c:pt>
                <c:pt idx="5">
                  <c:v>50</c:v>
                </c:pt>
                <c:pt idx="6">
                  <c:v>54</c:v>
                </c:pt>
                <c:pt idx="7">
                  <c:v>60</c:v>
                </c:pt>
                <c:pt idx="8">
                  <c:v>68</c:v>
                </c:pt>
                <c:pt idx="9">
                  <c:v>72</c:v>
                </c:pt>
              </c:numCache>
            </c:numRef>
          </c:yVal>
          <c:smooth val="0"/>
          <c:extLst>
            <c:ext xmlns:c16="http://schemas.microsoft.com/office/drawing/2014/chart" uri="{C3380CC4-5D6E-409C-BE32-E72D297353CC}">
              <c16:uniqueId val="{00000005-B7F7-455A-957B-E345C7D3167D}"/>
            </c:ext>
          </c:extLst>
        </c:ser>
        <c:dLbls>
          <c:showLegendKey val="0"/>
          <c:showVal val="0"/>
          <c:showCatName val="0"/>
          <c:showSerName val="0"/>
          <c:showPercent val="0"/>
          <c:showBubbleSize val="0"/>
        </c:dLbls>
        <c:axId val="75258496"/>
        <c:axId val="75268864"/>
      </c:scatterChart>
      <c:valAx>
        <c:axId val="75258496"/>
        <c:scaling>
          <c:orientation val="minMax"/>
        </c:scaling>
        <c:delete val="0"/>
        <c:axPos val="b"/>
        <c:title>
          <c:tx>
            <c:rich>
              <a:bodyPr/>
              <a:lstStyle/>
              <a:p>
                <a:pPr>
                  <a:defRPr/>
                </a:pPr>
                <a:r>
                  <a:rPr lang="en-US" i="1"/>
                  <a:t>t</a:t>
                </a:r>
                <a:r>
                  <a:rPr lang="en-US" i="1" baseline="30000"/>
                  <a:t>0.5</a:t>
                </a:r>
                <a:r>
                  <a:rPr lang="en-US"/>
                  <a:t> [minute</a:t>
                </a:r>
                <a:r>
                  <a:rPr lang="en-US" baseline="30000"/>
                  <a:t>0.5</a:t>
                </a:r>
                <a:r>
                  <a:rPr lang="en-US"/>
                  <a:t>]</a:t>
                </a:r>
              </a:p>
            </c:rich>
          </c:tx>
          <c:overlay val="0"/>
        </c:title>
        <c:numFmt formatCode="General" sourceLinked="1"/>
        <c:majorTickMark val="out"/>
        <c:minorTickMark val="none"/>
        <c:tickLblPos val="nextTo"/>
        <c:crossAx val="75268864"/>
        <c:crosses val="autoZero"/>
        <c:crossBetween val="midCat"/>
      </c:valAx>
      <c:valAx>
        <c:axId val="75268864"/>
        <c:scaling>
          <c:orientation val="minMax"/>
          <c:min val="35"/>
        </c:scaling>
        <c:delete val="0"/>
        <c:axPos val="l"/>
        <c:title>
          <c:tx>
            <c:rich>
              <a:bodyPr rot="-5400000" vert="horz"/>
              <a:lstStyle/>
              <a:p>
                <a:pPr>
                  <a:defRPr/>
                </a:pPr>
                <a:r>
                  <a:rPr lang="en-US" i="1"/>
                  <a:t>qt</a:t>
                </a:r>
                <a:r>
                  <a:rPr lang="en-US"/>
                  <a:t> [mg.g</a:t>
                </a:r>
                <a:r>
                  <a:rPr lang="en-US" baseline="30000"/>
                  <a:t>-1</a:t>
                </a:r>
                <a:r>
                  <a:rPr lang="en-US"/>
                  <a:t>]</a:t>
                </a:r>
              </a:p>
            </c:rich>
          </c:tx>
          <c:overlay val="0"/>
        </c:title>
        <c:numFmt formatCode="General" sourceLinked="1"/>
        <c:majorTickMark val="out"/>
        <c:minorTickMark val="none"/>
        <c:tickLblPos val="nextTo"/>
        <c:crossAx val="75258496"/>
        <c:crosses val="autoZero"/>
        <c:crossBetween val="midCat"/>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t>
            </a:r>
          </a:p>
        </c:rich>
      </c:tx>
      <c:layout>
        <c:manualLayout>
          <c:xMode val="edge"/>
          <c:yMode val="edge"/>
          <c:x val="0.34833241423279537"/>
          <c:y val="5.3322992388889628E-2"/>
        </c:manualLayout>
      </c:layout>
      <c:overlay val="1"/>
    </c:title>
    <c:autoTitleDeleted val="0"/>
    <c:plotArea>
      <c:layout>
        <c:manualLayout>
          <c:layoutTarget val="inner"/>
          <c:xMode val="edge"/>
          <c:yMode val="edge"/>
          <c:x val="0.1433079592424423"/>
          <c:y val="2.3318850463145038E-2"/>
          <c:w val="0.79767834040691721"/>
          <c:h val="0.76652551764362775"/>
        </c:manualLayout>
      </c:layout>
      <c:scatterChart>
        <c:scatterStyle val="lineMarker"/>
        <c:varyColors val="0"/>
        <c:ser>
          <c:idx val="1"/>
          <c:order val="0"/>
          <c:tx>
            <c:strRef>
              <c:f>Diffusion!$B$46</c:f>
              <c:strCache>
                <c:ptCount val="1"/>
                <c:pt idx="0">
                  <c:v>303 K</c:v>
                </c:pt>
              </c:strCache>
            </c:strRef>
          </c:tx>
          <c:spPr>
            <a:ln w="28575">
              <a:noFill/>
            </a:ln>
          </c:spPr>
          <c:marker>
            <c:symbol val="square"/>
            <c:size val="5"/>
            <c:spPr>
              <a:solidFill>
                <a:sysClr val="windowText" lastClr="000000"/>
              </a:solidFill>
              <a:ln>
                <a:noFill/>
              </a:ln>
            </c:spPr>
          </c:marker>
          <c:trendline>
            <c:trendlineType val="linear"/>
            <c:dispRSqr val="0"/>
            <c:dispEq val="0"/>
          </c:trendline>
          <c:xVal>
            <c:numRef>
              <c:f>Diffusion!$E$48:$E$60</c:f>
              <c:numCache>
                <c:formatCode>General</c:formatCode>
                <c:ptCount val="13"/>
                <c:pt idx="0">
                  <c:v>2.2360679774997898</c:v>
                </c:pt>
                <c:pt idx="1">
                  <c:v>3.1622776601683795</c:v>
                </c:pt>
                <c:pt idx="2">
                  <c:v>3.872983346207417</c:v>
                </c:pt>
                <c:pt idx="3">
                  <c:v>4.4721359549995796</c:v>
                </c:pt>
                <c:pt idx="4">
                  <c:v>5</c:v>
                </c:pt>
                <c:pt idx="5">
                  <c:v>5.4772255750516612</c:v>
                </c:pt>
                <c:pt idx="6">
                  <c:v>6.324555320336759</c:v>
                </c:pt>
                <c:pt idx="7">
                  <c:v>7.0710678118654755</c:v>
                </c:pt>
                <c:pt idx="8">
                  <c:v>7.745966692414834</c:v>
                </c:pt>
                <c:pt idx="9">
                  <c:v>10</c:v>
                </c:pt>
              </c:numCache>
            </c:numRef>
          </c:xVal>
          <c:yVal>
            <c:numRef>
              <c:f>Diffusion!$B$48:$B$60</c:f>
              <c:numCache>
                <c:formatCode>General</c:formatCode>
                <c:ptCount val="13"/>
                <c:pt idx="0">
                  <c:v>29</c:v>
                </c:pt>
                <c:pt idx="1">
                  <c:v>35</c:v>
                </c:pt>
                <c:pt idx="2">
                  <c:v>42</c:v>
                </c:pt>
                <c:pt idx="3">
                  <c:v>50</c:v>
                </c:pt>
                <c:pt idx="4">
                  <c:v>58</c:v>
                </c:pt>
                <c:pt idx="5">
                  <c:v>75</c:v>
                </c:pt>
                <c:pt idx="6">
                  <c:v>81</c:v>
                </c:pt>
                <c:pt idx="7">
                  <c:v>89</c:v>
                </c:pt>
                <c:pt idx="8">
                  <c:v>95</c:v>
                </c:pt>
                <c:pt idx="9">
                  <c:v>111</c:v>
                </c:pt>
              </c:numCache>
            </c:numRef>
          </c:yVal>
          <c:smooth val="0"/>
          <c:extLst>
            <c:ext xmlns:c16="http://schemas.microsoft.com/office/drawing/2014/chart" uri="{C3380CC4-5D6E-409C-BE32-E72D297353CC}">
              <c16:uniqueId val="{00000001-549F-4F12-A601-EA2A0ECBE570}"/>
            </c:ext>
          </c:extLst>
        </c:ser>
        <c:ser>
          <c:idx val="2"/>
          <c:order val="1"/>
          <c:tx>
            <c:strRef>
              <c:f>Diffusion!$H$46</c:f>
              <c:strCache>
                <c:ptCount val="1"/>
                <c:pt idx="0">
                  <c:v>313 K</c:v>
                </c:pt>
              </c:strCache>
            </c:strRef>
          </c:tx>
          <c:spPr>
            <a:ln w="28575">
              <a:noFill/>
            </a:ln>
          </c:spPr>
          <c:marker>
            <c:symbol val="triangle"/>
            <c:size val="5"/>
            <c:spPr>
              <a:solidFill>
                <a:sysClr val="windowText" lastClr="000000"/>
              </a:solidFill>
              <a:ln>
                <a:noFill/>
              </a:ln>
            </c:spPr>
          </c:marker>
          <c:trendline>
            <c:trendlineType val="linear"/>
            <c:dispRSqr val="0"/>
            <c:dispEq val="0"/>
          </c:trendline>
          <c:xVal>
            <c:numRef>
              <c:f>Diffusion!$K$48:$K$60</c:f>
              <c:numCache>
                <c:formatCode>General</c:formatCode>
                <c:ptCount val="13"/>
                <c:pt idx="0">
                  <c:v>2.2360679774997898</c:v>
                </c:pt>
                <c:pt idx="1">
                  <c:v>3.1622776601683795</c:v>
                </c:pt>
                <c:pt idx="2">
                  <c:v>3.872983346207417</c:v>
                </c:pt>
                <c:pt idx="3">
                  <c:v>4.4721359549995796</c:v>
                </c:pt>
                <c:pt idx="4">
                  <c:v>5</c:v>
                </c:pt>
                <c:pt idx="5">
                  <c:v>5.4772255750516612</c:v>
                </c:pt>
                <c:pt idx="6">
                  <c:v>6.324555320336759</c:v>
                </c:pt>
                <c:pt idx="7">
                  <c:v>7.0710678118654755</c:v>
                </c:pt>
                <c:pt idx="8">
                  <c:v>7.745966692414834</c:v>
                </c:pt>
                <c:pt idx="9">
                  <c:v>10</c:v>
                </c:pt>
              </c:numCache>
            </c:numRef>
          </c:xVal>
          <c:yVal>
            <c:numRef>
              <c:f>Diffusion!$H$48:$H$60</c:f>
              <c:numCache>
                <c:formatCode>General</c:formatCode>
                <c:ptCount val="13"/>
                <c:pt idx="0">
                  <c:v>39</c:v>
                </c:pt>
                <c:pt idx="1">
                  <c:v>45</c:v>
                </c:pt>
                <c:pt idx="2">
                  <c:v>58</c:v>
                </c:pt>
                <c:pt idx="3">
                  <c:v>65</c:v>
                </c:pt>
                <c:pt idx="4">
                  <c:v>74</c:v>
                </c:pt>
                <c:pt idx="5">
                  <c:v>85</c:v>
                </c:pt>
                <c:pt idx="6">
                  <c:v>91</c:v>
                </c:pt>
                <c:pt idx="7">
                  <c:v>105</c:v>
                </c:pt>
                <c:pt idx="8">
                  <c:v>114</c:v>
                </c:pt>
                <c:pt idx="9">
                  <c:v>121</c:v>
                </c:pt>
              </c:numCache>
            </c:numRef>
          </c:yVal>
          <c:smooth val="0"/>
          <c:extLst>
            <c:ext xmlns:c16="http://schemas.microsoft.com/office/drawing/2014/chart" uri="{C3380CC4-5D6E-409C-BE32-E72D297353CC}">
              <c16:uniqueId val="{00000003-549F-4F12-A601-EA2A0ECBE570}"/>
            </c:ext>
          </c:extLst>
        </c:ser>
        <c:ser>
          <c:idx val="3"/>
          <c:order val="2"/>
          <c:tx>
            <c:strRef>
              <c:f>Diffusion!$N$46</c:f>
              <c:strCache>
                <c:ptCount val="1"/>
                <c:pt idx="0">
                  <c:v>323 K</c:v>
                </c:pt>
              </c:strCache>
            </c:strRef>
          </c:tx>
          <c:spPr>
            <a:ln w="28575">
              <a:noFill/>
            </a:ln>
          </c:spPr>
          <c:marker>
            <c:symbol val="circle"/>
            <c:size val="7"/>
            <c:spPr>
              <a:solidFill>
                <a:sysClr val="windowText" lastClr="000000"/>
              </a:solidFill>
              <a:ln>
                <a:noFill/>
              </a:ln>
            </c:spPr>
          </c:marker>
          <c:trendline>
            <c:trendlineType val="linear"/>
            <c:dispRSqr val="0"/>
            <c:dispEq val="0"/>
          </c:trendline>
          <c:xVal>
            <c:numRef>
              <c:f>Diffusion!$Q$48:$Q$60</c:f>
              <c:numCache>
                <c:formatCode>General</c:formatCode>
                <c:ptCount val="13"/>
                <c:pt idx="0">
                  <c:v>2.2360679774997898</c:v>
                </c:pt>
                <c:pt idx="1">
                  <c:v>3.1622776601683795</c:v>
                </c:pt>
                <c:pt idx="2">
                  <c:v>3.872983346207417</c:v>
                </c:pt>
                <c:pt idx="3">
                  <c:v>4.4721359549995796</c:v>
                </c:pt>
                <c:pt idx="4">
                  <c:v>5</c:v>
                </c:pt>
                <c:pt idx="5">
                  <c:v>5.4772255750516612</c:v>
                </c:pt>
                <c:pt idx="6">
                  <c:v>6.324555320336759</c:v>
                </c:pt>
                <c:pt idx="7">
                  <c:v>7.0710678118654755</c:v>
                </c:pt>
                <c:pt idx="8">
                  <c:v>7.745966692414834</c:v>
                </c:pt>
                <c:pt idx="9">
                  <c:v>10</c:v>
                </c:pt>
              </c:numCache>
            </c:numRef>
          </c:xVal>
          <c:yVal>
            <c:numRef>
              <c:f>Diffusion!$N$48:$N$60</c:f>
              <c:numCache>
                <c:formatCode>General</c:formatCode>
                <c:ptCount val="13"/>
                <c:pt idx="0">
                  <c:v>38</c:v>
                </c:pt>
                <c:pt idx="1">
                  <c:v>48</c:v>
                </c:pt>
                <c:pt idx="2">
                  <c:v>54</c:v>
                </c:pt>
                <c:pt idx="3">
                  <c:v>68</c:v>
                </c:pt>
                <c:pt idx="4">
                  <c:v>80</c:v>
                </c:pt>
                <c:pt idx="5">
                  <c:v>94</c:v>
                </c:pt>
                <c:pt idx="6">
                  <c:v>109</c:v>
                </c:pt>
                <c:pt idx="7">
                  <c:v>117</c:v>
                </c:pt>
                <c:pt idx="8">
                  <c:v>121</c:v>
                </c:pt>
                <c:pt idx="9">
                  <c:v>130</c:v>
                </c:pt>
              </c:numCache>
            </c:numRef>
          </c:yVal>
          <c:smooth val="0"/>
          <c:extLst>
            <c:ext xmlns:c16="http://schemas.microsoft.com/office/drawing/2014/chart" uri="{C3380CC4-5D6E-409C-BE32-E72D297353CC}">
              <c16:uniqueId val="{00000005-549F-4F12-A601-EA2A0ECBE570}"/>
            </c:ext>
          </c:extLst>
        </c:ser>
        <c:dLbls>
          <c:showLegendKey val="0"/>
          <c:showVal val="0"/>
          <c:showCatName val="0"/>
          <c:showSerName val="0"/>
          <c:showPercent val="0"/>
          <c:showBubbleSize val="0"/>
        </c:dLbls>
        <c:axId val="75290496"/>
        <c:axId val="75296768"/>
      </c:scatterChart>
      <c:valAx>
        <c:axId val="75290496"/>
        <c:scaling>
          <c:orientation val="minMax"/>
        </c:scaling>
        <c:delete val="0"/>
        <c:axPos val="b"/>
        <c:title>
          <c:tx>
            <c:rich>
              <a:bodyPr/>
              <a:lstStyle/>
              <a:p>
                <a:pPr>
                  <a:defRPr/>
                </a:pPr>
                <a:r>
                  <a:rPr lang="en-US" i="1"/>
                  <a:t>t</a:t>
                </a:r>
                <a:r>
                  <a:rPr lang="en-US" i="1" baseline="30000"/>
                  <a:t>0.5</a:t>
                </a:r>
                <a:r>
                  <a:rPr lang="en-US"/>
                  <a:t> [minute</a:t>
                </a:r>
                <a:r>
                  <a:rPr lang="en-US" baseline="30000"/>
                  <a:t>0.5</a:t>
                </a:r>
                <a:r>
                  <a:rPr lang="en-US"/>
                  <a:t>]</a:t>
                </a:r>
              </a:p>
            </c:rich>
          </c:tx>
          <c:overlay val="0"/>
        </c:title>
        <c:numFmt formatCode="General" sourceLinked="1"/>
        <c:majorTickMark val="out"/>
        <c:minorTickMark val="none"/>
        <c:tickLblPos val="nextTo"/>
        <c:crossAx val="75296768"/>
        <c:crosses val="autoZero"/>
        <c:crossBetween val="midCat"/>
      </c:valAx>
      <c:valAx>
        <c:axId val="75296768"/>
        <c:scaling>
          <c:orientation val="minMax"/>
          <c:min val="50"/>
        </c:scaling>
        <c:delete val="0"/>
        <c:axPos val="l"/>
        <c:title>
          <c:tx>
            <c:rich>
              <a:bodyPr rot="-5400000" vert="horz"/>
              <a:lstStyle/>
              <a:p>
                <a:pPr>
                  <a:defRPr/>
                </a:pPr>
                <a:r>
                  <a:rPr lang="en-US" i="1"/>
                  <a:t>qt</a:t>
                </a:r>
                <a:r>
                  <a:rPr lang="en-US"/>
                  <a:t> [mg/g</a:t>
                </a:r>
                <a:r>
                  <a:rPr lang="en-US" baseline="30000"/>
                  <a:t>-1</a:t>
                </a:r>
                <a:r>
                  <a:rPr lang="en-US"/>
                  <a:t>]</a:t>
                </a:r>
              </a:p>
            </c:rich>
          </c:tx>
          <c:overlay val="0"/>
        </c:title>
        <c:numFmt formatCode="General" sourceLinked="1"/>
        <c:majorTickMark val="out"/>
        <c:minorTickMark val="none"/>
        <c:tickLblPos val="nextTo"/>
        <c:crossAx val="75290496"/>
        <c:crosses val="autoZero"/>
        <c:crossBetween val="midCat"/>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a:t>
            </a:r>
          </a:p>
        </c:rich>
      </c:tx>
      <c:layout>
        <c:manualLayout>
          <c:xMode val="edge"/>
          <c:yMode val="edge"/>
          <c:x val="0.21378507793902482"/>
          <c:y val="0.7609732828622553"/>
        </c:manualLayout>
      </c:layout>
      <c:overlay val="1"/>
    </c:title>
    <c:autoTitleDeleted val="0"/>
    <c:plotArea>
      <c:layout>
        <c:manualLayout>
          <c:layoutTarget val="inner"/>
          <c:xMode val="edge"/>
          <c:yMode val="edge"/>
          <c:x val="0.18670092968215907"/>
          <c:y val="0.1208711976329592"/>
          <c:w val="0.7353338214829801"/>
          <c:h val="0.82792599824089996"/>
        </c:manualLayout>
      </c:layout>
      <c:scatterChart>
        <c:scatterStyle val="lineMarker"/>
        <c:varyColors val="0"/>
        <c:ser>
          <c:idx val="0"/>
          <c:order val="0"/>
          <c:tx>
            <c:strRef>
              <c:f>Diffusion!$B$1</c:f>
              <c:strCache>
                <c:ptCount val="1"/>
                <c:pt idx="0">
                  <c:v>303 K</c:v>
                </c:pt>
              </c:strCache>
            </c:strRef>
          </c:tx>
          <c:spPr>
            <a:ln w="28575">
              <a:noFill/>
            </a:ln>
          </c:spPr>
          <c:marker>
            <c:symbol val="x"/>
            <c:size val="5"/>
            <c:spPr>
              <a:solidFill>
                <a:sysClr val="windowText" lastClr="000000"/>
              </a:solidFill>
              <a:ln>
                <a:noFill/>
              </a:ln>
            </c:spPr>
          </c:marker>
          <c:trendline>
            <c:trendlineType val="linear"/>
            <c:dispRSqr val="0"/>
            <c:dispEq val="0"/>
          </c:trendline>
          <c:xVal>
            <c:numRef>
              <c:f>Diffusion!$A$3:$A$15</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Diffusion!$F$3:$F$15</c:f>
              <c:numCache>
                <c:formatCode>General</c:formatCode>
                <c:ptCount val="13"/>
                <c:pt idx="0">
                  <c:v>-0.30538164955118174</c:v>
                </c:pt>
                <c:pt idx="1">
                  <c:v>-0.5020919437972361</c:v>
                </c:pt>
                <c:pt idx="2">
                  <c:v>-0.59306372200296287</c:v>
                </c:pt>
                <c:pt idx="3">
                  <c:v>-0.74721440183022103</c:v>
                </c:pt>
                <c:pt idx="4">
                  <c:v>-0.86499743748660463</c:v>
                </c:pt>
                <c:pt idx="5">
                  <c:v>-0.99852883011112703</c:v>
                </c:pt>
                <c:pt idx="6">
                  <c:v>-1.1526795099383855</c:v>
                </c:pt>
                <c:pt idx="7">
                  <c:v>-1.33500106673234</c:v>
                </c:pt>
                <c:pt idx="8">
                  <c:v>-1.8458266904983305</c:v>
                </c:pt>
                <c:pt idx="9">
                  <c:v>-2.2512917986064953</c:v>
                </c:pt>
              </c:numCache>
            </c:numRef>
          </c:yVal>
          <c:smooth val="0"/>
          <c:extLst>
            <c:ext xmlns:c16="http://schemas.microsoft.com/office/drawing/2014/chart" uri="{C3380CC4-5D6E-409C-BE32-E72D297353CC}">
              <c16:uniqueId val="{00000001-D172-4D84-9599-4F4403D8E12A}"/>
            </c:ext>
          </c:extLst>
        </c:ser>
        <c:ser>
          <c:idx val="1"/>
          <c:order val="1"/>
          <c:tx>
            <c:strRef>
              <c:f>Diffusion!$H$1</c:f>
              <c:strCache>
                <c:ptCount val="1"/>
                <c:pt idx="0">
                  <c:v>313 K</c:v>
                </c:pt>
              </c:strCache>
            </c:strRef>
          </c:tx>
          <c:spPr>
            <a:ln w="28575">
              <a:noFill/>
            </a:ln>
          </c:spPr>
          <c:marker>
            <c:symbol val="triangle"/>
            <c:size val="5"/>
            <c:spPr>
              <a:solidFill>
                <a:sysClr val="windowText" lastClr="000000"/>
              </a:solidFill>
              <a:ln>
                <a:noFill/>
              </a:ln>
            </c:spPr>
          </c:marker>
          <c:trendline>
            <c:trendlineType val="linear"/>
            <c:dispRSqr val="0"/>
            <c:dispEq val="0"/>
          </c:trendline>
          <c:xVal>
            <c:numRef>
              <c:f>Diffusion!$A$3:$A$15</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Diffusion!$L$3:$L$15</c:f>
              <c:numCache>
                <c:formatCode>General</c:formatCode>
                <c:ptCount val="13"/>
                <c:pt idx="0">
                  <c:v>-0.35667494393873245</c:v>
                </c:pt>
                <c:pt idx="1">
                  <c:v>-0.47000362924573558</c:v>
                </c:pt>
                <c:pt idx="2">
                  <c:v>-0.59783700075562041</c:v>
                </c:pt>
                <c:pt idx="3">
                  <c:v>-0.69314718055994529</c:v>
                </c:pt>
                <c:pt idx="4">
                  <c:v>-0.79850769621777173</c:v>
                </c:pt>
                <c:pt idx="5">
                  <c:v>-0.98082925301172619</c:v>
                </c:pt>
                <c:pt idx="6">
                  <c:v>-1.2039728043259359</c:v>
                </c:pt>
                <c:pt idx="7">
                  <c:v>-1.3862943611198906</c:v>
                </c:pt>
                <c:pt idx="8">
                  <c:v>-1.7429693050586228</c:v>
                </c:pt>
                <c:pt idx="9">
                  <c:v>-2.0794415416798357</c:v>
                </c:pt>
              </c:numCache>
            </c:numRef>
          </c:yVal>
          <c:smooth val="0"/>
          <c:extLst>
            <c:ext xmlns:c16="http://schemas.microsoft.com/office/drawing/2014/chart" uri="{C3380CC4-5D6E-409C-BE32-E72D297353CC}">
              <c16:uniqueId val="{00000003-D172-4D84-9599-4F4403D8E12A}"/>
            </c:ext>
          </c:extLst>
        </c:ser>
        <c:ser>
          <c:idx val="2"/>
          <c:order val="2"/>
          <c:tx>
            <c:strRef>
              <c:f>Diffusion!$N$1</c:f>
              <c:strCache>
                <c:ptCount val="1"/>
                <c:pt idx="0">
                  <c:v>323 K</c:v>
                </c:pt>
              </c:strCache>
            </c:strRef>
          </c:tx>
          <c:spPr>
            <a:ln w="28575">
              <a:noFill/>
            </a:ln>
          </c:spPr>
          <c:marker>
            <c:symbol val="circle"/>
            <c:size val="5"/>
            <c:spPr>
              <a:solidFill>
                <a:sysClr val="windowText" lastClr="000000"/>
              </a:solidFill>
              <a:ln>
                <a:noFill/>
              </a:ln>
            </c:spPr>
          </c:marker>
          <c:trendline>
            <c:trendlineType val="linear"/>
            <c:dispRSqr val="0"/>
            <c:dispEq val="0"/>
          </c:trendline>
          <c:xVal>
            <c:numRef>
              <c:f>Diffusion!$A$3:$A$15</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Diffusion!$R$3:$R$15</c:f>
              <c:numCache>
                <c:formatCode>General</c:formatCode>
                <c:ptCount val="13"/>
                <c:pt idx="0">
                  <c:v>-0.44183275227903934</c:v>
                </c:pt>
                <c:pt idx="1">
                  <c:v>-0.64662716492505246</c:v>
                </c:pt>
                <c:pt idx="2">
                  <c:v>-0.90445627422715225</c:v>
                </c:pt>
                <c:pt idx="3">
                  <c:v>-0.96508089604358716</c:v>
                </c:pt>
                <c:pt idx="4">
                  <c:v>-1.0986122886681096</c:v>
                </c:pt>
                <c:pt idx="5">
                  <c:v>-1.339774345484998</c:v>
                </c:pt>
                <c:pt idx="6">
                  <c:v>-1.6582280766035324</c:v>
                </c:pt>
                <c:pt idx="7">
                  <c:v>-1.945910149055313</c:v>
                </c:pt>
                <c:pt idx="8">
                  <c:v>-2.3513752571634776</c:v>
                </c:pt>
                <c:pt idx="9">
                  <c:v>-3.0445224377234217</c:v>
                </c:pt>
              </c:numCache>
            </c:numRef>
          </c:yVal>
          <c:smooth val="0"/>
          <c:extLst>
            <c:ext xmlns:c16="http://schemas.microsoft.com/office/drawing/2014/chart" uri="{C3380CC4-5D6E-409C-BE32-E72D297353CC}">
              <c16:uniqueId val="{00000005-D172-4D84-9599-4F4403D8E12A}"/>
            </c:ext>
          </c:extLst>
        </c:ser>
        <c:dLbls>
          <c:showLegendKey val="0"/>
          <c:showVal val="0"/>
          <c:showCatName val="0"/>
          <c:showSerName val="0"/>
          <c:showPercent val="0"/>
          <c:showBubbleSize val="0"/>
        </c:dLbls>
        <c:axId val="75396224"/>
        <c:axId val="75398144"/>
      </c:scatterChart>
      <c:valAx>
        <c:axId val="75396224"/>
        <c:scaling>
          <c:orientation val="minMax"/>
        </c:scaling>
        <c:delete val="0"/>
        <c:axPos val="b"/>
        <c:title>
          <c:tx>
            <c:rich>
              <a:bodyPr/>
              <a:lstStyle/>
              <a:p>
                <a:pPr>
                  <a:defRPr/>
                </a:pPr>
                <a:r>
                  <a:rPr lang="en-US" i="1"/>
                  <a:t>t</a:t>
                </a:r>
                <a:r>
                  <a:rPr lang="en-US"/>
                  <a:t> [minute]</a:t>
                </a:r>
              </a:p>
            </c:rich>
          </c:tx>
          <c:layout>
            <c:manualLayout>
              <c:xMode val="edge"/>
              <c:yMode val="edge"/>
              <c:x val="0.29412058886144865"/>
              <c:y val="2.3942547382582204E-2"/>
            </c:manualLayout>
          </c:layout>
          <c:overlay val="0"/>
        </c:title>
        <c:numFmt formatCode="General" sourceLinked="1"/>
        <c:majorTickMark val="out"/>
        <c:minorTickMark val="none"/>
        <c:tickLblPos val="nextTo"/>
        <c:crossAx val="75398144"/>
        <c:crosses val="autoZero"/>
        <c:crossBetween val="midCat"/>
      </c:valAx>
      <c:valAx>
        <c:axId val="75398144"/>
        <c:scaling>
          <c:orientation val="minMax"/>
        </c:scaling>
        <c:delete val="0"/>
        <c:axPos val="l"/>
        <c:title>
          <c:tx>
            <c:rich>
              <a:bodyPr rot="-5400000" vert="horz"/>
              <a:lstStyle/>
              <a:p>
                <a:pPr>
                  <a:defRPr i="1"/>
                </a:pPr>
                <a:r>
                  <a:rPr lang="en-US" i="1"/>
                  <a:t>Ln(1-qt/qe)</a:t>
                </a:r>
              </a:p>
            </c:rich>
          </c:tx>
          <c:overlay val="0"/>
        </c:title>
        <c:numFmt formatCode="General" sourceLinked="1"/>
        <c:majorTickMark val="out"/>
        <c:minorTickMark val="none"/>
        <c:tickLblPos val="nextTo"/>
        <c:crossAx val="75396224"/>
        <c:crosses val="autoZero"/>
        <c:crossBetween val="midCat"/>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86351706036744"/>
          <c:y val="5.1400554097404481E-2"/>
          <c:w val="0.77294544515134478"/>
          <c:h val="0.73444808982210552"/>
        </c:manualLayout>
      </c:layout>
      <c:scatterChart>
        <c:scatterStyle val="smoothMarker"/>
        <c:varyColors val="0"/>
        <c:ser>
          <c:idx val="0"/>
          <c:order val="0"/>
          <c:spPr>
            <a:ln w="19050">
              <a:solidFill>
                <a:sysClr val="windowText" lastClr="000000"/>
              </a:solidFill>
            </a:ln>
          </c:spPr>
          <c:marker>
            <c:spPr>
              <a:solidFill>
                <a:schemeClr val="tx1"/>
              </a:solidFill>
              <a:ln>
                <a:solidFill>
                  <a:schemeClr val="tx1"/>
                </a:solidFill>
              </a:ln>
            </c:spPr>
          </c:marker>
          <c:xVal>
            <c:numRef>
              <c:f>Sheet1!$A$4:$A$9</c:f>
              <c:numCache>
                <c:formatCode>General</c:formatCode>
                <c:ptCount val="6"/>
                <c:pt idx="0">
                  <c:v>2.5000000000000001E-2</c:v>
                </c:pt>
                <c:pt idx="1">
                  <c:v>0.05</c:v>
                </c:pt>
                <c:pt idx="2">
                  <c:v>7.4999999999999997E-2</c:v>
                </c:pt>
                <c:pt idx="3">
                  <c:v>0.1</c:v>
                </c:pt>
                <c:pt idx="4">
                  <c:v>0.15</c:v>
                </c:pt>
                <c:pt idx="5">
                  <c:v>0.2</c:v>
                </c:pt>
              </c:numCache>
            </c:numRef>
          </c:xVal>
          <c:yVal>
            <c:numRef>
              <c:f>Sheet1!$B$4:$B$9</c:f>
              <c:numCache>
                <c:formatCode>General</c:formatCode>
                <c:ptCount val="6"/>
                <c:pt idx="0">
                  <c:v>178</c:v>
                </c:pt>
                <c:pt idx="1">
                  <c:v>100</c:v>
                </c:pt>
                <c:pt idx="2">
                  <c:v>70.66</c:v>
                </c:pt>
                <c:pt idx="3">
                  <c:v>65</c:v>
                </c:pt>
                <c:pt idx="4">
                  <c:v>47.3</c:v>
                </c:pt>
                <c:pt idx="5">
                  <c:v>38.5</c:v>
                </c:pt>
              </c:numCache>
            </c:numRef>
          </c:yVal>
          <c:smooth val="1"/>
          <c:extLst>
            <c:ext xmlns:c16="http://schemas.microsoft.com/office/drawing/2014/chart" uri="{C3380CC4-5D6E-409C-BE32-E72D297353CC}">
              <c16:uniqueId val="{00000000-8529-4353-986D-3723AFCA737F}"/>
            </c:ext>
          </c:extLst>
        </c:ser>
        <c:dLbls>
          <c:showLegendKey val="0"/>
          <c:showVal val="0"/>
          <c:showCatName val="0"/>
          <c:showSerName val="0"/>
          <c:showPercent val="0"/>
          <c:showBubbleSize val="0"/>
        </c:dLbls>
        <c:axId val="41310464"/>
        <c:axId val="68510848"/>
      </c:scatterChart>
      <c:valAx>
        <c:axId val="41310464"/>
        <c:scaling>
          <c:orientation val="minMax"/>
        </c:scaling>
        <c:delete val="0"/>
        <c:axPos val="b"/>
        <c:title>
          <c:tx>
            <c:rich>
              <a:bodyPr/>
              <a:lstStyle/>
              <a:p>
                <a:pPr>
                  <a:defRPr/>
                </a:pPr>
                <a:r>
                  <a:rPr lang="en-US"/>
                  <a:t>Adsorbent (mg</a:t>
                </a:r>
                <a:r>
                  <a:rPr lang="en-US" baseline="0"/>
                  <a:t> L</a:t>
                </a:r>
                <a:r>
                  <a:rPr lang="en-US" baseline="30000"/>
                  <a:t>-1</a:t>
                </a:r>
                <a:r>
                  <a:rPr lang="en-US"/>
                  <a:t>)</a:t>
                </a:r>
              </a:p>
            </c:rich>
          </c:tx>
          <c:layout>
            <c:manualLayout>
              <c:xMode val="edge"/>
              <c:yMode val="edge"/>
              <c:x val="0.43546981627296588"/>
              <c:y val="0.87868037328667248"/>
            </c:manualLayout>
          </c:layout>
          <c:overlay val="0"/>
        </c:title>
        <c:numFmt formatCode="General" sourceLinked="1"/>
        <c:majorTickMark val="none"/>
        <c:minorTickMark val="none"/>
        <c:tickLblPos val="nextTo"/>
        <c:spPr>
          <a:ln>
            <a:solidFill>
              <a:schemeClr val="tx1"/>
            </a:solidFill>
          </a:ln>
        </c:spPr>
        <c:crossAx val="68510848"/>
        <c:crosses val="autoZero"/>
        <c:crossBetween val="midCat"/>
      </c:valAx>
      <c:valAx>
        <c:axId val="68510848"/>
        <c:scaling>
          <c:orientation val="minMax"/>
        </c:scaling>
        <c:delete val="0"/>
        <c:axPos val="l"/>
        <c:title>
          <c:tx>
            <c:rich>
              <a:bodyPr/>
              <a:lstStyle/>
              <a:p>
                <a:pPr>
                  <a:defRPr/>
                </a:pPr>
                <a:r>
                  <a:rPr lang="en-US" sz="1200" b="1" i="0" baseline="0">
                    <a:effectLst/>
                    <a:latin typeface="+mn-lt"/>
                  </a:rPr>
                  <a:t>q</a:t>
                </a:r>
                <a:r>
                  <a:rPr lang="en-US" sz="1200" b="1" i="0" baseline="-25000">
                    <a:effectLst/>
                    <a:latin typeface="+mn-lt"/>
                  </a:rPr>
                  <a:t>e</a:t>
                </a:r>
                <a:r>
                  <a:rPr lang="en-US" sz="1200" b="1" i="0" baseline="0">
                    <a:effectLst/>
                    <a:latin typeface="+mn-lt"/>
                  </a:rPr>
                  <a:t>(mg g</a:t>
                </a:r>
                <a:r>
                  <a:rPr lang="en-US" sz="1200" b="1" i="0" baseline="30000">
                    <a:effectLst/>
                    <a:latin typeface="+mn-lt"/>
                  </a:rPr>
                  <a:t>-1</a:t>
                </a:r>
                <a:r>
                  <a:rPr lang="en-US" sz="1200" b="1" i="0" baseline="0">
                    <a:effectLst/>
                    <a:latin typeface="+mn-lt"/>
                  </a:rPr>
                  <a:t>)</a:t>
                </a:r>
                <a:endParaRPr lang="en-IN" sz="1200" b="1">
                  <a:effectLst/>
                  <a:latin typeface="+mn-lt"/>
                </a:endParaRPr>
              </a:p>
            </c:rich>
          </c:tx>
          <c:layout>
            <c:manualLayout>
              <c:xMode val="edge"/>
              <c:yMode val="edge"/>
              <c:x val="2.5380016283765256E-2"/>
              <c:y val="0.30680737824438609"/>
            </c:manualLayout>
          </c:layout>
          <c:overlay val="0"/>
        </c:title>
        <c:numFmt formatCode="General" sourceLinked="1"/>
        <c:majorTickMark val="none"/>
        <c:minorTickMark val="none"/>
        <c:tickLblPos val="nextTo"/>
        <c:spPr>
          <a:ln>
            <a:solidFill>
              <a:schemeClr val="tx1"/>
            </a:solidFill>
          </a:ln>
        </c:spPr>
        <c:crossAx val="41310464"/>
        <c:crosses val="autoZero"/>
        <c:crossBetween val="midCat"/>
      </c:valAx>
      <c:spPr>
        <a:ln>
          <a:solidFill>
            <a:schemeClr val="tx1"/>
          </a:solidFill>
        </a:ln>
      </c:spPr>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a:t>
            </a:r>
          </a:p>
        </c:rich>
      </c:tx>
      <c:layout>
        <c:manualLayout>
          <c:xMode val="edge"/>
          <c:yMode val="edge"/>
          <c:x val="0.23375757841988593"/>
          <c:y val="0.71759673256923284"/>
        </c:manualLayout>
      </c:layout>
      <c:overlay val="1"/>
    </c:title>
    <c:autoTitleDeleted val="0"/>
    <c:plotArea>
      <c:layout>
        <c:manualLayout>
          <c:layoutTarget val="inner"/>
          <c:xMode val="edge"/>
          <c:yMode val="edge"/>
          <c:x val="0.15822722347089499"/>
          <c:y val="0.12645467055311554"/>
          <c:w val="0.7851206941429395"/>
          <c:h val="0.82793127290357427"/>
        </c:manualLayout>
      </c:layout>
      <c:scatterChart>
        <c:scatterStyle val="lineMarker"/>
        <c:varyColors val="0"/>
        <c:ser>
          <c:idx val="0"/>
          <c:order val="0"/>
          <c:tx>
            <c:strRef>
              <c:f>Diffusion!$B$24</c:f>
              <c:strCache>
                <c:ptCount val="1"/>
                <c:pt idx="0">
                  <c:v>303 K</c:v>
                </c:pt>
              </c:strCache>
            </c:strRef>
          </c:tx>
          <c:spPr>
            <a:ln w="28575">
              <a:noFill/>
            </a:ln>
          </c:spPr>
          <c:marker>
            <c:symbol val="x"/>
            <c:size val="5"/>
            <c:spPr>
              <a:solidFill>
                <a:sysClr val="windowText" lastClr="000000"/>
              </a:solidFill>
              <a:ln>
                <a:noFill/>
              </a:ln>
            </c:spPr>
          </c:marker>
          <c:trendline>
            <c:trendlineType val="linear"/>
            <c:dispRSqr val="0"/>
            <c:dispEq val="0"/>
          </c:trendline>
          <c:xVal>
            <c:numRef>
              <c:f>Diffusion!$A$26:$A$38</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Diffusion!$F$26:$F$38</c:f>
              <c:numCache>
                <c:formatCode>General</c:formatCode>
                <c:ptCount val="13"/>
                <c:pt idx="0">
                  <c:v>-0.25704510298989114</c:v>
                </c:pt>
                <c:pt idx="1">
                  <c:v>-0.40546510810816427</c:v>
                </c:pt>
                <c:pt idx="2">
                  <c:v>-0.51082562376599072</c:v>
                </c:pt>
                <c:pt idx="3">
                  <c:v>-0.70657020089208611</c:v>
                </c:pt>
                <c:pt idx="4">
                  <c:v>-0.88350090905116418</c:v>
                </c:pt>
                <c:pt idx="5">
                  <c:v>-1.0593915755148284</c:v>
                </c:pt>
                <c:pt idx="6">
                  <c:v>-1.3217558399823193</c:v>
                </c:pt>
                <c:pt idx="7">
                  <c:v>-1.544899391296529</c:v>
                </c:pt>
                <c:pt idx="8">
                  <c:v>-1.83258146374831</c:v>
                </c:pt>
                <c:pt idx="9">
                  <c:v>-2.120263536200091</c:v>
                </c:pt>
              </c:numCache>
            </c:numRef>
          </c:yVal>
          <c:smooth val="0"/>
          <c:extLst>
            <c:ext xmlns:c16="http://schemas.microsoft.com/office/drawing/2014/chart" uri="{C3380CC4-5D6E-409C-BE32-E72D297353CC}">
              <c16:uniqueId val="{00000001-12D2-4A63-B4E4-12FD4FCEA7CE}"/>
            </c:ext>
          </c:extLst>
        </c:ser>
        <c:ser>
          <c:idx val="1"/>
          <c:order val="1"/>
          <c:tx>
            <c:strRef>
              <c:f>Diffusion!$H$24</c:f>
              <c:strCache>
                <c:ptCount val="1"/>
                <c:pt idx="0">
                  <c:v>313 K</c:v>
                </c:pt>
              </c:strCache>
            </c:strRef>
          </c:tx>
          <c:spPr>
            <a:ln w="28575">
              <a:noFill/>
            </a:ln>
          </c:spPr>
          <c:marker>
            <c:symbol val="triangle"/>
            <c:size val="5"/>
            <c:spPr>
              <a:solidFill>
                <a:sysClr val="windowText" lastClr="000000"/>
              </a:solidFill>
              <a:ln>
                <a:noFill/>
              </a:ln>
            </c:spPr>
          </c:marker>
          <c:trendline>
            <c:trendlineType val="linear"/>
            <c:dispRSqr val="0"/>
            <c:dispEq val="0"/>
          </c:trendline>
          <c:xVal>
            <c:numRef>
              <c:f>Diffusion!$A$26:$A$38</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Diffusion!$L$26:$L$38</c:f>
              <c:numCache>
                <c:formatCode>General</c:formatCode>
                <c:ptCount val="13"/>
                <c:pt idx="0">
                  <c:v>-0.30448919076816211</c:v>
                </c:pt>
                <c:pt idx="1">
                  <c:v>-0.45020100194955592</c:v>
                </c:pt>
                <c:pt idx="2">
                  <c:v>-0.55338523818478669</c:v>
                </c:pt>
                <c:pt idx="3">
                  <c:v>-0.85566611005772009</c:v>
                </c:pt>
                <c:pt idx="4">
                  <c:v>-1.0498221244986778</c:v>
                </c:pt>
                <c:pt idx="5">
                  <c:v>-1.2909841813155656</c:v>
                </c:pt>
                <c:pt idx="6">
                  <c:v>-1.3862943611198906</c:v>
                </c:pt>
                <c:pt idx="7">
                  <c:v>-1.6094379124341005</c:v>
                </c:pt>
                <c:pt idx="8">
                  <c:v>-1.8971199848858811</c:v>
                </c:pt>
                <c:pt idx="9">
                  <c:v>-2.0794415416798357</c:v>
                </c:pt>
              </c:numCache>
            </c:numRef>
          </c:yVal>
          <c:smooth val="0"/>
          <c:extLst>
            <c:ext xmlns:c16="http://schemas.microsoft.com/office/drawing/2014/chart" uri="{C3380CC4-5D6E-409C-BE32-E72D297353CC}">
              <c16:uniqueId val="{00000003-12D2-4A63-B4E4-12FD4FCEA7CE}"/>
            </c:ext>
          </c:extLst>
        </c:ser>
        <c:ser>
          <c:idx val="2"/>
          <c:order val="2"/>
          <c:tx>
            <c:strRef>
              <c:f>Diffusion!$N$24</c:f>
              <c:strCache>
                <c:ptCount val="1"/>
                <c:pt idx="0">
                  <c:v>323 K</c:v>
                </c:pt>
              </c:strCache>
            </c:strRef>
          </c:tx>
          <c:spPr>
            <a:ln w="28575">
              <a:noFill/>
            </a:ln>
          </c:spPr>
          <c:marker>
            <c:symbol val="circle"/>
            <c:size val="5"/>
            <c:spPr>
              <a:solidFill>
                <a:sysClr val="windowText" lastClr="000000"/>
              </a:solidFill>
              <a:ln>
                <a:noFill/>
              </a:ln>
            </c:spPr>
          </c:marker>
          <c:trendline>
            <c:trendlineType val="linear"/>
            <c:dispRSqr val="0"/>
            <c:dispEq val="0"/>
          </c:trendline>
          <c:xVal>
            <c:numRef>
              <c:f>Diffusion!$A$26:$A$38</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Diffusion!$R$26:$R$38</c:f>
              <c:numCache>
                <c:formatCode>General</c:formatCode>
                <c:ptCount val="13"/>
                <c:pt idx="0">
                  <c:v>-0.31237468504215243</c:v>
                </c:pt>
                <c:pt idx="1">
                  <c:v>-0.41773520069997883</c:v>
                </c:pt>
                <c:pt idx="2">
                  <c:v>-0.55657164555419436</c:v>
                </c:pt>
                <c:pt idx="3">
                  <c:v>-0.66904962898088483</c:v>
                </c:pt>
                <c:pt idx="4">
                  <c:v>-0.82320030880814321</c:v>
                </c:pt>
                <c:pt idx="5">
                  <c:v>-0.94098334446452658</c:v>
                </c:pt>
                <c:pt idx="6">
                  <c:v>-1.0745147370890493</c:v>
                </c:pt>
                <c:pt idx="7">
                  <c:v>-1.3156767939059373</c:v>
                </c:pt>
                <c:pt idx="8">
                  <c:v>-1.7676619176489943</c:v>
                </c:pt>
                <c:pt idx="9">
                  <c:v>-2.1041341542702074</c:v>
                </c:pt>
              </c:numCache>
            </c:numRef>
          </c:yVal>
          <c:smooth val="0"/>
          <c:extLst>
            <c:ext xmlns:c16="http://schemas.microsoft.com/office/drawing/2014/chart" uri="{C3380CC4-5D6E-409C-BE32-E72D297353CC}">
              <c16:uniqueId val="{00000005-12D2-4A63-B4E4-12FD4FCEA7CE}"/>
            </c:ext>
          </c:extLst>
        </c:ser>
        <c:dLbls>
          <c:showLegendKey val="0"/>
          <c:showVal val="0"/>
          <c:showCatName val="0"/>
          <c:showSerName val="0"/>
          <c:showPercent val="0"/>
          <c:showBubbleSize val="0"/>
        </c:dLbls>
        <c:axId val="75420032"/>
        <c:axId val="75421952"/>
      </c:scatterChart>
      <c:valAx>
        <c:axId val="75420032"/>
        <c:scaling>
          <c:orientation val="minMax"/>
        </c:scaling>
        <c:delete val="0"/>
        <c:axPos val="b"/>
        <c:title>
          <c:tx>
            <c:rich>
              <a:bodyPr/>
              <a:lstStyle/>
              <a:p>
                <a:pPr>
                  <a:defRPr/>
                </a:pPr>
                <a:r>
                  <a:rPr lang="en-US" i="1"/>
                  <a:t>t</a:t>
                </a:r>
                <a:r>
                  <a:rPr lang="en-US"/>
                  <a:t> [minute]</a:t>
                </a:r>
              </a:p>
            </c:rich>
          </c:tx>
          <c:layout>
            <c:manualLayout>
              <c:xMode val="edge"/>
              <c:yMode val="edge"/>
              <c:x val="0.34089609213991884"/>
              <c:y val="2.3923203066953311E-2"/>
            </c:manualLayout>
          </c:layout>
          <c:overlay val="0"/>
        </c:title>
        <c:numFmt formatCode="General" sourceLinked="1"/>
        <c:majorTickMark val="out"/>
        <c:minorTickMark val="none"/>
        <c:tickLblPos val="nextTo"/>
        <c:crossAx val="75421952"/>
        <c:crosses val="autoZero"/>
        <c:crossBetween val="midCat"/>
      </c:valAx>
      <c:valAx>
        <c:axId val="75421952"/>
        <c:scaling>
          <c:orientation val="minMax"/>
        </c:scaling>
        <c:delete val="0"/>
        <c:axPos val="l"/>
        <c:title>
          <c:tx>
            <c:rich>
              <a:bodyPr rot="-5400000" vert="horz"/>
              <a:lstStyle/>
              <a:p>
                <a:pPr>
                  <a:defRPr i="1"/>
                </a:pPr>
                <a:r>
                  <a:rPr lang="en-US"/>
                  <a:t>ln (1-qt/qe)</a:t>
                </a:r>
              </a:p>
            </c:rich>
          </c:tx>
          <c:overlay val="0"/>
        </c:title>
        <c:numFmt formatCode="General" sourceLinked="1"/>
        <c:majorTickMark val="out"/>
        <c:minorTickMark val="none"/>
        <c:tickLblPos val="nextTo"/>
        <c:crossAx val="75420032"/>
        <c:crosses val="autoZero"/>
        <c:crossBetween val="midCat"/>
      </c:valAx>
      <c:spPr>
        <a:noFill/>
        <a:ln w="25400">
          <a:noFill/>
        </a:ln>
      </c:spPr>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t>
            </a:r>
          </a:p>
        </c:rich>
      </c:tx>
      <c:layout>
        <c:manualLayout>
          <c:xMode val="edge"/>
          <c:yMode val="edge"/>
          <c:x val="0.21583783180452956"/>
          <c:y val="0.7049842387791978"/>
        </c:manualLayout>
      </c:layout>
      <c:overlay val="1"/>
    </c:title>
    <c:autoTitleDeleted val="0"/>
    <c:plotArea>
      <c:layout>
        <c:manualLayout>
          <c:layoutTarget val="inner"/>
          <c:xMode val="edge"/>
          <c:yMode val="edge"/>
          <c:x val="0.14185348287649613"/>
          <c:y val="0.13203814347327186"/>
          <c:w val="0.80944430899064057"/>
          <c:h val="0.82234892157323836"/>
        </c:manualLayout>
      </c:layout>
      <c:scatterChart>
        <c:scatterStyle val="lineMarker"/>
        <c:varyColors val="0"/>
        <c:ser>
          <c:idx val="0"/>
          <c:order val="0"/>
          <c:tx>
            <c:strRef>
              <c:f>Diffusion!$B$46</c:f>
              <c:strCache>
                <c:ptCount val="1"/>
                <c:pt idx="0">
                  <c:v>303 K</c:v>
                </c:pt>
              </c:strCache>
            </c:strRef>
          </c:tx>
          <c:spPr>
            <a:ln w="28575">
              <a:noFill/>
            </a:ln>
          </c:spPr>
          <c:marker>
            <c:symbol val="x"/>
            <c:size val="5"/>
            <c:spPr>
              <a:solidFill>
                <a:sysClr val="windowText" lastClr="000000"/>
              </a:solidFill>
              <a:ln>
                <a:noFill/>
              </a:ln>
            </c:spPr>
          </c:marker>
          <c:trendline>
            <c:trendlineType val="linear"/>
            <c:dispRSqr val="0"/>
            <c:dispEq val="0"/>
          </c:trendline>
          <c:xVal>
            <c:numRef>
              <c:f>Diffusion!$A$48:$A$60</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Diffusion!$F$48:$F$60</c:f>
              <c:numCache>
                <c:formatCode>General</c:formatCode>
                <c:ptCount val="13"/>
                <c:pt idx="0">
                  <c:v>-0.27142155158000053</c:v>
                </c:pt>
                <c:pt idx="1">
                  <c:v>-0.33811292607867283</c:v>
                </c:pt>
                <c:pt idx="2">
                  <c:v>-0.42199441005937482</c:v>
                </c:pt>
                <c:pt idx="3">
                  <c:v>-0.52735492571720122</c:v>
                </c:pt>
                <c:pt idx="4">
                  <c:v>-0.6451379613735847</c:v>
                </c:pt>
                <c:pt idx="5">
                  <c:v>-0.95387344302319799</c:v>
                </c:pt>
                <c:pt idx="6">
                  <c:v>-1.0904489780289486</c:v>
                </c:pt>
                <c:pt idx="7">
                  <c:v>-1.3075134832667765</c:v>
                </c:pt>
                <c:pt idx="8">
                  <c:v>-1.5081841787289274</c:v>
                </c:pt>
                <c:pt idx="9">
                  <c:v>-2.4061257719348861</c:v>
                </c:pt>
              </c:numCache>
            </c:numRef>
          </c:yVal>
          <c:smooth val="0"/>
          <c:extLst>
            <c:ext xmlns:c16="http://schemas.microsoft.com/office/drawing/2014/chart" uri="{C3380CC4-5D6E-409C-BE32-E72D297353CC}">
              <c16:uniqueId val="{00000001-B3DD-4849-A977-AF5B6C69D485}"/>
            </c:ext>
          </c:extLst>
        </c:ser>
        <c:ser>
          <c:idx val="1"/>
          <c:order val="1"/>
          <c:tx>
            <c:strRef>
              <c:f>Diffusion!$H$46</c:f>
              <c:strCache>
                <c:ptCount val="1"/>
                <c:pt idx="0">
                  <c:v>313 K</c:v>
                </c:pt>
              </c:strCache>
            </c:strRef>
          </c:tx>
          <c:spPr>
            <a:ln w="28575">
              <a:noFill/>
            </a:ln>
          </c:spPr>
          <c:marker>
            <c:symbol val="triangle"/>
            <c:size val="5"/>
            <c:spPr>
              <a:solidFill>
                <a:sysClr val="windowText" lastClr="000000"/>
              </a:solidFill>
              <a:ln>
                <a:noFill/>
              </a:ln>
            </c:spPr>
          </c:marker>
          <c:trendline>
            <c:trendlineType val="linear"/>
            <c:dispRSqr val="0"/>
            <c:dispEq val="0"/>
          </c:trendline>
          <c:xVal>
            <c:numRef>
              <c:f>Diffusion!$A$48:$A$60</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Diffusion!$L$48:$L$60</c:f>
              <c:numCache>
                <c:formatCode>General</c:formatCode>
                <c:ptCount val="13"/>
                <c:pt idx="0">
                  <c:v>-0.35667494393873245</c:v>
                </c:pt>
                <c:pt idx="1">
                  <c:v>-0.42488319396526597</c:v>
                </c:pt>
                <c:pt idx="2">
                  <c:v>-0.59086833143952711</c:v>
                </c:pt>
                <c:pt idx="3">
                  <c:v>-0.69314718055994529</c:v>
                </c:pt>
                <c:pt idx="4">
                  <c:v>-0.84218275972043311</c:v>
                </c:pt>
                <c:pt idx="5">
                  <c:v>-1.0608719606852628</c:v>
                </c:pt>
                <c:pt idx="6">
                  <c:v>-1.2039728043259359</c:v>
                </c:pt>
                <c:pt idx="7">
                  <c:v>-1.6486586255873819</c:v>
                </c:pt>
                <c:pt idx="8">
                  <c:v>-2.0949457282158011</c:v>
                </c:pt>
                <c:pt idx="9">
                  <c:v>-2.6703098731193635</c:v>
                </c:pt>
              </c:numCache>
            </c:numRef>
          </c:yVal>
          <c:smooth val="0"/>
          <c:extLst>
            <c:ext xmlns:c16="http://schemas.microsoft.com/office/drawing/2014/chart" uri="{C3380CC4-5D6E-409C-BE32-E72D297353CC}">
              <c16:uniqueId val="{00000003-B3DD-4849-A977-AF5B6C69D485}"/>
            </c:ext>
          </c:extLst>
        </c:ser>
        <c:ser>
          <c:idx val="2"/>
          <c:order val="2"/>
          <c:tx>
            <c:strRef>
              <c:f>Diffusion!$N$46</c:f>
              <c:strCache>
                <c:ptCount val="1"/>
                <c:pt idx="0">
                  <c:v>323 K</c:v>
                </c:pt>
              </c:strCache>
            </c:strRef>
          </c:tx>
          <c:spPr>
            <a:ln w="28575">
              <a:noFill/>
            </a:ln>
          </c:spPr>
          <c:marker>
            <c:symbol val="circle"/>
            <c:size val="5"/>
            <c:spPr>
              <a:solidFill>
                <a:sysClr val="windowText" lastClr="000000"/>
              </a:solidFill>
              <a:ln>
                <a:noFill/>
              </a:ln>
            </c:spPr>
          </c:marker>
          <c:trendline>
            <c:trendlineType val="linear"/>
            <c:dispRSqr val="0"/>
            <c:dispEq val="0"/>
          </c:trendline>
          <c:xVal>
            <c:numRef>
              <c:f>Diffusion!$A$48:$A$60</c:f>
              <c:numCache>
                <c:formatCode>General</c:formatCode>
                <c:ptCount val="13"/>
                <c:pt idx="0">
                  <c:v>5</c:v>
                </c:pt>
                <c:pt idx="1">
                  <c:v>10</c:v>
                </c:pt>
                <c:pt idx="2">
                  <c:v>15</c:v>
                </c:pt>
                <c:pt idx="3">
                  <c:v>20</c:v>
                </c:pt>
                <c:pt idx="4">
                  <c:v>25</c:v>
                </c:pt>
                <c:pt idx="5">
                  <c:v>30</c:v>
                </c:pt>
                <c:pt idx="6">
                  <c:v>40</c:v>
                </c:pt>
                <c:pt idx="7">
                  <c:v>50</c:v>
                </c:pt>
                <c:pt idx="8">
                  <c:v>60</c:v>
                </c:pt>
                <c:pt idx="9">
                  <c:v>100</c:v>
                </c:pt>
              </c:numCache>
            </c:numRef>
          </c:xVal>
          <c:yVal>
            <c:numRef>
              <c:f>Diffusion!$R$48:$R$60</c:f>
              <c:numCache>
                <c:formatCode>General</c:formatCode>
                <c:ptCount val="13"/>
                <c:pt idx="0">
                  <c:v>-0.32208349916911333</c:v>
                </c:pt>
                <c:pt idx="1">
                  <c:v>-0.42744401482693961</c:v>
                </c:pt>
                <c:pt idx="2">
                  <c:v>-0.49643688631389099</c:v>
                </c:pt>
                <c:pt idx="3">
                  <c:v>-0.67875844310784561</c:v>
                </c:pt>
                <c:pt idx="4">
                  <c:v>-0.86681067461078543</c:v>
                </c:pt>
                <c:pt idx="5">
                  <c:v>-1.1430640512389436</c:v>
                </c:pt>
                <c:pt idx="6">
                  <c:v>-1.5599578551707305</c:v>
                </c:pt>
                <c:pt idx="7">
                  <c:v>-1.8827312474337816</c:v>
                </c:pt>
                <c:pt idx="8">
                  <c:v>-2.0940403411009885</c:v>
                </c:pt>
                <c:pt idx="9">
                  <c:v>-2.847812143477368</c:v>
                </c:pt>
              </c:numCache>
            </c:numRef>
          </c:yVal>
          <c:smooth val="0"/>
          <c:extLst>
            <c:ext xmlns:c16="http://schemas.microsoft.com/office/drawing/2014/chart" uri="{C3380CC4-5D6E-409C-BE32-E72D297353CC}">
              <c16:uniqueId val="{00000005-B3DD-4849-A977-AF5B6C69D485}"/>
            </c:ext>
          </c:extLst>
        </c:ser>
        <c:dLbls>
          <c:showLegendKey val="0"/>
          <c:showVal val="0"/>
          <c:showCatName val="0"/>
          <c:showSerName val="0"/>
          <c:showPercent val="0"/>
          <c:showBubbleSize val="0"/>
        </c:dLbls>
        <c:axId val="80567680"/>
        <c:axId val="80573952"/>
      </c:scatterChart>
      <c:valAx>
        <c:axId val="80567680"/>
        <c:scaling>
          <c:orientation val="minMax"/>
        </c:scaling>
        <c:delete val="0"/>
        <c:axPos val="b"/>
        <c:title>
          <c:tx>
            <c:rich>
              <a:bodyPr/>
              <a:lstStyle/>
              <a:p>
                <a:pPr>
                  <a:defRPr/>
                </a:pPr>
                <a:r>
                  <a:rPr lang="en-US" i="1"/>
                  <a:t>t</a:t>
                </a:r>
                <a:r>
                  <a:rPr lang="en-US"/>
                  <a:t> [minute]</a:t>
                </a:r>
              </a:p>
            </c:rich>
          </c:tx>
          <c:layout>
            <c:manualLayout>
              <c:xMode val="edge"/>
              <c:yMode val="edge"/>
              <c:x val="0.31424048244294761"/>
              <c:y val="2.9506675987109651E-2"/>
            </c:manualLayout>
          </c:layout>
          <c:overlay val="0"/>
        </c:title>
        <c:numFmt formatCode="General" sourceLinked="1"/>
        <c:majorTickMark val="out"/>
        <c:minorTickMark val="none"/>
        <c:tickLblPos val="nextTo"/>
        <c:crossAx val="80573952"/>
        <c:crosses val="autoZero"/>
        <c:crossBetween val="midCat"/>
      </c:valAx>
      <c:valAx>
        <c:axId val="80573952"/>
        <c:scaling>
          <c:orientation val="minMax"/>
        </c:scaling>
        <c:delete val="0"/>
        <c:axPos val="l"/>
        <c:title>
          <c:tx>
            <c:rich>
              <a:bodyPr rot="-5400000" vert="horz"/>
              <a:lstStyle/>
              <a:p>
                <a:pPr>
                  <a:defRPr i="1"/>
                </a:pPr>
                <a:r>
                  <a:rPr lang="en-US"/>
                  <a:t>ln(1-qt/qe)</a:t>
                </a:r>
              </a:p>
            </c:rich>
          </c:tx>
          <c:overlay val="0"/>
        </c:title>
        <c:numFmt formatCode="General" sourceLinked="1"/>
        <c:majorTickMark val="out"/>
        <c:minorTickMark val="none"/>
        <c:tickLblPos val="nextTo"/>
        <c:crossAx val="80567680"/>
        <c:crosses val="autoZero"/>
        <c:crossBetween val="midCat"/>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64129483814524"/>
          <c:y val="3.75116652085156E-2"/>
          <c:w val="0.80705314960629904"/>
          <c:h val="0.73444808982210552"/>
        </c:manualLayout>
      </c:layout>
      <c:scatterChart>
        <c:scatterStyle val="smoothMarker"/>
        <c:varyColors val="0"/>
        <c:ser>
          <c:idx val="0"/>
          <c:order val="0"/>
          <c:tx>
            <c:v>303 K</c:v>
          </c:tx>
          <c:spPr>
            <a:ln w="19050">
              <a:solidFill>
                <a:schemeClr val="tx1"/>
              </a:solidFill>
            </a:ln>
          </c:spPr>
          <c:marker>
            <c:spPr>
              <a:solidFill>
                <a:schemeClr val="tx1"/>
              </a:solidFill>
              <a:ln>
                <a:solidFill>
                  <a:schemeClr val="tx1"/>
                </a:solidFill>
              </a:ln>
            </c:spPr>
          </c:marker>
          <c:xVal>
            <c:numRef>
              <c:f>Sheet2!$O$3:$O$6</c:f>
              <c:numCache>
                <c:formatCode>General</c:formatCode>
                <c:ptCount val="4"/>
                <c:pt idx="0">
                  <c:v>50</c:v>
                </c:pt>
                <c:pt idx="1">
                  <c:v>100</c:v>
                </c:pt>
                <c:pt idx="2">
                  <c:v>150</c:v>
                </c:pt>
                <c:pt idx="3">
                  <c:v>200</c:v>
                </c:pt>
              </c:numCache>
            </c:numRef>
          </c:xVal>
          <c:yVal>
            <c:numRef>
              <c:f>Sheet2!$P$3:$P$6</c:f>
              <c:numCache>
                <c:formatCode>General</c:formatCode>
                <c:ptCount val="4"/>
                <c:pt idx="0">
                  <c:v>38</c:v>
                </c:pt>
                <c:pt idx="1">
                  <c:v>75</c:v>
                </c:pt>
                <c:pt idx="2">
                  <c:v>92</c:v>
                </c:pt>
                <c:pt idx="3">
                  <c:v>122</c:v>
                </c:pt>
              </c:numCache>
            </c:numRef>
          </c:yVal>
          <c:smooth val="1"/>
          <c:extLst>
            <c:ext xmlns:c16="http://schemas.microsoft.com/office/drawing/2014/chart" uri="{C3380CC4-5D6E-409C-BE32-E72D297353CC}">
              <c16:uniqueId val="{00000000-83EA-486C-B1B4-C1399C5E2497}"/>
            </c:ext>
          </c:extLst>
        </c:ser>
        <c:ser>
          <c:idx val="1"/>
          <c:order val="1"/>
          <c:tx>
            <c:v>313 K</c:v>
          </c:tx>
          <c:spPr>
            <a:ln w="19050">
              <a:solidFill>
                <a:schemeClr val="tx1"/>
              </a:solidFill>
            </a:ln>
          </c:spPr>
          <c:marker>
            <c:spPr>
              <a:solidFill>
                <a:schemeClr val="tx1"/>
              </a:solidFill>
              <a:ln>
                <a:solidFill>
                  <a:schemeClr val="tx1"/>
                </a:solidFill>
              </a:ln>
            </c:spPr>
          </c:marker>
          <c:xVal>
            <c:numRef>
              <c:f>Sheet2!$O$3:$O$6</c:f>
              <c:numCache>
                <c:formatCode>General</c:formatCode>
                <c:ptCount val="4"/>
                <c:pt idx="0">
                  <c:v>50</c:v>
                </c:pt>
                <c:pt idx="1">
                  <c:v>100</c:v>
                </c:pt>
                <c:pt idx="2">
                  <c:v>150</c:v>
                </c:pt>
                <c:pt idx="3">
                  <c:v>200</c:v>
                </c:pt>
              </c:numCache>
            </c:numRef>
          </c:xVal>
          <c:yVal>
            <c:numRef>
              <c:f>Sheet2!$Q$3:$Q$6</c:f>
              <c:numCache>
                <c:formatCode>General</c:formatCode>
                <c:ptCount val="4"/>
                <c:pt idx="0">
                  <c:v>40</c:v>
                </c:pt>
                <c:pt idx="1">
                  <c:v>80</c:v>
                </c:pt>
                <c:pt idx="2">
                  <c:v>100</c:v>
                </c:pt>
                <c:pt idx="3">
                  <c:v>130</c:v>
                </c:pt>
              </c:numCache>
            </c:numRef>
          </c:yVal>
          <c:smooth val="1"/>
          <c:extLst>
            <c:ext xmlns:c16="http://schemas.microsoft.com/office/drawing/2014/chart" uri="{C3380CC4-5D6E-409C-BE32-E72D297353CC}">
              <c16:uniqueId val="{00000001-83EA-486C-B1B4-C1399C5E2497}"/>
            </c:ext>
          </c:extLst>
        </c:ser>
        <c:ser>
          <c:idx val="2"/>
          <c:order val="2"/>
          <c:tx>
            <c:v>323 K</c:v>
          </c:tx>
          <c:spPr>
            <a:ln w="19050">
              <a:solidFill>
                <a:schemeClr val="tx1"/>
              </a:solidFill>
            </a:ln>
          </c:spPr>
          <c:marker>
            <c:spPr>
              <a:solidFill>
                <a:schemeClr val="tx1"/>
              </a:solidFill>
              <a:ln>
                <a:solidFill>
                  <a:schemeClr val="tx1"/>
                </a:solidFill>
              </a:ln>
            </c:spPr>
          </c:marker>
          <c:xVal>
            <c:numRef>
              <c:f>Sheet2!$O$3:$O$6</c:f>
              <c:numCache>
                <c:formatCode>General</c:formatCode>
                <c:ptCount val="4"/>
                <c:pt idx="0">
                  <c:v>50</c:v>
                </c:pt>
                <c:pt idx="1">
                  <c:v>100</c:v>
                </c:pt>
                <c:pt idx="2">
                  <c:v>150</c:v>
                </c:pt>
                <c:pt idx="3">
                  <c:v>200</c:v>
                </c:pt>
              </c:numCache>
            </c:numRef>
          </c:xVal>
          <c:yVal>
            <c:numRef>
              <c:f>Sheet2!$R$3:$R$6</c:f>
              <c:numCache>
                <c:formatCode>General</c:formatCode>
                <c:ptCount val="4"/>
                <c:pt idx="0">
                  <c:v>42</c:v>
                </c:pt>
                <c:pt idx="1">
                  <c:v>82</c:v>
                </c:pt>
                <c:pt idx="2">
                  <c:v>105</c:v>
                </c:pt>
                <c:pt idx="3">
                  <c:v>138</c:v>
                </c:pt>
              </c:numCache>
            </c:numRef>
          </c:yVal>
          <c:smooth val="1"/>
          <c:extLst>
            <c:ext xmlns:c16="http://schemas.microsoft.com/office/drawing/2014/chart" uri="{C3380CC4-5D6E-409C-BE32-E72D297353CC}">
              <c16:uniqueId val="{00000002-83EA-486C-B1B4-C1399C5E2497}"/>
            </c:ext>
          </c:extLst>
        </c:ser>
        <c:dLbls>
          <c:showLegendKey val="0"/>
          <c:showVal val="0"/>
          <c:showCatName val="0"/>
          <c:showSerName val="0"/>
          <c:showPercent val="0"/>
          <c:showBubbleSize val="0"/>
        </c:dLbls>
        <c:axId val="81667584"/>
        <c:axId val="81746176"/>
      </c:scatterChart>
      <c:valAx>
        <c:axId val="81667584"/>
        <c:scaling>
          <c:orientation val="minMax"/>
        </c:scaling>
        <c:delete val="0"/>
        <c:axPos val="b"/>
        <c:title>
          <c:tx>
            <c:rich>
              <a:bodyPr/>
              <a:lstStyle/>
              <a:p>
                <a:pPr>
                  <a:defRPr/>
                </a:pPr>
                <a:r>
                  <a:rPr lang="en-US"/>
                  <a:t>Concentartion (mg</a:t>
                </a:r>
                <a:r>
                  <a:rPr lang="en-US" baseline="0"/>
                  <a:t> L</a:t>
                </a:r>
                <a:r>
                  <a:rPr lang="en-US" baseline="30000"/>
                  <a:t>-1</a:t>
                </a:r>
                <a:r>
                  <a:rPr lang="en-US"/>
                  <a:t>)</a:t>
                </a:r>
              </a:p>
            </c:rich>
          </c:tx>
          <c:overlay val="0"/>
        </c:title>
        <c:numFmt formatCode="General" sourceLinked="1"/>
        <c:majorTickMark val="none"/>
        <c:minorTickMark val="none"/>
        <c:tickLblPos val="nextTo"/>
        <c:spPr>
          <a:ln>
            <a:solidFill>
              <a:schemeClr val="tx1"/>
            </a:solidFill>
          </a:ln>
        </c:spPr>
        <c:crossAx val="81746176"/>
        <c:crosses val="autoZero"/>
        <c:crossBetween val="midCat"/>
      </c:valAx>
      <c:valAx>
        <c:axId val="81746176"/>
        <c:scaling>
          <c:orientation val="minMax"/>
        </c:scaling>
        <c:delete val="0"/>
        <c:axPos val="l"/>
        <c:title>
          <c:tx>
            <c:rich>
              <a:bodyPr/>
              <a:lstStyle/>
              <a:p>
                <a:pPr>
                  <a:defRPr/>
                </a:pPr>
                <a:r>
                  <a:rPr lang="en-US" sz="1200" b="1" i="0" baseline="0">
                    <a:effectLst/>
                  </a:rPr>
                  <a:t>q</a:t>
                </a:r>
                <a:r>
                  <a:rPr lang="en-US" sz="1200" b="1" i="0" baseline="-25000">
                    <a:effectLst/>
                  </a:rPr>
                  <a:t>e</a:t>
                </a:r>
                <a:r>
                  <a:rPr lang="en-US" sz="1200" b="1" i="0" baseline="0">
                    <a:effectLst/>
                  </a:rPr>
                  <a:t>(mg g</a:t>
                </a:r>
                <a:r>
                  <a:rPr lang="en-US" sz="1200" b="1" i="0" baseline="30000">
                    <a:effectLst/>
                  </a:rPr>
                  <a:t>-1</a:t>
                </a:r>
                <a:r>
                  <a:rPr lang="en-US" sz="1200" b="1" i="0" baseline="0">
                    <a:effectLst/>
                  </a:rPr>
                  <a:t>)</a:t>
                </a:r>
                <a:endParaRPr lang="en-IN" sz="1200">
                  <a:effectLst/>
                </a:endParaRPr>
              </a:p>
            </c:rich>
          </c:tx>
          <c:overlay val="0"/>
        </c:title>
        <c:numFmt formatCode="General" sourceLinked="1"/>
        <c:majorTickMark val="none"/>
        <c:minorTickMark val="none"/>
        <c:tickLblPos val="nextTo"/>
        <c:crossAx val="81667584"/>
        <c:crosses val="autoZero"/>
        <c:crossBetween val="midCat"/>
      </c:valAx>
      <c:spPr>
        <a:ln>
          <a:solidFill>
            <a:schemeClr val="tx1"/>
          </a:solidFill>
        </a:ln>
      </c:spPr>
    </c:plotArea>
    <c:legend>
      <c:legendPos val="r"/>
      <c:layout>
        <c:manualLayout>
          <c:xMode val="edge"/>
          <c:yMode val="edge"/>
          <c:x val="0.63981933508311462"/>
          <c:y val="0.46631679822958139"/>
          <c:w val="0.14629177602799651"/>
          <c:h val="0.25115157480314959"/>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97462817147857"/>
          <c:y val="9.7696850393700782E-2"/>
          <c:w val="0.81038648293963256"/>
          <c:h val="0.73444808982210552"/>
        </c:manualLayout>
      </c:layout>
      <c:scatterChart>
        <c:scatterStyle val="smoothMarker"/>
        <c:varyColors val="0"/>
        <c:ser>
          <c:idx val="0"/>
          <c:order val="0"/>
          <c:spPr>
            <a:ln w="19050">
              <a:solidFill>
                <a:sysClr val="windowText" lastClr="000000"/>
              </a:solidFill>
            </a:ln>
          </c:spPr>
          <c:marker>
            <c:symbol val="diamond"/>
            <c:size val="6"/>
            <c:spPr>
              <a:solidFill>
                <a:schemeClr val="tx1"/>
              </a:solidFill>
              <a:ln>
                <a:solidFill>
                  <a:schemeClr val="tx1"/>
                </a:solidFill>
              </a:ln>
            </c:spPr>
          </c:marker>
          <c:xVal>
            <c:numRef>
              <c:f>Sheet1!$A$51:$A$57</c:f>
              <c:numCache>
                <c:formatCode>General</c:formatCode>
                <c:ptCount val="7"/>
                <c:pt idx="0">
                  <c:v>2</c:v>
                </c:pt>
                <c:pt idx="1">
                  <c:v>4</c:v>
                </c:pt>
                <c:pt idx="2">
                  <c:v>6</c:v>
                </c:pt>
                <c:pt idx="3">
                  <c:v>7</c:v>
                </c:pt>
                <c:pt idx="4">
                  <c:v>8</c:v>
                </c:pt>
                <c:pt idx="5">
                  <c:v>10</c:v>
                </c:pt>
                <c:pt idx="6">
                  <c:v>12</c:v>
                </c:pt>
              </c:numCache>
            </c:numRef>
          </c:xVal>
          <c:yVal>
            <c:numRef>
              <c:f>Sheet1!$B$51:$B$56</c:f>
              <c:numCache>
                <c:formatCode>General</c:formatCode>
                <c:ptCount val="6"/>
                <c:pt idx="0">
                  <c:v>170</c:v>
                </c:pt>
                <c:pt idx="1">
                  <c:v>121</c:v>
                </c:pt>
                <c:pt idx="2">
                  <c:v>124</c:v>
                </c:pt>
                <c:pt idx="3">
                  <c:v>116</c:v>
                </c:pt>
                <c:pt idx="4">
                  <c:v>170</c:v>
                </c:pt>
                <c:pt idx="5">
                  <c:v>190</c:v>
                </c:pt>
              </c:numCache>
            </c:numRef>
          </c:yVal>
          <c:smooth val="1"/>
          <c:extLst>
            <c:ext xmlns:c16="http://schemas.microsoft.com/office/drawing/2014/chart" uri="{C3380CC4-5D6E-409C-BE32-E72D297353CC}">
              <c16:uniqueId val="{00000000-EE13-4B23-AF5A-E4E095F6F541}"/>
            </c:ext>
          </c:extLst>
        </c:ser>
        <c:dLbls>
          <c:showLegendKey val="0"/>
          <c:showVal val="0"/>
          <c:showCatName val="0"/>
          <c:showSerName val="0"/>
          <c:showPercent val="0"/>
          <c:showBubbleSize val="0"/>
        </c:dLbls>
        <c:axId val="82432384"/>
        <c:axId val="82435072"/>
      </c:scatterChart>
      <c:valAx>
        <c:axId val="82432384"/>
        <c:scaling>
          <c:orientation val="minMax"/>
        </c:scaling>
        <c:delete val="0"/>
        <c:axPos val="b"/>
        <c:title>
          <c:tx>
            <c:rich>
              <a:bodyPr/>
              <a:lstStyle/>
              <a:p>
                <a:pPr>
                  <a:defRPr/>
                </a:pPr>
                <a:r>
                  <a:rPr lang="en-US"/>
                  <a:t>pH</a:t>
                </a:r>
              </a:p>
            </c:rich>
          </c:tx>
          <c:overlay val="0"/>
        </c:title>
        <c:numFmt formatCode="General" sourceLinked="1"/>
        <c:majorTickMark val="none"/>
        <c:minorTickMark val="none"/>
        <c:tickLblPos val="nextTo"/>
        <c:spPr>
          <a:ln>
            <a:solidFill>
              <a:schemeClr val="tx1"/>
            </a:solidFill>
          </a:ln>
        </c:spPr>
        <c:crossAx val="82435072"/>
        <c:crosses val="autoZero"/>
        <c:crossBetween val="midCat"/>
      </c:valAx>
      <c:valAx>
        <c:axId val="82435072"/>
        <c:scaling>
          <c:orientation val="minMax"/>
        </c:scaling>
        <c:delete val="0"/>
        <c:axPos val="l"/>
        <c:title>
          <c:tx>
            <c:rich>
              <a:bodyPr/>
              <a:lstStyle/>
              <a:p>
                <a:pPr>
                  <a:defRPr/>
                </a:pPr>
                <a:r>
                  <a:rPr lang="en-US" sz="1200" b="1" i="0" baseline="0">
                    <a:effectLst/>
                  </a:rPr>
                  <a:t>q</a:t>
                </a:r>
                <a:r>
                  <a:rPr lang="en-US" sz="1200" b="1" i="0" baseline="-25000">
                    <a:effectLst/>
                  </a:rPr>
                  <a:t>e</a:t>
                </a:r>
                <a:r>
                  <a:rPr lang="en-US" sz="1200" b="1" i="0" baseline="0">
                    <a:effectLst/>
                  </a:rPr>
                  <a:t>(mg g</a:t>
                </a:r>
                <a:r>
                  <a:rPr lang="en-US" sz="1200" b="1" i="0" baseline="30000">
                    <a:effectLst/>
                  </a:rPr>
                  <a:t>-1</a:t>
                </a:r>
                <a:r>
                  <a:rPr lang="en-US" sz="1200" b="1" i="0" baseline="0">
                    <a:effectLst/>
                  </a:rPr>
                  <a:t>)</a:t>
                </a:r>
                <a:endParaRPr lang="en-IN" sz="1200">
                  <a:effectLst/>
                </a:endParaRPr>
              </a:p>
            </c:rich>
          </c:tx>
          <c:overlay val="0"/>
        </c:title>
        <c:numFmt formatCode="General" sourceLinked="1"/>
        <c:majorTickMark val="none"/>
        <c:minorTickMark val="none"/>
        <c:tickLblPos val="nextTo"/>
        <c:spPr>
          <a:ln>
            <a:solidFill>
              <a:schemeClr val="tx1"/>
            </a:solidFill>
          </a:ln>
        </c:spPr>
        <c:crossAx val="82432384"/>
        <c:crosses val="autoZero"/>
        <c:crossBetween val="midCat"/>
      </c:valAx>
      <c:spPr>
        <a:noFill/>
        <a:ln w="12700">
          <a:solidFill>
            <a:schemeClr val="tx1"/>
          </a:solid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68285214348205"/>
          <c:y val="5.1400554097404488E-2"/>
          <c:w val="0.77553756616543346"/>
          <c:h val="0.73444808982210552"/>
        </c:manualLayout>
      </c:layout>
      <c:scatterChart>
        <c:scatterStyle val="smoothMarker"/>
        <c:varyColors val="0"/>
        <c:ser>
          <c:idx val="0"/>
          <c:order val="0"/>
          <c:spPr>
            <a:ln w="19050">
              <a:solidFill>
                <a:schemeClr val="tx1"/>
              </a:solidFill>
            </a:ln>
          </c:spPr>
          <c:marker>
            <c:spPr>
              <a:solidFill>
                <a:schemeClr val="tx1"/>
              </a:solidFill>
              <a:ln>
                <a:solidFill>
                  <a:schemeClr val="tx1"/>
                </a:solidFill>
              </a:ln>
            </c:spPr>
          </c:marker>
          <c:xVal>
            <c:strRef>
              <c:f>Sheet1!$A$129:$A$134</c:f>
              <c:strCache>
                <c:ptCount val="6"/>
                <c:pt idx="0">
                  <c:v>&lt;90</c:v>
                </c:pt>
                <c:pt idx="1">
                  <c:v>&gt;90</c:v>
                </c:pt>
                <c:pt idx="2">
                  <c:v>&gt;125</c:v>
                </c:pt>
                <c:pt idx="3">
                  <c:v>&gt;177</c:v>
                </c:pt>
                <c:pt idx="4">
                  <c:v>&gt;350</c:v>
                </c:pt>
                <c:pt idx="5">
                  <c:v>&gt;500</c:v>
                </c:pt>
              </c:strCache>
            </c:strRef>
          </c:xVal>
          <c:yVal>
            <c:numRef>
              <c:f>Sheet1!$B$129:$B$134</c:f>
              <c:numCache>
                <c:formatCode>General</c:formatCode>
                <c:ptCount val="6"/>
                <c:pt idx="0">
                  <c:v>53</c:v>
                </c:pt>
                <c:pt idx="1">
                  <c:v>45</c:v>
                </c:pt>
                <c:pt idx="2">
                  <c:v>65</c:v>
                </c:pt>
                <c:pt idx="3">
                  <c:v>40</c:v>
                </c:pt>
                <c:pt idx="4">
                  <c:v>37</c:v>
                </c:pt>
                <c:pt idx="5">
                  <c:v>15</c:v>
                </c:pt>
              </c:numCache>
            </c:numRef>
          </c:yVal>
          <c:smooth val="1"/>
          <c:extLst>
            <c:ext xmlns:c16="http://schemas.microsoft.com/office/drawing/2014/chart" uri="{C3380CC4-5D6E-409C-BE32-E72D297353CC}">
              <c16:uniqueId val="{00000000-182E-478A-9EC9-105D63A5B2C2}"/>
            </c:ext>
          </c:extLst>
        </c:ser>
        <c:dLbls>
          <c:showLegendKey val="0"/>
          <c:showVal val="0"/>
          <c:showCatName val="0"/>
          <c:showSerName val="0"/>
          <c:showPercent val="0"/>
          <c:showBubbleSize val="0"/>
        </c:dLbls>
        <c:axId val="90854144"/>
        <c:axId val="90861952"/>
      </c:scatterChart>
      <c:valAx>
        <c:axId val="90854144"/>
        <c:scaling>
          <c:orientation val="minMax"/>
        </c:scaling>
        <c:delete val="0"/>
        <c:axPos val="b"/>
        <c:title>
          <c:tx>
            <c:rich>
              <a:bodyPr/>
              <a:lstStyle/>
              <a:p>
                <a:pPr>
                  <a:defRPr/>
                </a:pPr>
                <a:r>
                  <a:rPr lang="en-US"/>
                  <a:t>Particle</a:t>
                </a:r>
                <a:r>
                  <a:rPr lang="en-US" baseline="0"/>
                  <a:t> size (microns)</a:t>
                </a:r>
                <a:endParaRPr lang="en-US"/>
              </a:p>
            </c:rich>
          </c:tx>
          <c:overlay val="0"/>
        </c:title>
        <c:majorTickMark val="none"/>
        <c:minorTickMark val="none"/>
        <c:tickLblPos val="nextTo"/>
        <c:crossAx val="90861952"/>
        <c:crosses val="autoZero"/>
        <c:crossBetween val="midCat"/>
      </c:valAx>
      <c:valAx>
        <c:axId val="90861952"/>
        <c:scaling>
          <c:orientation val="minMax"/>
        </c:scaling>
        <c:delete val="0"/>
        <c:axPos val="l"/>
        <c:title>
          <c:tx>
            <c:rich>
              <a:bodyPr/>
              <a:lstStyle/>
              <a:p>
                <a:pPr>
                  <a:defRPr/>
                </a:pPr>
                <a:r>
                  <a:rPr lang="en-US" sz="1200" b="1" i="0" baseline="0">
                    <a:effectLst/>
                    <a:latin typeface="+mn-lt"/>
                  </a:rPr>
                  <a:t>q</a:t>
                </a:r>
                <a:r>
                  <a:rPr lang="en-US" sz="1200" b="1" i="0" baseline="-25000">
                    <a:effectLst/>
                    <a:latin typeface="+mn-lt"/>
                  </a:rPr>
                  <a:t>e</a:t>
                </a:r>
                <a:r>
                  <a:rPr lang="en-US" sz="1200" b="1" i="0" baseline="0">
                    <a:effectLst/>
                    <a:latin typeface="+mn-lt"/>
                  </a:rPr>
                  <a:t>(mg g</a:t>
                </a:r>
                <a:r>
                  <a:rPr lang="en-US" sz="1200" b="1" i="0" baseline="30000">
                    <a:effectLst/>
                    <a:latin typeface="+mn-lt"/>
                  </a:rPr>
                  <a:t>-1</a:t>
                </a:r>
                <a:r>
                  <a:rPr lang="en-US" sz="1200" b="1" i="0" baseline="0">
                    <a:effectLst/>
                    <a:latin typeface="+mn-lt"/>
                  </a:rPr>
                  <a:t>)</a:t>
                </a:r>
                <a:endParaRPr lang="en-IN" sz="1200">
                  <a:effectLst/>
                  <a:latin typeface="+mn-lt"/>
                </a:endParaRPr>
              </a:p>
            </c:rich>
          </c:tx>
          <c:layout>
            <c:manualLayout>
              <c:xMode val="edge"/>
              <c:yMode val="edge"/>
              <c:x val="1.8443209648961102E-2"/>
              <c:y val="0.29291848935549725"/>
            </c:manualLayout>
          </c:layout>
          <c:overlay val="0"/>
        </c:title>
        <c:numFmt formatCode="General" sourceLinked="1"/>
        <c:majorTickMark val="none"/>
        <c:minorTickMark val="none"/>
        <c:tickLblPos val="nextTo"/>
        <c:crossAx val="90854144"/>
        <c:crosses val="autoZero"/>
        <c:crossBetween val="midCat"/>
      </c:valAx>
      <c:spPr>
        <a:ln>
          <a:solidFill>
            <a:schemeClr val="tx1"/>
          </a:solid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'Isotherm Graphs'!$B$4</c:f>
              <c:strCache>
                <c:ptCount val="1"/>
                <c:pt idx="0">
                  <c:v>Qe (experimental)</c:v>
                </c:pt>
              </c:strCache>
            </c:strRef>
          </c:tx>
          <c:spPr>
            <a:ln w="28575">
              <a:noFill/>
            </a:ln>
          </c:spPr>
          <c:marker>
            <c:spPr>
              <a:solidFill>
                <a:schemeClr val="tx1"/>
              </a:solidFill>
              <a:ln>
                <a:noFill/>
              </a:ln>
            </c:spPr>
          </c:marker>
          <c:xVal>
            <c:numRef>
              <c:f>'Isotherm Graphs'!$A$5:$A$15</c:f>
              <c:numCache>
                <c:formatCode>General</c:formatCode>
                <c:ptCount val="11"/>
                <c:pt idx="0">
                  <c:v>10</c:v>
                </c:pt>
                <c:pt idx="1">
                  <c:v>20</c:v>
                </c:pt>
                <c:pt idx="2">
                  <c:v>31</c:v>
                </c:pt>
                <c:pt idx="3">
                  <c:v>41</c:v>
                </c:pt>
                <c:pt idx="4">
                  <c:v>53</c:v>
                </c:pt>
                <c:pt idx="5">
                  <c:v>68</c:v>
                </c:pt>
                <c:pt idx="6">
                  <c:v>83</c:v>
                </c:pt>
                <c:pt idx="7">
                  <c:v>95</c:v>
                </c:pt>
                <c:pt idx="8">
                  <c:v>170</c:v>
                </c:pt>
              </c:numCache>
            </c:numRef>
          </c:xVal>
          <c:yVal>
            <c:numRef>
              <c:f>'Isotherm Graphs'!$B$5:$B$15</c:f>
              <c:numCache>
                <c:formatCode>General</c:formatCode>
                <c:ptCount val="11"/>
                <c:pt idx="0">
                  <c:v>18</c:v>
                </c:pt>
                <c:pt idx="1">
                  <c:v>40</c:v>
                </c:pt>
                <c:pt idx="2">
                  <c:v>63</c:v>
                </c:pt>
                <c:pt idx="3">
                  <c:v>80</c:v>
                </c:pt>
                <c:pt idx="4">
                  <c:v>95</c:v>
                </c:pt>
                <c:pt idx="5">
                  <c:v>105</c:v>
                </c:pt>
                <c:pt idx="6">
                  <c:v>120</c:v>
                </c:pt>
                <c:pt idx="7">
                  <c:v>130</c:v>
                </c:pt>
                <c:pt idx="8">
                  <c:v>150</c:v>
                </c:pt>
              </c:numCache>
            </c:numRef>
          </c:yVal>
          <c:smooth val="0"/>
          <c:extLst>
            <c:ext xmlns:c16="http://schemas.microsoft.com/office/drawing/2014/chart" uri="{C3380CC4-5D6E-409C-BE32-E72D297353CC}">
              <c16:uniqueId val="{00000000-31B7-421B-AC0C-056C8BCF3F7B}"/>
            </c:ext>
          </c:extLst>
        </c:ser>
        <c:ser>
          <c:idx val="1"/>
          <c:order val="1"/>
          <c:tx>
            <c:strRef>
              <c:f>'Isotherm Graphs'!$C$4</c:f>
              <c:strCache>
                <c:ptCount val="1"/>
                <c:pt idx="0">
                  <c:v>Qe (Langmuir)</c:v>
                </c:pt>
              </c:strCache>
            </c:strRef>
          </c:tx>
          <c:spPr>
            <a:ln w="15875">
              <a:solidFill>
                <a:schemeClr val="tx1">
                  <a:shade val="95000"/>
                  <a:satMod val="105000"/>
                </a:schemeClr>
              </a:solidFill>
              <a:prstDash val="solid"/>
            </a:ln>
          </c:spPr>
          <c:marker>
            <c:symbol val="none"/>
          </c:marker>
          <c:xVal>
            <c:numRef>
              <c:f>'Isotherm Graphs'!$A$5:$A$15</c:f>
              <c:numCache>
                <c:formatCode>General</c:formatCode>
                <c:ptCount val="11"/>
                <c:pt idx="0">
                  <c:v>10</c:v>
                </c:pt>
                <c:pt idx="1">
                  <c:v>20</c:v>
                </c:pt>
                <c:pt idx="2">
                  <c:v>31</c:v>
                </c:pt>
                <c:pt idx="3">
                  <c:v>41</c:v>
                </c:pt>
                <c:pt idx="4">
                  <c:v>53</c:v>
                </c:pt>
                <c:pt idx="5">
                  <c:v>68</c:v>
                </c:pt>
                <c:pt idx="6">
                  <c:v>83</c:v>
                </c:pt>
                <c:pt idx="7">
                  <c:v>95</c:v>
                </c:pt>
                <c:pt idx="8">
                  <c:v>170</c:v>
                </c:pt>
              </c:numCache>
            </c:numRef>
          </c:xVal>
          <c:yVal>
            <c:numRef>
              <c:f>'Isotherm Graphs'!$C$5:$C$15</c:f>
              <c:numCache>
                <c:formatCode>General</c:formatCode>
                <c:ptCount val="11"/>
                <c:pt idx="0">
                  <c:v>25.660733873770976</c:v>
                </c:pt>
                <c:pt idx="1">
                  <c:v>46.126670111833761</c:v>
                </c:pt>
                <c:pt idx="2">
                  <c:v>64.333288358831808</c:v>
                </c:pt>
                <c:pt idx="3">
                  <c:v>77.983270409087609</c:v>
                </c:pt>
                <c:pt idx="4">
                  <c:v>91.628984711546394</c:v>
                </c:pt>
                <c:pt idx="5">
                  <c:v>105.54878577437623</c:v>
                </c:pt>
                <c:pt idx="6">
                  <c:v>116.88756336628974</c:v>
                </c:pt>
                <c:pt idx="7">
                  <c:v>124.54934438759881</c:v>
                </c:pt>
                <c:pt idx="8">
                  <c:v>155.69032135965594</c:v>
                </c:pt>
              </c:numCache>
            </c:numRef>
          </c:yVal>
          <c:smooth val="0"/>
          <c:extLst>
            <c:ext xmlns:c16="http://schemas.microsoft.com/office/drawing/2014/chart" uri="{C3380CC4-5D6E-409C-BE32-E72D297353CC}">
              <c16:uniqueId val="{00000001-31B7-421B-AC0C-056C8BCF3F7B}"/>
            </c:ext>
          </c:extLst>
        </c:ser>
        <c:ser>
          <c:idx val="2"/>
          <c:order val="2"/>
          <c:tx>
            <c:strRef>
              <c:f>'Isotherm Graphs'!$D$4</c:f>
              <c:strCache>
                <c:ptCount val="1"/>
                <c:pt idx="0">
                  <c:v>Qe (Freundlich)</c:v>
                </c:pt>
              </c:strCache>
            </c:strRef>
          </c:tx>
          <c:spPr>
            <a:ln w="15875">
              <a:solidFill>
                <a:schemeClr val="tx1">
                  <a:shade val="95000"/>
                  <a:satMod val="105000"/>
                </a:schemeClr>
              </a:solidFill>
              <a:prstDash val="lgDash"/>
            </a:ln>
          </c:spPr>
          <c:marker>
            <c:symbol val="none"/>
          </c:marker>
          <c:xVal>
            <c:numRef>
              <c:f>'Isotherm Graphs'!$A$5:$A$15</c:f>
              <c:numCache>
                <c:formatCode>General</c:formatCode>
                <c:ptCount val="11"/>
                <c:pt idx="0">
                  <c:v>10</c:v>
                </c:pt>
                <c:pt idx="1">
                  <c:v>20</c:v>
                </c:pt>
                <c:pt idx="2">
                  <c:v>31</c:v>
                </c:pt>
                <c:pt idx="3">
                  <c:v>41</c:v>
                </c:pt>
                <c:pt idx="4">
                  <c:v>53</c:v>
                </c:pt>
                <c:pt idx="5">
                  <c:v>68</c:v>
                </c:pt>
                <c:pt idx="6">
                  <c:v>83</c:v>
                </c:pt>
                <c:pt idx="7">
                  <c:v>95</c:v>
                </c:pt>
                <c:pt idx="8">
                  <c:v>170</c:v>
                </c:pt>
              </c:numCache>
            </c:numRef>
          </c:xVal>
          <c:yVal>
            <c:numRef>
              <c:f>'Isotherm Graphs'!$D$5:$D$15</c:f>
              <c:numCache>
                <c:formatCode>General</c:formatCode>
                <c:ptCount val="11"/>
                <c:pt idx="0">
                  <c:v>35.038987792493209</c:v>
                </c:pt>
                <c:pt idx="1">
                  <c:v>51.16425890207411</c:v>
                </c:pt>
                <c:pt idx="2">
                  <c:v>65.00116681802146</c:v>
                </c:pt>
                <c:pt idx="3">
                  <c:v>75.724939318790462</c:v>
                </c:pt>
                <c:pt idx="4">
                  <c:v>87.123058491314367</c:v>
                </c:pt>
                <c:pt idx="5">
                  <c:v>99.826839939252721</c:v>
                </c:pt>
                <c:pt idx="6">
                  <c:v>111.30874029224861</c:v>
                </c:pt>
                <c:pt idx="7">
                  <c:v>119.82846499248406</c:v>
                </c:pt>
                <c:pt idx="8">
                  <c:v>164.66159246933006</c:v>
                </c:pt>
              </c:numCache>
            </c:numRef>
          </c:yVal>
          <c:smooth val="0"/>
          <c:extLst>
            <c:ext xmlns:c16="http://schemas.microsoft.com/office/drawing/2014/chart" uri="{C3380CC4-5D6E-409C-BE32-E72D297353CC}">
              <c16:uniqueId val="{00000002-31B7-421B-AC0C-056C8BCF3F7B}"/>
            </c:ext>
          </c:extLst>
        </c:ser>
        <c:dLbls>
          <c:showLegendKey val="0"/>
          <c:showVal val="0"/>
          <c:showCatName val="0"/>
          <c:showSerName val="0"/>
          <c:showPercent val="0"/>
          <c:showBubbleSize val="0"/>
        </c:dLbls>
        <c:axId val="106531072"/>
        <c:axId val="106535552"/>
      </c:scatterChart>
      <c:valAx>
        <c:axId val="106531072"/>
        <c:scaling>
          <c:orientation val="minMax"/>
        </c:scaling>
        <c:delete val="0"/>
        <c:axPos val="b"/>
        <c:title>
          <c:tx>
            <c:rich>
              <a:bodyPr/>
              <a:lstStyle/>
              <a:p>
                <a:pPr>
                  <a:defRPr/>
                </a:pPr>
                <a:r>
                  <a:rPr lang="en-US"/>
                  <a:t>Ce [mg/L]</a:t>
                </a:r>
              </a:p>
            </c:rich>
          </c:tx>
          <c:overlay val="0"/>
        </c:title>
        <c:numFmt formatCode="General" sourceLinked="1"/>
        <c:majorTickMark val="out"/>
        <c:minorTickMark val="none"/>
        <c:tickLblPos val="nextTo"/>
        <c:crossAx val="106535552"/>
        <c:crosses val="autoZero"/>
        <c:crossBetween val="midCat"/>
      </c:valAx>
      <c:valAx>
        <c:axId val="106535552"/>
        <c:scaling>
          <c:orientation val="minMax"/>
        </c:scaling>
        <c:delete val="0"/>
        <c:axPos val="l"/>
        <c:title>
          <c:tx>
            <c:rich>
              <a:bodyPr rot="-5400000" vert="horz"/>
              <a:lstStyle/>
              <a:p>
                <a:pPr>
                  <a:defRPr/>
                </a:pPr>
                <a:r>
                  <a:rPr lang="en-US"/>
                  <a:t>Qe [mg/g]</a:t>
                </a:r>
              </a:p>
            </c:rich>
          </c:tx>
          <c:overlay val="0"/>
        </c:title>
        <c:numFmt formatCode="General" sourceLinked="1"/>
        <c:majorTickMark val="out"/>
        <c:minorTickMark val="none"/>
        <c:tickLblPos val="nextTo"/>
        <c:crossAx val="106531072"/>
        <c:crosses val="autoZero"/>
        <c:crossBetween val="midCat"/>
      </c:valAx>
      <c:spPr>
        <a:ln>
          <a:solidFill>
            <a:schemeClr val="tx1">
              <a:shade val="95000"/>
              <a:satMod val="105000"/>
            </a:schemeClr>
          </a:solidFill>
        </a:ln>
      </c:spPr>
    </c:plotArea>
    <c:legend>
      <c:legendPos val="r"/>
      <c:layout>
        <c:manualLayout>
          <c:xMode val="edge"/>
          <c:yMode val="edge"/>
          <c:x val="0.60417957130358702"/>
          <c:y val="0.49016477107028295"/>
          <c:w val="0.30970931758530185"/>
          <c:h val="0.25115157480314959"/>
        </c:manualLayout>
      </c:layout>
      <c:overlay val="1"/>
      <c:spPr>
        <a:ln>
          <a:solidFill>
            <a:sysClr val="windowText" lastClr="000000"/>
          </a:solidFill>
        </a:ln>
      </c:sp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97462817147858"/>
          <c:y val="5.1400554097404488E-2"/>
          <c:w val="0.80334492563429571"/>
          <c:h val="0.73444808982210552"/>
        </c:manualLayout>
      </c:layout>
      <c:scatterChart>
        <c:scatterStyle val="lineMarker"/>
        <c:varyColors val="0"/>
        <c:ser>
          <c:idx val="0"/>
          <c:order val="0"/>
          <c:tx>
            <c:strRef>
              <c:f>'Isotherm Graphs'!$B$4</c:f>
              <c:strCache>
                <c:ptCount val="1"/>
                <c:pt idx="0">
                  <c:v>Qe (experimental)</c:v>
                </c:pt>
              </c:strCache>
            </c:strRef>
          </c:tx>
          <c:spPr>
            <a:ln w="28575">
              <a:noFill/>
            </a:ln>
          </c:spPr>
          <c:marker>
            <c:spPr>
              <a:solidFill>
                <a:schemeClr val="tx1"/>
              </a:solidFill>
              <a:ln>
                <a:noFill/>
              </a:ln>
            </c:spPr>
          </c:marker>
          <c:xVal>
            <c:numRef>
              <c:f>'Isotherm Graphs'!$A$5:$A$15</c:f>
              <c:numCache>
                <c:formatCode>General</c:formatCode>
                <c:ptCount val="11"/>
                <c:pt idx="0">
                  <c:v>10</c:v>
                </c:pt>
                <c:pt idx="1">
                  <c:v>20</c:v>
                </c:pt>
                <c:pt idx="2">
                  <c:v>31</c:v>
                </c:pt>
                <c:pt idx="3">
                  <c:v>41</c:v>
                </c:pt>
                <c:pt idx="4">
                  <c:v>53</c:v>
                </c:pt>
                <c:pt idx="5">
                  <c:v>68</c:v>
                </c:pt>
                <c:pt idx="6">
                  <c:v>83</c:v>
                </c:pt>
                <c:pt idx="7">
                  <c:v>95</c:v>
                </c:pt>
                <c:pt idx="8">
                  <c:v>170</c:v>
                </c:pt>
              </c:numCache>
            </c:numRef>
          </c:xVal>
          <c:yVal>
            <c:numRef>
              <c:f>'Isotherm Graphs'!$B$5:$B$15</c:f>
              <c:numCache>
                <c:formatCode>General</c:formatCode>
                <c:ptCount val="11"/>
                <c:pt idx="0">
                  <c:v>18</c:v>
                </c:pt>
                <c:pt idx="1">
                  <c:v>40</c:v>
                </c:pt>
                <c:pt idx="2">
                  <c:v>63</c:v>
                </c:pt>
                <c:pt idx="3">
                  <c:v>80</c:v>
                </c:pt>
                <c:pt idx="4">
                  <c:v>95</c:v>
                </c:pt>
                <c:pt idx="5">
                  <c:v>105</c:v>
                </c:pt>
                <c:pt idx="6">
                  <c:v>120</c:v>
                </c:pt>
                <c:pt idx="7">
                  <c:v>130</c:v>
                </c:pt>
                <c:pt idx="8">
                  <c:v>150</c:v>
                </c:pt>
              </c:numCache>
            </c:numRef>
          </c:yVal>
          <c:smooth val="0"/>
          <c:extLst>
            <c:ext xmlns:c16="http://schemas.microsoft.com/office/drawing/2014/chart" uri="{C3380CC4-5D6E-409C-BE32-E72D297353CC}">
              <c16:uniqueId val="{00000000-9467-40CB-9177-1E0809F9DE0A}"/>
            </c:ext>
          </c:extLst>
        </c:ser>
        <c:ser>
          <c:idx val="1"/>
          <c:order val="1"/>
          <c:tx>
            <c:strRef>
              <c:f>'Isotherm Graphs'!$E$4</c:f>
              <c:strCache>
                <c:ptCount val="1"/>
                <c:pt idx="0">
                  <c:v>Qe (Jovanovic)</c:v>
                </c:pt>
              </c:strCache>
            </c:strRef>
          </c:tx>
          <c:spPr>
            <a:ln w="15875">
              <a:solidFill>
                <a:sysClr val="windowText" lastClr="000000">
                  <a:shade val="95000"/>
                  <a:satMod val="105000"/>
                </a:sysClr>
              </a:solidFill>
              <a:prstDash val="solid"/>
            </a:ln>
          </c:spPr>
          <c:marker>
            <c:symbol val="none"/>
          </c:marker>
          <c:xVal>
            <c:numRef>
              <c:f>'Isotherm Graphs'!$A$5:$A$15</c:f>
              <c:numCache>
                <c:formatCode>General</c:formatCode>
                <c:ptCount val="11"/>
                <c:pt idx="0">
                  <c:v>10</c:v>
                </c:pt>
                <c:pt idx="1">
                  <c:v>20</c:v>
                </c:pt>
                <c:pt idx="2">
                  <c:v>31</c:v>
                </c:pt>
                <c:pt idx="3">
                  <c:v>41</c:v>
                </c:pt>
                <c:pt idx="4">
                  <c:v>53</c:v>
                </c:pt>
                <c:pt idx="5">
                  <c:v>68</c:v>
                </c:pt>
                <c:pt idx="6">
                  <c:v>83</c:v>
                </c:pt>
                <c:pt idx="7">
                  <c:v>95</c:v>
                </c:pt>
                <c:pt idx="8">
                  <c:v>170</c:v>
                </c:pt>
              </c:numCache>
            </c:numRef>
          </c:xVal>
          <c:yVal>
            <c:numRef>
              <c:f>'Isotherm Graphs'!$E$5:$E$15</c:f>
              <c:numCache>
                <c:formatCode>General</c:formatCode>
                <c:ptCount val="11"/>
                <c:pt idx="0">
                  <c:v>23.809538535237358</c:v>
                </c:pt>
                <c:pt idx="1">
                  <c:v>44.14932890810308</c:v>
                </c:pt>
                <c:pt idx="2">
                  <c:v>63.116766256506708</c:v>
                </c:pt>
                <c:pt idx="3">
                  <c:v>77.728340563699817</c:v>
                </c:pt>
                <c:pt idx="4">
                  <c:v>92.479655270871007</c:v>
                </c:pt>
                <c:pt idx="5">
                  <c:v>107.39928383480941</c:v>
                </c:pt>
                <c:pt idx="6">
                  <c:v>119.17944556258352</c:v>
                </c:pt>
                <c:pt idx="7">
                  <c:v>126.79202443200262</c:v>
                </c:pt>
                <c:pt idx="8">
                  <c:v>152.15327602075365</c:v>
                </c:pt>
              </c:numCache>
            </c:numRef>
          </c:yVal>
          <c:smooth val="0"/>
          <c:extLst>
            <c:ext xmlns:c16="http://schemas.microsoft.com/office/drawing/2014/chart" uri="{C3380CC4-5D6E-409C-BE32-E72D297353CC}">
              <c16:uniqueId val="{00000001-9467-40CB-9177-1E0809F9DE0A}"/>
            </c:ext>
          </c:extLst>
        </c:ser>
        <c:ser>
          <c:idx val="2"/>
          <c:order val="2"/>
          <c:tx>
            <c:strRef>
              <c:f>'Isotherm Graphs'!$N$4</c:f>
              <c:strCache>
                <c:ptCount val="1"/>
                <c:pt idx="0">
                  <c:v>Qe (Dubinin-Radushkevich)</c:v>
                </c:pt>
              </c:strCache>
            </c:strRef>
          </c:tx>
          <c:spPr>
            <a:ln w="15875">
              <a:solidFill>
                <a:sysClr val="windowText" lastClr="000000">
                  <a:shade val="95000"/>
                  <a:satMod val="105000"/>
                </a:sysClr>
              </a:solidFill>
              <a:prstDash val="lgDash"/>
            </a:ln>
          </c:spPr>
          <c:marker>
            <c:symbol val="none"/>
          </c:marker>
          <c:xVal>
            <c:numRef>
              <c:f>'Isotherm Graphs'!$A$5:$A$15</c:f>
              <c:numCache>
                <c:formatCode>General</c:formatCode>
                <c:ptCount val="11"/>
                <c:pt idx="0">
                  <c:v>10</c:v>
                </c:pt>
                <c:pt idx="1">
                  <c:v>20</c:v>
                </c:pt>
                <c:pt idx="2">
                  <c:v>31</c:v>
                </c:pt>
                <c:pt idx="3">
                  <c:v>41</c:v>
                </c:pt>
                <c:pt idx="4">
                  <c:v>53</c:v>
                </c:pt>
                <c:pt idx="5">
                  <c:v>68</c:v>
                </c:pt>
                <c:pt idx="6">
                  <c:v>83</c:v>
                </c:pt>
                <c:pt idx="7">
                  <c:v>95</c:v>
                </c:pt>
                <c:pt idx="8">
                  <c:v>170</c:v>
                </c:pt>
              </c:numCache>
            </c:numRef>
          </c:xVal>
          <c:yVal>
            <c:numRef>
              <c:f>'Isotherm Graphs'!$N$5:$N$15</c:f>
              <c:numCache>
                <c:formatCode>General</c:formatCode>
                <c:ptCount val="11"/>
                <c:pt idx="0">
                  <c:v>0.14348298979367563</c:v>
                </c:pt>
                <c:pt idx="1">
                  <c:v>22.588826720302169</c:v>
                </c:pt>
                <c:pt idx="2">
                  <c:v>63.640208415916504</c:v>
                </c:pt>
                <c:pt idx="3">
                  <c:v>87.856820843638801</c:v>
                </c:pt>
                <c:pt idx="4">
                  <c:v>104.61235039064222</c:v>
                </c:pt>
                <c:pt idx="5">
                  <c:v>115.94334863612124</c:v>
                </c:pt>
                <c:pt idx="6">
                  <c:v>122.20491796325591</c:v>
                </c:pt>
                <c:pt idx="7">
                  <c:v>125.3604205038929</c:v>
                </c:pt>
                <c:pt idx="8">
                  <c:v>132.68541487153036</c:v>
                </c:pt>
              </c:numCache>
            </c:numRef>
          </c:yVal>
          <c:smooth val="0"/>
          <c:extLst>
            <c:ext xmlns:c16="http://schemas.microsoft.com/office/drawing/2014/chart" uri="{C3380CC4-5D6E-409C-BE32-E72D297353CC}">
              <c16:uniqueId val="{00000002-9467-40CB-9177-1E0809F9DE0A}"/>
            </c:ext>
          </c:extLst>
        </c:ser>
        <c:dLbls>
          <c:showLegendKey val="0"/>
          <c:showVal val="0"/>
          <c:showCatName val="0"/>
          <c:showSerName val="0"/>
          <c:showPercent val="0"/>
          <c:showBubbleSize val="0"/>
        </c:dLbls>
        <c:axId val="120792192"/>
        <c:axId val="120794496"/>
      </c:scatterChart>
      <c:valAx>
        <c:axId val="120792192"/>
        <c:scaling>
          <c:orientation val="minMax"/>
        </c:scaling>
        <c:delete val="0"/>
        <c:axPos val="b"/>
        <c:title>
          <c:tx>
            <c:rich>
              <a:bodyPr/>
              <a:lstStyle/>
              <a:p>
                <a:pPr>
                  <a:defRPr/>
                </a:pPr>
                <a:r>
                  <a:rPr lang="en-US"/>
                  <a:t>Ce</a:t>
                </a:r>
                <a:r>
                  <a:rPr lang="en-US" baseline="0"/>
                  <a:t> [mg/L]</a:t>
                </a:r>
                <a:endParaRPr lang="en-US"/>
              </a:p>
            </c:rich>
          </c:tx>
          <c:overlay val="0"/>
        </c:title>
        <c:numFmt formatCode="General" sourceLinked="1"/>
        <c:majorTickMark val="out"/>
        <c:minorTickMark val="none"/>
        <c:tickLblPos val="nextTo"/>
        <c:crossAx val="120794496"/>
        <c:crosses val="autoZero"/>
        <c:crossBetween val="midCat"/>
      </c:valAx>
      <c:valAx>
        <c:axId val="120794496"/>
        <c:scaling>
          <c:orientation val="minMax"/>
        </c:scaling>
        <c:delete val="0"/>
        <c:axPos val="l"/>
        <c:title>
          <c:tx>
            <c:rich>
              <a:bodyPr rot="-5400000" vert="horz"/>
              <a:lstStyle/>
              <a:p>
                <a:pPr>
                  <a:defRPr/>
                </a:pPr>
                <a:r>
                  <a:rPr lang="en-US"/>
                  <a:t>Qe [mg/g]</a:t>
                </a:r>
              </a:p>
            </c:rich>
          </c:tx>
          <c:overlay val="0"/>
        </c:title>
        <c:numFmt formatCode="General" sourceLinked="1"/>
        <c:majorTickMark val="out"/>
        <c:minorTickMark val="none"/>
        <c:tickLblPos val="nextTo"/>
        <c:crossAx val="120792192"/>
        <c:crosses val="autoZero"/>
        <c:crossBetween val="midCat"/>
      </c:valAx>
      <c:spPr>
        <a:ln>
          <a:solidFill>
            <a:schemeClr val="tx1">
              <a:shade val="95000"/>
              <a:satMod val="105000"/>
            </a:schemeClr>
          </a:solidFill>
        </a:ln>
      </c:spPr>
    </c:plotArea>
    <c:legend>
      <c:legendPos val="r"/>
      <c:layout>
        <c:manualLayout>
          <c:xMode val="edge"/>
          <c:yMode val="edge"/>
          <c:x val="0.51251290463692034"/>
          <c:y val="0.50701836160543357"/>
          <c:w val="0.40970931758530182"/>
          <c:h val="0.2262819989911484"/>
        </c:manualLayout>
      </c:layout>
      <c:overlay val="1"/>
      <c:spPr>
        <a:ln>
          <a:solidFill>
            <a:sysClr val="windowText" lastClr="000000"/>
          </a:solidFill>
        </a:ln>
      </c:sp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51807898541697"/>
          <c:y val="2.8252405949256341E-2"/>
          <c:w val="0.72719294602115958"/>
          <c:h val="0.73444808982210552"/>
        </c:manualLayout>
      </c:layout>
      <c:scatterChart>
        <c:scatterStyle val="smoothMarker"/>
        <c:varyColors val="0"/>
        <c:ser>
          <c:idx val="4"/>
          <c:order val="3"/>
          <c:tx>
            <c:v>Qe (Sips)</c:v>
          </c:tx>
          <c:spPr>
            <a:ln>
              <a:solidFill>
                <a:sysClr val="windowText" lastClr="000000"/>
              </a:solidFill>
            </a:ln>
          </c:spPr>
          <c:marker>
            <c:symbol val="none"/>
          </c:marker>
          <c:dPt>
            <c:idx val="3"/>
            <c:bubble3D val="0"/>
            <c:extLst>
              <c:ext xmlns:c16="http://schemas.microsoft.com/office/drawing/2014/chart" uri="{C3380CC4-5D6E-409C-BE32-E72D297353CC}">
                <c16:uniqueId val="{00000000-F1A7-455B-B8B9-2DA58F0268D9}"/>
              </c:ext>
            </c:extLst>
          </c:dPt>
          <c:dPt>
            <c:idx val="8"/>
            <c:bubble3D val="0"/>
            <c:spPr>
              <a:ln cmpd="sng">
                <a:solidFill>
                  <a:sysClr val="windowText" lastClr="000000"/>
                </a:solidFill>
              </a:ln>
            </c:spPr>
            <c:extLst>
              <c:ext xmlns:c16="http://schemas.microsoft.com/office/drawing/2014/chart" uri="{C3380CC4-5D6E-409C-BE32-E72D297353CC}">
                <c16:uniqueId val="{00000002-F1A7-455B-B8B9-2DA58F0268D9}"/>
              </c:ext>
            </c:extLst>
          </c:dPt>
          <c:xVal>
            <c:numRef>
              <c:f>'Isotherm Graphs'!$A$5:$A$14</c:f>
              <c:numCache>
                <c:formatCode>General</c:formatCode>
                <c:ptCount val="10"/>
                <c:pt idx="0">
                  <c:v>10</c:v>
                </c:pt>
                <c:pt idx="1">
                  <c:v>20</c:v>
                </c:pt>
                <c:pt idx="2">
                  <c:v>31</c:v>
                </c:pt>
                <c:pt idx="3">
                  <c:v>41</c:v>
                </c:pt>
                <c:pt idx="4">
                  <c:v>53</c:v>
                </c:pt>
                <c:pt idx="5">
                  <c:v>68</c:v>
                </c:pt>
                <c:pt idx="6">
                  <c:v>83</c:v>
                </c:pt>
                <c:pt idx="7">
                  <c:v>95</c:v>
                </c:pt>
                <c:pt idx="8">
                  <c:v>170</c:v>
                </c:pt>
              </c:numCache>
            </c:numRef>
          </c:xVal>
          <c:yVal>
            <c:numRef>
              <c:f>'Isotherm Graphs'!$B$5:$B$14</c:f>
              <c:numCache>
                <c:formatCode>General</c:formatCode>
                <c:ptCount val="10"/>
                <c:pt idx="0">
                  <c:v>18</c:v>
                </c:pt>
                <c:pt idx="1">
                  <c:v>40</c:v>
                </c:pt>
                <c:pt idx="2">
                  <c:v>63</c:v>
                </c:pt>
                <c:pt idx="3">
                  <c:v>80</c:v>
                </c:pt>
                <c:pt idx="4">
                  <c:v>95</c:v>
                </c:pt>
                <c:pt idx="5">
                  <c:v>105</c:v>
                </c:pt>
                <c:pt idx="6">
                  <c:v>120</c:v>
                </c:pt>
                <c:pt idx="7">
                  <c:v>130</c:v>
                </c:pt>
                <c:pt idx="8">
                  <c:v>150</c:v>
                </c:pt>
              </c:numCache>
            </c:numRef>
          </c:yVal>
          <c:smooth val="1"/>
          <c:extLst>
            <c:ext xmlns:c16="http://schemas.microsoft.com/office/drawing/2014/chart" uri="{C3380CC4-5D6E-409C-BE32-E72D297353CC}">
              <c16:uniqueId val="{00000003-F1A7-455B-B8B9-2DA58F0268D9}"/>
            </c:ext>
          </c:extLst>
        </c:ser>
        <c:dLbls>
          <c:showLegendKey val="0"/>
          <c:showVal val="0"/>
          <c:showCatName val="0"/>
          <c:showSerName val="0"/>
          <c:showPercent val="0"/>
          <c:showBubbleSize val="0"/>
        </c:dLbls>
        <c:axId val="127594496"/>
        <c:axId val="127596800"/>
      </c:scatterChart>
      <c:scatterChart>
        <c:scatterStyle val="lineMarker"/>
        <c:varyColors val="0"/>
        <c:ser>
          <c:idx val="0"/>
          <c:order val="0"/>
          <c:tx>
            <c:strRef>
              <c:f>'Isotherm Graphs'!$B$4</c:f>
              <c:strCache>
                <c:ptCount val="1"/>
                <c:pt idx="0">
                  <c:v>Qe (experimental)</c:v>
                </c:pt>
              </c:strCache>
            </c:strRef>
          </c:tx>
          <c:spPr>
            <a:ln w="28575">
              <a:noFill/>
            </a:ln>
          </c:spPr>
          <c:marker>
            <c:spPr>
              <a:solidFill>
                <a:schemeClr val="tx1"/>
              </a:solidFill>
              <a:ln>
                <a:noFill/>
              </a:ln>
            </c:spPr>
          </c:marker>
          <c:dPt>
            <c:idx val="8"/>
            <c:marker>
              <c:spPr>
                <a:solidFill>
                  <a:schemeClr val="tx1"/>
                </a:solidFill>
                <a:ln w="0"/>
              </c:spPr>
            </c:marker>
            <c:bubble3D val="0"/>
            <c:extLst>
              <c:ext xmlns:c16="http://schemas.microsoft.com/office/drawing/2014/chart" uri="{C3380CC4-5D6E-409C-BE32-E72D297353CC}">
                <c16:uniqueId val="{00000004-F1A7-455B-B8B9-2DA58F0268D9}"/>
              </c:ext>
            </c:extLst>
          </c:dPt>
          <c:xVal>
            <c:numRef>
              <c:f>'Isotherm Graphs'!$A$5:$A$13</c:f>
              <c:numCache>
                <c:formatCode>General</c:formatCode>
                <c:ptCount val="9"/>
                <c:pt idx="0">
                  <c:v>10</c:v>
                </c:pt>
                <c:pt idx="1">
                  <c:v>20</c:v>
                </c:pt>
                <c:pt idx="2">
                  <c:v>31</c:v>
                </c:pt>
                <c:pt idx="3">
                  <c:v>41</c:v>
                </c:pt>
                <c:pt idx="4">
                  <c:v>53</c:v>
                </c:pt>
                <c:pt idx="5">
                  <c:v>68</c:v>
                </c:pt>
                <c:pt idx="6">
                  <c:v>83</c:v>
                </c:pt>
                <c:pt idx="7">
                  <c:v>95</c:v>
                </c:pt>
                <c:pt idx="8">
                  <c:v>170</c:v>
                </c:pt>
              </c:numCache>
            </c:numRef>
          </c:xVal>
          <c:yVal>
            <c:numRef>
              <c:f>'Isotherm Graphs'!$B$5:$B$13</c:f>
              <c:numCache>
                <c:formatCode>General</c:formatCode>
                <c:ptCount val="9"/>
                <c:pt idx="0">
                  <c:v>18</c:v>
                </c:pt>
                <c:pt idx="1">
                  <c:v>40</c:v>
                </c:pt>
                <c:pt idx="2">
                  <c:v>63</c:v>
                </c:pt>
                <c:pt idx="3">
                  <c:v>80</c:v>
                </c:pt>
                <c:pt idx="4">
                  <c:v>95</c:v>
                </c:pt>
                <c:pt idx="5">
                  <c:v>105</c:v>
                </c:pt>
                <c:pt idx="6">
                  <c:v>120</c:v>
                </c:pt>
                <c:pt idx="7">
                  <c:v>130</c:v>
                </c:pt>
                <c:pt idx="8">
                  <c:v>150</c:v>
                </c:pt>
              </c:numCache>
            </c:numRef>
          </c:yVal>
          <c:smooth val="1"/>
          <c:extLst>
            <c:ext xmlns:c16="http://schemas.microsoft.com/office/drawing/2014/chart" uri="{C3380CC4-5D6E-409C-BE32-E72D297353CC}">
              <c16:uniqueId val="{00000000-719B-41C9-9AD3-51AD5F2F71C8}"/>
            </c:ext>
          </c:extLst>
        </c:ser>
        <c:ser>
          <c:idx val="3"/>
          <c:order val="1"/>
          <c:tx>
            <c:strRef>
              <c:f>'Isotherm Graphs'!$G$4</c:f>
              <c:strCache>
                <c:ptCount val="1"/>
                <c:pt idx="0">
                  <c:v>Qe (Redlich-Petersen)</c:v>
                </c:pt>
              </c:strCache>
            </c:strRef>
          </c:tx>
          <c:spPr>
            <a:ln w="19050">
              <a:solidFill>
                <a:sysClr val="windowText" lastClr="000000"/>
              </a:solidFill>
              <a:prstDash val="sysDot"/>
            </a:ln>
          </c:spPr>
          <c:marker>
            <c:symbol val="none"/>
          </c:marker>
          <c:xVal>
            <c:numRef>
              <c:f>'Isotherm Graphs'!$A$5:$A$12</c:f>
              <c:numCache>
                <c:formatCode>General</c:formatCode>
                <c:ptCount val="8"/>
                <c:pt idx="0">
                  <c:v>10</c:v>
                </c:pt>
                <c:pt idx="1">
                  <c:v>20</c:v>
                </c:pt>
                <c:pt idx="2">
                  <c:v>31</c:v>
                </c:pt>
                <c:pt idx="3">
                  <c:v>41</c:v>
                </c:pt>
                <c:pt idx="4">
                  <c:v>53</c:v>
                </c:pt>
                <c:pt idx="5">
                  <c:v>68</c:v>
                </c:pt>
                <c:pt idx="6">
                  <c:v>83</c:v>
                </c:pt>
                <c:pt idx="7">
                  <c:v>95</c:v>
                </c:pt>
              </c:numCache>
            </c:numRef>
          </c:xVal>
          <c:yVal>
            <c:numRef>
              <c:f>'Isotherm Graphs'!$G$5:$G$12</c:f>
              <c:numCache>
                <c:formatCode>General</c:formatCode>
                <c:ptCount val="8"/>
                <c:pt idx="0">
                  <c:v>21.79255845126136</c:v>
                </c:pt>
                <c:pt idx="1">
                  <c:v>41.898043158331859</c:v>
                </c:pt>
                <c:pt idx="2">
                  <c:v>61.548575641574089</c:v>
                </c:pt>
                <c:pt idx="3">
                  <c:v>77.075056795649743</c:v>
                </c:pt>
                <c:pt idx="4">
                  <c:v>92.893853609931639</c:v>
                </c:pt>
                <c:pt idx="5">
                  <c:v>108.79490295462728</c:v>
                </c:pt>
                <c:pt idx="6">
                  <c:v>121.05052252247056</c:v>
                </c:pt>
                <c:pt idx="7">
                  <c:v>128.69414194254088</c:v>
                </c:pt>
              </c:numCache>
            </c:numRef>
          </c:yVal>
          <c:smooth val="0"/>
          <c:extLst>
            <c:ext xmlns:c16="http://schemas.microsoft.com/office/drawing/2014/chart" uri="{C3380CC4-5D6E-409C-BE32-E72D297353CC}">
              <c16:uniqueId val="{00000003-719B-41C9-9AD3-51AD5F2F71C8}"/>
            </c:ext>
          </c:extLst>
        </c:ser>
        <c:ser>
          <c:idx val="1"/>
          <c:order val="2"/>
          <c:tx>
            <c:strRef>
              <c:f>'Isotherm Graphs'!$H$4</c:f>
              <c:strCache>
                <c:ptCount val="1"/>
                <c:pt idx="0">
                  <c:v>Qe (Toth)</c:v>
                </c:pt>
              </c:strCache>
            </c:strRef>
          </c:tx>
          <c:spPr>
            <a:ln w="15875">
              <a:solidFill>
                <a:sysClr val="windowText" lastClr="000000">
                  <a:shade val="95000"/>
                  <a:satMod val="105000"/>
                </a:sysClr>
              </a:solidFill>
              <a:prstDash val="dash"/>
            </a:ln>
          </c:spPr>
          <c:marker>
            <c:symbol val="none"/>
          </c:marker>
          <c:xVal>
            <c:numRef>
              <c:f>'Isotherm Graphs'!$A$5:$A$14</c:f>
              <c:numCache>
                <c:formatCode>General</c:formatCode>
                <c:ptCount val="10"/>
                <c:pt idx="0">
                  <c:v>10</c:v>
                </c:pt>
                <c:pt idx="1">
                  <c:v>20</c:v>
                </c:pt>
                <c:pt idx="2">
                  <c:v>31</c:v>
                </c:pt>
                <c:pt idx="3">
                  <c:v>41</c:v>
                </c:pt>
                <c:pt idx="4">
                  <c:v>53</c:v>
                </c:pt>
                <c:pt idx="5">
                  <c:v>68</c:v>
                </c:pt>
                <c:pt idx="6">
                  <c:v>83</c:v>
                </c:pt>
                <c:pt idx="7">
                  <c:v>95</c:v>
                </c:pt>
                <c:pt idx="8">
                  <c:v>170</c:v>
                </c:pt>
              </c:numCache>
            </c:numRef>
          </c:xVal>
          <c:yVal>
            <c:numRef>
              <c:f>'Isotherm Graphs'!$H$5:$H$14</c:f>
              <c:numCache>
                <c:formatCode>General</c:formatCode>
                <c:ptCount val="10"/>
                <c:pt idx="0">
                  <c:v>21.238388964204574</c:v>
                </c:pt>
                <c:pt idx="1">
                  <c:v>41.459769174054784</c:v>
                </c:pt>
                <c:pt idx="2">
                  <c:v>61.59052964592339</c:v>
                </c:pt>
                <c:pt idx="3">
                  <c:v>77.504251996236846</c:v>
                </c:pt>
                <c:pt idx="4">
                  <c:v>93.485746329523479</c:v>
                </c:pt>
                <c:pt idx="5">
                  <c:v>109.11948735831535</c:v>
                </c:pt>
                <c:pt idx="6">
                  <c:v>120.82293305049068</c:v>
                </c:pt>
                <c:pt idx="7">
                  <c:v>128.01177385820944</c:v>
                </c:pt>
                <c:pt idx="8">
                  <c:v>149.98715247838484</c:v>
                </c:pt>
              </c:numCache>
            </c:numRef>
          </c:yVal>
          <c:smooth val="0"/>
          <c:extLst>
            <c:ext xmlns:c16="http://schemas.microsoft.com/office/drawing/2014/chart" uri="{C3380CC4-5D6E-409C-BE32-E72D297353CC}">
              <c16:uniqueId val="{00000000-9B36-441B-B83D-B38A169AA7F0}"/>
            </c:ext>
          </c:extLst>
        </c:ser>
        <c:dLbls>
          <c:showLegendKey val="0"/>
          <c:showVal val="0"/>
          <c:showCatName val="0"/>
          <c:showSerName val="0"/>
          <c:showPercent val="0"/>
          <c:showBubbleSize val="0"/>
        </c:dLbls>
        <c:axId val="127594496"/>
        <c:axId val="127596800"/>
      </c:scatterChart>
      <c:valAx>
        <c:axId val="127594496"/>
        <c:scaling>
          <c:orientation val="minMax"/>
        </c:scaling>
        <c:delete val="0"/>
        <c:axPos val="b"/>
        <c:title>
          <c:tx>
            <c:rich>
              <a:bodyPr/>
              <a:lstStyle/>
              <a:p>
                <a:pPr>
                  <a:defRPr/>
                </a:pPr>
                <a:r>
                  <a:rPr lang="en-US"/>
                  <a:t>Ce [mg/L]</a:t>
                </a:r>
              </a:p>
            </c:rich>
          </c:tx>
          <c:overlay val="0"/>
        </c:title>
        <c:numFmt formatCode="General" sourceLinked="1"/>
        <c:majorTickMark val="out"/>
        <c:minorTickMark val="none"/>
        <c:tickLblPos val="nextTo"/>
        <c:crossAx val="127596800"/>
        <c:crosses val="autoZero"/>
        <c:crossBetween val="midCat"/>
      </c:valAx>
      <c:valAx>
        <c:axId val="127596800"/>
        <c:scaling>
          <c:orientation val="minMax"/>
        </c:scaling>
        <c:delete val="0"/>
        <c:axPos val="l"/>
        <c:title>
          <c:tx>
            <c:rich>
              <a:bodyPr rot="-5400000" vert="horz"/>
              <a:lstStyle/>
              <a:p>
                <a:pPr>
                  <a:defRPr/>
                </a:pPr>
                <a:r>
                  <a:rPr lang="en-US"/>
                  <a:t>Qe [mg/g]</a:t>
                </a:r>
              </a:p>
            </c:rich>
          </c:tx>
          <c:layout>
            <c:manualLayout>
              <c:xMode val="edge"/>
              <c:yMode val="edge"/>
              <c:x val="1.2402887139107612E-2"/>
              <c:y val="0.37163921542186135"/>
            </c:manualLayout>
          </c:layout>
          <c:overlay val="0"/>
        </c:title>
        <c:numFmt formatCode="General" sourceLinked="1"/>
        <c:majorTickMark val="out"/>
        <c:minorTickMark val="none"/>
        <c:tickLblPos val="nextTo"/>
        <c:crossAx val="127594496"/>
        <c:crosses val="autoZero"/>
        <c:crossBetween val="midCat"/>
      </c:valAx>
      <c:spPr>
        <a:ln>
          <a:solidFill>
            <a:schemeClr val="tx1">
              <a:shade val="95000"/>
              <a:satMod val="105000"/>
            </a:schemeClr>
          </a:solidFill>
        </a:ln>
      </c:spPr>
    </c:plotArea>
    <c:legend>
      <c:legendPos val="r"/>
      <c:layout>
        <c:manualLayout>
          <c:xMode val="edge"/>
          <c:yMode val="edge"/>
          <c:x val="0.45432437938475484"/>
          <c:y val="0.36835222998784239"/>
          <c:w val="0.37650087489063866"/>
          <c:h val="0.3595523476232137"/>
        </c:manualLayout>
      </c:layout>
      <c:overlay val="1"/>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'Isotherm Graphs'!$B$4</c:f>
              <c:strCache>
                <c:ptCount val="1"/>
                <c:pt idx="0">
                  <c:v>Qe (experimental)</c:v>
                </c:pt>
              </c:strCache>
            </c:strRef>
          </c:tx>
          <c:spPr>
            <a:ln w="28575">
              <a:noFill/>
            </a:ln>
          </c:spPr>
          <c:marker>
            <c:spPr>
              <a:solidFill>
                <a:schemeClr val="tx1"/>
              </a:solidFill>
              <a:ln>
                <a:noFill/>
              </a:ln>
            </c:spPr>
          </c:marker>
          <c:xVal>
            <c:numRef>
              <c:f>'Isotherm Graphs'!$A$5:$A$15</c:f>
              <c:numCache>
                <c:formatCode>General</c:formatCode>
                <c:ptCount val="11"/>
                <c:pt idx="0">
                  <c:v>10</c:v>
                </c:pt>
                <c:pt idx="1">
                  <c:v>20</c:v>
                </c:pt>
                <c:pt idx="2">
                  <c:v>31</c:v>
                </c:pt>
                <c:pt idx="3">
                  <c:v>41</c:v>
                </c:pt>
                <c:pt idx="4">
                  <c:v>53</c:v>
                </c:pt>
                <c:pt idx="5">
                  <c:v>68</c:v>
                </c:pt>
                <c:pt idx="6">
                  <c:v>83</c:v>
                </c:pt>
                <c:pt idx="7">
                  <c:v>95</c:v>
                </c:pt>
                <c:pt idx="8">
                  <c:v>170</c:v>
                </c:pt>
              </c:numCache>
            </c:numRef>
          </c:xVal>
          <c:yVal>
            <c:numRef>
              <c:f>'Isotherm Graphs'!$B$5:$B$15</c:f>
              <c:numCache>
                <c:formatCode>General</c:formatCode>
                <c:ptCount val="11"/>
                <c:pt idx="0">
                  <c:v>18</c:v>
                </c:pt>
                <c:pt idx="1">
                  <c:v>40</c:v>
                </c:pt>
                <c:pt idx="2">
                  <c:v>63</c:v>
                </c:pt>
                <c:pt idx="3">
                  <c:v>80</c:v>
                </c:pt>
                <c:pt idx="4">
                  <c:v>95</c:v>
                </c:pt>
                <c:pt idx="5">
                  <c:v>105</c:v>
                </c:pt>
                <c:pt idx="6">
                  <c:v>120</c:v>
                </c:pt>
                <c:pt idx="7">
                  <c:v>130</c:v>
                </c:pt>
                <c:pt idx="8">
                  <c:v>150</c:v>
                </c:pt>
              </c:numCache>
            </c:numRef>
          </c:yVal>
          <c:smooth val="0"/>
          <c:extLst>
            <c:ext xmlns:c16="http://schemas.microsoft.com/office/drawing/2014/chart" uri="{C3380CC4-5D6E-409C-BE32-E72D297353CC}">
              <c16:uniqueId val="{00000000-6161-4D23-B7D2-29CAC75D11F1}"/>
            </c:ext>
          </c:extLst>
        </c:ser>
        <c:ser>
          <c:idx val="2"/>
          <c:order val="1"/>
          <c:tx>
            <c:strRef>
              <c:f>'Isotherm Graphs'!$K$4</c:f>
              <c:strCache>
                <c:ptCount val="1"/>
                <c:pt idx="0">
                  <c:v>Qe (Vieth-Sladek)</c:v>
                </c:pt>
              </c:strCache>
            </c:strRef>
          </c:tx>
          <c:spPr>
            <a:ln w="15875">
              <a:solidFill>
                <a:sysClr val="windowText" lastClr="000000">
                  <a:shade val="95000"/>
                  <a:satMod val="105000"/>
                </a:sysClr>
              </a:solidFill>
              <a:prstDash val="lgDash"/>
            </a:ln>
          </c:spPr>
          <c:marker>
            <c:symbol val="none"/>
          </c:marker>
          <c:xVal>
            <c:numRef>
              <c:f>'Isotherm Graphs'!$A$5:$A$15</c:f>
              <c:numCache>
                <c:formatCode>General</c:formatCode>
                <c:ptCount val="11"/>
                <c:pt idx="0">
                  <c:v>10</c:v>
                </c:pt>
                <c:pt idx="1">
                  <c:v>20</c:v>
                </c:pt>
                <c:pt idx="2">
                  <c:v>31</c:v>
                </c:pt>
                <c:pt idx="3">
                  <c:v>41</c:v>
                </c:pt>
                <c:pt idx="4">
                  <c:v>53</c:v>
                </c:pt>
                <c:pt idx="5">
                  <c:v>68</c:v>
                </c:pt>
                <c:pt idx="6">
                  <c:v>83</c:v>
                </c:pt>
                <c:pt idx="7">
                  <c:v>95</c:v>
                </c:pt>
                <c:pt idx="8">
                  <c:v>170</c:v>
                </c:pt>
              </c:numCache>
            </c:numRef>
          </c:xVal>
          <c:yVal>
            <c:numRef>
              <c:f>'Isotherm Graphs'!$K$5:$K$15</c:f>
              <c:numCache>
                <c:formatCode>General</c:formatCode>
                <c:ptCount val="11"/>
                <c:pt idx="0">
                  <c:v>25.66077706594654</c:v>
                </c:pt>
                <c:pt idx="1">
                  <c:v>46.126719479821048</c:v>
                </c:pt>
                <c:pt idx="2">
                  <c:v>64.333322193426895</c:v>
                </c:pt>
                <c:pt idx="3">
                  <c:v>77.983279656969103</c:v>
                </c:pt>
                <c:pt idx="4">
                  <c:v>91.628958345869705</c:v>
                </c:pt>
                <c:pt idx="5">
                  <c:v>105.54871178192728</c:v>
                </c:pt>
                <c:pt idx="6">
                  <c:v>116.88744221745789</c:v>
                </c:pt>
                <c:pt idx="7">
                  <c:v>124.54918716984496</c:v>
                </c:pt>
                <c:pt idx="8">
                  <c:v>155.68998371635297</c:v>
                </c:pt>
              </c:numCache>
            </c:numRef>
          </c:yVal>
          <c:smooth val="0"/>
          <c:extLst>
            <c:ext xmlns:c16="http://schemas.microsoft.com/office/drawing/2014/chart" uri="{C3380CC4-5D6E-409C-BE32-E72D297353CC}">
              <c16:uniqueId val="{00000001-6161-4D23-B7D2-29CAC75D11F1}"/>
            </c:ext>
          </c:extLst>
        </c:ser>
        <c:ser>
          <c:idx val="1"/>
          <c:order val="2"/>
          <c:tx>
            <c:strRef>
              <c:f>'Isotherm Graphs'!$L$4</c:f>
              <c:strCache>
                <c:ptCount val="1"/>
                <c:pt idx="0">
                  <c:v>Qe (Brouers-Sotolongo)</c:v>
                </c:pt>
              </c:strCache>
            </c:strRef>
          </c:tx>
          <c:spPr>
            <a:ln w="15875">
              <a:solidFill>
                <a:sysClr val="windowText" lastClr="000000"/>
              </a:solidFill>
              <a:prstDash val="solid"/>
            </a:ln>
          </c:spPr>
          <c:marker>
            <c:symbol val="none"/>
          </c:marker>
          <c:xVal>
            <c:numRef>
              <c:f>'Isotherm Graphs'!$A$5:$A$12</c:f>
              <c:numCache>
                <c:formatCode>General</c:formatCode>
                <c:ptCount val="8"/>
                <c:pt idx="0">
                  <c:v>10</c:v>
                </c:pt>
                <c:pt idx="1">
                  <c:v>20</c:v>
                </c:pt>
                <c:pt idx="2">
                  <c:v>31</c:v>
                </c:pt>
                <c:pt idx="3">
                  <c:v>41</c:v>
                </c:pt>
                <c:pt idx="4">
                  <c:v>53</c:v>
                </c:pt>
                <c:pt idx="5">
                  <c:v>68</c:v>
                </c:pt>
                <c:pt idx="6">
                  <c:v>83</c:v>
                </c:pt>
                <c:pt idx="7">
                  <c:v>95</c:v>
                </c:pt>
              </c:numCache>
            </c:numRef>
          </c:xVal>
          <c:yVal>
            <c:numRef>
              <c:f>'Isotherm Graphs'!$L$5:$L$12</c:f>
              <c:numCache>
                <c:formatCode>General</c:formatCode>
                <c:ptCount val="8"/>
                <c:pt idx="0">
                  <c:v>20.441576982325927</c:v>
                </c:pt>
                <c:pt idx="1">
                  <c:v>41.133648719314692</c:v>
                </c:pt>
                <c:pt idx="2">
                  <c:v>61.434871279949803</c:v>
                </c:pt>
                <c:pt idx="3">
                  <c:v>77.337993984668941</c:v>
                </c:pt>
                <c:pt idx="4">
                  <c:v>93.345934479713549</c:v>
                </c:pt>
                <c:pt idx="5">
                  <c:v>109.19436049522353</c:v>
                </c:pt>
                <c:pt idx="6">
                  <c:v>121.2178102918061</c:v>
                </c:pt>
                <c:pt idx="7">
                  <c:v>128.6280830733854</c:v>
                </c:pt>
              </c:numCache>
            </c:numRef>
          </c:yVal>
          <c:smooth val="0"/>
          <c:extLst>
            <c:ext xmlns:c16="http://schemas.microsoft.com/office/drawing/2014/chart" uri="{C3380CC4-5D6E-409C-BE32-E72D297353CC}">
              <c16:uniqueId val="{00000000-5594-41A8-8ED2-F1620D11A632}"/>
            </c:ext>
          </c:extLst>
        </c:ser>
        <c:ser>
          <c:idx val="3"/>
          <c:order val="3"/>
          <c:tx>
            <c:strRef>
              <c:f>'Isotherm Graphs'!$I$4</c:f>
              <c:strCache>
                <c:ptCount val="1"/>
                <c:pt idx="0">
                  <c:v>Qe (Radke-Prausnitz)</c:v>
                </c:pt>
              </c:strCache>
            </c:strRef>
          </c:tx>
          <c:spPr>
            <a:ln w="28575">
              <a:noFill/>
            </a:ln>
          </c:spPr>
          <c:xVal>
            <c:numRef>
              <c:f>'Isotherm Graphs'!$A$5:$A$12</c:f>
              <c:numCache>
                <c:formatCode>General</c:formatCode>
                <c:ptCount val="8"/>
                <c:pt idx="0">
                  <c:v>10</c:v>
                </c:pt>
                <c:pt idx="1">
                  <c:v>20</c:v>
                </c:pt>
                <c:pt idx="2">
                  <c:v>31</c:v>
                </c:pt>
                <c:pt idx="3">
                  <c:v>41</c:v>
                </c:pt>
                <c:pt idx="4">
                  <c:v>53</c:v>
                </c:pt>
                <c:pt idx="5">
                  <c:v>68</c:v>
                </c:pt>
                <c:pt idx="6">
                  <c:v>83</c:v>
                </c:pt>
                <c:pt idx="7">
                  <c:v>95</c:v>
                </c:pt>
              </c:numCache>
            </c:numRef>
          </c:xVal>
          <c:yVal>
            <c:numRef>
              <c:f>'Isotherm Graphs'!$I$5:$I$12</c:f>
              <c:numCache>
                <c:formatCode>General</c:formatCode>
                <c:ptCount val="8"/>
                <c:pt idx="0">
                  <c:v>22.549160424241776</c:v>
                </c:pt>
                <c:pt idx="1">
                  <c:v>42.456897979792068</c:v>
                </c:pt>
                <c:pt idx="2">
                  <c:v>61.597324584843093</c:v>
                </c:pt>
                <c:pt idx="3">
                  <c:v>76.732714137756659</c:v>
                </c:pt>
                <c:pt idx="4">
                  <c:v>92.341725813047731</c:v>
                </c:pt>
                <c:pt idx="5">
                  <c:v>108.38887508538369</c:v>
                </c:pt>
                <c:pt idx="6">
                  <c:v>121.0944028957212</c:v>
                </c:pt>
                <c:pt idx="7">
                  <c:v>129.17545132214008</c:v>
                </c:pt>
              </c:numCache>
            </c:numRef>
          </c:yVal>
          <c:smooth val="0"/>
          <c:extLst>
            <c:ext xmlns:c16="http://schemas.microsoft.com/office/drawing/2014/chart" uri="{C3380CC4-5D6E-409C-BE32-E72D297353CC}">
              <c16:uniqueId val="{00000000-2071-47E0-806E-5E0EE24DAFD8}"/>
            </c:ext>
          </c:extLst>
        </c:ser>
        <c:dLbls>
          <c:showLegendKey val="0"/>
          <c:showVal val="0"/>
          <c:showCatName val="0"/>
          <c:showSerName val="0"/>
          <c:showPercent val="0"/>
          <c:showBubbleSize val="0"/>
        </c:dLbls>
        <c:axId val="150627456"/>
        <c:axId val="150629376"/>
      </c:scatterChart>
      <c:valAx>
        <c:axId val="150627456"/>
        <c:scaling>
          <c:orientation val="minMax"/>
        </c:scaling>
        <c:delete val="0"/>
        <c:axPos val="b"/>
        <c:title>
          <c:tx>
            <c:rich>
              <a:bodyPr/>
              <a:lstStyle/>
              <a:p>
                <a:pPr>
                  <a:defRPr/>
                </a:pPr>
                <a:r>
                  <a:rPr lang="en-US"/>
                  <a:t>Ce [mg/L]</a:t>
                </a:r>
              </a:p>
            </c:rich>
          </c:tx>
          <c:overlay val="0"/>
        </c:title>
        <c:numFmt formatCode="General" sourceLinked="1"/>
        <c:majorTickMark val="out"/>
        <c:minorTickMark val="none"/>
        <c:tickLblPos val="nextTo"/>
        <c:crossAx val="150629376"/>
        <c:crosses val="autoZero"/>
        <c:crossBetween val="midCat"/>
      </c:valAx>
      <c:valAx>
        <c:axId val="150629376"/>
        <c:scaling>
          <c:orientation val="minMax"/>
        </c:scaling>
        <c:delete val="0"/>
        <c:axPos val="l"/>
        <c:title>
          <c:tx>
            <c:rich>
              <a:bodyPr rot="-5400000" vert="horz"/>
              <a:lstStyle/>
              <a:p>
                <a:pPr>
                  <a:defRPr/>
                </a:pPr>
                <a:r>
                  <a:rPr lang="en-US"/>
                  <a:t>Qe [mg/g]</a:t>
                </a:r>
              </a:p>
            </c:rich>
          </c:tx>
          <c:overlay val="0"/>
        </c:title>
        <c:numFmt formatCode="General" sourceLinked="1"/>
        <c:majorTickMark val="out"/>
        <c:minorTickMark val="none"/>
        <c:tickLblPos val="nextTo"/>
        <c:crossAx val="150627456"/>
        <c:crosses val="autoZero"/>
        <c:crossBetween val="midCat"/>
      </c:valAx>
      <c:spPr>
        <a:ln>
          <a:solidFill>
            <a:schemeClr val="tx1">
              <a:shade val="95000"/>
              <a:satMod val="105000"/>
            </a:schemeClr>
          </a:solidFill>
        </a:ln>
      </c:spPr>
    </c:plotArea>
    <c:legend>
      <c:legendPos val="r"/>
      <c:layout>
        <c:manualLayout>
          <c:xMode val="edge"/>
          <c:yMode val="edge"/>
          <c:x val="0.56388888888888888"/>
          <c:y val="0.42515820939049287"/>
          <c:w val="0.36944444444444446"/>
          <c:h val="0.34798993875765527"/>
        </c:manualLayout>
      </c:layout>
      <c:overlay val="1"/>
      <c:spPr>
        <a:ln>
          <a:solidFill>
            <a:sysClr val="windowText" lastClr="000000"/>
          </a:solidFill>
        </a:ln>
      </c:sp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447DF12-8167-4DD7-8D3E-706FAE896DB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16</Pages>
  <Words>6035</Words>
  <Characters>36210</Characters>
  <Application>Microsoft Office Word</Application>
  <DocSecurity>0</DocSecurity>
  <Lines>301</Lines>
  <Paragraphs>84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Munazza Ruman</dc:creator>
  <cp:lastModifiedBy>Janusz Dabrowski NA</cp:lastModifiedBy>
  <cp:revision>54</cp:revision>
  <cp:lastPrinted>2025-02-11T08:03:00Z</cp:lastPrinted>
  <dcterms:created xsi:type="dcterms:W3CDTF">2024-11-05T07:53:00Z</dcterms:created>
  <dcterms:modified xsi:type="dcterms:W3CDTF">2025-02-21T07:08:00Z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1033-10.2.0.5996</vt:lpwstr>
  </property>
  <property fmtid="{D5CDD505-2E9C-101B-9397-08002B2CF9AE}" pid="3" name="GrammarlyDocumentId">
    <vt:lpwstr>0b7f78f41fc29307eee6bd6ee39915b19d24c600345f8bc0fbc2e5951cee4826</vt:lpwstr>
  </property>
</Properties>
</file>