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B90CE5" w:rsidRPr="007F6C5E" w14:paraId="00DD666F" w14:textId="77777777" w:rsidTr="00AF48DA">
        <w:trPr>
          <w:trHeight w:hRule="exact" w:val="142"/>
        </w:trPr>
        <w:tc>
          <w:tcPr>
            <w:tcW w:w="709" w:type="dxa"/>
            <w:vMerge w:val="restart"/>
            <w:shd w:val="clear" w:color="auto" w:fill="auto"/>
            <w:vAlign w:val="center"/>
          </w:tcPr>
          <w:p w14:paraId="0C7F0CE4" w14:textId="77777777" w:rsidR="00B90CE5" w:rsidRPr="007F6C5E" w:rsidRDefault="00B90CE5" w:rsidP="00B90CE5">
            <w:pPr>
              <w:ind w:firstLine="0"/>
              <w:rPr>
                <w:rFonts w:cs="Times New Roman"/>
                <w:lang w:val="en-GB"/>
              </w:rPr>
            </w:pPr>
            <w:bookmarkStart w:id="0" w:name="_Hlk145412337"/>
            <w:bookmarkStart w:id="1" w:name="_Hlk103340665"/>
            <w:bookmarkStart w:id="2" w:name="_Hlk24804592"/>
            <w:bookmarkEnd w:id="0"/>
            <w:bookmarkEnd w:id="1"/>
            <w:r w:rsidRPr="007F6C5E">
              <w:rPr>
                <w:rFonts w:cs="Times New Roman"/>
                <w:noProof/>
                <w:lang w:val="en-GB"/>
              </w:rPr>
              <w:drawing>
                <wp:anchor distT="0" distB="0" distL="114300" distR="114300" simplePos="0" relativeHeight="251659264" behindDoc="0" locked="0" layoutInCell="1" allowOverlap="1" wp14:anchorId="4AA3C61F" wp14:editId="07F47CD7">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11E422D" w14:textId="77777777" w:rsidR="00B90CE5" w:rsidRPr="007F6C5E" w:rsidRDefault="00B90CE5" w:rsidP="00B90CE5">
            <w:pPr>
              <w:ind w:firstLine="0"/>
              <w:jc w:val="center"/>
              <w:rPr>
                <w:rFonts w:cs="Times New Roman"/>
                <w:lang w:val="en-GB"/>
              </w:rPr>
            </w:pPr>
          </w:p>
        </w:tc>
      </w:tr>
      <w:tr w:rsidR="00B90CE5" w:rsidRPr="007F6C5E" w14:paraId="2DE8C54E" w14:textId="77777777" w:rsidTr="00AF48DA">
        <w:trPr>
          <w:trHeight w:hRule="exact" w:val="283"/>
        </w:trPr>
        <w:tc>
          <w:tcPr>
            <w:tcW w:w="709" w:type="dxa"/>
            <w:vMerge/>
            <w:shd w:val="clear" w:color="auto" w:fill="auto"/>
          </w:tcPr>
          <w:p w14:paraId="48AF58A3" w14:textId="77777777" w:rsidR="00B90CE5" w:rsidRPr="007F6C5E" w:rsidRDefault="00B90CE5" w:rsidP="00B90CE5">
            <w:pPr>
              <w:ind w:firstLine="0"/>
              <w:jc w:val="center"/>
              <w:rPr>
                <w:rFonts w:cs="Times New Roman"/>
                <w:lang w:val="en-GB"/>
              </w:rPr>
            </w:pPr>
          </w:p>
        </w:tc>
        <w:tc>
          <w:tcPr>
            <w:tcW w:w="8930" w:type="dxa"/>
            <w:gridSpan w:val="3"/>
            <w:tcBorders>
              <w:bottom w:val="single" w:sz="2" w:space="0" w:color="auto"/>
            </w:tcBorders>
            <w:shd w:val="clear" w:color="auto" w:fill="auto"/>
            <w:vAlign w:val="center"/>
          </w:tcPr>
          <w:p w14:paraId="09E83FEB" w14:textId="77777777" w:rsidR="00B90CE5" w:rsidRPr="007F6C5E" w:rsidRDefault="00B90CE5" w:rsidP="00B90CE5">
            <w:pPr>
              <w:ind w:firstLine="0"/>
              <w:jc w:val="center"/>
              <w:rPr>
                <w:rFonts w:cs="Times New Roman"/>
                <w:lang w:val="en-GB"/>
              </w:rPr>
            </w:pPr>
            <w:proofErr w:type="spellStart"/>
            <w:r w:rsidRPr="007F6C5E">
              <w:rPr>
                <w:rFonts w:cs="Times New Roman"/>
                <w:b/>
                <w:sz w:val="20"/>
                <w:szCs w:val="20"/>
                <w:lang w:val="en-GB"/>
              </w:rPr>
              <w:t>Rocznik</w:t>
            </w:r>
            <w:proofErr w:type="spellEnd"/>
            <w:r w:rsidRPr="007F6C5E">
              <w:rPr>
                <w:rFonts w:cs="Times New Roman"/>
                <w:b/>
                <w:sz w:val="20"/>
                <w:szCs w:val="20"/>
                <w:lang w:val="en-GB"/>
              </w:rPr>
              <w:t xml:space="preserve"> </w:t>
            </w:r>
            <w:proofErr w:type="spellStart"/>
            <w:r w:rsidRPr="007F6C5E">
              <w:rPr>
                <w:rFonts w:cs="Times New Roman"/>
                <w:b/>
                <w:sz w:val="20"/>
                <w:szCs w:val="20"/>
                <w:lang w:val="en-GB"/>
              </w:rPr>
              <w:t>Ochrona</w:t>
            </w:r>
            <w:proofErr w:type="spellEnd"/>
            <w:r w:rsidRPr="007F6C5E">
              <w:rPr>
                <w:rFonts w:cs="Times New Roman"/>
                <w:b/>
                <w:sz w:val="20"/>
                <w:szCs w:val="20"/>
                <w:lang w:val="en-GB"/>
              </w:rPr>
              <w:t xml:space="preserve"> </w:t>
            </w:r>
            <w:proofErr w:type="spellStart"/>
            <w:r w:rsidRPr="007F6C5E">
              <w:rPr>
                <w:rFonts w:cs="Times New Roman"/>
                <w:b/>
                <w:sz w:val="20"/>
                <w:szCs w:val="20"/>
                <w:lang w:val="en-GB"/>
              </w:rPr>
              <w:t>Środowiska</w:t>
            </w:r>
            <w:proofErr w:type="spellEnd"/>
          </w:p>
        </w:tc>
      </w:tr>
      <w:tr w:rsidR="00B90CE5" w:rsidRPr="007F6C5E" w14:paraId="1A07D762" w14:textId="77777777" w:rsidTr="00AF48DA">
        <w:trPr>
          <w:trHeight w:hRule="exact" w:val="283"/>
        </w:trPr>
        <w:tc>
          <w:tcPr>
            <w:tcW w:w="709" w:type="dxa"/>
            <w:vMerge/>
            <w:shd w:val="clear" w:color="auto" w:fill="auto"/>
          </w:tcPr>
          <w:p w14:paraId="55E61E3F" w14:textId="77777777" w:rsidR="00B90CE5" w:rsidRPr="007F6C5E" w:rsidRDefault="00B90CE5" w:rsidP="00B90CE5">
            <w:pPr>
              <w:ind w:firstLine="0"/>
              <w:jc w:val="center"/>
              <w:rPr>
                <w:rFonts w:cs="Times New Roman"/>
                <w:lang w:val="en-GB"/>
              </w:rPr>
            </w:pPr>
          </w:p>
        </w:tc>
        <w:tc>
          <w:tcPr>
            <w:tcW w:w="992" w:type="dxa"/>
            <w:tcBorders>
              <w:top w:val="single" w:sz="2" w:space="0" w:color="auto"/>
              <w:bottom w:val="single" w:sz="2" w:space="0" w:color="auto"/>
            </w:tcBorders>
            <w:shd w:val="clear" w:color="auto" w:fill="auto"/>
            <w:vAlign w:val="center"/>
          </w:tcPr>
          <w:p w14:paraId="782339B7" w14:textId="77777777" w:rsidR="00B90CE5" w:rsidRPr="007F6C5E" w:rsidRDefault="00B90CE5" w:rsidP="00B90CE5">
            <w:pPr>
              <w:ind w:firstLine="0"/>
              <w:rPr>
                <w:rFonts w:cs="Times New Roman"/>
                <w:sz w:val="18"/>
                <w:szCs w:val="18"/>
                <w:lang w:val="en-GB"/>
              </w:rPr>
            </w:pPr>
            <w:r w:rsidRPr="007F6C5E">
              <w:rPr>
                <w:rFonts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7A6A11B8" w14:textId="77777777" w:rsidR="00B90CE5" w:rsidRPr="007F6C5E" w:rsidRDefault="00B90CE5" w:rsidP="00B90CE5">
            <w:pPr>
              <w:tabs>
                <w:tab w:val="left" w:pos="3057"/>
              </w:tabs>
              <w:ind w:left="141" w:firstLine="0"/>
              <w:rPr>
                <w:rFonts w:cs="Times New Roman"/>
                <w:sz w:val="18"/>
                <w:szCs w:val="18"/>
                <w:lang w:val="en-GB"/>
              </w:rPr>
            </w:pPr>
            <w:r w:rsidRPr="007F6C5E">
              <w:rPr>
                <w:rFonts w:cs="Times New Roman"/>
                <w:sz w:val="18"/>
                <w:szCs w:val="18"/>
                <w:lang w:val="en-GB"/>
              </w:rPr>
              <w:t>Year 2024</w:t>
            </w:r>
            <w:r w:rsidRPr="007F6C5E">
              <w:rPr>
                <w:rFonts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5236C3F1" w14:textId="7D8BF282" w:rsidR="00B90CE5" w:rsidRPr="007F6C5E" w:rsidRDefault="00B90CE5" w:rsidP="00B90CE5">
            <w:pPr>
              <w:ind w:firstLine="0"/>
              <w:jc w:val="right"/>
              <w:rPr>
                <w:rFonts w:cs="Times New Roman"/>
                <w:sz w:val="18"/>
                <w:szCs w:val="18"/>
                <w:lang w:val="en-GB"/>
              </w:rPr>
            </w:pPr>
            <w:r w:rsidRPr="007F6C5E">
              <w:rPr>
                <w:rFonts w:cs="Times New Roman"/>
                <w:sz w:val="18"/>
                <w:szCs w:val="18"/>
                <w:lang w:val="en-GB"/>
              </w:rPr>
              <w:t xml:space="preserve">pp. </w:t>
            </w:r>
            <w:r w:rsidR="00F11915">
              <w:rPr>
                <w:rFonts w:cs="Times New Roman"/>
                <w:sz w:val="18"/>
                <w:szCs w:val="18"/>
                <w:lang w:val="en-GB"/>
              </w:rPr>
              <w:t>264</w:t>
            </w:r>
            <w:r w:rsidRPr="007F6C5E">
              <w:rPr>
                <w:rFonts w:cs="Times New Roman"/>
                <w:sz w:val="18"/>
                <w:szCs w:val="18"/>
                <w:lang w:val="en-GB"/>
              </w:rPr>
              <w:t>-</w:t>
            </w:r>
            <w:r w:rsidR="00F11915">
              <w:rPr>
                <w:rFonts w:cs="Times New Roman"/>
                <w:sz w:val="18"/>
                <w:szCs w:val="18"/>
                <w:lang w:val="en-GB"/>
              </w:rPr>
              <w:t>272</w:t>
            </w:r>
          </w:p>
        </w:tc>
      </w:tr>
      <w:tr w:rsidR="00B90CE5" w:rsidRPr="007F6C5E" w14:paraId="49C3FBE3" w14:textId="77777777" w:rsidTr="00AF48DA">
        <w:trPr>
          <w:trHeight w:hRule="exact" w:val="283"/>
        </w:trPr>
        <w:tc>
          <w:tcPr>
            <w:tcW w:w="709" w:type="dxa"/>
            <w:shd w:val="clear" w:color="auto" w:fill="auto"/>
          </w:tcPr>
          <w:p w14:paraId="39DE947B" w14:textId="77777777" w:rsidR="00B90CE5" w:rsidRPr="007F6C5E" w:rsidRDefault="00B90CE5" w:rsidP="00B90CE5">
            <w:pPr>
              <w:ind w:firstLine="0"/>
              <w:jc w:val="center"/>
              <w:rPr>
                <w:rFonts w:cs="Times New Roman"/>
                <w:lang w:val="en-GB"/>
              </w:rPr>
            </w:pPr>
          </w:p>
        </w:tc>
        <w:tc>
          <w:tcPr>
            <w:tcW w:w="8930" w:type="dxa"/>
            <w:gridSpan w:val="3"/>
            <w:tcBorders>
              <w:top w:val="single" w:sz="2" w:space="0" w:color="auto"/>
              <w:bottom w:val="single" w:sz="2" w:space="0" w:color="auto"/>
            </w:tcBorders>
            <w:shd w:val="clear" w:color="auto" w:fill="auto"/>
            <w:vAlign w:val="center"/>
          </w:tcPr>
          <w:p w14:paraId="2AF31045" w14:textId="6D4E7691" w:rsidR="00B90CE5" w:rsidRPr="007F6C5E" w:rsidRDefault="00B90CE5" w:rsidP="00B90CE5">
            <w:pPr>
              <w:tabs>
                <w:tab w:val="right" w:pos="8928"/>
              </w:tabs>
              <w:ind w:firstLine="0"/>
              <w:rPr>
                <w:rFonts w:cs="Times New Roman"/>
                <w:sz w:val="18"/>
                <w:szCs w:val="18"/>
                <w:lang w:val="en-GB"/>
              </w:rPr>
            </w:pPr>
            <w:r w:rsidRPr="007F6C5E">
              <w:rPr>
                <w:rFonts w:cs="Times New Roman"/>
                <w:sz w:val="18"/>
                <w:szCs w:val="18"/>
                <w:lang w:val="en-GB"/>
              </w:rPr>
              <w:t>https://doi.org/10.54740/ros.2024.0</w:t>
            </w:r>
            <w:r w:rsidR="00F11915">
              <w:rPr>
                <w:rFonts w:cs="Times New Roman"/>
                <w:sz w:val="18"/>
                <w:szCs w:val="18"/>
                <w:lang w:val="en-GB"/>
              </w:rPr>
              <w:t>26</w:t>
            </w:r>
            <w:r w:rsidRPr="007F6C5E">
              <w:rPr>
                <w:rFonts w:cs="Times New Roman"/>
                <w:sz w:val="18"/>
                <w:szCs w:val="18"/>
                <w:lang w:val="en-GB"/>
              </w:rPr>
              <w:tab/>
              <w:t>open access</w:t>
            </w:r>
          </w:p>
        </w:tc>
      </w:tr>
      <w:tr w:rsidR="00B90CE5" w:rsidRPr="007F6C5E" w14:paraId="29F582B3" w14:textId="77777777" w:rsidTr="00AF48DA">
        <w:trPr>
          <w:trHeight w:hRule="exact" w:val="283"/>
        </w:trPr>
        <w:tc>
          <w:tcPr>
            <w:tcW w:w="709" w:type="dxa"/>
            <w:shd w:val="clear" w:color="auto" w:fill="auto"/>
          </w:tcPr>
          <w:p w14:paraId="7EA2FE9D" w14:textId="77777777" w:rsidR="00B90CE5" w:rsidRPr="007F6C5E" w:rsidRDefault="00B90CE5" w:rsidP="00B90CE5">
            <w:pPr>
              <w:ind w:firstLine="0"/>
              <w:jc w:val="center"/>
              <w:rPr>
                <w:rFonts w:cs="Times New Roman"/>
                <w:lang w:val="en-GB"/>
              </w:rPr>
            </w:pPr>
          </w:p>
        </w:tc>
        <w:tc>
          <w:tcPr>
            <w:tcW w:w="8930" w:type="dxa"/>
            <w:gridSpan w:val="3"/>
            <w:tcBorders>
              <w:top w:val="single" w:sz="2" w:space="0" w:color="auto"/>
            </w:tcBorders>
            <w:shd w:val="clear" w:color="auto" w:fill="auto"/>
            <w:vAlign w:val="center"/>
          </w:tcPr>
          <w:p w14:paraId="4E0ED45B" w14:textId="215ED521" w:rsidR="00B90CE5" w:rsidRPr="007F6C5E" w:rsidRDefault="00B90CE5" w:rsidP="00F8631D">
            <w:pPr>
              <w:tabs>
                <w:tab w:val="left" w:pos="3884"/>
                <w:tab w:val="right" w:pos="8928"/>
              </w:tabs>
              <w:ind w:firstLine="0"/>
              <w:rPr>
                <w:rFonts w:cs="Times New Roman"/>
                <w:sz w:val="18"/>
                <w:szCs w:val="18"/>
                <w:lang w:val="en-GB"/>
              </w:rPr>
            </w:pPr>
            <w:r w:rsidRPr="007F6C5E">
              <w:rPr>
                <w:rFonts w:cs="Times New Roman"/>
                <w:sz w:val="18"/>
                <w:szCs w:val="18"/>
                <w:lang w:val="en-GB"/>
              </w:rPr>
              <w:t xml:space="preserve">Received: </w:t>
            </w:r>
            <w:r w:rsidR="00096E2A" w:rsidRPr="00096E2A">
              <w:rPr>
                <w:rFonts w:cs="Times New Roman"/>
                <w:sz w:val="18"/>
                <w:szCs w:val="18"/>
                <w:lang w:val="en-GB"/>
              </w:rPr>
              <w:t>October</w:t>
            </w:r>
            <w:r w:rsidRPr="007F6C5E">
              <w:rPr>
                <w:rFonts w:cs="Times New Roman"/>
                <w:sz w:val="18"/>
                <w:szCs w:val="18"/>
                <w:lang w:val="en-GB"/>
              </w:rPr>
              <w:t xml:space="preserve"> 202</w:t>
            </w:r>
            <w:r w:rsidR="00096E2A">
              <w:rPr>
                <w:rFonts w:cs="Times New Roman"/>
                <w:sz w:val="18"/>
                <w:szCs w:val="18"/>
                <w:lang w:val="en-GB"/>
              </w:rPr>
              <w:t>3</w:t>
            </w:r>
            <w:r w:rsidRPr="007F6C5E">
              <w:rPr>
                <w:rFonts w:cs="Times New Roman"/>
                <w:sz w:val="18"/>
                <w:szCs w:val="18"/>
                <w:lang w:val="en-GB"/>
              </w:rPr>
              <w:tab/>
              <w:t xml:space="preserve">Accepted: </w:t>
            </w:r>
            <w:r w:rsidR="00096E2A">
              <w:rPr>
                <w:rFonts w:cs="Times New Roman"/>
                <w:sz w:val="18"/>
                <w:szCs w:val="18"/>
                <w:lang w:val="en-GB"/>
              </w:rPr>
              <w:t>May</w:t>
            </w:r>
            <w:r w:rsidRPr="007F6C5E">
              <w:rPr>
                <w:rFonts w:cs="Times New Roman"/>
                <w:sz w:val="18"/>
                <w:szCs w:val="18"/>
                <w:lang w:val="en-GB"/>
              </w:rPr>
              <w:t xml:space="preserve"> 2024</w:t>
            </w:r>
            <w:r w:rsidRPr="007F6C5E">
              <w:rPr>
                <w:rFonts w:cs="Times New Roman"/>
                <w:sz w:val="18"/>
                <w:szCs w:val="18"/>
                <w:lang w:val="en-GB"/>
              </w:rPr>
              <w:tab/>
              <w:t xml:space="preserve">Published: </w:t>
            </w:r>
            <w:r w:rsidR="00F11915">
              <w:rPr>
                <w:rFonts w:cs="Times New Roman"/>
                <w:sz w:val="18"/>
                <w:szCs w:val="18"/>
                <w:lang w:val="en-GB"/>
              </w:rPr>
              <w:t>July</w:t>
            </w:r>
            <w:r w:rsidRPr="007F6C5E">
              <w:rPr>
                <w:rFonts w:cs="Times New Roman"/>
                <w:sz w:val="18"/>
                <w:szCs w:val="18"/>
                <w:lang w:val="en-GB"/>
              </w:rPr>
              <w:t xml:space="preserve"> 2024</w:t>
            </w:r>
          </w:p>
        </w:tc>
      </w:tr>
    </w:tbl>
    <w:bookmarkEnd w:id="2"/>
    <w:p w14:paraId="04B56726" w14:textId="5001F654" w:rsidR="008D20CD" w:rsidRPr="007F6C5E" w:rsidRDefault="008D20CD" w:rsidP="00BD0505">
      <w:pPr>
        <w:pStyle w:val="Rtytu"/>
        <w:rPr>
          <w:lang w:val="en-GB"/>
        </w:rPr>
      </w:pPr>
      <w:r w:rsidRPr="007F6C5E">
        <w:rPr>
          <w:lang w:val="en-GB"/>
        </w:rPr>
        <w:t xml:space="preserve">Regression </w:t>
      </w:r>
      <w:r w:rsidR="000971E7">
        <w:rPr>
          <w:lang w:val="en-GB"/>
        </w:rPr>
        <w:t>Q</w:t>
      </w:r>
      <w:r w:rsidRPr="007F6C5E">
        <w:rPr>
          <w:lang w:val="en-GB"/>
        </w:rPr>
        <w:t xml:space="preserve">uantitative </w:t>
      </w:r>
      <w:r w:rsidR="000971E7">
        <w:rPr>
          <w:lang w:val="en-GB"/>
        </w:rPr>
        <w:t>S</w:t>
      </w:r>
      <w:r w:rsidRPr="007F6C5E">
        <w:rPr>
          <w:lang w:val="en-GB"/>
        </w:rPr>
        <w:t>tructure</w:t>
      </w:r>
      <w:r w:rsidR="000971E7">
        <w:rPr>
          <w:lang w:val="en-GB"/>
        </w:rPr>
        <w:t>-</w:t>
      </w:r>
      <w:r w:rsidRPr="007F6C5E">
        <w:rPr>
          <w:lang w:val="en-GB"/>
        </w:rPr>
        <w:t xml:space="preserve">toxicity </w:t>
      </w:r>
      <w:r w:rsidR="000971E7">
        <w:rPr>
          <w:lang w:val="en-GB"/>
        </w:rPr>
        <w:t>R</w:t>
      </w:r>
      <w:r w:rsidRPr="007F6C5E">
        <w:rPr>
          <w:lang w:val="en-GB"/>
        </w:rPr>
        <w:t xml:space="preserve">elationship of </w:t>
      </w:r>
      <w:r w:rsidR="000971E7">
        <w:rPr>
          <w:lang w:val="en-GB"/>
        </w:rPr>
        <w:t>P</w:t>
      </w:r>
      <w:r w:rsidRPr="007F6C5E">
        <w:rPr>
          <w:lang w:val="en-GB"/>
        </w:rPr>
        <w:t xml:space="preserve">esticides on </w:t>
      </w:r>
      <w:r w:rsidR="000971E7">
        <w:rPr>
          <w:lang w:val="en-GB"/>
        </w:rPr>
        <w:t>F</w:t>
      </w:r>
      <w:r w:rsidRPr="007F6C5E">
        <w:rPr>
          <w:lang w:val="en-GB"/>
        </w:rPr>
        <w:t>ishes</w:t>
      </w:r>
    </w:p>
    <w:p w14:paraId="3E42BD79" w14:textId="3BAD1773" w:rsidR="008D20CD" w:rsidRPr="007F6C5E" w:rsidRDefault="008D20CD" w:rsidP="00BD0505">
      <w:pPr>
        <w:pStyle w:val="Rautor"/>
        <w:rPr>
          <w:lang w:val="en-GB"/>
        </w:rPr>
      </w:pPr>
      <w:r w:rsidRPr="007F6C5E">
        <w:rPr>
          <w:lang w:val="en-GB"/>
        </w:rPr>
        <w:t>Bowen Yang</w:t>
      </w:r>
      <w:r w:rsidR="007F6C5E" w:rsidRPr="007F6C5E">
        <w:rPr>
          <w:vertAlign w:val="superscript"/>
          <w:lang w:val="en-GB"/>
        </w:rPr>
        <w:t>1</w:t>
      </w:r>
      <w:r w:rsidRPr="007F6C5E">
        <w:rPr>
          <w:lang w:val="en-GB"/>
        </w:rPr>
        <w:t>, Limin Dang</w:t>
      </w:r>
      <w:r w:rsidR="007F6C5E" w:rsidRPr="007F6C5E">
        <w:rPr>
          <w:vertAlign w:val="superscript"/>
          <w:lang w:val="en-GB"/>
        </w:rPr>
        <w:t>2</w:t>
      </w:r>
      <w:r w:rsidRPr="007F6C5E">
        <w:rPr>
          <w:vertAlign w:val="superscript"/>
          <w:lang w:val="en-GB"/>
        </w:rPr>
        <w:t>*</w:t>
      </w:r>
      <w:r w:rsidRPr="007F6C5E">
        <w:rPr>
          <w:lang w:val="en-GB"/>
        </w:rPr>
        <w:t>, Cong Chen</w:t>
      </w:r>
      <w:r w:rsidR="007F6C5E" w:rsidRPr="007F6C5E">
        <w:rPr>
          <w:vertAlign w:val="superscript"/>
          <w:lang w:val="en-GB"/>
        </w:rPr>
        <w:t>3</w:t>
      </w:r>
      <w:r w:rsidRPr="007F6C5E">
        <w:rPr>
          <w:lang w:val="en-GB"/>
        </w:rPr>
        <w:t xml:space="preserve">, </w:t>
      </w:r>
      <w:proofErr w:type="spellStart"/>
      <w:r w:rsidRPr="007F6C5E">
        <w:rPr>
          <w:lang w:val="en-GB"/>
        </w:rPr>
        <w:t>Mingwang</w:t>
      </w:r>
      <w:proofErr w:type="spellEnd"/>
      <w:r w:rsidRPr="007F6C5E">
        <w:rPr>
          <w:lang w:val="en-GB"/>
        </w:rPr>
        <w:t xml:space="preserve"> Li</w:t>
      </w:r>
      <w:r w:rsidR="007F6C5E" w:rsidRPr="007F6C5E">
        <w:rPr>
          <w:vertAlign w:val="superscript"/>
          <w:lang w:val="en-GB"/>
        </w:rPr>
        <w:t>4</w:t>
      </w:r>
    </w:p>
    <w:p w14:paraId="30B5F425" w14:textId="77777777" w:rsidR="00757F6D" w:rsidRDefault="007F6C5E" w:rsidP="007F6C5E">
      <w:pPr>
        <w:pStyle w:val="Rafiliacja"/>
        <w:rPr>
          <w:lang w:val="en-GB"/>
        </w:rPr>
      </w:pPr>
      <w:r w:rsidRPr="007F6C5E">
        <w:rPr>
          <w:vertAlign w:val="superscript"/>
          <w:lang w:val="en-GB"/>
        </w:rPr>
        <w:t>1</w:t>
      </w:r>
      <w:r w:rsidR="008D20CD" w:rsidRPr="007F6C5E">
        <w:rPr>
          <w:lang w:val="en-GB"/>
        </w:rPr>
        <w:t>College of Materials and Chemical Engineering, Hunan Institute of Engineering, Xiangtan, Hunan 411104, China</w:t>
      </w:r>
    </w:p>
    <w:p w14:paraId="3A940793" w14:textId="4F640130" w:rsidR="007F6C5E" w:rsidRPr="007F6C5E" w:rsidRDefault="007F6C5E" w:rsidP="007F6C5E">
      <w:pPr>
        <w:pStyle w:val="Rafiliacja"/>
        <w:rPr>
          <w:lang w:val="en-GB"/>
        </w:rPr>
      </w:pPr>
      <w:r w:rsidRPr="007F6C5E">
        <w:rPr>
          <w:vertAlign w:val="superscript"/>
          <w:lang w:val="en-GB"/>
        </w:rPr>
        <w:t>2</w:t>
      </w:r>
      <w:r w:rsidRPr="007F6C5E">
        <w:rPr>
          <w:lang w:val="en-GB"/>
        </w:rPr>
        <w:t>College of Materials and Chemical Engineering, Hunan Institute of Engineering, Xiangtan, Hunan 411104, China</w:t>
      </w:r>
      <w:r w:rsidRPr="007F6C5E">
        <w:rPr>
          <w:lang w:val="en-GB"/>
        </w:rPr>
        <w:br/>
      </w:r>
      <w:r w:rsidRPr="007F6C5E">
        <w:rPr>
          <w:szCs w:val="20"/>
          <w:lang w:val="en-GB" w:bidi="hi-IN"/>
        </w:rPr>
        <w:t>https://orcid.org/</w:t>
      </w:r>
      <w:r w:rsidRPr="007F6C5E">
        <w:rPr>
          <w:lang w:val="en-GB"/>
        </w:rPr>
        <w:t>0000-0001-7625-1410</w:t>
      </w:r>
    </w:p>
    <w:p w14:paraId="7C413BCB" w14:textId="4A8E6ECC" w:rsidR="007F6C5E" w:rsidRPr="007F6C5E" w:rsidRDefault="007F6C5E" w:rsidP="007F6C5E">
      <w:pPr>
        <w:pStyle w:val="Rafiliacja"/>
        <w:rPr>
          <w:lang w:val="en-GB"/>
        </w:rPr>
      </w:pPr>
      <w:r w:rsidRPr="007F6C5E">
        <w:rPr>
          <w:vertAlign w:val="superscript"/>
          <w:lang w:val="en-GB"/>
        </w:rPr>
        <w:t>3</w:t>
      </w:r>
      <w:r w:rsidRPr="007F6C5E">
        <w:rPr>
          <w:lang w:val="en-GB"/>
        </w:rPr>
        <w:t>College of Materials and Chemical Engineering, Hunan Institute of Engineering, Xiangtan, Hunan 411104, China</w:t>
      </w:r>
    </w:p>
    <w:p w14:paraId="5C492499" w14:textId="553D5236" w:rsidR="007F6C5E" w:rsidRPr="007F6C5E" w:rsidRDefault="007F6C5E" w:rsidP="007F6C5E">
      <w:pPr>
        <w:pStyle w:val="Rafiliacja"/>
        <w:rPr>
          <w:lang w:val="en-GB"/>
        </w:rPr>
      </w:pPr>
      <w:r w:rsidRPr="007F6C5E">
        <w:rPr>
          <w:vertAlign w:val="superscript"/>
          <w:lang w:val="en-GB"/>
        </w:rPr>
        <w:t>4</w:t>
      </w:r>
      <w:r w:rsidRPr="007F6C5E">
        <w:rPr>
          <w:lang w:val="en-GB"/>
        </w:rPr>
        <w:t>College of Materials and Chemical Engineering, Hunan Institute of Engineering, Xiangtan, Hunan 411104, China</w:t>
      </w:r>
    </w:p>
    <w:p w14:paraId="68DE7038" w14:textId="007C159C" w:rsidR="00B90CE5" w:rsidRPr="007F6C5E" w:rsidRDefault="00B90CE5" w:rsidP="00B90CE5">
      <w:pPr>
        <w:pStyle w:val="Rauco"/>
      </w:pPr>
      <w:r w:rsidRPr="007F6C5E">
        <w:rPr>
          <w:vertAlign w:val="superscript"/>
        </w:rPr>
        <w:t>*</w:t>
      </w:r>
      <w:r w:rsidRPr="007F6C5E">
        <w:t>corresponding author's e-mail: l3055155812@163.com</w:t>
      </w:r>
    </w:p>
    <w:p w14:paraId="43FA27DC" w14:textId="71E0FEA0" w:rsidR="008D20CD" w:rsidRPr="007F6C5E" w:rsidRDefault="008D20CD" w:rsidP="00BD0505">
      <w:pPr>
        <w:pStyle w:val="Rab1"/>
      </w:pPr>
      <w:r w:rsidRPr="007F6C5E">
        <w:rPr>
          <w:b/>
          <w:bCs/>
        </w:rPr>
        <w:t>Abstract:</w:t>
      </w:r>
      <w:r w:rsidRPr="007F6C5E">
        <w:t xml:space="preserve"> </w:t>
      </w:r>
      <w:r w:rsidR="008B1F23">
        <w:t>P</w:t>
      </w:r>
      <w:r w:rsidRPr="007F6C5E">
        <w:t xml:space="preserve">esticide usage reaches several million metric tons annually worldwide, and </w:t>
      </w:r>
      <w:r w:rsidR="008B1F23">
        <w:t xml:space="preserve">the </w:t>
      </w:r>
      <w:r w:rsidRPr="007F6C5E">
        <w:t>effects of pesticides on non-target species</w:t>
      </w:r>
      <w:r w:rsidR="008B1F23">
        <w:t>,</w:t>
      </w:r>
      <w:r w:rsidRPr="007F6C5E">
        <w:t xml:space="preserve"> such as various fishes in aquatic environment</w:t>
      </w:r>
      <w:r w:rsidR="008B1F23">
        <w:t>s,</w:t>
      </w:r>
      <w:r w:rsidRPr="007F6C5E">
        <w:t xml:space="preserve"> have resulted in serious concerns. Predicting pesticide aquatic toxicity to fish is of great significance. In this paper, 20 molecular descriptors were successfully used to develop a regression quantitative structure</w:t>
      </w:r>
      <w:r w:rsidR="008B1F23">
        <w:t>-</w:t>
      </w:r>
      <w:r w:rsidRPr="007F6C5E">
        <w:t>activity/toxicity relationship (QSAR/QSTR) model for the toxicity logLC</w:t>
      </w:r>
      <w:r w:rsidRPr="007F6C5E">
        <w:rPr>
          <w:vertAlign w:val="subscript"/>
        </w:rPr>
        <w:t>50</w:t>
      </w:r>
      <w:r w:rsidRPr="007F6C5E">
        <w:t xml:space="preserve"> of a large data set consisting of 1106 pesticides on fishes by using </w:t>
      </w:r>
      <w:r w:rsidR="008B1F23">
        <w:t xml:space="preserve">a </w:t>
      </w:r>
      <w:r w:rsidRPr="007F6C5E">
        <w:t>general regression neural network (GRNN) algorithm. The</w:t>
      </w:r>
      <w:r w:rsidR="00757F6D">
        <w:t> </w:t>
      </w:r>
      <w:r w:rsidRPr="007F6C5E">
        <w:t xml:space="preserve">optimal GRNN model produced correlation coefficients </w:t>
      </w:r>
      <w:r w:rsidRPr="004801D6">
        <w:rPr>
          <w:i/>
          <w:iCs/>
        </w:rPr>
        <w:t>R</w:t>
      </w:r>
      <w:r w:rsidRPr="007F6C5E">
        <w:t xml:space="preserve"> of 0.8901 (</w:t>
      </w:r>
      <w:r w:rsidRPr="004801D6">
        <w:rPr>
          <w:i/>
          <w:iCs/>
        </w:rPr>
        <w:t>rms</w:t>
      </w:r>
      <w:r w:rsidRPr="007F6C5E">
        <w:t xml:space="preserve"> = 0.6910) for the training set, 0.8531 (</w:t>
      </w:r>
      <w:r w:rsidRPr="004801D6">
        <w:rPr>
          <w:i/>
          <w:iCs/>
        </w:rPr>
        <w:t>rms</w:t>
      </w:r>
      <w:r w:rsidRPr="007F6C5E">
        <w:t xml:space="preserve"> = 0.7486) for the validation set</w:t>
      </w:r>
      <w:r w:rsidR="008B1F23">
        <w:t>,</w:t>
      </w:r>
      <w:r w:rsidRPr="007F6C5E">
        <w:t xml:space="preserve"> and 0.8802 (</w:t>
      </w:r>
      <w:r w:rsidRPr="004801D6">
        <w:rPr>
          <w:i/>
          <w:iCs/>
        </w:rPr>
        <w:t>rms</w:t>
      </w:r>
      <w:r w:rsidRPr="007F6C5E">
        <w:t xml:space="preserve"> = 0.6903) for the test set, which are satisfactory compared with other models in the literature, although a large data set of toxicity logLC</w:t>
      </w:r>
      <w:r w:rsidRPr="007F6C5E">
        <w:rPr>
          <w:vertAlign w:val="subscript"/>
        </w:rPr>
        <w:t>50</w:t>
      </w:r>
      <w:r w:rsidRPr="007F6C5E">
        <w:t xml:space="preserve"> was used in this work.</w:t>
      </w:r>
    </w:p>
    <w:p w14:paraId="6ED80E24" w14:textId="77777777" w:rsidR="008D20CD" w:rsidRPr="007F6C5E" w:rsidRDefault="008D20CD" w:rsidP="00BD0505">
      <w:pPr>
        <w:pStyle w:val="Rab2"/>
      </w:pPr>
      <w:r w:rsidRPr="007F6C5E">
        <w:rPr>
          <w:b/>
          <w:bCs/>
        </w:rPr>
        <w:t>Keywords:</w:t>
      </w:r>
      <w:r w:rsidRPr="007F6C5E">
        <w:t xml:space="preserve"> Toxicity; pesticide; QSTR; general regression neural network </w:t>
      </w:r>
    </w:p>
    <w:p w14:paraId="71A37881" w14:textId="75F0E674" w:rsidR="008D20CD" w:rsidRPr="007F6C5E" w:rsidRDefault="00BD0505" w:rsidP="00BD0505">
      <w:pPr>
        <w:pStyle w:val="Rn1"/>
        <w:rPr>
          <w:lang w:val="en-GB"/>
        </w:rPr>
      </w:pPr>
      <w:r w:rsidRPr="007F6C5E">
        <w:rPr>
          <w:lang w:val="en-GB"/>
        </w:rPr>
        <w:t xml:space="preserve">1. </w:t>
      </w:r>
      <w:r w:rsidR="008D20CD" w:rsidRPr="007F6C5E">
        <w:rPr>
          <w:lang w:val="en-GB"/>
        </w:rPr>
        <w:t>Introduction</w:t>
      </w:r>
    </w:p>
    <w:p w14:paraId="2752EFC4" w14:textId="4B2D3C79" w:rsidR="008D20CD" w:rsidRPr="007F6C5E" w:rsidRDefault="008D20CD" w:rsidP="008D20CD">
      <w:pPr>
        <w:ind w:firstLine="284"/>
        <w:jc w:val="both"/>
        <w:rPr>
          <w:lang w:val="en-GB"/>
        </w:rPr>
      </w:pPr>
      <w:r w:rsidRPr="007F6C5E">
        <w:rPr>
          <w:lang w:val="en-GB"/>
        </w:rPr>
        <w:t>Modern agricultural, residential, commercial and industrial settings are increasing</w:t>
      </w:r>
      <w:r w:rsidR="008B1F23">
        <w:rPr>
          <w:lang w:val="en-GB"/>
        </w:rPr>
        <w:t>ly relying</w:t>
      </w:r>
      <w:r w:rsidRPr="007F6C5E">
        <w:rPr>
          <w:lang w:val="en-GB"/>
        </w:rPr>
        <w:t xml:space="preserve"> on the use of pesticides such as herbicides, insecticides, nematicides, and fungicides in protecting crops, plants and public health and in controlling overgrowth of insects, fungi, rodents, noxious weeds, etc. Nearly 2.7 million tons of pesticides are used in global agricultural production </w:t>
      </w:r>
      <w:r w:rsidR="008B1F23">
        <w:rPr>
          <w:lang w:val="en-GB"/>
        </w:rPr>
        <w:t>annually</w:t>
      </w:r>
      <w:r w:rsidRPr="007F6C5E">
        <w:rPr>
          <w:lang w:val="en-GB"/>
        </w:rPr>
        <w:t xml:space="preserve"> (Isah et al. 2020, Yu &amp; Zeng 2022). </w:t>
      </w:r>
      <w:r w:rsidR="008B1F23">
        <w:rPr>
          <w:lang w:val="en-GB"/>
        </w:rPr>
        <w:t>The e</w:t>
      </w:r>
      <w:r w:rsidRPr="007F6C5E">
        <w:rPr>
          <w:lang w:val="en-GB"/>
        </w:rPr>
        <w:t>ffects of pesticides on non-target species</w:t>
      </w:r>
      <w:r w:rsidR="008B1F23">
        <w:rPr>
          <w:lang w:val="en-GB"/>
        </w:rPr>
        <w:t>,</w:t>
      </w:r>
      <w:r w:rsidRPr="007F6C5E">
        <w:rPr>
          <w:lang w:val="en-GB"/>
        </w:rPr>
        <w:t xml:space="preserve"> such as man and aquatic organism</w:t>
      </w:r>
      <w:r w:rsidR="008B1F23">
        <w:rPr>
          <w:lang w:val="en-GB"/>
        </w:rPr>
        <w:t>s,</w:t>
      </w:r>
      <w:r w:rsidRPr="007F6C5E">
        <w:rPr>
          <w:lang w:val="en-GB"/>
        </w:rPr>
        <w:t xml:space="preserve"> ha</w:t>
      </w:r>
      <w:r w:rsidR="008B1F23">
        <w:rPr>
          <w:lang w:val="en-GB"/>
        </w:rPr>
        <w:t>ve</w:t>
      </w:r>
      <w:r w:rsidRPr="007F6C5E">
        <w:rPr>
          <w:lang w:val="en-GB"/>
        </w:rPr>
        <w:t xml:space="preserve"> resulted in se</w:t>
      </w:r>
      <w:r w:rsidR="008B1F23">
        <w:rPr>
          <w:lang w:val="en-GB"/>
        </w:rPr>
        <w:t>vere</w:t>
      </w:r>
      <w:r w:rsidRPr="007F6C5E">
        <w:rPr>
          <w:lang w:val="en-GB"/>
        </w:rPr>
        <w:t xml:space="preserve"> concerns (Mo</w:t>
      </w:r>
      <w:r w:rsidR="00757F6D">
        <w:rPr>
          <w:lang w:val="en-GB"/>
        </w:rPr>
        <w:t> </w:t>
      </w:r>
      <w:r w:rsidRPr="007F6C5E">
        <w:rPr>
          <w:lang w:val="en-GB"/>
        </w:rPr>
        <w:t>et</w:t>
      </w:r>
      <w:r w:rsidR="00757F6D">
        <w:rPr>
          <w:lang w:val="en-GB"/>
        </w:rPr>
        <w:t> </w:t>
      </w:r>
      <w:r w:rsidRPr="007F6C5E">
        <w:rPr>
          <w:lang w:val="en-GB"/>
        </w:rPr>
        <w:t>al. 2022).</w:t>
      </w:r>
    </w:p>
    <w:p w14:paraId="33C4F245" w14:textId="3C5F6739" w:rsidR="008D20CD" w:rsidRPr="007F6C5E" w:rsidRDefault="008D20CD" w:rsidP="008D20CD">
      <w:pPr>
        <w:ind w:firstLine="284"/>
        <w:jc w:val="both"/>
        <w:rPr>
          <w:lang w:val="en-GB"/>
        </w:rPr>
      </w:pPr>
      <w:r w:rsidRPr="007F6C5E">
        <w:rPr>
          <w:lang w:val="en-GB"/>
        </w:rPr>
        <w:t xml:space="preserve">Performing </w:t>
      </w:r>
      <w:r w:rsidR="008B1F23">
        <w:rPr>
          <w:lang w:val="en-GB"/>
        </w:rPr>
        <w:t xml:space="preserve">a </w:t>
      </w:r>
      <w:r w:rsidRPr="007F6C5E">
        <w:rPr>
          <w:lang w:val="en-GB"/>
        </w:rPr>
        <w:t xml:space="preserve">pesticide risk assessment is essential to provide a precaution against environmental pollution. In determining the acute toxicity of pesticides, fish are usually used as laboratory animals. Unfortunately, the experimental tests </w:t>
      </w:r>
      <w:r w:rsidR="008B1F23">
        <w:rPr>
          <w:lang w:val="en-GB"/>
        </w:rPr>
        <w:t>for</w:t>
      </w:r>
      <w:r w:rsidRPr="007F6C5E">
        <w:rPr>
          <w:lang w:val="en-GB"/>
        </w:rPr>
        <w:t xml:space="preserve"> acute toxicity to fish are expensive and time-consuming (Yu 2020a, Yu 2021). A quantitative structure</w:t>
      </w:r>
      <w:r w:rsidR="008B1F23">
        <w:rPr>
          <w:lang w:val="en-GB"/>
        </w:rPr>
        <w:t>-</w:t>
      </w:r>
      <w:r w:rsidRPr="007F6C5E">
        <w:rPr>
          <w:lang w:val="en-GB"/>
        </w:rPr>
        <w:t>activity/toxicity relationship (QSAR/QSTR) model</w:t>
      </w:r>
      <w:r w:rsidR="008B1F23">
        <w:rPr>
          <w:lang w:val="en-GB"/>
        </w:rPr>
        <w:t>,</w:t>
      </w:r>
      <w:r w:rsidRPr="007F6C5E">
        <w:rPr>
          <w:lang w:val="en-GB"/>
        </w:rPr>
        <w:t xml:space="preserve"> being a rapid, cost-effective and ethical alternative, can be used for predicting chemical toxicity (Sullivan et al. 2014, </w:t>
      </w:r>
      <w:proofErr w:type="spellStart"/>
      <w:r w:rsidRPr="007F6C5E">
        <w:rPr>
          <w:lang w:val="en-GB"/>
        </w:rPr>
        <w:t>Mit</w:t>
      </w:r>
      <w:proofErr w:type="spellEnd"/>
      <w:r w:rsidRPr="007F6C5E">
        <w:rPr>
          <w:lang w:val="en-GB"/>
        </w:rPr>
        <w:t xml:space="preserve"> et al. 2022, </w:t>
      </w:r>
      <w:proofErr w:type="spellStart"/>
      <w:r w:rsidRPr="007F6C5E">
        <w:rPr>
          <w:lang w:val="en-GB"/>
        </w:rPr>
        <w:t>Masand</w:t>
      </w:r>
      <w:proofErr w:type="spellEnd"/>
      <w:r w:rsidRPr="007F6C5E">
        <w:rPr>
          <w:lang w:val="en-GB"/>
        </w:rPr>
        <w:t xml:space="preserve"> et al. 2021, Fang et al. 2022), even for chemicals without being synthetized. This methodology is proposed by EU REACH Legislation, ICH M7 guideline, </w:t>
      </w:r>
      <w:r w:rsidR="008B1F23">
        <w:rPr>
          <w:lang w:val="en-GB"/>
        </w:rPr>
        <w:t xml:space="preserve">the </w:t>
      </w:r>
      <w:r w:rsidRPr="007F6C5E">
        <w:rPr>
          <w:lang w:val="en-GB"/>
        </w:rPr>
        <w:t xml:space="preserve">US FDA and </w:t>
      </w:r>
      <w:r w:rsidR="008B1F23">
        <w:rPr>
          <w:lang w:val="en-GB"/>
        </w:rPr>
        <w:t xml:space="preserve">the </w:t>
      </w:r>
      <w:r w:rsidRPr="007F6C5E">
        <w:rPr>
          <w:lang w:val="en-GB"/>
        </w:rPr>
        <w:t>US EPA to assess the environmental risks of a</w:t>
      </w:r>
      <w:r w:rsidR="00757F6D">
        <w:rPr>
          <w:lang w:val="en-GB"/>
        </w:rPr>
        <w:t> </w:t>
      </w:r>
      <w:r w:rsidRPr="007F6C5E">
        <w:rPr>
          <w:lang w:val="en-GB"/>
        </w:rPr>
        <w:t>chemical (</w:t>
      </w:r>
      <w:proofErr w:type="spellStart"/>
      <w:r w:rsidRPr="007F6C5E">
        <w:rPr>
          <w:lang w:val="en-GB"/>
        </w:rPr>
        <w:t>Cachot</w:t>
      </w:r>
      <w:proofErr w:type="spellEnd"/>
      <w:r w:rsidRPr="007F6C5E">
        <w:rPr>
          <w:lang w:val="en-GB"/>
        </w:rPr>
        <w:t xml:space="preserve"> 2014, Schmidt et al. 2021). Some QSTR models have been reported on pesticide aquatic toxicity to fishes.</w:t>
      </w:r>
    </w:p>
    <w:p w14:paraId="258F0028" w14:textId="1B06BAD5" w:rsidR="008D20CD" w:rsidRPr="007F6C5E" w:rsidRDefault="008D20CD" w:rsidP="008D20CD">
      <w:pPr>
        <w:ind w:firstLine="284"/>
        <w:jc w:val="both"/>
        <w:rPr>
          <w:lang w:val="en-GB"/>
        </w:rPr>
      </w:pPr>
      <w:r w:rsidRPr="007F6C5E">
        <w:rPr>
          <w:lang w:val="en-GB"/>
        </w:rPr>
        <w:t>Toropov et al. (2020) introduced QSTR models for 311 acute toxicity data (pLC</w:t>
      </w:r>
      <w:r w:rsidRPr="004801D6">
        <w:rPr>
          <w:vertAlign w:val="subscript"/>
          <w:lang w:val="en-GB"/>
        </w:rPr>
        <w:t>50</w:t>
      </w:r>
      <w:r w:rsidRPr="007F6C5E">
        <w:rPr>
          <w:lang w:val="en-GB"/>
        </w:rPr>
        <w:t xml:space="preserve">) to Rainbow Trout with the index of ideal correlations. The models have coefficients of determination </w:t>
      </w:r>
      <w:r w:rsidRPr="004801D6">
        <w:rPr>
          <w:i/>
          <w:iCs/>
          <w:lang w:val="en-GB"/>
        </w:rPr>
        <w:t>R</w:t>
      </w:r>
      <w:r w:rsidRPr="004801D6">
        <w:rPr>
          <w:i/>
          <w:iCs/>
          <w:vertAlign w:val="superscript"/>
          <w:lang w:val="en-GB"/>
        </w:rPr>
        <w:t>2</w:t>
      </w:r>
      <w:r w:rsidRPr="007F6C5E">
        <w:rPr>
          <w:lang w:val="en-GB"/>
        </w:rPr>
        <w:t xml:space="preserve"> being 0.81</w:t>
      </w:r>
      <w:r w:rsidR="004801D6">
        <w:rPr>
          <w:lang w:val="en-GB"/>
        </w:rPr>
        <w:t>-</w:t>
      </w:r>
      <w:r w:rsidRPr="007F6C5E">
        <w:rPr>
          <w:lang w:val="en-GB"/>
        </w:rPr>
        <w:t>0.86 and root mean square (</w:t>
      </w:r>
      <w:r w:rsidRPr="004801D6">
        <w:rPr>
          <w:i/>
          <w:iCs/>
          <w:lang w:val="en-GB"/>
        </w:rPr>
        <w:t>rms</w:t>
      </w:r>
      <w:r w:rsidRPr="007F6C5E">
        <w:rPr>
          <w:lang w:val="en-GB"/>
        </w:rPr>
        <w:t>) errors of 0.55</w:t>
      </w:r>
      <w:r w:rsidR="004801D6">
        <w:rPr>
          <w:lang w:val="en-GB"/>
        </w:rPr>
        <w:t>-</w:t>
      </w:r>
      <w:r w:rsidRPr="007F6C5E">
        <w:rPr>
          <w:lang w:val="en-GB"/>
        </w:rPr>
        <w:t>0.65 for the validation set.</w:t>
      </w:r>
    </w:p>
    <w:p w14:paraId="7A05D61F" w14:textId="78B9D01D" w:rsidR="008D20CD" w:rsidRPr="007F6C5E" w:rsidRDefault="008D20CD" w:rsidP="008D20CD">
      <w:pPr>
        <w:ind w:firstLine="284"/>
        <w:jc w:val="both"/>
        <w:rPr>
          <w:lang w:val="en-GB"/>
        </w:rPr>
      </w:pPr>
      <w:r w:rsidRPr="007F6C5E">
        <w:rPr>
          <w:lang w:val="en-GB"/>
        </w:rPr>
        <w:t>Pandey et al. (2020) considered QSAR mode</w:t>
      </w:r>
      <w:r w:rsidR="008B1F23">
        <w:rPr>
          <w:lang w:val="en-GB"/>
        </w:rPr>
        <w:t>l</w:t>
      </w:r>
      <w:r w:rsidRPr="007F6C5E">
        <w:rPr>
          <w:lang w:val="en-GB"/>
        </w:rPr>
        <w:t>ling of 85 acute fish toxicity (pLC</w:t>
      </w:r>
      <w:r w:rsidRPr="004801D6">
        <w:rPr>
          <w:vertAlign w:val="subscript"/>
          <w:lang w:val="en-GB"/>
        </w:rPr>
        <w:t>50</w:t>
      </w:r>
      <w:r w:rsidRPr="007F6C5E">
        <w:rPr>
          <w:lang w:val="en-GB"/>
        </w:rPr>
        <w:t xml:space="preserve">) of environmental transformation products of pesticides using ten simple 2D descriptors and partial least squares regression. The training and test sets have </w:t>
      </w:r>
      <w:r w:rsidRPr="004801D6">
        <w:rPr>
          <w:i/>
          <w:iCs/>
          <w:lang w:val="en-GB"/>
        </w:rPr>
        <w:t>R</w:t>
      </w:r>
      <w:r w:rsidRPr="004801D6">
        <w:rPr>
          <w:i/>
          <w:iCs/>
          <w:vertAlign w:val="superscript"/>
          <w:lang w:val="en-GB"/>
        </w:rPr>
        <w:t>2</w:t>
      </w:r>
      <w:r w:rsidRPr="007F6C5E">
        <w:rPr>
          <w:lang w:val="en-GB"/>
        </w:rPr>
        <w:t xml:space="preserve"> higher than 0.73 and mean absolute errors (MAE) lower than 0.57. </w:t>
      </w:r>
    </w:p>
    <w:p w14:paraId="4CF44A10" w14:textId="6C6AA8D3" w:rsidR="008D20CD" w:rsidRPr="007F6C5E" w:rsidRDefault="008D20CD" w:rsidP="008D20CD">
      <w:pPr>
        <w:ind w:firstLine="284"/>
        <w:jc w:val="both"/>
        <w:rPr>
          <w:lang w:val="en-GB"/>
        </w:rPr>
      </w:pPr>
      <w:r w:rsidRPr="007F6C5E">
        <w:rPr>
          <w:lang w:val="en-GB"/>
        </w:rPr>
        <w:t>Jia et al. (2020) proposed a linear QSAR model for aquatic toxicity (pLC</w:t>
      </w:r>
      <w:r w:rsidRPr="004801D6">
        <w:rPr>
          <w:vertAlign w:val="subscript"/>
          <w:lang w:val="en-GB"/>
        </w:rPr>
        <w:t>50</w:t>
      </w:r>
      <w:r w:rsidRPr="007F6C5E">
        <w:rPr>
          <w:lang w:val="en-GB"/>
        </w:rPr>
        <w:t xml:space="preserve">) of 311 pesticides on Rainbow Trout with molecular weight and 27 norm indices. The model has </w:t>
      </w:r>
      <w:r w:rsidR="008B1F23">
        <w:rPr>
          <w:lang w:val="en-GB"/>
        </w:rPr>
        <w:t xml:space="preserve">a </w:t>
      </w:r>
      <w:r w:rsidRPr="007F6C5E">
        <w:rPr>
          <w:lang w:val="en-GB"/>
        </w:rPr>
        <w:t>coefficient</w:t>
      </w:r>
      <w:r w:rsidR="008B1F23">
        <w:rPr>
          <w:lang w:val="en-GB"/>
        </w:rPr>
        <w:t xml:space="preserve"> of determination </w:t>
      </w:r>
      <w:r w:rsidR="008B1F23" w:rsidRPr="00175793">
        <w:rPr>
          <w:i/>
          <w:iCs/>
          <w:lang w:val="en-GB"/>
        </w:rPr>
        <w:t>R</w:t>
      </w:r>
      <w:r w:rsidR="008B1F23" w:rsidRPr="00175793">
        <w:rPr>
          <w:i/>
          <w:iCs/>
          <w:vertAlign w:val="superscript"/>
          <w:lang w:val="en-GB"/>
        </w:rPr>
        <w:t>2</w:t>
      </w:r>
      <w:r w:rsidR="008B1F23">
        <w:rPr>
          <w:lang w:val="en-GB"/>
        </w:rPr>
        <w:t xml:space="preserve"> higher than 0.80 for</w:t>
      </w:r>
      <w:r w:rsidRPr="007F6C5E">
        <w:rPr>
          <w:lang w:val="en-GB"/>
        </w:rPr>
        <w:t xml:space="preserve"> the training set (249 samples) and test set (62 samples).</w:t>
      </w:r>
    </w:p>
    <w:p w14:paraId="52CA29BE" w14:textId="6B118ACD" w:rsidR="008D20CD" w:rsidRPr="007F6C5E" w:rsidRDefault="008D20CD" w:rsidP="008D20CD">
      <w:pPr>
        <w:ind w:firstLine="284"/>
        <w:jc w:val="both"/>
        <w:rPr>
          <w:lang w:val="en-GB"/>
        </w:rPr>
      </w:pPr>
      <w:r w:rsidRPr="007F6C5E">
        <w:rPr>
          <w:lang w:val="en-GB"/>
        </w:rPr>
        <w:t xml:space="preserve">Galimberti et al. (2020) established linear QSAR models for small </w:t>
      </w:r>
      <w:r w:rsidR="008B1F23">
        <w:rPr>
          <w:lang w:val="en-GB"/>
        </w:rPr>
        <w:t>pesticide toxicity Log(EC50) data</w:t>
      </w:r>
      <w:r w:rsidRPr="007F6C5E">
        <w:rPr>
          <w:lang w:val="en-GB"/>
        </w:rPr>
        <w:t xml:space="preserve"> </w:t>
      </w:r>
      <w:r w:rsidR="008B1F23">
        <w:rPr>
          <w:lang w:val="en-GB"/>
        </w:rPr>
        <w:t>sets for</w:t>
      </w:r>
      <w:r w:rsidRPr="007F6C5E">
        <w:rPr>
          <w:lang w:val="en-GB"/>
        </w:rPr>
        <w:t xml:space="preserve"> </w:t>
      </w:r>
      <w:proofErr w:type="spellStart"/>
      <w:r w:rsidRPr="004801D6">
        <w:rPr>
          <w:i/>
          <w:iCs/>
          <w:lang w:val="en-GB"/>
        </w:rPr>
        <w:t>Pimephales</w:t>
      </w:r>
      <w:proofErr w:type="spellEnd"/>
      <w:r w:rsidRPr="004801D6">
        <w:rPr>
          <w:i/>
          <w:iCs/>
          <w:lang w:val="en-GB"/>
        </w:rPr>
        <w:t xml:space="preserve"> </w:t>
      </w:r>
      <w:proofErr w:type="spellStart"/>
      <w:r w:rsidRPr="004801D6">
        <w:rPr>
          <w:i/>
          <w:iCs/>
          <w:lang w:val="en-GB"/>
        </w:rPr>
        <w:t>promelas</w:t>
      </w:r>
      <w:proofErr w:type="spellEnd"/>
      <w:r w:rsidRPr="007F6C5E">
        <w:rPr>
          <w:lang w:val="en-GB"/>
        </w:rPr>
        <w:t xml:space="preserve"> and </w:t>
      </w:r>
      <w:r w:rsidRPr="004801D6">
        <w:rPr>
          <w:i/>
          <w:iCs/>
          <w:lang w:val="en-GB"/>
        </w:rPr>
        <w:t>Oncorhynchus mykiss</w:t>
      </w:r>
      <w:r w:rsidRPr="007F6C5E">
        <w:rPr>
          <w:lang w:val="en-GB"/>
        </w:rPr>
        <w:t xml:space="preserve">. The two models have 12 samples and three descriptors, yielding </w:t>
      </w:r>
      <w:r w:rsidRPr="004801D6">
        <w:rPr>
          <w:i/>
          <w:iCs/>
          <w:lang w:val="en-GB"/>
        </w:rPr>
        <w:t>R</w:t>
      </w:r>
      <w:r w:rsidRPr="004801D6">
        <w:rPr>
          <w:i/>
          <w:iCs/>
          <w:vertAlign w:val="superscript"/>
          <w:lang w:val="en-GB"/>
        </w:rPr>
        <w:t>2</w:t>
      </w:r>
      <w:r w:rsidRPr="007F6C5E">
        <w:rPr>
          <w:lang w:val="en-GB"/>
        </w:rPr>
        <w:t xml:space="preserve"> of 0.96 and MAE higher than 0.20. However, for linear QSARs, the ratios of the numbers of samples to descriptors are generally greater than 5.</w:t>
      </w:r>
    </w:p>
    <w:p w14:paraId="4F5E4C43" w14:textId="77777777" w:rsidR="00757F6D" w:rsidRDefault="00757F6D">
      <w:pPr>
        <w:spacing w:after="160" w:line="259" w:lineRule="auto"/>
        <w:ind w:firstLine="0"/>
        <w:rPr>
          <w:lang w:val="en-GB"/>
        </w:rPr>
      </w:pPr>
      <w:r>
        <w:rPr>
          <w:lang w:val="en-GB"/>
        </w:rPr>
        <w:br w:type="page"/>
      </w:r>
    </w:p>
    <w:p w14:paraId="30B04760" w14:textId="6990DC10" w:rsidR="008D20CD" w:rsidRPr="00757F6D" w:rsidRDefault="008D20CD" w:rsidP="008D20CD">
      <w:pPr>
        <w:ind w:firstLine="284"/>
        <w:jc w:val="both"/>
        <w:rPr>
          <w:spacing w:val="-2"/>
          <w:lang w:val="en-GB"/>
        </w:rPr>
      </w:pPr>
      <w:r w:rsidRPr="00757F6D">
        <w:rPr>
          <w:spacing w:val="-2"/>
          <w:lang w:val="en-GB"/>
        </w:rPr>
        <w:lastRenderedPageBreak/>
        <w:t xml:space="preserve">The QSAR models mentioned above focus on a particular fish species and have relatively small data sets of pesticide toxicity to fishes. </w:t>
      </w:r>
      <w:r w:rsidRPr="00F11915">
        <w:rPr>
          <w:lang w:val="en-GB"/>
        </w:rPr>
        <w:t xml:space="preserve">Thus, these models possess some limitations in application. Li et al. (2017) and Yu </w:t>
      </w:r>
      <w:r w:rsidR="00F11915" w:rsidRPr="00F11915">
        <w:rPr>
          <w:lang w:val="en-GB"/>
        </w:rPr>
        <w:t>&amp;</w:t>
      </w:r>
      <w:r w:rsidRPr="00F11915">
        <w:rPr>
          <w:lang w:val="en-GB"/>
        </w:rPr>
        <w:t xml:space="preserve"> Zeng (2022) reported classification models for large data sets of pesticide toxicity to various fish species.</w:t>
      </w:r>
      <w:r w:rsidRPr="00757F6D">
        <w:rPr>
          <w:spacing w:val="-2"/>
          <w:lang w:val="en-GB"/>
        </w:rPr>
        <w:t xml:space="preserve"> These classification models have </w:t>
      </w:r>
      <w:r w:rsidR="008B1F23" w:rsidRPr="00757F6D">
        <w:rPr>
          <w:spacing w:val="-2"/>
          <w:lang w:val="en-GB"/>
        </w:rPr>
        <w:t xml:space="preserve">a </w:t>
      </w:r>
      <w:r w:rsidRPr="00757F6D">
        <w:rPr>
          <w:spacing w:val="-2"/>
          <w:lang w:val="en-GB"/>
        </w:rPr>
        <w:t>larger applicability domain in predicting the toxic categories of pesticides.</w:t>
      </w:r>
    </w:p>
    <w:p w14:paraId="75AEF02F" w14:textId="01BABBA4" w:rsidR="008D20CD" w:rsidRPr="007F6C5E" w:rsidRDefault="008D20CD" w:rsidP="008D20CD">
      <w:pPr>
        <w:ind w:firstLine="284"/>
        <w:jc w:val="both"/>
        <w:rPr>
          <w:lang w:val="en-GB"/>
        </w:rPr>
      </w:pPr>
      <w:r w:rsidRPr="007F6C5E">
        <w:rPr>
          <w:lang w:val="en-GB"/>
        </w:rPr>
        <w:t xml:space="preserve">In predicting </w:t>
      </w:r>
      <w:r w:rsidR="008B1F23">
        <w:rPr>
          <w:lang w:val="en-GB"/>
        </w:rPr>
        <w:t xml:space="preserve">the </w:t>
      </w:r>
      <w:r w:rsidRPr="007F6C5E">
        <w:rPr>
          <w:lang w:val="en-GB"/>
        </w:rPr>
        <w:t>physicochemical properties of compounds, QSAR models based on regression analysis are more accurate</w:t>
      </w:r>
      <w:r w:rsidR="008B1F23">
        <w:rPr>
          <w:lang w:val="en-GB"/>
        </w:rPr>
        <w:t xml:space="preserve"> than</w:t>
      </w:r>
      <w:r w:rsidRPr="007F6C5E">
        <w:rPr>
          <w:lang w:val="en-GB"/>
        </w:rPr>
        <w:t xml:space="preserve"> classification models, although developing regression models is more difficult than building classification models. Th</w:t>
      </w:r>
      <w:r w:rsidR="008B1F23">
        <w:rPr>
          <w:lang w:val="en-GB"/>
        </w:rPr>
        <w:t>is work aim</w:t>
      </w:r>
      <w:r w:rsidRPr="007F6C5E">
        <w:rPr>
          <w:lang w:val="en-GB"/>
        </w:rPr>
        <w:t>s to establish a regression QSAR model for a large data set</w:t>
      </w:r>
      <w:r w:rsidR="008B1F23">
        <w:rPr>
          <w:lang w:val="en-GB"/>
        </w:rPr>
        <w:t>,</w:t>
      </w:r>
      <w:r w:rsidRPr="007F6C5E">
        <w:rPr>
          <w:lang w:val="en-GB"/>
        </w:rPr>
        <w:t xml:space="preserve"> including 1106 pesticide toxicity to fishes, by using </w:t>
      </w:r>
      <w:r w:rsidR="008B1F23">
        <w:rPr>
          <w:lang w:val="en-GB"/>
        </w:rPr>
        <w:t xml:space="preserve">a </w:t>
      </w:r>
      <w:r w:rsidRPr="007F6C5E">
        <w:rPr>
          <w:lang w:val="en-GB"/>
        </w:rPr>
        <w:t>general regression neural network (GRNN) algorithm.</w:t>
      </w:r>
    </w:p>
    <w:p w14:paraId="534131C3" w14:textId="064BCE8A" w:rsidR="008D20CD" w:rsidRPr="007F6C5E" w:rsidRDefault="00BD0505" w:rsidP="00BD0505">
      <w:pPr>
        <w:pStyle w:val="Rn1"/>
        <w:rPr>
          <w:lang w:val="en-GB"/>
        </w:rPr>
      </w:pPr>
      <w:r w:rsidRPr="007F6C5E">
        <w:rPr>
          <w:lang w:val="en-GB"/>
        </w:rPr>
        <w:t xml:space="preserve">2. </w:t>
      </w:r>
      <w:r w:rsidR="008D20CD" w:rsidRPr="007F6C5E">
        <w:rPr>
          <w:lang w:val="en-GB"/>
        </w:rPr>
        <w:t xml:space="preserve">Materials and </w:t>
      </w:r>
      <w:r w:rsidRPr="007F6C5E">
        <w:rPr>
          <w:lang w:val="en-GB"/>
        </w:rPr>
        <w:t>M</w:t>
      </w:r>
      <w:r w:rsidR="008D20CD" w:rsidRPr="007F6C5E">
        <w:rPr>
          <w:lang w:val="en-GB"/>
        </w:rPr>
        <w:t>ethods</w:t>
      </w:r>
    </w:p>
    <w:p w14:paraId="071ED4E5" w14:textId="518F899A" w:rsidR="008D20CD" w:rsidRPr="007F6C5E" w:rsidRDefault="00BD0505" w:rsidP="00BD0505">
      <w:pPr>
        <w:pStyle w:val="Rn2"/>
        <w:rPr>
          <w:lang w:val="en-GB"/>
        </w:rPr>
      </w:pPr>
      <w:r w:rsidRPr="007F6C5E">
        <w:rPr>
          <w:lang w:val="en-GB"/>
        </w:rPr>
        <w:t xml:space="preserve">2.1. </w:t>
      </w:r>
      <w:r w:rsidR="008D20CD" w:rsidRPr="007F6C5E">
        <w:rPr>
          <w:lang w:val="en-GB"/>
        </w:rPr>
        <w:t>Data set</w:t>
      </w:r>
    </w:p>
    <w:p w14:paraId="44D9FA81" w14:textId="7B48578B" w:rsidR="008D20CD" w:rsidRPr="007F6C5E" w:rsidRDefault="008D20CD" w:rsidP="008D20CD">
      <w:pPr>
        <w:ind w:firstLine="284"/>
        <w:jc w:val="both"/>
        <w:rPr>
          <w:lang w:val="en-GB"/>
        </w:rPr>
      </w:pPr>
      <w:r w:rsidRPr="007F6C5E">
        <w:rPr>
          <w:lang w:val="en-GB"/>
        </w:rPr>
        <w:t xml:space="preserve">Table S1 in Supplementary Material shows 1106 toxicity data (96 </w:t>
      </w:r>
      <w:r w:rsidRPr="00E40CCD">
        <w:rPr>
          <w:i/>
          <w:iCs/>
          <w:lang w:val="en-GB"/>
        </w:rPr>
        <w:t>h</w:t>
      </w:r>
      <w:r w:rsidRPr="007F6C5E">
        <w:rPr>
          <w:lang w:val="en-GB"/>
        </w:rPr>
        <w:t>, LC50) of organic pesticides on fish species</w:t>
      </w:r>
      <w:r w:rsidR="008B1F23">
        <w:rPr>
          <w:lang w:val="en-GB"/>
        </w:rPr>
        <w:t>,</w:t>
      </w:r>
      <w:r w:rsidRPr="007F6C5E">
        <w:rPr>
          <w:lang w:val="en-GB"/>
        </w:rPr>
        <w:t xml:space="preserve"> including </w:t>
      </w:r>
      <w:r w:rsidRPr="00E40CCD">
        <w:rPr>
          <w:i/>
          <w:iCs/>
          <w:lang w:val="en-GB"/>
        </w:rPr>
        <w:t>Oncorhynchus mykiss</w:t>
      </w:r>
      <w:r w:rsidRPr="007F6C5E">
        <w:rPr>
          <w:lang w:val="en-GB"/>
        </w:rPr>
        <w:t xml:space="preserve">, </w:t>
      </w:r>
      <w:r w:rsidRPr="00E40CCD">
        <w:rPr>
          <w:i/>
          <w:iCs/>
          <w:lang w:val="en-GB"/>
        </w:rPr>
        <w:t>Lepomis macrochirus</w:t>
      </w:r>
      <w:r w:rsidRPr="007F6C5E">
        <w:rPr>
          <w:lang w:val="en-GB"/>
        </w:rPr>
        <w:t xml:space="preserve">, </w:t>
      </w:r>
      <w:proofErr w:type="spellStart"/>
      <w:r w:rsidRPr="00E40CCD">
        <w:rPr>
          <w:i/>
          <w:iCs/>
          <w:lang w:val="en-GB"/>
        </w:rPr>
        <w:t>Pimephales</w:t>
      </w:r>
      <w:proofErr w:type="spellEnd"/>
      <w:r w:rsidRPr="00E40CCD">
        <w:rPr>
          <w:i/>
          <w:iCs/>
          <w:lang w:val="en-GB"/>
        </w:rPr>
        <w:t xml:space="preserve"> </w:t>
      </w:r>
      <w:proofErr w:type="spellStart"/>
      <w:r w:rsidRPr="00E40CCD">
        <w:rPr>
          <w:i/>
          <w:iCs/>
          <w:lang w:val="en-GB"/>
        </w:rPr>
        <w:t>promelas</w:t>
      </w:r>
      <w:proofErr w:type="spellEnd"/>
      <w:r w:rsidRPr="007F6C5E">
        <w:rPr>
          <w:lang w:val="en-GB"/>
        </w:rPr>
        <w:t xml:space="preserve">, </w:t>
      </w:r>
      <w:proofErr w:type="spellStart"/>
      <w:r w:rsidRPr="00E40CCD">
        <w:rPr>
          <w:i/>
          <w:iCs/>
          <w:lang w:val="en-GB"/>
        </w:rPr>
        <w:t>Brachydanio</w:t>
      </w:r>
      <w:proofErr w:type="spellEnd"/>
      <w:r w:rsidRPr="00E40CCD">
        <w:rPr>
          <w:i/>
          <w:iCs/>
          <w:lang w:val="en-GB"/>
        </w:rPr>
        <w:t xml:space="preserve"> rerio</w:t>
      </w:r>
      <w:r w:rsidRPr="007F6C5E">
        <w:rPr>
          <w:lang w:val="en-GB"/>
        </w:rPr>
        <w:t xml:space="preserve">, </w:t>
      </w:r>
      <w:r w:rsidR="00757F6D">
        <w:rPr>
          <w:lang w:val="en-GB"/>
        </w:rPr>
        <w:br/>
      </w:r>
      <w:proofErr w:type="spellStart"/>
      <w:r w:rsidRPr="00E40CCD">
        <w:rPr>
          <w:i/>
          <w:iCs/>
          <w:lang w:val="en-GB"/>
        </w:rPr>
        <w:t>Cyprinodon</w:t>
      </w:r>
      <w:proofErr w:type="spellEnd"/>
      <w:r w:rsidRPr="007F6C5E">
        <w:rPr>
          <w:lang w:val="en-GB"/>
        </w:rPr>
        <w:t xml:space="preserve">, </w:t>
      </w:r>
      <w:r w:rsidRPr="00E40CCD">
        <w:rPr>
          <w:i/>
          <w:iCs/>
          <w:lang w:val="en-GB"/>
        </w:rPr>
        <w:t xml:space="preserve">Cyprinus </w:t>
      </w:r>
      <w:proofErr w:type="spellStart"/>
      <w:r w:rsidRPr="00E40CCD">
        <w:rPr>
          <w:i/>
          <w:iCs/>
          <w:lang w:val="en-GB"/>
        </w:rPr>
        <w:t>carpio</w:t>
      </w:r>
      <w:proofErr w:type="spellEnd"/>
      <w:r w:rsidRPr="007F6C5E">
        <w:rPr>
          <w:lang w:val="en-GB"/>
        </w:rPr>
        <w:t xml:space="preserve">, etc., which were reported in </w:t>
      </w:r>
      <w:r w:rsidR="008B1F23">
        <w:rPr>
          <w:lang w:val="en-GB"/>
        </w:rPr>
        <w:t xml:space="preserve">the </w:t>
      </w:r>
      <w:r w:rsidRPr="007F6C5E">
        <w:rPr>
          <w:lang w:val="en-GB"/>
        </w:rPr>
        <w:t xml:space="preserve">literature (Li et al. 2017, Yu &amp; Zeng 2022). The toxicity data (96 </w:t>
      </w:r>
      <w:r w:rsidRPr="00E40CCD">
        <w:rPr>
          <w:i/>
          <w:iCs/>
          <w:lang w:val="en-GB"/>
        </w:rPr>
        <w:t>h</w:t>
      </w:r>
      <w:r w:rsidRPr="007F6C5E">
        <w:rPr>
          <w:lang w:val="en-GB"/>
        </w:rPr>
        <w:t>, logLC</w:t>
      </w:r>
      <w:r w:rsidRPr="007F6C5E">
        <w:rPr>
          <w:vertAlign w:val="subscript"/>
          <w:lang w:val="en-GB"/>
        </w:rPr>
        <w:t>50</w:t>
      </w:r>
      <w:r w:rsidRPr="007F6C5E">
        <w:rPr>
          <w:lang w:val="en-GB"/>
        </w:rPr>
        <w:t xml:space="preserve">) lie </w:t>
      </w:r>
      <w:r w:rsidR="008B1F23">
        <w:rPr>
          <w:lang w:val="en-GB"/>
        </w:rPr>
        <w:t>from</w:t>
      </w:r>
      <w:r w:rsidRPr="007F6C5E">
        <w:rPr>
          <w:lang w:val="en-GB"/>
        </w:rPr>
        <w:t xml:space="preserve"> −4.4559 to 4.7324 mg/L. For pesticides of approximately equal molecular weight, a smaller logLC</w:t>
      </w:r>
      <w:r w:rsidRPr="007F6C5E">
        <w:rPr>
          <w:vertAlign w:val="subscript"/>
          <w:lang w:val="en-GB"/>
        </w:rPr>
        <w:t>50</w:t>
      </w:r>
      <w:r w:rsidRPr="007F6C5E">
        <w:rPr>
          <w:lang w:val="en-GB"/>
        </w:rPr>
        <w:t xml:space="preserve"> value suggests the corresponding pesticide molecule possess</w:t>
      </w:r>
      <w:r w:rsidR="008B1F23">
        <w:rPr>
          <w:lang w:val="en-GB"/>
        </w:rPr>
        <w:t>es</w:t>
      </w:r>
      <w:r w:rsidRPr="007F6C5E">
        <w:rPr>
          <w:lang w:val="en-GB"/>
        </w:rPr>
        <w:t xml:space="preserve"> higher toxicity to fish. The total data set (1106 organic pesticides) was randomly divided into three sets at the ratio of 70%:15%:15%, which were, respectively, used as the training set (Nos. 1-774 in Table S1 in Supplementary Material), the validation set (Nos. 775-940 in Table S1) and the test set (Nos. 941-1106 in Table S1). QSAR models of logLC</w:t>
      </w:r>
      <w:r w:rsidRPr="007F6C5E">
        <w:rPr>
          <w:vertAlign w:val="subscript"/>
          <w:lang w:val="en-GB"/>
        </w:rPr>
        <w:t>50</w:t>
      </w:r>
      <w:r w:rsidRPr="007F6C5E">
        <w:rPr>
          <w:lang w:val="en-GB"/>
        </w:rPr>
        <w:t xml:space="preserve"> were established with the training set by tuning the model parameters with the validation set. Subsequently, the models were assessed with the test set (</w:t>
      </w:r>
      <w:proofErr w:type="spellStart"/>
      <w:r w:rsidRPr="007F6C5E">
        <w:rPr>
          <w:lang w:val="en-GB"/>
        </w:rPr>
        <w:t>Golmohammadi</w:t>
      </w:r>
      <w:proofErr w:type="spellEnd"/>
      <w:r w:rsidRPr="007F6C5E">
        <w:rPr>
          <w:lang w:val="en-GB"/>
        </w:rPr>
        <w:t xml:space="preserve"> &amp; Safdari 2010).</w:t>
      </w:r>
    </w:p>
    <w:p w14:paraId="796C123B" w14:textId="77777777" w:rsidR="008D20CD" w:rsidRPr="007F6C5E" w:rsidRDefault="008D20CD" w:rsidP="00BD0505">
      <w:pPr>
        <w:pStyle w:val="Rn2"/>
        <w:rPr>
          <w:lang w:val="en-GB"/>
        </w:rPr>
      </w:pPr>
      <w:r w:rsidRPr="007F6C5E">
        <w:rPr>
          <w:lang w:val="en-GB"/>
        </w:rPr>
        <w:t>2.2. Descriptors derivation</w:t>
      </w:r>
    </w:p>
    <w:p w14:paraId="42046CCD" w14:textId="12DAEBEB" w:rsidR="008D20CD" w:rsidRPr="007F6C5E" w:rsidRDefault="008D20CD" w:rsidP="008D20CD">
      <w:pPr>
        <w:ind w:firstLine="284"/>
        <w:jc w:val="both"/>
        <w:rPr>
          <w:lang w:val="en-GB"/>
        </w:rPr>
      </w:pPr>
      <w:r w:rsidRPr="007F6C5E">
        <w:rPr>
          <w:lang w:val="en-GB"/>
        </w:rPr>
        <w:t xml:space="preserve">The molecular structures were constructed with </w:t>
      </w:r>
      <w:proofErr w:type="spellStart"/>
      <w:r w:rsidRPr="007F6C5E">
        <w:rPr>
          <w:lang w:val="en-GB"/>
        </w:rPr>
        <w:t>KingDraw</w:t>
      </w:r>
      <w:proofErr w:type="spellEnd"/>
      <w:r w:rsidRPr="007F6C5E">
        <w:rPr>
          <w:lang w:val="en-GB"/>
        </w:rPr>
        <w:t xml:space="preserve"> (http://kingdraw.cn/en/index.html) and then optimized with the AM1 method in Gaussian 09 (Revision A.02). Subsequently, these molecules were used as input files for Dragon 6.0 (</w:t>
      </w:r>
      <w:proofErr w:type="spellStart"/>
      <w:r w:rsidRPr="007F6C5E">
        <w:rPr>
          <w:lang w:val="en-GB"/>
        </w:rPr>
        <w:t>Talete</w:t>
      </w:r>
      <w:proofErr w:type="spellEnd"/>
      <w:r w:rsidRPr="007F6C5E">
        <w:rPr>
          <w:lang w:val="en-GB"/>
        </w:rPr>
        <w:t xml:space="preserve"> </w:t>
      </w:r>
      <w:proofErr w:type="spellStart"/>
      <w:r w:rsidRPr="007F6C5E">
        <w:rPr>
          <w:lang w:val="en-GB"/>
        </w:rPr>
        <w:t>srl</w:t>
      </w:r>
      <w:proofErr w:type="spellEnd"/>
      <w:r w:rsidRPr="007F6C5E">
        <w:rPr>
          <w:lang w:val="en-GB"/>
        </w:rPr>
        <w:t xml:space="preserve">, 2012) to obtain molecular descriptors. After removing those descriptors being a constant or approximately </w:t>
      </w:r>
      <w:proofErr w:type="spellStart"/>
      <w:r w:rsidRPr="007F6C5E">
        <w:rPr>
          <w:lang w:val="en-GB"/>
        </w:rPr>
        <w:t>equaling</w:t>
      </w:r>
      <w:proofErr w:type="spellEnd"/>
      <w:r w:rsidRPr="007F6C5E">
        <w:rPr>
          <w:lang w:val="en-GB"/>
        </w:rPr>
        <w:t xml:space="preserve"> to a constant or whose partial correlation coefficients &gt; 0.90, 773</w:t>
      </w:r>
      <w:r w:rsidR="00175793">
        <w:rPr>
          <w:lang w:val="en-GB"/>
        </w:rPr>
        <w:t> </w:t>
      </w:r>
      <w:r w:rsidRPr="007F6C5E">
        <w:rPr>
          <w:lang w:val="en-GB"/>
        </w:rPr>
        <w:t>descriptors were retained for descriptor selection in the next steps (Yu 2023).</w:t>
      </w:r>
    </w:p>
    <w:p w14:paraId="3ECEC89E" w14:textId="57625DAA" w:rsidR="008D20CD" w:rsidRPr="007F6C5E" w:rsidRDefault="00BD0505" w:rsidP="00BD0505">
      <w:pPr>
        <w:pStyle w:val="Rn2"/>
        <w:rPr>
          <w:lang w:val="en-GB"/>
        </w:rPr>
      </w:pPr>
      <w:r w:rsidRPr="007F6C5E">
        <w:rPr>
          <w:lang w:val="en-GB"/>
        </w:rPr>
        <w:t xml:space="preserve">2.3. </w:t>
      </w:r>
      <w:r w:rsidR="008D20CD" w:rsidRPr="007F6C5E">
        <w:rPr>
          <w:lang w:val="en-GB"/>
        </w:rPr>
        <w:t>GRNN principle</w:t>
      </w:r>
    </w:p>
    <w:p w14:paraId="1DF32E91" w14:textId="05F597A8" w:rsidR="008D20CD" w:rsidRPr="007F6C5E" w:rsidRDefault="008D20CD" w:rsidP="008D20CD">
      <w:pPr>
        <w:ind w:firstLine="284"/>
        <w:jc w:val="both"/>
        <w:rPr>
          <w:lang w:val="en-GB"/>
        </w:rPr>
      </w:pPr>
      <w:r w:rsidRPr="007F6C5E">
        <w:rPr>
          <w:lang w:val="en-GB"/>
        </w:rPr>
        <w:t xml:space="preserve">GRNN can successfully deal with classification and regression prediction by introducing the nonparametric strategy based on </w:t>
      </w:r>
      <w:proofErr w:type="spellStart"/>
      <w:r w:rsidRPr="007F6C5E">
        <w:rPr>
          <w:lang w:val="en-GB"/>
        </w:rPr>
        <w:t>Parzen</w:t>
      </w:r>
      <w:proofErr w:type="spellEnd"/>
      <w:r w:rsidRPr="007F6C5E">
        <w:rPr>
          <w:lang w:val="en-GB"/>
        </w:rPr>
        <w:t xml:space="preserve"> window (Yu 2020a). As is shown in Fig. 1, it consists of four layers: input layer, pattern layer, summation layer and output layer. For the input layer, the number of neurons equals to the dimension of the input vector in the training set. For the pattern layer, the number of neurons </w:t>
      </w:r>
      <w:r w:rsidR="008B1F23">
        <w:rPr>
          <w:lang w:val="en-GB"/>
        </w:rPr>
        <w:t>equals</w:t>
      </w:r>
      <w:r w:rsidRPr="007F6C5E">
        <w:rPr>
          <w:lang w:val="en-GB"/>
        </w:rPr>
        <w:t xml:space="preserve"> the number of samples. A transfer function of the </w:t>
      </w:r>
      <w:proofErr w:type="spellStart"/>
      <w:r w:rsidRPr="004801D6">
        <w:rPr>
          <w:i/>
          <w:iCs/>
          <w:lang w:val="en-GB"/>
        </w:rPr>
        <w:t>i</w:t>
      </w:r>
      <w:r w:rsidRPr="007F6C5E">
        <w:rPr>
          <w:lang w:val="en-GB"/>
        </w:rPr>
        <w:t>th</w:t>
      </w:r>
      <w:proofErr w:type="spellEnd"/>
      <w:r w:rsidRPr="007F6C5E">
        <w:rPr>
          <w:lang w:val="en-GB"/>
        </w:rPr>
        <w:t xml:space="preserve"> neuron is used to correlate its output with the input variable </w:t>
      </w:r>
      <w:r w:rsidRPr="004801D6">
        <w:rPr>
          <w:i/>
          <w:iCs/>
          <w:lang w:val="en-GB"/>
        </w:rPr>
        <w:t>X</w:t>
      </w:r>
      <w:r w:rsidRPr="007F6C5E">
        <w:rPr>
          <w:lang w:val="en-GB"/>
        </w:rPr>
        <w:t xml:space="preserve"> and the learning sample </w:t>
      </w:r>
      <w:r w:rsidRPr="004801D6">
        <w:rPr>
          <w:i/>
          <w:iCs/>
          <w:lang w:val="en-GB"/>
        </w:rPr>
        <w:t>X</w:t>
      </w:r>
      <w:r w:rsidRPr="004801D6">
        <w:rPr>
          <w:i/>
          <w:iCs/>
          <w:vertAlign w:val="subscript"/>
          <w:lang w:val="en-GB"/>
        </w:rPr>
        <w:t>i</w:t>
      </w:r>
      <w:r w:rsidRPr="007F6C5E">
        <w:rPr>
          <w:lang w:val="en-GB"/>
        </w:rPr>
        <w:t>, by calculating their Euclid distance:</w:t>
      </w:r>
    </w:p>
    <w:p w14:paraId="2144E722" w14:textId="0A7C57C0" w:rsidR="00BD0505" w:rsidRPr="007F6C5E" w:rsidRDefault="00000000" w:rsidP="004801D6">
      <w:pPr>
        <w:pStyle w:val="a"/>
        <w:tabs>
          <w:tab w:val="clear" w:pos="7380"/>
          <w:tab w:val="right" w:pos="9638"/>
        </w:tabs>
        <w:spacing w:before="120" w:after="120" w:line="240" w:lineRule="auto"/>
        <w:ind w:firstLineChars="1030" w:firstLine="2266"/>
        <w:rPr>
          <w:rFonts w:eastAsiaTheme="minorEastAsia"/>
          <w:color w:val="auto"/>
          <w:sz w:val="22"/>
          <w:szCs w:val="22"/>
          <w:lang w:val="en-GB"/>
        </w:rPr>
      </w:pPr>
      <m:oMath>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p</m:t>
            </m:r>
          </m:e>
          <m:sub>
            <m:r>
              <w:rPr>
                <w:rFonts w:ascii="Cambria Math" w:eastAsiaTheme="minorEastAsia" w:hAnsi="Cambria Math"/>
                <w:color w:val="auto"/>
                <w:sz w:val="22"/>
                <w:szCs w:val="22"/>
                <w:lang w:val="en-GB"/>
              </w:rPr>
              <m:t>i</m:t>
            </m:r>
          </m:sub>
        </m:sSub>
        <m:r>
          <m:rPr>
            <m:sty m:val="p"/>
          </m:rPr>
          <w:rPr>
            <w:rFonts w:ascii="Cambria Math" w:eastAsia="Cambria Math" w:hAnsi="Cambria Math"/>
            <w:color w:val="auto"/>
            <w:sz w:val="22"/>
            <w:szCs w:val="22"/>
            <w:lang w:val="en-GB"/>
          </w:rPr>
          <m:t>=</m:t>
        </m:r>
        <m:func>
          <m:funcPr>
            <m:ctrlPr>
              <w:rPr>
                <w:rFonts w:ascii="Cambria Math" w:eastAsia="Cambria Math" w:hAnsi="Cambria Math"/>
                <w:color w:val="auto"/>
                <w:sz w:val="22"/>
                <w:szCs w:val="22"/>
                <w:lang w:val="en-GB"/>
              </w:rPr>
            </m:ctrlPr>
          </m:funcPr>
          <m:fName>
            <m:r>
              <m:rPr>
                <m:sty m:val="p"/>
              </m:rPr>
              <w:rPr>
                <w:rFonts w:ascii="Cambria Math" w:eastAsia="Cambria Math" w:hAnsi="Cambria Math"/>
                <w:color w:val="auto"/>
                <w:sz w:val="22"/>
                <w:szCs w:val="22"/>
                <w:lang w:val="en-GB"/>
              </w:rPr>
              <m:t>exp</m:t>
            </m:r>
          </m:fName>
          <m:e>
            <m:d>
              <m:dPr>
                <m:begChr m:val="["/>
                <m:endChr m:val="]"/>
                <m:ctrlPr>
                  <w:rPr>
                    <w:rFonts w:ascii="Cambria Math" w:eastAsia="Cambria Math" w:hAnsi="Cambria Math"/>
                    <w:color w:val="auto"/>
                    <w:sz w:val="22"/>
                    <w:szCs w:val="22"/>
                    <w:lang w:val="en-GB"/>
                  </w:rPr>
                </m:ctrlPr>
              </m:dPr>
              <m:e>
                <m:r>
                  <m:rPr>
                    <m:sty m:val="p"/>
                  </m:rPr>
                  <w:rPr>
                    <w:rFonts w:ascii="Cambria Math" w:eastAsia="Cambria Math" w:hAnsi="Cambria Math"/>
                    <w:color w:val="auto"/>
                    <w:sz w:val="22"/>
                    <w:szCs w:val="22"/>
                    <w:lang w:val="en-GB"/>
                  </w:rPr>
                  <m:t>-</m:t>
                </m:r>
                <m:sSup>
                  <m:sSupPr>
                    <m:ctrlPr>
                      <w:rPr>
                        <w:rFonts w:ascii="Cambria Math" w:eastAsiaTheme="minorEastAsia" w:hAnsi="Cambria Math"/>
                        <w:color w:val="auto"/>
                        <w:sz w:val="22"/>
                        <w:szCs w:val="22"/>
                        <w:lang w:val="en-GB"/>
                      </w:rPr>
                    </m:ctrlPr>
                  </m:sSupPr>
                  <m:e>
                    <m:d>
                      <m:dPr>
                        <m:ctrlPr>
                          <w:rPr>
                            <w:rFonts w:ascii="Cambria Math" w:eastAsiaTheme="minorEastAsia" w:hAnsi="Cambria Math"/>
                            <w:i/>
                            <w:color w:val="auto"/>
                            <w:sz w:val="22"/>
                            <w:szCs w:val="22"/>
                            <w:lang w:val="en-GB"/>
                          </w:rPr>
                        </m:ctrlPr>
                      </m:dPr>
                      <m:e>
                        <m:r>
                          <w:rPr>
                            <w:rFonts w:ascii="Cambria Math" w:eastAsiaTheme="minorEastAsia" w:hAnsi="Cambria Math"/>
                            <w:color w:val="auto"/>
                            <w:sz w:val="22"/>
                            <w:szCs w:val="22"/>
                            <w:lang w:val="en-GB"/>
                          </w:rPr>
                          <m:t>X-</m:t>
                        </m:r>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X</m:t>
                            </m:r>
                          </m:e>
                          <m:sub>
                            <m:r>
                              <w:rPr>
                                <w:rFonts w:ascii="Cambria Math" w:eastAsiaTheme="minorEastAsia" w:hAnsi="Cambria Math"/>
                                <w:color w:val="auto"/>
                                <w:sz w:val="22"/>
                                <w:szCs w:val="22"/>
                                <w:lang w:val="en-GB"/>
                              </w:rPr>
                              <m:t>i</m:t>
                            </m:r>
                          </m:sub>
                        </m:sSub>
                      </m:e>
                    </m:d>
                  </m:e>
                  <m:sup>
                    <m:r>
                      <w:rPr>
                        <w:rFonts w:ascii="Cambria Math" w:eastAsiaTheme="minorEastAsia" w:hAnsi="Cambria Math"/>
                        <w:color w:val="auto"/>
                        <w:sz w:val="22"/>
                        <w:szCs w:val="22"/>
                        <w:lang w:val="en-GB"/>
                      </w:rPr>
                      <m:t>T</m:t>
                    </m:r>
                  </m:sup>
                </m:sSup>
                <m:d>
                  <m:dPr>
                    <m:ctrlPr>
                      <w:rPr>
                        <w:rFonts w:ascii="Cambria Math" w:eastAsia="Cambria Math" w:hAnsi="Cambria Math"/>
                        <w:color w:val="auto"/>
                        <w:sz w:val="22"/>
                        <w:szCs w:val="22"/>
                        <w:lang w:val="en-GB"/>
                      </w:rPr>
                    </m:ctrlPr>
                  </m:dPr>
                  <m:e>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X-X</m:t>
                        </m:r>
                      </m:e>
                      <m:sub>
                        <m:r>
                          <w:rPr>
                            <w:rFonts w:ascii="Cambria Math" w:eastAsiaTheme="minorEastAsia" w:hAnsi="Cambria Math"/>
                            <w:color w:val="auto"/>
                            <w:sz w:val="22"/>
                            <w:szCs w:val="22"/>
                            <w:lang w:val="en-GB"/>
                          </w:rPr>
                          <m:t>i</m:t>
                        </m:r>
                      </m:sub>
                    </m:sSub>
                  </m:e>
                </m:d>
              </m:e>
            </m:d>
          </m:e>
        </m:func>
        <m:r>
          <m:rPr>
            <m:sty m:val="p"/>
          </m:rPr>
          <w:rPr>
            <w:rFonts w:ascii="Cambria Math" w:eastAsia="Cambria Math" w:hAnsi="Cambria Math"/>
            <w:color w:val="auto"/>
            <w:sz w:val="22"/>
            <w:szCs w:val="22"/>
            <w:lang w:val="en-GB"/>
          </w:rPr>
          <m:t>/2</m:t>
        </m:r>
        <m:sSup>
          <m:sSupPr>
            <m:ctrlPr>
              <w:rPr>
                <w:rFonts w:ascii="Cambria Math" w:eastAsiaTheme="minorEastAsia" w:hAnsi="Cambria Math"/>
                <w:color w:val="auto"/>
                <w:sz w:val="22"/>
                <w:szCs w:val="22"/>
                <w:lang w:val="en-GB"/>
              </w:rPr>
            </m:ctrlPr>
          </m:sSupPr>
          <m:e>
            <m:r>
              <w:rPr>
                <w:rFonts w:ascii="Cambria Math" w:eastAsiaTheme="minorEastAsia" w:hAnsi="Cambria Math"/>
                <w:color w:val="auto"/>
                <w:sz w:val="22"/>
                <w:szCs w:val="22"/>
                <w:lang w:val="en-GB"/>
              </w:rPr>
              <m:t>σ</m:t>
            </m:r>
          </m:e>
          <m:sup>
            <m:r>
              <w:rPr>
                <w:rFonts w:ascii="Cambria Math" w:eastAsiaTheme="minorEastAsia" w:hAnsi="Cambria Math"/>
                <w:color w:val="auto"/>
                <w:sz w:val="22"/>
                <w:szCs w:val="22"/>
                <w:lang w:val="en-GB"/>
              </w:rPr>
              <m:t>2</m:t>
            </m:r>
          </m:sup>
        </m:sSup>
        <m:r>
          <w:rPr>
            <w:rFonts w:ascii="Cambria Math" w:eastAsiaTheme="minorEastAsia" w:hAnsi="Cambria Math"/>
            <w:color w:val="auto"/>
            <w:sz w:val="22"/>
            <w:szCs w:val="22"/>
            <w:lang w:val="en-GB"/>
          </w:rPr>
          <m:t>]        i=1, 2, ⋯,n</m:t>
        </m:r>
      </m:oMath>
      <w:r w:rsidR="00BD0505" w:rsidRPr="007F6C5E">
        <w:rPr>
          <w:rFonts w:eastAsiaTheme="minorEastAsia"/>
          <w:color w:val="auto"/>
          <w:sz w:val="22"/>
          <w:szCs w:val="22"/>
          <w:lang w:val="en-GB"/>
        </w:rPr>
        <w:tab/>
        <w:t>(1)</w:t>
      </w:r>
    </w:p>
    <w:p w14:paraId="72ADF3C0" w14:textId="3EFB35B1" w:rsidR="008D20CD" w:rsidRPr="007F6C5E" w:rsidRDefault="008D20CD" w:rsidP="00BD0505">
      <w:pPr>
        <w:ind w:firstLine="0"/>
        <w:jc w:val="both"/>
        <w:rPr>
          <w:lang w:val="en-GB"/>
        </w:rPr>
      </w:pPr>
      <w:r w:rsidRPr="007F6C5E">
        <w:rPr>
          <w:lang w:val="en-GB"/>
        </w:rPr>
        <w:t xml:space="preserve">where </w:t>
      </w:r>
      <w:r w:rsidRPr="00E40CCD">
        <w:rPr>
          <w:i/>
          <w:iCs/>
          <w:lang w:val="en-GB"/>
        </w:rPr>
        <w:t>σ</w:t>
      </w:r>
      <w:r w:rsidRPr="007F6C5E">
        <w:rPr>
          <w:lang w:val="en-GB"/>
        </w:rPr>
        <w:t xml:space="preserve"> is the SPREAD parameter of </w:t>
      </w:r>
      <w:r w:rsidR="008B1F23">
        <w:rPr>
          <w:lang w:val="en-GB"/>
        </w:rPr>
        <w:t xml:space="preserve">the </w:t>
      </w:r>
      <w:r w:rsidRPr="007F6C5E">
        <w:rPr>
          <w:lang w:val="en-GB"/>
        </w:rPr>
        <w:t>Gaussian function and needs</w:t>
      </w:r>
      <w:r w:rsidR="008B1F23">
        <w:rPr>
          <w:lang w:val="en-GB"/>
        </w:rPr>
        <w:t xml:space="preserve"> to</w:t>
      </w:r>
      <w:r w:rsidRPr="007F6C5E">
        <w:rPr>
          <w:lang w:val="en-GB"/>
        </w:rPr>
        <w:t xml:space="preserve"> be adjusted by users.</w:t>
      </w:r>
    </w:p>
    <w:p w14:paraId="166CFDF8" w14:textId="60201961" w:rsidR="008D20CD" w:rsidRPr="007F6C5E" w:rsidRDefault="008D20CD" w:rsidP="008D20CD">
      <w:pPr>
        <w:ind w:firstLine="284"/>
        <w:jc w:val="both"/>
        <w:rPr>
          <w:lang w:val="en-GB"/>
        </w:rPr>
      </w:pPr>
      <w:r w:rsidRPr="007F6C5E">
        <w:rPr>
          <w:lang w:val="en-GB"/>
        </w:rPr>
        <w:t xml:space="preserve">In </w:t>
      </w:r>
      <w:r w:rsidR="008B1F23">
        <w:rPr>
          <w:lang w:val="en-GB"/>
        </w:rPr>
        <w:t xml:space="preserve">the </w:t>
      </w:r>
      <w:r w:rsidRPr="007F6C5E">
        <w:rPr>
          <w:lang w:val="en-GB"/>
        </w:rPr>
        <w:t xml:space="preserve">summation layer, two types of neurons are used in summation. One is the denominator node </w:t>
      </w:r>
      <w:r w:rsidRPr="004801D6">
        <w:rPr>
          <w:i/>
          <w:iCs/>
          <w:lang w:val="en-GB"/>
        </w:rPr>
        <w:t>S</w:t>
      </w:r>
      <w:r w:rsidRPr="004801D6">
        <w:rPr>
          <w:i/>
          <w:iCs/>
          <w:vertAlign w:val="subscript"/>
          <w:lang w:val="en-GB"/>
        </w:rPr>
        <w:t>A</w:t>
      </w:r>
      <w:r w:rsidR="008B1F23">
        <w:rPr>
          <w:i/>
          <w:iCs/>
          <w:vertAlign w:val="subscript"/>
          <w:lang w:val="en-GB"/>
        </w:rPr>
        <w:t>,</w:t>
      </w:r>
      <w:r w:rsidRPr="007F6C5E">
        <w:rPr>
          <w:lang w:val="en-GB"/>
        </w:rPr>
        <w:t xml:space="preserve"> and the other is the numerator node </w:t>
      </w:r>
      <w:proofErr w:type="spellStart"/>
      <w:r w:rsidRPr="004801D6">
        <w:rPr>
          <w:i/>
          <w:iCs/>
          <w:lang w:val="en-GB"/>
        </w:rPr>
        <w:t>S</w:t>
      </w:r>
      <w:r w:rsidRPr="004801D6">
        <w:rPr>
          <w:i/>
          <w:iCs/>
          <w:vertAlign w:val="subscript"/>
          <w:lang w:val="en-GB"/>
        </w:rPr>
        <w:t>Nj</w:t>
      </w:r>
      <w:proofErr w:type="spellEnd"/>
      <w:r w:rsidRPr="007F6C5E">
        <w:rPr>
          <w:lang w:val="en-GB"/>
        </w:rPr>
        <w:t xml:space="preserve">. The former is based on </w:t>
      </w:r>
      <w:r w:rsidR="008B1F23">
        <w:rPr>
          <w:lang w:val="en-GB"/>
        </w:rPr>
        <w:t xml:space="preserve">an </w:t>
      </w:r>
      <w:r w:rsidRPr="007F6C5E">
        <w:rPr>
          <w:lang w:val="en-GB"/>
        </w:rPr>
        <w:t xml:space="preserve">arithmetic sum for the output from the neurons in the pattern layer by setting the connection weights of 1: </w:t>
      </w:r>
    </w:p>
    <w:p w14:paraId="7C95A76F" w14:textId="35C4BF95" w:rsidR="00BD0505" w:rsidRPr="007F6C5E" w:rsidRDefault="00000000" w:rsidP="004801D6">
      <w:pPr>
        <w:pStyle w:val="a"/>
        <w:tabs>
          <w:tab w:val="clear" w:pos="7380"/>
          <w:tab w:val="right" w:pos="9638"/>
        </w:tabs>
        <w:spacing w:before="120" w:after="120" w:line="240" w:lineRule="auto"/>
        <w:ind w:firstLineChars="1804" w:firstLine="3969"/>
        <w:rPr>
          <w:rFonts w:eastAsiaTheme="minorEastAsia"/>
          <w:color w:val="auto"/>
          <w:sz w:val="22"/>
          <w:szCs w:val="22"/>
          <w:lang w:val="en-GB"/>
        </w:rPr>
      </w:pPr>
      <m:oMath>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S</m:t>
            </m:r>
          </m:e>
          <m:sub>
            <m:r>
              <w:rPr>
                <w:rFonts w:ascii="Cambria Math" w:eastAsiaTheme="minorEastAsia" w:hAnsi="Cambria Math"/>
                <w:color w:val="auto"/>
                <w:sz w:val="22"/>
                <w:szCs w:val="22"/>
                <w:lang w:val="en-GB"/>
              </w:rPr>
              <m:t>A</m:t>
            </m:r>
          </m:sub>
        </m:sSub>
        <m:r>
          <m:rPr>
            <m:sty m:val="p"/>
          </m:rPr>
          <w:rPr>
            <w:rFonts w:ascii="Cambria Math" w:eastAsia="Cambria Math" w:hAnsi="Cambria Math"/>
            <w:color w:val="auto"/>
            <w:sz w:val="22"/>
            <w:szCs w:val="22"/>
            <w:lang w:val="en-GB"/>
          </w:rPr>
          <m:t>=</m:t>
        </m:r>
        <m:nary>
          <m:naryPr>
            <m:chr m:val="∑"/>
            <m:limLoc m:val="undOvr"/>
            <m:ctrlPr>
              <w:rPr>
                <w:rFonts w:ascii="Cambria Math" w:eastAsiaTheme="minorEastAsia" w:hAnsi="Cambria Math"/>
                <w:color w:val="auto"/>
                <w:sz w:val="22"/>
                <w:szCs w:val="22"/>
                <w:lang w:val="en-GB"/>
              </w:rPr>
            </m:ctrlPr>
          </m:naryPr>
          <m:sub>
            <m:r>
              <w:rPr>
                <w:rFonts w:ascii="Cambria Math" w:eastAsiaTheme="minorEastAsia" w:hAnsi="Cambria Math"/>
                <w:color w:val="auto"/>
                <w:sz w:val="22"/>
                <w:szCs w:val="22"/>
                <w:lang w:val="en-GB"/>
              </w:rPr>
              <m:t>i</m:t>
            </m:r>
          </m:sub>
          <m:sup>
            <m:r>
              <w:rPr>
                <w:rFonts w:ascii="Cambria Math" w:eastAsiaTheme="minorEastAsia" w:hAnsi="Cambria Math"/>
                <w:color w:val="auto"/>
                <w:sz w:val="22"/>
                <w:szCs w:val="22"/>
                <w:lang w:val="en-GB"/>
              </w:rPr>
              <m:t>n</m:t>
            </m:r>
          </m:sup>
          <m:e>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P</m:t>
                </m:r>
              </m:e>
              <m:sub>
                <m:r>
                  <w:rPr>
                    <w:rFonts w:ascii="Cambria Math" w:eastAsiaTheme="minorEastAsia" w:hAnsi="Cambria Math"/>
                    <w:color w:val="auto"/>
                    <w:sz w:val="22"/>
                    <w:szCs w:val="22"/>
                    <w:lang w:val="en-GB"/>
                  </w:rPr>
                  <m:t>i</m:t>
                </m:r>
              </m:sub>
            </m:sSub>
          </m:e>
        </m:nary>
      </m:oMath>
      <w:r w:rsidR="00BD0505" w:rsidRPr="007F6C5E">
        <w:rPr>
          <w:rFonts w:eastAsiaTheme="minorEastAsia"/>
          <w:color w:val="auto"/>
          <w:sz w:val="22"/>
          <w:szCs w:val="22"/>
          <w:lang w:val="en-GB"/>
        </w:rPr>
        <w:tab/>
        <w:t>(2)</w:t>
      </w:r>
    </w:p>
    <w:p w14:paraId="3B100231" w14:textId="61D3664A" w:rsidR="008D20CD" w:rsidRPr="007F6C5E" w:rsidRDefault="008D20CD" w:rsidP="008D20CD">
      <w:pPr>
        <w:ind w:firstLine="284"/>
        <w:jc w:val="both"/>
        <w:rPr>
          <w:lang w:val="en-GB"/>
        </w:rPr>
      </w:pPr>
      <w:r w:rsidRPr="007F6C5E">
        <w:rPr>
          <w:lang w:val="en-GB"/>
        </w:rPr>
        <w:t xml:space="preserve">The latter is used for weighted summation with the connection weight </w:t>
      </w:r>
      <w:proofErr w:type="spellStart"/>
      <w:r w:rsidRPr="00837A75">
        <w:rPr>
          <w:i/>
          <w:iCs/>
          <w:lang w:val="en-GB"/>
        </w:rPr>
        <w:t>yij</w:t>
      </w:r>
      <w:proofErr w:type="spellEnd"/>
      <w:r w:rsidRPr="007F6C5E">
        <w:rPr>
          <w:lang w:val="en-GB"/>
        </w:rPr>
        <w:t xml:space="preserve"> associating the </w:t>
      </w:r>
      <w:proofErr w:type="spellStart"/>
      <w:r w:rsidRPr="00837A75">
        <w:rPr>
          <w:i/>
          <w:iCs/>
          <w:lang w:val="en-GB"/>
        </w:rPr>
        <w:t>i</w:t>
      </w:r>
      <w:r w:rsidRPr="007F6C5E">
        <w:rPr>
          <w:lang w:val="en-GB"/>
        </w:rPr>
        <w:t>th</w:t>
      </w:r>
      <w:proofErr w:type="spellEnd"/>
      <w:r w:rsidRPr="007F6C5E">
        <w:rPr>
          <w:lang w:val="en-GB"/>
        </w:rPr>
        <w:t xml:space="preserve"> neuron in the pattern layer with the </w:t>
      </w:r>
      <w:proofErr w:type="spellStart"/>
      <w:r w:rsidRPr="00837A75">
        <w:rPr>
          <w:i/>
          <w:iCs/>
          <w:lang w:val="en-GB"/>
        </w:rPr>
        <w:t>j</w:t>
      </w:r>
      <w:r w:rsidRPr="007F6C5E">
        <w:rPr>
          <w:lang w:val="en-GB"/>
        </w:rPr>
        <w:t>th</w:t>
      </w:r>
      <w:proofErr w:type="spellEnd"/>
      <w:r w:rsidRPr="007F6C5E">
        <w:rPr>
          <w:lang w:val="en-GB"/>
        </w:rPr>
        <w:t xml:space="preserve"> neuron in the summation layer:</w:t>
      </w:r>
    </w:p>
    <w:p w14:paraId="71DCCC12" w14:textId="49AFB168" w:rsidR="00BD0505" w:rsidRPr="007F6C5E" w:rsidRDefault="00000000" w:rsidP="004801D6">
      <w:pPr>
        <w:pStyle w:val="a"/>
        <w:tabs>
          <w:tab w:val="clear" w:pos="7380"/>
          <w:tab w:val="right" w:pos="9638"/>
        </w:tabs>
        <w:spacing w:before="120" w:after="120" w:line="240" w:lineRule="auto"/>
        <w:ind w:firstLineChars="1417" w:firstLine="3117"/>
        <w:rPr>
          <w:rFonts w:eastAsiaTheme="minorEastAsia"/>
          <w:color w:val="auto"/>
          <w:sz w:val="22"/>
          <w:szCs w:val="22"/>
          <w:lang w:val="en-GB"/>
        </w:rPr>
      </w:pPr>
      <m:oMath>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S</m:t>
            </m:r>
          </m:e>
          <m:sub>
            <m:r>
              <w:rPr>
                <w:rFonts w:ascii="Cambria Math" w:eastAsiaTheme="minorEastAsia" w:hAnsi="Cambria Math"/>
                <w:color w:val="auto"/>
                <w:sz w:val="22"/>
                <w:szCs w:val="22"/>
                <w:lang w:val="en-GB"/>
              </w:rPr>
              <m:t>Nj</m:t>
            </m:r>
          </m:sub>
        </m:sSub>
        <m:r>
          <m:rPr>
            <m:sty m:val="p"/>
          </m:rPr>
          <w:rPr>
            <w:rFonts w:ascii="Cambria Math" w:eastAsia="Cambria Math" w:hAnsi="Cambria Math"/>
            <w:color w:val="auto"/>
            <w:sz w:val="22"/>
            <w:szCs w:val="22"/>
            <w:lang w:val="en-GB"/>
          </w:rPr>
          <m:t>=</m:t>
        </m:r>
        <m:nary>
          <m:naryPr>
            <m:chr m:val="∑"/>
            <m:limLoc m:val="undOvr"/>
            <m:ctrlPr>
              <w:rPr>
                <w:rFonts w:ascii="Cambria Math" w:eastAsiaTheme="minorEastAsia" w:hAnsi="Cambria Math"/>
                <w:color w:val="auto"/>
                <w:sz w:val="22"/>
                <w:szCs w:val="22"/>
                <w:lang w:val="en-GB"/>
              </w:rPr>
            </m:ctrlPr>
          </m:naryPr>
          <m:sub>
            <m:r>
              <w:rPr>
                <w:rFonts w:ascii="Cambria Math" w:eastAsiaTheme="minorEastAsia" w:hAnsi="Cambria Math"/>
                <w:color w:val="auto"/>
                <w:sz w:val="22"/>
                <w:szCs w:val="22"/>
                <w:lang w:val="en-GB"/>
              </w:rPr>
              <m:t>i</m:t>
            </m:r>
          </m:sub>
          <m:sup>
            <m:r>
              <w:rPr>
                <w:rFonts w:ascii="Cambria Math" w:eastAsiaTheme="minorEastAsia" w:hAnsi="Cambria Math"/>
                <w:color w:val="auto"/>
                <w:sz w:val="22"/>
                <w:szCs w:val="22"/>
                <w:lang w:val="en-GB"/>
              </w:rPr>
              <m:t>n</m:t>
            </m:r>
          </m:sup>
          <m:e>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y</m:t>
                </m:r>
              </m:e>
              <m:sub>
                <m:r>
                  <w:rPr>
                    <w:rFonts w:ascii="Cambria Math" w:eastAsiaTheme="minorEastAsia" w:hAnsi="Cambria Math"/>
                    <w:color w:val="auto"/>
                    <w:sz w:val="22"/>
                    <w:szCs w:val="22"/>
                    <w:lang w:val="en-GB"/>
                  </w:rPr>
                  <m:t>ij</m:t>
                </m:r>
              </m:sub>
            </m:sSub>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P</m:t>
                </m:r>
              </m:e>
              <m:sub>
                <m:r>
                  <w:rPr>
                    <w:rFonts w:ascii="Cambria Math" w:eastAsiaTheme="minorEastAsia" w:hAnsi="Cambria Math"/>
                    <w:color w:val="auto"/>
                    <w:sz w:val="22"/>
                    <w:szCs w:val="22"/>
                    <w:lang w:val="en-GB"/>
                  </w:rPr>
                  <m:t>i</m:t>
                </m:r>
              </m:sub>
            </m:sSub>
          </m:e>
        </m:nary>
        <m:r>
          <w:rPr>
            <w:rFonts w:ascii="Cambria Math" w:eastAsiaTheme="minorEastAsia" w:hAnsi="Cambria Math"/>
            <w:color w:val="auto"/>
            <w:sz w:val="22"/>
            <w:szCs w:val="22"/>
            <w:lang w:val="en-GB"/>
          </w:rPr>
          <m:t xml:space="preserve">    j=1, 2, ⋯,k</m:t>
        </m:r>
      </m:oMath>
      <w:r w:rsidR="00BD0505" w:rsidRPr="007F6C5E">
        <w:rPr>
          <w:rFonts w:eastAsiaTheme="minorEastAsia"/>
          <w:color w:val="auto"/>
          <w:sz w:val="22"/>
          <w:szCs w:val="22"/>
          <w:lang w:val="en-GB"/>
        </w:rPr>
        <w:tab/>
        <w:t>(3)</w:t>
      </w:r>
    </w:p>
    <w:p w14:paraId="1DBBDC0C" w14:textId="77777777" w:rsidR="008D20CD" w:rsidRPr="007F6C5E" w:rsidRDefault="008D20CD" w:rsidP="008D20CD">
      <w:pPr>
        <w:ind w:firstLine="284"/>
        <w:jc w:val="both"/>
        <w:rPr>
          <w:lang w:val="en-GB"/>
        </w:rPr>
      </w:pPr>
      <w:r w:rsidRPr="007F6C5E">
        <w:rPr>
          <w:lang w:val="en-GB"/>
        </w:rPr>
        <w:t>In the output layer, the prediction results can be obtained with:</w:t>
      </w:r>
    </w:p>
    <w:p w14:paraId="6665396B" w14:textId="745D52E6" w:rsidR="00BD0505" w:rsidRPr="007F6C5E" w:rsidRDefault="00000000" w:rsidP="005352F0">
      <w:pPr>
        <w:pStyle w:val="a"/>
        <w:tabs>
          <w:tab w:val="clear" w:pos="7380"/>
          <w:tab w:val="right" w:pos="9638"/>
        </w:tabs>
        <w:spacing w:before="120" w:after="120" w:line="240" w:lineRule="auto"/>
        <w:ind w:firstLineChars="1353" w:firstLine="2977"/>
        <w:rPr>
          <w:rFonts w:eastAsiaTheme="minorEastAsia"/>
          <w:color w:val="auto"/>
          <w:sz w:val="22"/>
          <w:szCs w:val="22"/>
          <w:lang w:val="en-GB"/>
        </w:rPr>
      </w:pPr>
      <m:oMath>
        <m:sSub>
          <m:sSubPr>
            <m:ctrlPr>
              <w:rPr>
                <w:rFonts w:ascii="Cambria Math" w:eastAsiaTheme="minorEastAsia" w:hAnsi="Cambria Math"/>
                <w:color w:val="auto"/>
                <w:sz w:val="22"/>
                <w:szCs w:val="22"/>
                <w:lang w:val="en-GB"/>
              </w:rPr>
            </m:ctrlPr>
          </m:sSubPr>
          <m:e>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y</m:t>
                </m:r>
              </m:e>
              <m:sub>
                <m:r>
                  <w:rPr>
                    <w:rFonts w:ascii="Cambria Math" w:eastAsiaTheme="minorEastAsia" w:hAnsi="Cambria Math"/>
                    <w:color w:val="auto"/>
                    <w:sz w:val="22"/>
                    <w:szCs w:val="22"/>
                    <w:lang w:val="en-GB"/>
                  </w:rPr>
                  <m:t>j</m:t>
                </m:r>
              </m:sub>
            </m:sSub>
            <m:r>
              <w:rPr>
                <w:rFonts w:ascii="Cambria Math" w:eastAsiaTheme="minorEastAsia" w:hAnsi="Cambria Math"/>
                <w:color w:val="auto"/>
                <w:sz w:val="22"/>
                <w:szCs w:val="22"/>
                <w:lang w:val="en-GB"/>
              </w:rPr>
              <m:t>=S</m:t>
            </m:r>
          </m:e>
          <m:sub>
            <m:r>
              <w:rPr>
                <w:rFonts w:ascii="Cambria Math" w:eastAsiaTheme="minorEastAsia" w:hAnsi="Cambria Math"/>
                <w:color w:val="auto"/>
                <w:sz w:val="22"/>
                <w:szCs w:val="22"/>
                <w:lang w:val="en-GB"/>
              </w:rPr>
              <m:t>Nj</m:t>
            </m:r>
          </m:sub>
        </m:sSub>
        <m:r>
          <m:rPr>
            <m:sty m:val="p"/>
          </m:rPr>
          <w:rPr>
            <w:rFonts w:ascii="Cambria Math" w:eastAsia="Cambria Math" w:hAnsi="Cambria Math"/>
            <w:color w:val="auto"/>
            <w:sz w:val="22"/>
            <w:szCs w:val="22"/>
            <w:lang w:val="en-GB"/>
          </w:rPr>
          <m:t>/</m:t>
        </m:r>
        <m:sSub>
          <m:sSubPr>
            <m:ctrlPr>
              <w:rPr>
                <w:rFonts w:ascii="Cambria Math" w:eastAsiaTheme="minorEastAsia" w:hAnsi="Cambria Math"/>
                <w:color w:val="auto"/>
                <w:sz w:val="22"/>
                <w:szCs w:val="22"/>
                <w:lang w:val="en-GB"/>
              </w:rPr>
            </m:ctrlPr>
          </m:sSubPr>
          <m:e>
            <m:r>
              <w:rPr>
                <w:rFonts w:ascii="Cambria Math" w:eastAsiaTheme="minorEastAsia" w:hAnsi="Cambria Math"/>
                <w:color w:val="auto"/>
                <w:sz w:val="22"/>
                <w:szCs w:val="22"/>
                <w:lang w:val="en-GB"/>
              </w:rPr>
              <m:t>S</m:t>
            </m:r>
          </m:e>
          <m:sub>
            <m:r>
              <w:rPr>
                <w:rFonts w:ascii="Cambria Math" w:eastAsiaTheme="minorEastAsia" w:hAnsi="Cambria Math"/>
                <w:color w:val="auto"/>
                <w:sz w:val="22"/>
                <w:szCs w:val="22"/>
                <w:lang w:val="en-GB"/>
              </w:rPr>
              <m:t>A</m:t>
            </m:r>
          </m:sub>
        </m:sSub>
        <m:r>
          <w:rPr>
            <w:rFonts w:ascii="Cambria Math" w:eastAsiaTheme="minorEastAsia" w:hAnsi="Cambria Math"/>
            <w:color w:val="auto"/>
            <w:sz w:val="22"/>
            <w:szCs w:val="22"/>
            <w:lang w:val="en-GB"/>
          </w:rPr>
          <m:t xml:space="preserve">    j=1, 2, ⋯,k</m:t>
        </m:r>
      </m:oMath>
      <w:r w:rsidR="00BD0505" w:rsidRPr="007F6C5E">
        <w:rPr>
          <w:rFonts w:eastAsiaTheme="minorEastAsia"/>
          <w:color w:val="auto"/>
          <w:sz w:val="22"/>
          <w:szCs w:val="22"/>
          <w:lang w:val="en-GB"/>
        </w:rPr>
        <w:tab/>
        <w:t>(4)</w:t>
      </w:r>
    </w:p>
    <w:p w14:paraId="2685B37A" w14:textId="112CCB13" w:rsidR="008D20CD" w:rsidRPr="007F6C5E" w:rsidRDefault="00BD0505" w:rsidP="00BD0505">
      <w:pPr>
        <w:ind w:firstLine="0"/>
        <w:jc w:val="center"/>
        <w:rPr>
          <w:lang w:val="en-GB"/>
        </w:rPr>
      </w:pPr>
      <w:r w:rsidRPr="007F6C5E">
        <w:rPr>
          <w:rFonts w:cs="Times New Roman"/>
          <w:sz w:val="20"/>
          <w:szCs w:val="20"/>
          <w:lang w:val="en-GB"/>
        </w:rPr>
        <w:object w:dxaOrig="6309" w:dyaOrig="4839" w14:anchorId="19EC1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45pt;height:189.35pt" o:ole="">
            <v:imagedata r:id="rId7" o:title=""/>
          </v:shape>
          <o:OLEObject Type="Embed" ProgID="ChemDraw.Document.6.0" ShapeID="_x0000_i1025" DrawAspect="Content" ObjectID="_1782023693" r:id="rId8"/>
        </w:object>
      </w:r>
    </w:p>
    <w:p w14:paraId="72431573" w14:textId="7E774E4C" w:rsidR="008D20CD" w:rsidRPr="007F6C5E" w:rsidRDefault="008D20CD" w:rsidP="00BD0505">
      <w:pPr>
        <w:pStyle w:val="Rrys"/>
        <w:rPr>
          <w:lang w:val="en-GB"/>
        </w:rPr>
      </w:pPr>
      <w:r w:rsidRPr="007F6C5E">
        <w:rPr>
          <w:b/>
          <w:bCs/>
          <w:lang w:val="en-GB"/>
        </w:rPr>
        <w:t>Fig. 1.</w:t>
      </w:r>
      <w:r w:rsidRPr="007F6C5E">
        <w:rPr>
          <w:lang w:val="en-GB"/>
        </w:rPr>
        <w:t xml:space="preserve"> Network structure of GRNN algorithm</w:t>
      </w:r>
    </w:p>
    <w:p w14:paraId="5A3359E5" w14:textId="11A717B4" w:rsidR="008D20CD" w:rsidRPr="007F6C5E" w:rsidRDefault="00BD0505" w:rsidP="00BD0505">
      <w:pPr>
        <w:pStyle w:val="Rn1"/>
        <w:rPr>
          <w:lang w:val="en-GB"/>
        </w:rPr>
      </w:pPr>
      <w:r w:rsidRPr="007F6C5E">
        <w:rPr>
          <w:lang w:val="en-GB"/>
        </w:rPr>
        <w:t xml:space="preserve">3. </w:t>
      </w:r>
      <w:r w:rsidR="008D20CD" w:rsidRPr="007F6C5E">
        <w:rPr>
          <w:lang w:val="en-GB"/>
        </w:rPr>
        <w:t xml:space="preserve">Results and </w:t>
      </w:r>
      <w:r w:rsidR="00006A3E">
        <w:rPr>
          <w:lang w:val="en-GB"/>
        </w:rPr>
        <w:t>D</w:t>
      </w:r>
      <w:r w:rsidR="008D20CD" w:rsidRPr="007F6C5E">
        <w:rPr>
          <w:lang w:val="en-GB"/>
        </w:rPr>
        <w:t>iscussion</w:t>
      </w:r>
    </w:p>
    <w:p w14:paraId="7F0C8BF1" w14:textId="77777777" w:rsidR="008D20CD" w:rsidRPr="007F6C5E" w:rsidRDefault="008D20CD" w:rsidP="00BD0505">
      <w:pPr>
        <w:pStyle w:val="Rn2"/>
        <w:rPr>
          <w:lang w:val="en-GB"/>
        </w:rPr>
      </w:pPr>
      <w:r w:rsidRPr="007F6C5E">
        <w:rPr>
          <w:lang w:val="en-GB"/>
        </w:rPr>
        <w:t>3.1. Descriptors and toxicity mechanism</w:t>
      </w:r>
    </w:p>
    <w:p w14:paraId="1F619005" w14:textId="6C19A812" w:rsidR="008D20CD" w:rsidRPr="007F6C5E" w:rsidRDefault="008D20CD" w:rsidP="008D20CD">
      <w:pPr>
        <w:ind w:firstLine="284"/>
        <w:jc w:val="both"/>
        <w:rPr>
          <w:lang w:val="en-GB"/>
        </w:rPr>
      </w:pPr>
      <w:r w:rsidRPr="007F6C5E">
        <w:rPr>
          <w:lang w:val="en-GB"/>
        </w:rPr>
        <w:t>Stepwise multiple regression (MLR) analysis in SPSS 19.0 was carried out for 1106 logLC</w:t>
      </w:r>
      <w:r w:rsidRPr="007F6C5E">
        <w:rPr>
          <w:vertAlign w:val="subscript"/>
          <w:lang w:val="en-GB"/>
        </w:rPr>
        <w:t>50</w:t>
      </w:r>
      <w:r w:rsidRPr="007F6C5E">
        <w:rPr>
          <w:lang w:val="en-GB"/>
        </w:rPr>
        <w:t xml:space="preserve"> of pesticides on fish and 773 molecular descriptors mentioned above. </w:t>
      </w:r>
      <w:r w:rsidR="008B1F23">
        <w:rPr>
          <w:lang w:val="en-GB"/>
        </w:rPr>
        <w:t>In total</w:t>
      </w:r>
      <w:r w:rsidRPr="007F6C5E">
        <w:rPr>
          <w:lang w:val="en-GB"/>
        </w:rPr>
        <w:t>, 28 descriptors entered a</w:t>
      </w:r>
      <w:r w:rsidR="008B1F23">
        <w:rPr>
          <w:lang w:val="en-GB"/>
        </w:rPr>
        <w:t>n</w:t>
      </w:r>
      <w:r w:rsidRPr="007F6C5E">
        <w:rPr>
          <w:lang w:val="en-GB"/>
        </w:rPr>
        <w:t xml:space="preserve"> MLR model when the increment of determination coefficient (Δ</w:t>
      </w:r>
      <w:r w:rsidRPr="00837A75">
        <w:rPr>
          <w:i/>
          <w:iCs/>
          <w:lang w:val="en-GB"/>
        </w:rPr>
        <w:t>R</w:t>
      </w:r>
      <w:r w:rsidRPr="00837A75">
        <w:rPr>
          <w:i/>
          <w:iCs/>
          <w:vertAlign w:val="superscript"/>
          <w:lang w:val="en-GB"/>
        </w:rPr>
        <w:t>2</w:t>
      </w:r>
      <w:r w:rsidRPr="007F6C5E">
        <w:rPr>
          <w:lang w:val="en-GB"/>
        </w:rPr>
        <w:t>) ≥ 0.04 was set as the criterion for adding new descriptors. Then</w:t>
      </w:r>
      <w:r w:rsidR="008B1F23">
        <w:rPr>
          <w:lang w:val="en-GB"/>
        </w:rPr>
        <w:t>,</w:t>
      </w:r>
      <w:r w:rsidRPr="007F6C5E">
        <w:rPr>
          <w:lang w:val="en-GB"/>
        </w:rPr>
        <w:t xml:space="preserve"> MLR analysis was performed for the 28 descriptors and 774 logLC</w:t>
      </w:r>
      <w:r w:rsidRPr="007F6C5E">
        <w:rPr>
          <w:vertAlign w:val="subscript"/>
          <w:lang w:val="en-GB"/>
        </w:rPr>
        <w:t>50</w:t>
      </w:r>
      <w:r w:rsidRPr="007F6C5E">
        <w:rPr>
          <w:lang w:val="en-GB"/>
        </w:rPr>
        <w:t xml:space="preserve"> in the training set with the same criterion in introducing new descriptors. In the end, 20 molecular descriptors were obtained and taken as the optimal descriptor subset for developing QSAR models for logLC</w:t>
      </w:r>
      <w:r w:rsidRPr="007F6C5E">
        <w:rPr>
          <w:vertAlign w:val="subscript"/>
          <w:lang w:val="en-GB"/>
        </w:rPr>
        <w:t>50</w:t>
      </w:r>
      <w:r w:rsidRPr="007F6C5E">
        <w:rPr>
          <w:lang w:val="en-GB"/>
        </w:rPr>
        <w:t xml:space="preserve"> of pesticides on fishes. The physical meaning and toxicity mechanism of descriptors are listed in Table 1, their values are shown in Table S1 in Supplementary Material, and the characteristics of molecular descriptors obtained from the total set are shown in Table 2.</w:t>
      </w:r>
    </w:p>
    <w:p w14:paraId="7CDEBFD8" w14:textId="77777777" w:rsidR="008D20CD" w:rsidRPr="007F6C5E" w:rsidRDefault="008D20CD" w:rsidP="008D20CD">
      <w:pPr>
        <w:ind w:firstLine="284"/>
        <w:jc w:val="both"/>
        <w:rPr>
          <w:lang w:val="en-GB"/>
        </w:rPr>
      </w:pPr>
    </w:p>
    <w:p w14:paraId="0872ABDF" w14:textId="2F51B845" w:rsidR="008D20CD" w:rsidRPr="007F6C5E" w:rsidRDefault="008D20CD" w:rsidP="007C7630">
      <w:pPr>
        <w:pStyle w:val="Rtab"/>
        <w:rPr>
          <w:lang w:val="en-GB"/>
        </w:rPr>
      </w:pPr>
      <w:r w:rsidRPr="007F6C5E">
        <w:rPr>
          <w:b/>
          <w:bCs/>
          <w:lang w:val="en-GB"/>
        </w:rPr>
        <w:t>Table 1.</w:t>
      </w:r>
      <w:r w:rsidRPr="007F6C5E">
        <w:rPr>
          <w:lang w:val="en-GB"/>
        </w:rPr>
        <w:t xml:space="preserve"> The block and physical meaning of descriptors in </w:t>
      </w:r>
      <w:r w:rsidR="008B1F23">
        <w:rPr>
          <w:lang w:val="en-GB"/>
        </w:rPr>
        <w:t xml:space="preserve">the </w:t>
      </w:r>
      <w:r w:rsidRPr="007F6C5E">
        <w:rPr>
          <w:lang w:val="en-GB"/>
        </w:rPr>
        <w:t>GRNN model</w:t>
      </w:r>
    </w:p>
    <w:tbl>
      <w:tblPr>
        <w:tblStyle w:val="Tabela-Siatka"/>
        <w:tblW w:w="9634" w:type="dxa"/>
        <w:tblLook w:val="04A0" w:firstRow="1" w:lastRow="0" w:firstColumn="1" w:lastColumn="0" w:noHBand="0" w:noVBand="1"/>
      </w:tblPr>
      <w:tblGrid>
        <w:gridCol w:w="2265"/>
        <w:gridCol w:w="2266"/>
        <w:gridCol w:w="5103"/>
      </w:tblGrid>
      <w:tr w:rsidR="007C7630" w:rsidRPr="007F6C5E" w14:paraId="2A181B70" w14:textId="77777777" w:rsidTr="00757F6D">
        <w:trPr>
          <w:trHeight w:val="390"/>
        </w:trPr>
        <w:tc>
          <w:tcPr>
            <w:tcW w:w="2265" w:type="dxa"/>
            <w:vAlign w:val="center"/>
          </w:tcPr>
          <w:p w14:paraId="21B8AA8A" w14:textId="77777777" w:rsidR="007C7630" w:rsidRPr="007F6C5E" w:rsidRDefault="007C7630" w:rsidP="007C7630">
            <w:pPr>
              <w:ind w:firstLine="0"/>
              <w:jc w:val="center"/>
              <w:rPr>
                <w:lang w:val="en-GB"/>
              </w:rPr>
            </w:pPr>
            <w:r w:rsidRPr="007F6C5E">
              <w:rPr>
                <w:lang w:val="en-GB"/>
              </w:rPr>
              <w:t>Descriptor</w:t>
            </w:r>
          </w:p>
        </w:tc>
        <w:tc>
          <w:tcPr>
            <w:tcW w:w="2266" w:type="dxa"/>
            <w:vAlign w:val="center"/>
          </w:tcPr>
          <w:p w14:paraId="10ED608E" w14:textId="77777777" w:rsidR="007C7630" w:rsidRPr="007F6C5E" w:rsidRDefault="007C7630" w:rsidP="007C7630">
            <w:pPr>
              <w:ind w:firstLine="0"/>
              <w:jc w:val="center"/>
              <w:rPr>
                <w:lang w:val="en-GB"/>
              </w:rPr>
            </w:pPr>
            <w:r w:rsidRPr="007F6C5E">
              <w:rPr>
                <w:lang w:val="en-GB"/>
              </w:rPr>
              <w:t>Block</w:t>
            </w:r>
          </w:p>
        </w:tc>
        <w:tc>
          <w:tcPr>
            <w:tcW w:w="5103" w:type="dxa"/>
            <w:vAlign w:val="center"/>
          </w:tcPr>
          <w:p w14:paraId="7D9DCEEB" w14:textId="77777777" w:rsidR="007C7630" w:rsidRPr="007F6C5E" w:rsidRDefault="007C7630" w:rsidP="007C7630">
            <w:pPr>
              <w:ind w:firstLine="0"/>
              <w:jc w:val="center"/>
              <w:rPr>
                <w:lang w:val="en-GB"/>
              </w:rPr>
            </w:pPr>
            <w:r w:rsidRPr="007F6C5E">
              <w:rPr>
                <w:lang w:val="en-GB"/>
              </w:rPr>
              <w:t>Physical meaning and toxicity mechanism</w:t>
            </w:r>
          </w:p>
        </w:tc>
      </w:tr>
      <w:tr w:rsidR="007C7630" w:rsidRPr="007F6C5E" w14:paraId="3AF5A791" w14:textId="77777777" w:rsidTr="000E3600">
        <w:trPr>
          <w:trHeight w:val="1567"/>
        </w:trPr>
        <w:tc>
          <w:tcPr>
            <w:tcW w:w="2265" w:type="dxa"/>
            <w:vAlign w:val="center"/>
          </w:tcPr>
          <w:p w14:paraId="79E15A25" w14:textId="77777777" w:rsidR="007C7630" w:rsidRPr="007F6C5E" w:rsidRDefault="007C7630" w:rsidP="007C7630">
            <w:pPr>
              <w:ind w:firstLine="0"/>
              <w:jc w:val="center"/>
              <w:rPr>
                <w:lang w:val="en-GB"/>
              </w:rPr>
            </w:pPr>
            <w:r w:rsidRPr="007F6C5E">
              <w:rPr>
                <w:lang w:val="en-GB"/>
              </w:rPr>
              <w:t>MLOGP2</w:t>
            </w:r>
          </w:p>
        </w:tc>
        <w:tc>
          <w:tcPr>
            <w:tcW w:w="2266" w:type="dxa"/>
            <w:vAlign w:val="center"/>
          </w:tcPr>
          <w:p w14:paraId="698F4D21" w14:textId="77777777" w:rsidR="007C7630" w:rsidRPr="007F6C5E" w:rsidRDefault="007C7630" w:rsidP="007C7630">
            <w:pPr>
              <w:ind w:firstLine="0"/>
              <w:jc w:val="center"/>
              <w:rPr>
                <w:lang w:val="en-GB"/>
              </w:rPr>
            </w:pPr>
            <w:r w:rsidRPr="007F6C5E">
              <w:rPr>
                <w:lang w:val="en-GB"/>
              </w:rPr>
              <w:t>Molecular properties</w:t>
            </w:r>
          </w:p>
        </w:tc>
        <w:tc>
          <w:tcPr>
            <w:tcW w:w="5103" w:type="dxa"/>
          </w:tcPr>
          <w:p w14:paraId="398EEBB7" w14:textId="44F32F39" w:rsidR="007C7630" w:rsidRPr="007F6C5E" w:rsidRDefault="007C7630" w:rsidP="000B2809">
            <w:pPr>
              <w:ind w:firstLine="0"/>
              <w:jc w:val="both"/>
              <w:rPr>
                <w:lang w:val="en-GB"/>
              </w:rPr>
            </w:pPr>
            <w:r w:rsidRPr="007F6C5E">
              <w:rPr>
                <w:lang w:val="en-GB"/>
              </w:rPr>
              <w:t xml:space="preserve">MLOGP2 denotes </w:t>
            </w:r>
            <w:r w:rsidR="008B1F23">
              <w:rPr>
                <w:lang w:val="en-GB"/>
              </w:rPr>
              <w:t xml:space="preserve">the </w:t>
            </w:r>
            <w:r w:rsidRPr="007F6C5E">
              <w:rPr>
                <w:lang w:val="en-GB"/>
              </w:rPr>
              <w:t>squared Moriguchi octanol-water partition coefficient. It is related to frequencies of presence (or absence) of some molecular features such as carbon and halogen atoms. A pesticide molecule with a</w:t>
            </w:r>
            <w:r w:rsidR="00AC21CA">
              <w:rPr>
                <w:lang w:val="en-GB"/>
              </w:rPr>
              <w:t> </w:t>
            </w:r>
            <w:r w:rsidRPr="007F6C5E">
              <w:rPr>
                <w:lang w:val="en-GB"/>
              </w:rPr>
              <w:t>larger MLOGP2 tends to bind lipophilic chemicals and to accumulate in fishes and cause toxicity.</w:t>
            </w:r>
          </w:p>
        </w:tc>
      </w:tr>
      <w:tr w:rsidR="007C7630" w:rsidRPr="007F6C5E" w14:paraId="722C7B00" w14:textId="77777777" w:rsidTr="000E3600">
        <w:trPr>
          <w:trHeight w:val="1805"/>
        </w:trPr>
        <w:tc>
          <w:tcPr>
            <w:tcW w:w="2265" w:type="dxa"/>
            <w:vAlign w:val="center"/>
          </w:tcPr>
          <w:p w14:paraId="7D2A4894" w14:textId="77777777" w:rsidR="007C7630" w:rsidRPr="007F6C5E" w:rsidRDefault="007C7630" w:rsidP="007C7630">
            <w:pPr>
              <w:ind w:firstLine="0"/>
              <w:jc w:val="center"/>
              <w:rPr>
                <w:lang w:val="en-GB"/>
              </w:rPr>
            </w:pPr>
            <w:r w:rsidRPr="007F6C5E">
              <w:rPr>
                <w:lang w:val="en-GB"/>
              </w:rPr>
              <w:t>Eig02_AEA(dm)</w:t>
            </w:r>
          </w:p>
        </w:tc>
        <w:tc>
          <w:tcPr>
            <w:tcW w:w="2266" w:type="dxa"/>
            <w:vAlign w:val="center"/>
          </w:tcPr>
          <w:p w14:paraId="63A8EC5C" w14:textId="58943626" w:rsidR="007C7630" w:rsidRPr="007F6C5E" w:rsidRDefault="007C7630" w:rsidP="007C7630">
            <w:pPr>
              <w:ind w:firstLine="0"/>
              <w:jc w:val="center"/>
              <w:rPr>
                <w:lang w:val="en-GB"/>
              </w:rPr>
            </w:pPr>
            <w:r w:rsidRPr="007F6C5E">
              <w:rPr>
                <w:lang w:val="en-GB"/>
              </w:rPr>
              <w:t xml:space="preserve">Edge adjacency </w:t>
            </w:r>
            <w:r w:rsidR="008932F6">
              <w:rPr>
                <w:lang w:val="en-GB"/>
              </w:rPr>
              <w:br/>
            </w:r>
            <w:r w:rsidRPr="007F6C5E">
              <w:rPr>
                <w:lang w:val="en-GB"/>
              </w:rPr>
              <w:t>indices</w:t>
            </w:r>
          </w:p>
        </w:tc>
        <w:tc>
          <w:tcPr>
            <w:tcW w:w="5103" w:type="dxa"/>
          </w:tcPr>
          <w:p w14:paraId="62806195" w14:textId="70ED4182" w:rsidR="007C7630" w:rsidRPr="007F6C5E" w:rsidRDefault="007C7630" w:rsidP="000B2809">
            <w:pPr>
              <w:ind w:firstLine="0"/>
              <w:jc w:val="both"/>
              <w:rPr>
                <w:lang w:val="en-GB"/>
              </w:rPr>
            </w:pPr>
            <w:r w:rsidRPr="007F6C5E">
              <w:rPr>
                <w:lang w:val="en-GB"/>
              </w:rPr>
              <w:t xml:space="preserve">It is eigenvalue no. 2 from </w:t>
            </w:r>
            <w:r w:rsidR="008B1F23">
              <w:rPr>
                <w:lang w:val="en-GB"/>
              </w:rPr>
              <w:t xml:space="preserve">the </w:t>
            </w:r>
            <w:r w:rsidRPr="007F6C5E">
              <w:rPr>
                <w:lang w:val="en-GB"/>
              </w:rPr>
              <w:t xml:space="preserve">augmented edge adjacency matrix weighted by dipole moment and reflects information about edge connectivity in the H-depleted molecular graph. It is related to molecular bond types, group polarity, and molecular size. A larger Eig02_AEA(dm) indicates the molecule </w:t>
            </w:r>
            <w:r w:rsidR="008B1F23">
              <w:rPr>
                <w:lang w:val="en-GB"/>
              </w:rPr>
              <w:t>has more reaction or binding sites,</w:t>
            </w:r>
            <w:r w:rsidRPr="007F6C5E">
              <w:rPr>
                <w:lang w:val="en-GB"/>
              </w:rPr>
              <w:t xml:space="preserve"> resulting in toxicity.</w:t>
            </w:r>
          </w:p>
        </w:tc>
      </w:tr>
      <w:tr w:rsidR="00757F6D" w:rsidRPr="007F6C5E" w14:paraId="70A0E245" w14:textId="77777777" w:rsidTr="00757F6D">
        <w:trPr>
          <w:trHeight w:val="2561"/>
        </w:trPr>
        <w:tc>
          <w:tcPr>
            <w:tcW w:w="2265" w:type="dxa"/>
            <w:vAlign w:val="center"/>
          </w:tcPr>
          <w:p w14:paraId="1CB63EA8" w14:textId="77777777" w:rsidR="00757F6D" w:rsidRPr="007F6C5E" w:rsidRDefault="00757F6D" w:rsidP="00757F6D">
            <w:pPr>
              <w:ind w:firstLine="0"/>
              <w:jc w:val="center"/>
              <w:rPr>
                <w:lang w:val="en-GB"/>
              </w:rPr>
            </w:pPr>
            <w:r w:rsidRPr="007F6C5E">
              <w:rPr>
                <w:lang w:val="en-GB"/>
              </w:rPr>
              <w:t>CATS2D_09_DD</w:t>
            </w:r>
          </w:p>
        </w:tc>
        <w:tc>
          <w:tcPr>
            <w:tcW w:w="2266" w:type="dxa"/>
            <w:vAlign w:val="center"/>
          </w:tcPr>
          <w:p w14:paraId="168E8262" w14:textId="77777777" w:rsidR="00757F6D" w:rsidRPr="007F6C5E" w:rsidRDefault="00757F6D" w:rsidP="00757F6D">
            <w:pPr>
              <w:ind w:firstLine="0"/>
              <w:jc w:val="center"/>
              <w:rPr>
                <w:lang w:val="en-GB"/>
              </w:rPr>
            </w:pPr>
            <w:r w:rsidRPr="007F6C5E">
              <w:rPr>
                <w:lang w:val="en-GB"/>
              </w:rPr>
              <w:t>CATS 2D descriptors</w:t>
            </w:r>
          </w:p>
        </w:tc>
        <w:tc>
          <w:tcPr>
            <w:tcW w:w="5103" w:type="dxa"/>
          </w:tcPr>
          <w:p w14:paraId="742CAAC9" w14:textId="0779135A" w:rsidR="00757F6D" w:rsidRPr="007F6C5E" w:rsidRDefault="00757F6D" w:rsidP="00C67797">
            <w:pPr>
              <w:ind w:firstLine="0"/>
              <w:jc w:val="both"/>
              <w:rPr>
                <w:lang w:val="en-GB"/>
              </w:rPr>
            </w:pPr>
            <w:r w:rsidRPr="007F6C5E">
              <w:rPr>
                <w:lang w:val="en-GB"/>
              </w:rPr>
              <w:t>It means CATS2D Donor-Donor at lag 09. Similar to 2D Atom Pairs, CATS 2D descriptors reflect molecular features about potential pharmacophore points</w:t>
            </w:r>
            <w:r>
              <w:rPr>
                <w:lang w:val="en-GB"/>
              </w:rPr>
              <w:t>,</w:t>
            </w:r>
            <w:r w:rsidRPr="007F6C5E">
              <w:rPr>
                <w:lang w:val="en-GB"/>
              </w:rPr>
              <w:t xml:space="preserve"> including hydrogen-bond donor (D), hydrogen-bond acceptor (A), positively charged (P), negatively charged (N), and lipophilic (L), in topological distances of 0</w:t>
            </w:r>
            <w:r>
              <w:rPr>
                <w:lang w:val="en-GB"/>
              </w:rPr>
              <w:t>-</w:t>
            </w:r>
            <w:r w:rsidRPr="007F6C5E">
              <w:rPr>
                <w:lang w:val="en-GB"/>
              </w:rPr>
              <w:t>9 bonds. A</w:t>
            </w:r>
            <w:r>
              <w:rPr>
                <w:lang w:val="en-GB"/>
              </w:rPr>
              <w:t> </w:t>
            </w:r>
            <w:r w:rsidRPr="007F6C5E">
              <w:rPr>
                <w:lang w:val="en-GB"/>
              </w:rPr>
              <w:t xml:space="preserve">molecule with CATS2D_09_DD&gt;0 means that it has a greater possibility of forming hydrogen bonds, which are related to molecular solubility in </w:t>
            </w:r>
            <w:r>
              <w:rPr>
                <w:lang w:val="en-GB"/>
              </w:rPr>
              <w:t xml:space="preserve">the </w:t>
            </w:r>
            <w:r w:rsidRPr="007F6C5E">
              <w:rPr>
                <w:lang w:val="en-GB"/>
              </w:rPr>
              <w:t>water environment.</w:t>
            </w:r>
          </w:p>
        </w:tc>
      </w:tr>
    </w:tbl>
    <w:p w14:paraId="5C0E0194" w14:textId="29502075" w:rsidR="002F3D19" w:rsidRPr="007F6C5E" w:rsidRDefault="002F3D19" w:rsidP="002F3D19">
      <w:pPr>
        <w:pStyle w:val="Rtab"/>
        <w:rPr>
          <w:lang w:val="en-GB"/>
        </w:rPr>
      </w:pPr>
      <w:r w:rsidRPr="007F6C5E">
        <w:rPr>
          <w:b/>
          <w:bCs/>
          <w:lang w:val="en-GB"/>
        </w:rPr>
        <w:lastRenderedPageBreak/>
        <w:t>Table 1.</w:t>
      </w:r>
      <w:r w:rsidRPr="007F6C5E">
        <w:rPr>
          <w:lang w:val="en-GB"/>
        </w:rPr>
        <w:t xml:space="preserve"> </w:t>
      </w:r>
      <w:r>
        <w:rPr>
          <w:lang w:val="en-GB"/>
        </w:rPr>
        <w:t>cont.</w:t>
      </w:r>
    </w:p>
    <w:tbl>
      <w:tblPr>
        <w:tblStyle w:val="Tabela-Siatka"/>
        <w:tblW w:w="9633" w:type="dxa"/>
        <w:tblLook w:val="04A0" w:firstRow="1" w:lastRow="0" w:firstColumn="1" w:lastColumn="0" w:noHBand="0" w:noVBand="1"/>
      </w:tblPr>
      <w:tblGrid>
        <w:gridCol w:w="2265"/>
        <w:gridCol w:w="2266"/>
        <w:gridCol w:w="5102"/>
      </w:tblGrid>
      <w:tr w:rsidR="002F3D19" w:rsidRPr="007F6C5E" w14:paraId="628915F6" w14:textId="77777777" w:rsidTr="00757F6D">
        <w:trPr>
          <w:trHeight w:val="390"/>
        </w:trPr>
        <w:tc>
          <w:tcPr>
            <w:tcW w:w="2265" w:type="dxa"/>
            <w:vAlign w:val="center"/>
          </w:tcPr>
          <w:p w14:paraId="205F62E2" w14:textId="77777777" w:rsidR="002F3D19" w:rsidRPr="007F6C5E" w:rsidRDefault="002F3D19" w:rsidP="00F42948">
            <w:pPr>
              <w:ind w:firstLine="0"/>
              <w:jc w:val="center"/>
              <w:rPr>
                <w:lang w:val="en-GB"/>
              </w:rPr>
            </w:pPr>
            <w:r w:rsidRPr="007F6C5E">
              <w:rPr>
                <w:lang w:val="en-GB"/>
              </w:rPr>
              <w:t>Descriptor</w:t>
            </w:r>
          </w:p>
        </w:tc>
        <w:tc>
          <w:tcPr>
            <w:tcW w:w="2266" w:type="dxa"/>
            <w:vAlign w:val="center"/>
          </w:tcPr>
          <w:p w14:paraId="066142F5" w14:textId="77777777" w:rsidR="002F3D19" w:rsidRPr="007F6C5E" w:rsidRDefault="002F3D19" w:rsidP="00F42948">
            <w:pPr>
              <w:ind w:firstLine="0"/>
              <w:jc w:val="center"/>
              <w:rPr>
                <w:lang w:val="en-GB"/>
              </w:rPr>
            </w:pPr>
            <w:r w:rsidRPr="007F6C5E">
              <w:rPr>
                <w:lang w:val="en-GB"/>
              </w:rPr>
              <w:t>Block</w:t>
            </w:r>
          </w:p>
        </w:tc>
        <w:tc>
          <w:tcPr>
            <w:tcW w:w="5102" w:type="dxa"/>
            <w:vAlign w:val="center"/>
          </w:tcPr>
          <w:p w14:paraId="5C527616" w14:textId="77777777" w:rsidR="002F3D19" w:rsidRPr="007F6C5E" w:rsidRDefault="002F3D19" w:rsidP="00F42948">
            <w:pPr>
              <w:ind w:firstLine="0"/>
              <w:jc w:val="center"/>
              <w:rPr>
                <w:lang w:val="en-GB"/>
              </w:rPr>
            </w:pPr>
            <w:r w:rsidRPr="007F6C5E">
              <w:rPr>
                <w:lang w:val="en-GB"/>
              </w:rPr>
              <w:t>Physical meaning and toxicity mechanism</w:t>
            </w:r>
          </w:p>
        </w:tc>
      </w:tr>
      <w:tr w:rsidR="007C7630" w:rsidRPr="007F6C5E" w14:paraId="471DCDA7" w14:textId="77777777" w:rsidTr="00757F6D">
        <w:trPr>
          <w:trHeight w:val="1064"/>
        </w:trPr>
        <w:tc>
          <w:tcPr>
            <w:tcW w:w="2265" w:type="dxa"/>
            <w:vAlign w:val="center"/>
          </w:tcPr>
          <w:p w14:paraId="7F439B84" w14:textId="77777777" w:rsidR="007C7630" w:rsidRPr="007F6C5E" w:rsidRDefault="007C7630" w:rsidP="007C7630">
            <w:pPr>
              <w:ind w:firstLine="0"/>
              <w:jc w:val="center"/>
              <w:rPr>
                <w:lang w:val="en-GB"/>
              </w:rPr>
            </w:pPr>
            <w:r w:rsidRPr="007F6C5E">
              <w:rPr>
                <w:lang w:val="en-GB"/>
              </w:rPr>
              <w:t>O-058</w:t>
            </w:r>
          </w:p>
        </w:tc>
        <w:tc>
          <w:tcPr>
            <w:tcW w:w="2266" w:type="dxa"/>
            <w:vAlign w:val="center"/>
          </w:tcPr>
          <w:p w14:paraId="4C1B6347" w14:textId="48EE38DB" w:rsidR="007C7630" w:rsidRPr="007F6C5E" w:rsidRDefault="007C7630" w:rsidP="007C7630">
            <w:pPr>
              <w:ind w:firstLine="0"/>
              <w:jc w:val="center"/>
              <w:rPr>
                <w:lang w:val="en-GB"/>
              </w:rPr>
            </w:pPr>
            <w:r w:rsidRPr="007F6C5E">
              <w:rPr>
                <w:lang w:val="en-GB"/>
              </w:rPr>
              <w:t>Atom-</w:t>
            </w:r>
            <w:proofErr w:type="spellStart"/>
            <w:r w:rsidRPr="007F6C5E">
              <w:rPr>
                <w:lang w:val="en-GB"/>
              </w:rPr>
              <w:t>centered</w:t>
            </w:r>
            <w:proofErr w:type="spellEnd"/>
            <w:r w:rsidRPr="007F6C5E">
              <w:rPr>
                <w:lang w:val="en-GB"/>
              </w:rPr>
              <w:t xml:space="preserve"> </w:t>
            </w:r>
            <w:r w:rsidR="008932F6">
              <w:rPr>
                <w:lang w:val="en-GB"/>
              </w:rPr>
              <w:br/>
            </w:r>
            <w:r w:rsidRPr="007F6C5E">
              <w:rPr>
                <w:lang w:val="en-GB"/>
              </w:rPr>
              <w:t>fragments</w:t>
            </w:r>
          </w:p>
        </w:tc>
        <w:tc>
          <w:tcPr>
            <w:tcW w:w="5102" w:type="dxa"/>
          </w:tcPr>
          <w:p w14:paraId="51BC7D3F" w14:textId="3A1F43AA" w:rsidR="007C7630" w:rsidRPr="007F6C5E" w:rsidRDefault="007C7630" w:rsidP="000B2809">
            <w:pPr>
              <w:ind w:firstLine="0"/>
              <w:jc w:val="both"/>
              <w:rPr>
                <w:lang w:val="en-GB"/>
              </w:rPr>
            </w:pPr>
            <w:r w:rsidRPr="007F6C5E">
              <w:rPr>
                <w:lang w:val="en-GB"/>
              </w:rPr>
              <w:t xml:space="preserve">It denotes </w:t>
            </w:r>
            <w:r w:rsidR="008B1F23">
              <w:rPr>
                <w:lang w:val="en-GB"/>
              </w:rPr>
              <w:t>a molecule's number of specific atom types (=O)</w:t>
            </w:r>
            <w:r w:rsidRPr="007F6C5E">
              <w:rPr>
                <w:lang w:val="en-GB"/>
              </w:rPr>
              <w:t xml:space="preserve">. Ketones (excluding </w:t>
            </w:r>
            <w:r w:rsidRPr="008932F6">
              <w:rPr>
                <w:rFonts w:ascii="Symbol" w:hAnsi="Symbol"/>
                <w:lang w:val="en-GB"/>
              </w:rPr>
              <w:t></w:t>
            </w:r>
            <w:r w:rsidRPr="007F6C5E">
              <w:rPr>
                <w:lang w:val="en-GB"/>
              </w:rPr>
              <w:t>,</w:t>
            </w:r>
            <w:r w:rsidRPr="008932F6">
              <w:rPr>
                <w:rFonts w:ascii="Symbol" w:hAnsi="Symbol"/>
                <w:lang w:val="en-GB"/>
              </w:rPr>
              <w:t></w:t>
            </w:r>
            <w:r w:rsidRPr="007F6C5E">
              <w:rPr>
                <w:lang w:val="en-GB"/>
              </w:rPr>
              <w:t>–unsaturated ketones), being non-polar narcosis chemicals, usually have lower toxicity to fish and larger O-058 values.</w:t>
            </w:r>
          </w:p>
        </w:tc>
      </w:tr>
      <w:tr w:rsidR="007C7630" w:rsidRPr="007F6C5E" w14:paraId="407A5DD4" w14:textId="77777777" w:rsidTr="00757F6D">
        <w:trPr>
          <w:trHeight w:val="1315"/>
        </w:trPr>
        <w:tc>
          <w:tcPr>
            <w:tcW w:w="2265" w:type="dxa"/>
            <w:vAlign w:val="center"/>
          </w:tcPr>
          <w:p w14:paraId="5D674B7E" w14:textId="77777777" w:rsidR="007C7630" w:rsidRPr="007F6C5E" w:rsidRDefault="007C7630" w:rsidP="007C7630">
            <w:pPr>
              <w:ind w:firstLine="0"/>
              <w:jc w:val="center"/>
              <w:rPr>
                <w:lang w:val="en-GB"/>
              </w:rPr>
            </w:pPr>
            <w:r w:rsidRPr="007F6C5E">
              <w:rPr>
                <w:lang w:val="en-GB"/>
              </w:rPr>
              <w:t>nR03</w:t>
            </w:r>
          </w:p>
        </w:tc>
        <w:tc>
          <w:tcPr>
            <w:tcW w:w="2266" w:type="dxa"/>
            <w:vAlign w:val="center"/>
          </w:tcPr>
          <w:p w14:paraId="3D9D7464" w14:textId="77777777" w:rsidR="007C7630" w:rsidRPr="007F6C5E" w:rsidRDefault="007C7630" w:rsidP="007C7630">
            <w:pPr>
              <w:ind w:firstLine="0"/>
              <w:jc w:val="center"/>
              <w:rPr>
                <w:lang w:val="en-GB"/>
              </w:rPr>
            </w:pPr>
            <w:r w:rsidRPr="007F6C5E">
              <w:rPr>
                <w:lang w:val="en-GB"/>
              </w:rPr>
              <w:t>Ring descriptors</w:t>
            </w:r>
          </w:p>
        </w:tc>
        <w:tc>
          <w:tcPr>
            <w:tcW w:w="5102" w:type="dxa"/>
          </w:tcPr>
          <w:p w14:paraId="5C86F538" w14:textId="5C73B65C" w:rsidR="007C7630" w:rsidRPr="007F6C5E" w:rsidRDefault="007C7630" w:rsidP="000B2809">
            <w:pPr>
              <w:ind w:firstLine="0"/>
              <w:jc w:val="both"/>
              <w:rPr>
                <w:lang w:val="en-GB"/>
              </w:rPr>
            </w:pPr>
            <w:r w:rsidRPr="00757F6D">
              <w:rPr>
                <w:spacing w:val="-2"/>
                <w:lang w:val="en-GB"/>
              </w:rPr>
              <w:t>nR03 is the number of three-member rings. As is known, the three-member ring is less stable than the four-, five-, and six-member rings.</w:t>
            </w:r>
            <w:r w:rsidRPr="007F6C5E">
              <w:rPr>
                <w:lang w:val="en-GB"/>
              </w:rPr>
              <w:t xml:space="preserve"> Thus</w:t>
            </w:r>
            <w:r w:rsidR="008B1F23">
              <w:rPr>
                <w:lang w:val="en-GB"/>
              </w:rPr>
              <w:t>,</w:t>
            </w:r>
            <w:r w:rsidRPr="007F6C5E">
              <w:rPr>
                <w:lang w:val="en-GB"/>
              </w:rPr>
              <w:t xml:space="preserve"> these molecules with three-member rings have higher unspecific reactivity and toxicity.</w:t>
            </w:r>
          </w:p>
        </w:tc>
      </w:tr>
      <w:tr w:rsidR="007C7630" w:rsidRPr="007F6C5E" w14:paraId="6144BC1F" w14:textId="77777777" w:rsidTr="00757F6D">
        <w:trPr>
          <w:trHeight w:val="1065"/>
        </w:trPr>
        <w:tc>
          <w:tcPr>
            <w:tcW w:w="2265" w:type="dxa"/>
            <w:vAlign w:val="center"/>
          </w:tcPr>
          <w:p w14:paraId="316E6ADA" w14:textId="77777777" w:rsidR="007C7630" w:rsidRPr="007F6C5E" w:rsidRDefault="007C7630" w:rsidP="007C7630">
            <w:pPr>
              <w:ind w:firstLine="0"/>
              <w:jc w:val="center"/>
              <w:rPr>
                <w:lang w:val="en-GB"/>
              </w:rPr>
            </w:pPr>
            <w:proofErr w:type="spellStart"/>
            <w:r w:rsidRPr="007F6C5E">
              <w:rPr>
                <w:lang w:val="en-GB"/>
              </w:rPr>
              <w:t>nRCOOR</w:t>
            </w:r>
            <w:proofErr w:type="spellEnd"/>
          </w:p>
        </w:tc>
        <w:tc>
          <w:tcPr>
            <w:tcW w:w="2266" w:type="dxa"/>
            <w:vAlign w:val="center"/>
          </w:tcPr>
          <w:p w14:paraId="26965274" w14:textId="77777777" w:rsidR="007C7630" w:rsidRPr="007F6C5E" w:rsidRDefault="007C7630" w:rsidP="007C7630">
            <w:pPr>
              <w:ind w:firstLine="0"/>
              <w:jc w:val="center"/>
              <w:rPr>
                <w:lang w:val="en-GB"/>
              </w:rPr>
            </w:pPr>
            <w:r w:rsidRPr="007F6C5E">
              <w:rPr>
                <w:lang w:val="en-GB"/>
              </w:rPr>
              <w:t>Functional group counts</w:t>
            </w:r>
          </w:p>
        </w:tc>
        <w:tc>
          <w:tcPr>
            <w:tcW w:w="5102" w:type="dxa"/>
          </w:tcPr>
          <w:p w14:paraId="6FE5E30F" w14:textId="5E27CCF3" w:rsidR="007C7630" w:rsidRPr="007F6C5E" w:rsidRDefault="007C7630" w:rsidP="000B2809">
            <w:pPr>
              <w:ind w:firstLine="0"/>
              <w:jc w:val="both"/>
              <w:rPr>
                <w:lang w:val="en-GB"/>
              </w:rPr>
            </w:pPr>
            <w:r w:rsidRPr="007F6C5E">
              <w:rPr>
                <w:lang w:val="en-GB"/>
              </w:rPr>
              <w:t>It is the number of ester</w:t>
            </w:r>
            <w:r w:rsidR="008B1F23">
              <w:rPr>
                <w:lang w:val="en-GB"/>
              </w:rPr>
              <w:t>s</w:t>
            </w:r>
            <w:r w:rsidRPr="007F6C5E">
              <w:rPr>
                <w:lang w:val="en-GB"/>
              </w:rPr>
              <w:t xml:space="preserve"> (aliphatic). It is known that an ester molecule with </w:t>
            </w:r>
            <w:r w:rsidRPr="008932F6">
              <w:rPr>
                <w:rFonts w:ascii="Symbol" w:hAnsi="Symbol"/>
                <w:lang w:val="en-GB"/>
              </w:rPr>
              <w:t></w:t>
            </w:r>
            <w:r w:rsidRPr="007F6C5E">
              <w:rPr>
                <w:lang w:val="en-GB"/>
              </w:rPr>
              <w:t>-position of a double or triple bond can undergo a Michael type addition of nucleophiles and lead to higher toxicity.</w:t>
            </w:r>
          </w:p>
        </w:tc>
      </w:tr>
      <w:tr w:rsidR="007C7630" w:rsidRPr="007F6C5E" w14:paraId="11C9A5A7" w14:textId="77777777" w:rsidTr="00757F6D">
        <w:trPr>
          <w:trHeight w:val="798"/>
        </w:trPr>
        <w:tc>
          <w:tcPr>
            <w:tcW w:w="2265" w:type="dxa"/>
            <w:vAlign w:val="center"/>
          </w:tcPr>
          <w:p w14:paraId="24F1CCE7" w14:textId="77777777" w:rsidR="007C7630" w:rsidRPr="007F6C5E" w:rsidRDefault="007C7630" w:rsidP="007C7630">
            <w:pPr>
              <w:ind w:firstLine="0"/>
              <w:jc w:val="center"/>
              <w:rPr>
                <w:lang w:val="en-GB"/>
              </w:rPr>
            </w:pPr>
            <w:proofErr w:type="spellStart"/>
            <w:r w:rsidRPr="007F6C5E">
              <w:rPr>
                <w:lang w:val="en-GB"/>
              </w:rPr>
              <w:t>nROR</w:t>
            </w:r>
            <w:proofErr w:type="spellEnd"/>
          </w:p>
        </w:tc>
        <w:tc>
          <w:tcPr>
            <w:tcW w:w="2266" w:type="dxa"/>
            <w:vAlign w:val="center"/>
          </w:tcPr>
          <w:p w14:paraId="3B9F23AA" w14:textId="77777777" w:rsidR="007C7630" w:rsidRPr="007F6C5E" w:rsidRDefault="007C7630" w:rsidP="007C7630">
            <w:pPr>
              <w:ind w:firstLine="0"/>
              <w:jc w:val="center"/>
              <w:rPr>
                <w:lang w:val="en-GB"/>
              </w:rPr>
            </w:pPr>
            <w:r w:rsidRPr="007F6C5E">
              <w:rPr>
                <w:lang w:val="en-GB"/>
              </w:rPr>
              <w:t>Functional group counts</w:t>
            </w:r>
          </w:p>
        </w:tc>
        <w:tc>
          <w:tcPr>
            <w:tcW w:w="5102" w:type="dxa"/>
          </w:tcPr>
          <w:p w14:paraId="6328080C" w14:textId="77777777" w:rsidR="007C7630" w:rsidRPr="007F6C5E" w:rsidRDefault="007C7630" w:rsidP="000B2809">
            <w:pPr>
              <w:ind w:firstLine="0"/>
              <w:jc w:val="both"/>
              <w:rPr>
                <w:lang w:val="en-GB"/>
              </w:rPr>
            </w:pPr>
            <w:proofErr w:type="spellStart"/>
            <w:r w:rsidRPr="007F6C5E">
              <w:rPr>
                <w:lang w:val="en-GB"/>
              </w:rPr>
              <w:t>nROR</w:t>
            </w:r>
            <w:proofErr w:type="spellEnd"/>
            <w:r w:rsidRPr="007F6C5E">
              <w:rPr>
                <w:lang w:val="en-GB"/>
              </w:rPr>
              <w:t xml:space="preserve"> is the number of ethers (aliphatic). Generally, linear ethers or monocyclic mono-ethers (excluding epoxides or peroxides) are type narcosis or baseline toxicity.</w:t>
            </w:r>
          </w:p>
        </w:tc>
      </w:tr>
      <w:tr w:rsidR="007C7630" w:rsidRPr="007F6C5E" w14:paraId="54A0AFB7" w14:textId="77777777" w:rsidTr="00757F6D">
        <w:trPr>
          <w:trHeight w:val="1316"/>
        </w:trPr>
        <w:tc>
          <w:tcPr>
            <w:tcW w:w="2265" w:type="dxa"/>
            <w:vAlign w:val="center"/>
          </w:tcPr>
          <w:p w14:paraId="7FE4C3B7" w14:textId="77777777" w:rsidR="007C7630" w:rsidRPr="007F6C5E" w:rsidRDefault="007C7630" w:rsidP="007C7630">
            <w:pPr>
              <w:ind w:firstLine="0"/>
              <w:jc w:val="center"/>
              <w:rPr>
                <w:lang w:val="en-GB"/>
              </w:rPr>
            </w:pPr>
            <w:proofErr w:type="spellStart"/>
            <w:r w:rsidRPr="007F6C5E">
              <w:rPr>
                <w:lang w:val="en-GB"/>
              </w:rPr>
              <w:t>nCXr</w:t>
            </w:r>
            <w:proofErr w:type="spellEnd"/>
            <w:r w:rsidRPr="007F6C5E">
              <w:rPr>
                <w:lang w:val="en-GB"/>
              </w:rPr>
              <w:t>=</w:t>
            </w:r>
          </w:p>
        </w:tc>
        <w:tc>
          <w:tcPr>
            <w:tcW w:w="2266" w:type="dxa"/>
            <w:vAlign w:val="center"/>
          </w:tcPr>
          <w:p w14:paraId="468BEA36" w14:textId="77777777" w:rsidR="007C7630" w:rsidRPr="007F6C5E" w:rsidRDefault="007C7630" w:rsidP="007C7630">
            <w:pPr>
              <w:ind w:firstLine="0"/>
              <w:jc w:val="center"/>
              <w:rPr>
                <w:lang w:val="en-GB"/>
              </w:rPr>
            </w:pPr>
            <w:r w:rsidRPr="007F6C5E">
              <w:rPr>
                <w:lang w:val="en-GB"/>
              </w:rPr>
              <w:t>Functional group counts</w:t>
            </w:r>
          </w:p>
        </w:tc>
        <w:tc>
          <w:tcPr>
            <w:tcW w:w="5102" w:type="dxa"/>
          </w:tcPr>
          <w:p w14:paraId="00A4FD93" w14:textId="4F9F486C" w:rsidR="007C7630" w:rsidRPr="007F6C5E" w:rsidRDefault="007C7630" w:rsidP="000B2809">
            <w:pPr>
              <w:ind w:firstLine="0"/>
              <w:jc w:val="both"/>
              <w:rPr>
                <w:lang w:val="en-GB"/>
              </w:rPr>
            </w:pPr>
            <w:r w:rsidRPr="007F6C5E">
              <w:rPr>
                <w:lang w:val="en-GB"/>
              </w:rPr>
              <w:t xml:space="preserve">It is the number of X on ring C (sp2). Similar to the descriptor </w:t>
            </w:r>
            <w:proofErr w:type="spellStart"/>
            <w:r w:rsidRPr="007F6C5E">
              <w:rPr>
                <w:lang w:val="en-GB"/>
              </w:rPr>
              <w:t>nRCOOR</w:t>
            </w:r>
            <w:proofErr w:type="spellEnd"/>
            <w:r w:rsidRPr="007F6C5E">
              <w:rPr>
                <w:lang w:val="en-GB"/>
              </w:rPr>
              <w:t xml:space="preserve">, the molecules have unspecific reactivity and possess relatively high toxicity when the substituent X is </w:t>
            </w:r>
            <w:r w:rsidR="008B1F23">
              <w:rPr>
                <w:lang w:val="en-GB"/>
              </w:rPr>
              <w:t xml:space="preserve">a </w:t>
            </w:r>
            <w:r w:rsidRPr="007F6C5E">
              <w:rPr>
                <w:lang w:val="en-GB"/>
              </w:rPr>
              <w:t>good leaving group (e.g. halogen or hydroxyl group).</w:t>
            </w:r>
          </w:p>
        </w:tc>
      </w:tr>
      <w:tr w:rsidR="007C7630" w:rsidRPr="007F6C5E" w14:paraId="5A14228C" w14:textId="77777777" w:rsidTr="00757F6D">
        <w:trPr>
          <w:trHeight w:val="1064"/>
        </w:trPr>
        <w:tc>
          <w:tcPr>
            <w:tcW w:w="2265" w:type="dxa"/>
            <w:vAlign w:val="center"/>
          </w:tcPr>
          <w:p w14:paraId="3381EBFB" w14:textId="77777777" w:rsidR="007C7630" w:rsidRPr="007F6C5E" w:rsidRDefault="007C7630" w:rsidP="007C7630">
            <w:pPr>
              <w:ind w:firstLine="0"/>
              <w:jc w:val="center"/>
              <w:rPr>
                <w:lang w:val="en-GB"/>
              </w:rPr>
            </w:pPr>
            <w:proofErr w:type="spellStart"/>
            <w:r w:rsidRPr="007F6C5E">
              <w:rPr>
                <w:lang w:val="en-GB"/>
              </w:rPr>
              <w:t>nArOCON</w:t>
            </w:r>
            <w:proofErr w:type="spellEnd"/>
          </w:p>
        </w:tc>
        <w:tc>
          <w:tcPr>
            <w:tcW w:w="2266" w:type="dxa"/>
            <w:vAlign w:val="center"/>
          </w:tcPr>
          <w:p w14:paraId="269C833F" w14:textId="77777777" w:rsidR="007C7630" w:rsidRPr="007F6C5E" w:rsidRDefault="007C7630" w:rsidP="007C7630">
            <w:pPr>
              <w:ind w:firstLine="0"/>
              <w:jc w:val="center"/>
              <w:rPr>
                <w:lang w:val="en-GB"/>
              </w:rPr>
            </w:pPr>
            <w:r w:rsidRPr="007F6C5E">
              <w:rPr>
                <w:lang w:val="en-GB"/>
              </w:rPr>
              <w:t>Functional group counts</w:t>
            </w:r>
          </w:p>
        </w:tc>
        <w:tc>
          <w:tcPr>
            <w:tcW w:w="5102" w:type="dxa"/>
          </w:tcPr>
          <w:p w14:paraId="5D63D5F6" w14:textId="196E48F7" w:rsidR="007C7630" w:rsidRPr="007F6C5E" w:rsidRDefault="007C7630" w:rsidP="000B2809">
            <w:pPr>
              <w:ind w:firstLine="0"/>
              <w:jc w:val="both"/>
              <w:rPr>
                <w:lang w:val="en-GB"/>
              </w:rPr>
            </w:pPr>
            <w:proofErr w:type="spellStart"/>
            <w:r w:rsidRPr="007F6C5E">
              <w:rPr>
                <w:lang w:val="en-GB"/>
              </w:rPr>
              <w:t>nArOCON</w:t>
            </w:r>
            <w:proofErr w:type="spellEnd"/>
            <w:r w:rsidRPr="007F6C5E">
              <w:rPr>
                <w:lang w:val="en-GB"/>
              </w:rPr>
              <w:t xml:space="preserve"> denotes the number of (</w:t>
            </w:r>
            <w:proofErr w:type="spellStart"/>
            <w:r w:rsidRPr="007F6C5E">
              <w:rPr>
                <w:lang w:val="en-GB"/>
              </w:rPr>
              <w:t>thio</w:t>
            </w:r>
            <w:proofErr w:type="spellEnd"/>
            <w:r w:rsidRPr="007F6C5E">
              <w:rPr>
                <w:lang w:val="en-GB"/>
              </w:rPr>
              <w:t xml:space="preserve">-) </w:t>
            </w:r>
            <w:proofErr w:type="spellStart"/>
            <w:r w:rsidRPr="007F6C5E">
              <w:rPr>
                <w:lang w:val="en-GB"/>
              </w:rPr>
              <w:t>carbmates</w:t>
            </w:r>
            <w:proofErr w:type="spellEnd"/>
            <w:r w:rsidRPr="007F6C5E">
              <w:rPr>
                <w:lang w:val="en-GB"/>
              </w:rPr>
              <w:t xml:space="preserve"> (aromatic). The molecules with </w:t>
            </w:r>
            <w:proofErr w:type="spellStart"/>
            <w:r w:rsidRPr="007F6C5E">
              <w:rPr>
                <w:lang w:val="en-GB"/>
              </w:rPr>
              <w:t>nArOCON</w:t>
            </w:r>
            <w:proofErr w:type="spellEnd"/>
            <w:r w:rsidRPr="007F6C5E">
              <w:rPr>
                <w:lang w:val="en-GB"/>
              </w:rPr>
              <w:t xml:space="preserve"> groups may undergo the same reaction mechanism as th</w:t>
            </w:r>
            <w:r w:rsidR="008B1F23">
              <w:rPr>
                <w:lang w:val="en-GB"/>
              </w:rPr>
              <w:t>ose</w:t>
            </w:r>
            <w:r w:rsidRPr="007F6C5E">
              <w:rPr>
                <w:lang w:val="en-GB"/>
              </w:rPr>
              <w:t xml:space="preserve"> having </w:t>
            </w:r>
            <w:proofErr w:type="spellStart"/>
            <w:r w:rsidRPr="007F6C5E">
              <w:rPr>
                <w:lang w:val="en-GB"/>
              </w:rPr>
              <w:t>nRCOOR</w:t>
            </w:r>
            <w:proofErr w:type="spellEnd"/>
            <w:r w:rsidRPr="007F6C5E">
              <w:rPr>
                <w:lang w:val="en-GB"/>
              </w:rPr>
              <w:t xml:space="preserve"> and </w:t>
            </w:r>
            <w:proofErr w:type="spellStart"/>
            <w:r w:rsidRPr="007F6C5E">
              <w:rPr>
                <w:lang w:val="en-GB"/>
              </w:rPr>
              <w:t>nCXr</w:t>
            </w:r>
            <w:proofErr w:type="spellEnd"/>
            <w:r w:rsidRPr="007F6C5E">
              <w:rPr>
                <w:lang w:val="en-GB"/>
              </w:rPr>
              <w:t>= groups.</w:t>
            </w:r>
          </w:p>
        </w:tc>
      </w:tr>
      <w:tr w:rsidR="007C7630" w:rsidRPr="007F6C5E" w14:paraId="73E91AE7" w14:textId="77777777" w:rsidTr="00757F6D">
        <w:trPr>
          <w:trHeight w:val="1316"/>
        </w:trPr>
        <w:tc>
          <w:tcPr>
            <w:tcW w:w="2265" w:type="dxa"/>
            <w:vAlign w:val="center"/>
          </w:tcPr>
          <w:p w14:paraId="517E2914" w14:textId="77777777" w:rsidR="007C7630" w:rsidRPr="007F6C5E" w:rsidRDefault="007C7630" w:rsidP="007C7630">
            <w:pPr>
              <w:ind w:firstLine="0"/>
              <w:jc w:val="center"/>
              <w:rPr>
                <w:lang w:val="en-GB"/>
              </w:rPr>
            </w:pPr>
            <w:r w:rsidRPr="007F6C5E">
              <w:rPr>
                <w:lang w:val="en-GB"/>
              </w:rPr>
              <w:t>MW</w:t>
            </w:r>
          </w:p>
        </w:tc>
        <w:tc>
          <w:tcPr>
            <w:tcW w:w="2266" w:type="dxa"/>
            <w:vAlign w:val="center"/>
          </w:tcPr>
          <w:p w14:paraId="024D589F" w14:textId="7607F65B" w:rsidR="007C7630" w:rsidRPr="007F6C5E" w:rsidRDefault="007C7630" w:rsidP="007C7630">
            <w:pPr>
              <w:ind w:firstLine="0"/>
              <w:jc w:val="center"/>
              <w:rPr>
                <w:lang w:val="en-GB"/>
              </w:rPr>
            </w:pPr>
            <w:r w:rsidRPr="007F6C5E">
              <w:rPr>
                <w:lang w:val="en-GB"/>
              </w:rPr>
              <w:t xml:space="preserve">Constitutional </w:t>
            </w:r>
            <w:r w:rsidR="008932F6">
              <w:rPr>
                <w:lang w:val="en-GB"/>
              </w:rPr>
              <w:br/>
            </w:r>
            <w:r w:rsidRPr="007F6C5E">
              <w:rPr>
                <w:lang w:val="en-GB"/>
              </w:rPr>
              <w:t>descriptors</w:t>
            </w:r>
          </w:p>
        </w:tc>
        <w:tc>
          <w:tcPr>
            <w:tcW w:w="5102" w:type="dxa"/>
          </w:tcPr>
          <w:p w14:paraId="6C4D7E09" w14:textId="772F6FE1" w:rsidR="007C7630" w:rsidRPr="007F6C5E" w:rsidRDefault="007C7630" w:rsidP="000B2809">
            <w:pPr>
              <w:ind w:firstLine="0"/>
              <w:jc w:val="both"/>
              <w:rPr>
                <w:lang w:val="en-GB"/>
              </w:rPr>
            </w:pPr>
            <w:r w:rsidRPr="007F6C5E">
              <w:rPr>
                <w:lang w:val="en-GB"/>
              </w:rPr>
              <w:t>MW denotes the molecular weight. On the one hand, molecular size influences molecules penetrating the two phospholipid bilayer</w:t>
            </w:r>
            <w:r w:rsidR="008B1F23">
              <w:rPr>
                <w:lang w:val="en-GB"/>
              </w:rPr>
              <w:t>s</w:t>
            </w:r>
            <w:r w:rsidRPr="007F6C5E">
              <w:rPr>
                <w:lang w:val="en-GB"/>
              </w:rPr>
              <w:t xml:space="preserve"> of </w:t>
            </w:r>
            <w:r w:rsidR="008B1F23">
              <w:rPr>
                <w:lang w:val="en-GB"/>
              </w:rPr>
              <w:t xml:space="preserve">the </w:t>
            </w:r>
            <w:r w:rsidRPr="007F6C5E">
              <w:rPr>
                <w:lang w:val="en-GB"/>
              </w:rPr>
              <w:t>cell membrane. On the other hand, a molecule with a large MW may have more reaction or binding sites, and resulting in toxicity.</w:t>
            </w:r>
          </w:p>
        </w:tc>
      </w:tr>
      <w:tr w:rsidR="007C7630" w:rsidRPr="007F6C5E" w14:paraId="38FA7096" w14:textId="77777777" w:rsidTr="00757F6D">
        <w:trPr>
          <w:trHeight w:val="1581"/>
        </w:trPr>
        <w:tc>
          <w:tcPr>
            <w:tcW w:w="2265" w:type="dxa"/>
            <w:vAlign w:val="center"/>
          </w:tcPr>
          <w:p w14:paraId="50B9F598" w14:textId="77777777" w:rsidR="007C7630" w:rsidRPr="007F6C5E" w:rsidRDefault="007C7630" w:rsidP="007C7630">
            <w:pPr>
              <w:ind w:firstLine="0"/>
              <w:jc w:val="center"/>
              <w:rPr>
                <w:lang w:val="en-GB"/>
              </w:rPr>
            </w:pPr>
            <w:r w:rsidRPr="007F6C5E">
              <w:rPr>
                <w:lang w:val="en-GB"/>
              </w:rPr>
              <w:t>H-049</w:t>
            </w:r>
          </w:p>
        </w:tc>
        <w:tc>
          <w:tcPr>
            <w:tcW w:w="2266" w:type="dxa"/>
            <w:vAlign w:val="center"/>
          </w:tcPr>
          <w:p w14:paraId="3A978ACA" w14:textId="2A83083B" w:rsidR="007C7630" w:rsidRPr="007F6C5E" w:rsidRDefault="007C7630" w:rsidP="007C7630">
            <w:pPr>
              <w:ind w:firstLine="0"/>
              <w:jc w:val="center"/>
              <w:rPr>
                <w:lang w:val="en-GB"/>
              </w:rPr>
            </w:pPr>
            <w:r w:rsidRPr="007F6C5E">
              <w:rPr>
                <w:lang w:val="en-GB"/>
              </w:rPr>
              <w:t>Atom-</w:t>
            </w:r>
            <w:proofErr w:type="spellStart"/>
            <w:r w:rsidRPr="007F6C5E">
              <w:rPr>
                <w:lang w:val="en-GB"/>
              </w:rPr>
              <w:t>centered</w:t>
            </w:r>
            <w:proofErr w:type="spellEnd"/>
            <w:r w:rsidRPr="007F6C5E">
              <w:rPr>
                <w:lang w:val="en-GB"/>
              </w:rPr>
              <w:t xml:space="preserve"> </w:t>
            </w:r>
            <w:r w:rsidR="008932F6">
              <w:rPr>
                <w:lang w:val="en-GB"/>
              </w:rPr>
              <w:br/>
            </w:r>
            <w:r w:rsidRPr="007F6C5E">
              <w:rPr>
                <w:lang w:val="en-GB"/>
              </w:rPr>
              <w:t>fragments</w:t>
            </w:r>
          </w:p>
        </w:tc>
        <w:tc>
          <w:tcPr>
            <w:tcW w:w="5102" w:type="dxa"/>
          </w:tcPr>
          <w:p w14:paraId="62B44651" w14:textId="52FCA43D" w:rsidR="007C7630" w:rsidRPr="007F6C5E" w:rsidRDefault="007C7630" w:rsidP="000B2809">
            <w:pPr>
              <w:ind w:firstLine="0"/>
              <w:jc w:val="both"/>
              <w:rPr>
                <w:lang w:val="en-GB"/>
              </w:rPr>
            </w:pPr>
            <w:r w:rsidRPr="007F6C5E">
              <w:rPr>
                <w:lang w:val="en-GB"/>
              </w:rPr>
              <w:t>H-049 equals the number of H attached to C</w:t>
            </w:r>
            <w:r w:rsidRPr="00837A75">
              <w:rPr>
                <w:vertAlign w:val="superscript"/>
                <w:lang w:val="en-GB"/>
              </w:rPr>
              <w:t>3</w:t>
            </w:r>
            <w:r w:rsidRPr="007F6C5E">
              <w:rPr>
                <w:lang w:val="en-GB"/>
              </w:rPr>
              <w:t>(sp3) / C</w:t>
            </w:r>
            <w:r w:rsidRPr="00837A75">
              <w:rPr>
                <w:vertAlign w:val="superscript"/>
                <w:lang w:val="en-GB"/>
              </w:rPr>
              <w:t>2</w:t>
            </w:r>
            <w:r w:rsidRPr="007F6C5E">
              <w:rPr>
                <w:lang w:val="en-GB"/>
              </w:rPr>
              <w:t>(sp2) / C</w:t>
            </w:r>
            <w:r w:rsidRPr="00837A75">
              <w:rPr>
                <w:vertAlign w:val="superscript"/>
                <w:lang w:val="en-GB"/>
              </w:rPr>
              <w:t>3</w:t>
            </w:r>
            <w:r w:rsidRPr="007F6C5E">
              <w:rPr>
                <w:lang w:val="en-GB"/>
              </w:rPr>
              <w:t>(sp2) / C</w:t>
            </w:r>
            <w:r w:rsidRPr="00837A75">
              <w:rPr>
                <w:vertAlign w:val="superscript"/>
                <w:lang w:val="en-GB"/>
              </w:rPr>
              <w:t>3</w:t>
            </w:r>
            <w:r w:rsidRPr="007F6C5E">
              <w:rPr>
                <w:lang w:val="en-GB"/>
              </w:rPr>
              <w:t>(</w:t>
            </w:r>
            <w:proofErr w:type="spellStart"/>
            <w:r w:rsidRPr="007F6C5E">
              <w:rPr>
                <w:lang w:val="en-GB"/>
              </w:rPr>
              <w:t>sp</w:t>
            </w:r>
            <w:proofErr w:type="spellEnd"/>
            <w:r w:rsidRPr="007F6C5E">
              <w:rPr>
                <w:lang w:val="en-GB"/>
              </w:rPr>
              <w:t xml:space="preserve">) (the superscript represents the formal oxidation number). A molecule with a large </w:t>
            </w:r>
            <w:r w:rsidR="00757F6D">
              <w:rPr>
                <w:lang w:val="en-GB"/>
              </w:rPr>
              <w:br/>
            </w:r>
            <w:r w:rsidR="008B1F23">
              <w:rPr>
                <w:lang w:val="en-GB"/>
              </w:rPr>
              <w:t>The h-049 value may be conducive to forming hydrogen bonds and improving its solubility in the</w:t>
            </w:r>
            <w:r w:rsidRPr="007F6C5E">
              <w:rPr>
                <w:lang w:val="en-GB"/>
              </w:rPr>
              <w:t xml:space="preserve"> water environment, resulting in low toxicity.</w:t>
            </w:r>
          </w:p>
        </w:tc>
      </w:tr>
      <w:tr w:rsidR="00757F6D" w:rsidRPr="007F6C5E" w14:paraId="792DB78E" w14:textId="77777777" w:rsidTr="00757F6D">
        <w:trPr>
          <w:trHeight w:val="1303"/>
        </w:trPr>
        <w:tc>
          <w:tcPr>
            <w:tcW w:w="2265" w:type="dxa"/>
            <w:vAlign w:val="center"/>
          </w:tcPr>
          <w:p w14:paraId="44D45A55" w14:textId="77777777" w:rsidR="00757F6D" w:rsidRPr="007F6C5E" w:rsidRDefault="00757F6D" w:rsidP="00757F6D">
            <w:pPr>
              <w:ind w:firstLine="0"/>
              <w:jc w:val="center"/>
              <w:rPr>
                <w:lang w:val="en-GB"/>
              </w:rPr>
            </w:pPr>
            <w:r w:rsidRPr="007F6C5E">
              <w:rPr>
                <w:lang w:val="en-GB"/>
              </w:rPr>
              <w:t>B07[N-N]</w:t>
            </w:r>
          </w:p>
        </w:tc>
        <w:tc>
          <w:tcPr>
            <w:tcW w:w="2266" w:type="dxa"/>
            <w:vAlign w:val="center"/>
          </w:tcPr>
          <w:p w14:paraId="219A3EFB" w14:textId="77777777" w:rsidR="00757F6D" w:rsidRPr="007F6C5E" w:rsidRDefault="00757F6D" w:rsidP="00757F6D">
            <w:pPr>
              <w:ind w:firstLine="0"/>
              <w:jc w:val="center"/>
              <w:rPr>
                <w:lang w:val="en-GB"/>
              </w:rPr>
            </w:pPr>
            <w:r w:rsidRPr="007F6C5E">
              <w:rPr>
                <w:lang w:val="en-GB"/>
              </w:rPr>
              <w:t>2D Atom Pairs</w:t>
            </w:r>
          </w:p>
        </w:tc>
        <w:tc>
          <w:tcPr>
            <w:tcW w:w="5102" w:type="dxa"/>
          </w:tcPr>
          <w:p w14:paraId="356EDD54" w14:textId="77777777" w:rsidR="00757F6D" w:rsidRPr="007F6C5E" w:rsidRDefault="00757F6D" w:rsidP="00AA1E51">
            <w:pPr>
              <w:ind w:firstLine="0"/>
              <w:jc w:val="both"/>
              <w:rPr>
                <w:lang w:val="en-GB"/>
              </w:rPr>
            </w:pPr>
            <w:r w:rsidRPr="007F6C5E">
              <w:rPr>
                <w:lang w:val="en-GB"/>
              </w:rPr>
              <w:t xml:space="preserve">It denotes </w:t>
            </w:r>
            <w:r>
              <w:rPr>
                <w:lang w:val="en-GB"/>
              </w:rPr>
              <w:t xml:space="preserve">the </w:t>
            </w:r>
            <w:r w:rsidRPr="007F6C5E">
              <w:rPr>
                <w:lang w:val="en-GB"/>
              </w:rPr>
              <w:t>presence/absence of N-N at topological distance 7. Similar to the descriptor H-049, the molecules with B07[N-N] &gt;0 (i.e., the presence of N-N at topological distance 7) generally have –NH– group forming hydrogen bonds.</w:t>
            </w:r>
          </w:p>
        </w:tc>
      </w:tr>
      <w:tr w:rsidR="00757F6D" w:rsidRPr="007F6C5E" w14:paraId="1294E212" w14:textId="77777777" w:rsidTr="00757F6D">
        <w:trPr>
          <w:trHeight w:val="812"/>
        </w:trPr>
        <w:tc>
          <w:tcPr>
            <w:tcW w:w="2265" w:type="dxa"/>
            <w:vAlign w:val="center"/>
          </w:tcPr>
          <w:p w14:paraId="69E7ACD5" w14:textId="77777777" w:rsidR="00757F6D" w:rsidRPr="007F6C5E" w:rsidRDefault="00757F6D" w:rsidP="00757F6D">
            <w:pPr>
              <w:ind w:firstLine="0"/>
              <w:jc w:val="center"/>
              <w:rPr>
                <w:lang w:val="en-GB"/>
              </w:rPr>
            </w:pPr>
            <w:proofErr w:type="spellStart"/>
            <w:r w:rsidRPr="007F6C5E">
              <w:rPr>
                <w:lang w:val="en-GB"/>
              </w:rPr>
              <w:t>nROH</w:t>
            </w:r>
            <w:proofErr w:type="spellEnd"/>
          </w:p>
        </w:tc>
        <w:tc>
          <w:tcPr>
            <w:tcW w:w="2266" w:type="dxa"/>
            <w:vAlign w:val="center"/>
          </w:tcPr>
          <w:p w14:paraId="77DE5718" w14:textId="77777777" w:rsidR="00757F6D" w:rsidRPr="007F6C5E" w:rsidRDefault="00757F6D" w:rsidP="00757F6D">
            <w:pPr>
              <w:ind w:firstLine="0"/>
              <w:jc w:val="center"/>
              <w:rPr>
                <w:lang w:val="en-GB"/>
              </w:rPr>
            </w:pPr>
            <w:r w:rsidRPr="007F6C5E">
              <w:rPr>
                <w:lang w:val="en-GB"/>
              </w:rPr>
              <w:t>Functional group counts</w:t>
            </w:r>
          </w:p>
        </w:tc>
        <w:tc>
          <w:tcPr>
            <w:tcW w:w="5102" w:type="dxa"/>
          </w:tcPr>
          <w:p w14:paraId="27C02D41" w14:textId="77777777" w:rsidR="00757F6D" w:rsidRPr="007F6C5E" w:rsidRDefault="00757F6D" w:rsidP="00AA1E51">
            <w:pPr>
              <w:ind w:firstLine="0"/>
              <w:jc w:val="both"/>
              <w:rPr>
                <w:lang w:val="en-GB"/>
              </w:rPr>
            </w:pPr>
            <w:proofErr w:type="spellStart"/>
            <w:r w:rsidRPr="007F6C5E">
              <w:rPr>
                <w:lang w:val="en-GB"/>
              </w:rPr>
              <w:t>nROH</w:t>
            </w:r>
            <w:proofErr w:type="spellEnd"/>
            <w:r w:rsidRPr="007F6C5E">
              <w:rPr>
                <w:lang w:val="en-GB"/>
              </w:rPr>
              <w:t xml:space="preserve"> is the number of hydroxyl groups. Similar to the descriptors H-049 and B07[N-N], </w:t>
            </w:r>
            <w:proofErr w:type="spellStart"/>
            <w:r w:rsidRPr="007F6C5E">
              <w:rPr>
                <w:lang w:val="en-GB"/>
              </w:rPr>
              <w:t>nROH</w:t>
            </w:r>
            <w:proofErr w:type="spellEnd"/>
            <w:r w:rsidRPr="007F6C5E">
              <w:rPr>
                <w:lang w:val="en-GB"/>
              </w:rPr>
              <w:t xml:space="preserve"> reflects the ability </w:t>
            </w:r>
            <w:r>
              <w:rPr>
                <w:lang w:val="en-GB"/>
              </w:rPr>
              <w:t>to form</w:t>
            </w:r>
            <w:r w:rsidRPr="007F6C5E">
              <w:rPr>
                <w:lang w:val="en-GB"/>
              </w:rPr>
              <w:t xml:space="preserve"> hydrogen bonds.</w:t>
            </w:r>
          </w:p>
        </w:tc>
      </w:tr>
    </w:tbl>
    <w:p w14:paraId="01F9F6BC" w14:textId="77777777" w:rsidR="002F3D19" w:rsidRDefault="002F3D19"/>
    <w:p w14:paraId="14513A3B" w14:textId="77777777" w:rsidR="002F3D19" w:rsidRDefault="002F3D19">
      <w:pPr>
        <w:spacing w:after="160" w:line="259" w:lineRule="auto"/>
        <w:ind w:firstLine="0"/>
        <w:rPr>
          <w:b/>
          <w:bCs/>
          <w:sz w:val="20"/>
          <w:lang w:val="en-GB"/>
        </w:rPr>
      </w:pPr>
      <w:r>
        <w:rPr>
          <w:b/>
          <w:bCs/>
          <w:lang w:val="en-GB"/>
        </w:rPr>
        <w:br w:type="page"/>
      </w:r>
    </w:p>
    <w:p w14:paraId="69401B87" w14:textId="5A449692" w:rsidR="002F3D19" w:rsidRPr="007F6C5E" w:rsidRDefault="002F3D19" w:rsidP="002F3D19">
      <w:pPr>
        <w:pStyle w:val="Rtab"/>
        <w:rPr>
          <w:lang w:val="en-GB"/>
        </w:rPr>
      </w:pPr>
      <w:r w:rsidRPr="007F6C5E">
        <w:rPr>
          <w:b/>
          <w:bCs/>
          <w:lang w:val="en-GB"/>
        </w:rPr>
        <w:lastRenderedPageBreak/>
        <w:t>Table 1.</w:t>
      </w:r>
      <w:r w:rsidRPr="007F6C5E">
        <w:rPr>
          <w:lang w:val="en-GB"/>
        </w:rPr>
        <w:t xml:space="preserve"> </w:t>
      </w:r>
      <w:r>
        <w:rPr>
          <w:lang w:val="en-GB"/>
        </w:rPr>
        <w:t>cont.</w:t>
      </w:r>
    </w:p>
    <w:tbl>
      <w:tblPr>
        <w:tblStyle w:val="Tabela-Siatka"/>
        <w:tblW w:w="9634" w:type="dxa"/>
        <w:tblLook w:val="04A0" w:firstRow="1" w:lastRow="0" w:firstColumn="1" w:lastColumn="0" w:noHBand="0" w:noVBand="1"/>
      </w:tblPr>
      <w:tblGrid>
        <w:gridCol w:w="2265"/>
        <w:gridCol w:w="2266"/>
        <w:gridCol w:w="5103"/>
      </w:tblGrid>
      <w:tr w:rsidR="002F3D19" w:rsidRPr="007F6C5E" w14:paraId="6E44A396" w14:textId="77777777" w:rsidTr="005352F0">
        <w:trPr>
          <w:trHeight w:val="390"/>
        </w:trPr>
        <w:tc>
          <w:tcPr>
            <w:tcW w:w="2265" w:type="dxa"/>
            <w:vAlign w:val="center"/>
          </w:tcPr>
          <w:p w14:paraId="5B6CF15E" w14:textId="77777777" w:rsidR="002F3D19" w:rsidRPr="007F6C5E" w:rsidRDefault="002F3D19" w:rsidP="00F66F7F">
            <w:pPr>
              <w:ind w:firstLine="0"/>
              <w:jc w:val="center"/>
              <w:rPr>
                <w:lang w:val="en-GB"/>
              </w:rPr>
            </w:pPr>
            <w:r w:rsidRPr="007F6C5E">
              <w:rPr>
                <w:lang w:val="en-GB"/>
              </w:rPr>
              <w:t>Descriptor</w:t>
            </w:r>
          </w:p>
        </w:tc>
        <w:tc>
          <w:tcPr>
            <w:tcW w:w="2266" w:type="dxa"/>
            <w:vAlign w:val="center"/>
          </w:tcPr>
          <w:p w14:paraId="7D748F7E" w14:textId="77777777" w:rsidR="002F3D19" w:rsidRPr="007F6C5E" w:rsidRDefault="002F3D19" w:rsidP="00F66F7F">
            <w:pPr>
              <w:ind w:firstLine="0"/>
              <w:jc w:val="center"/>
              <w:rPr>
                <w:lang w:val="en-GB"/>
              </w:rPr>
            </w:pPr>
            <w:r w:rsidRPr="007F6C5E">
              <w:rPr>
                <w:lang w:val="en-GB"/>
              </w:rPr>
              <w:t>Block</w:t>
            </w:r>
          </w:p>
        </w:tc>
        <w:tc>
          <w:tcPr>
            <w:tcW w:w="5103" w:type="dxa"/>
            <w:vAlign w:val="center"/>
          </w:tcPr>
          <w:p w14:paraId="7BB1C7A3" w14:textId="77777777" w:rsidR="002F3D19" w:rsidRPr="007F6C5E" w:rsidRDefault="002F3D19" w:rsidP="00F66F7F">
            <w:pPr>
              <w:ind w:firstLine="0"/>
              <w:jc w:val="center"/>
              <w:rPr>
                <w:lang w:val="en-GB"/>
              </w:rPr>
            </w:pPr>
            <w:r w:rsidRPr="007F6C5E">
              <w:rPr>
                <w:lang w:val="en-GB"/>
              </w:rPr>
              <w:t>Physical meaning and toxicity mechanism</w:t>
            </w:r>
          </w:p>
        </w:tc>
      </w:tr>
      <w:tr w:rsidR="007C7630" w:rsidRPr="007F6C5E" w14:paraId="03738EC9" w14:textId="77777777" w:rsidTr="00757F6D">
        <w:trPr>
          <w:trHeight w:val="1065"/>
        </w:trPr>
        <w:tc>
          <w:tcPr>
            <w:tcW w:w="2265" w:type="dxa"/>
            <w:vAlign w:val="center"/>
          </w:tcPr>
          <w:p w14:paraId="19A96DB5" w14:textId="77777777" w:rsidR="007C7630" w:rsidRPr="007F6C5E" w:rsidRDefault="007C7630" w:rsidP="007C7630">
            <w:pPr>
              <w:ind w:firstLine="0"/>
              <w:jc w:val="center"/>
              <w:rPr>
                <w:lang w:val="en-GB"/>
              </w:rPr>
            </w:pPr>
            <w:r w:rsidRPr="007F6C5E">
              <w:rPr>
                <w:lang w:val="en-GB"/>
              </w:rPr>
              <w:t>CATS2D_01_DA</w:t>
            </w:r>
          </w:p>
        </w:tc>
        <w:tc>
          <w:tcPr>
            <w:tcW w:w="2266" w:type="dxa"/>
            <w:vAlign w:val="center"/>
          </w:tcPr>
          <w:p w14:paraId="72EB67BF" w14:textId="77777777" w:rsidR="007C7630" w:rsidRPr="007F6C5E" w:rsidRDefault="007C7630" w:rsidP="007C7630">
            <w:pPr>
              <w:ind w:firstLine="0"/>
              <w:jc w:val="center"/>
              <w:rPr>
                <w:lang w:val="en-GB"/>
              </w:rPr>
            </w:pPr>
            <w:r w:rsidRPr="007F6C5E">
              <w:rPr>
                <w:lang w:val="en-GB"/>
              </w:rPr>
              <w:t>CATS 2D descriptors</w:t>
            </w:r>
          </w:p>
        </w:tc>
        <w:tc>
          <w:tcPr>
            <w:tcW w:w="5103" w:type="dxa"/>
          </w:tcPr>
          <w:p w14:paraId="4BF7FB61" w14:textId="069D8A47" w:rsidR="007C7630" w:rsidRPr="007F6C5E" w:rsidRDefault="007C7630" w:rsidP="000B2809">
            <w:pPr>
              <w:ind w:firstLine="0"/>
              <w:jc w:val="both"/>
              <w:rPr>
                <w:lang w:val="en-GB"/>
              </w:rPr>
            </w:pPr>
            <w:r w:rsidRPr="007F6C5E">
              <w:rPr>
                <w:lang w:val="en-GB"/>
              </w:rPr>
              <w:t xml:space="preserve">It is CATS 2D Donor-Acceptor at lag 1 and can describe compounds with special groups such as &gt;NNH– and </w:t>
            </w:r>
            <w:r w:rsidR="00757F6D">
              <w:rPr>
                <w:lang w:val="en-GB"/>
              </w:rPr>
              <w:br/>
            </w:r>
            <w:r w:rsidRPr="007F6C5E">
              <w:rPr>
                <w:lang w:val="en-GB"/>
              </w:rPr>
              <w:t xml:space="preserve">–ONH–. </w:t>
            </w:r>
            <w:r w:rsidRPr="00757F6D">
              <w:rPr>
                <w:spacing w:val="-2"/>
                <w:lang w:val="en-GB"/>
              </w:rPr>
              <w:t>The appearance of these groups is conducive to forming hydrogen bonds and to reducing toxicity to fish.</w:t>
            </w:r>
          </w:p>
        </w:tc>
      </w:tr>
      <w:tr w:rsidR="007C7630" w:rsidRPr="007F6C5E" w14:paraId="5E17DA15" w14:textId="77777777" w:rsidTr="00757F6D">
        <w:trPr>
          <w:trHeight w:val="2085"/>
        </w:trPr>
        <w:tc>
          <w:tcPr>
            <w:tcW w:w="2265" w:type="dxa"/>
            <w:vAlign w:val="center"/>
          </w:tcPr>
          <w:p w14:paraId="033960A2" w14:textId="77777777" w:rsidR="007C7630" w:rsidRPr="007F6C5E" w:rsidRDefault="007C7630" w:rsidP="007C7630">
            <w:pPr>
              <w:ind w:firstLine="0"/>
              <w:jc w:val="center"/>
              <w:rPr>
                <w:lang w:val="en-GB"/>
              </w:rPr>
            </w:pPr>
            <w:proofErr w:type="spellStart"/>
            <w:r w:rsidRPr="007F6C5E">
              <w:rPr>
                <w:lang w:val="en-GB"/>
              </w:rPr>
              <w:t>Eta_betaS_A</w:t>
            </w:r>
            <w:proofErr w:type="spellEnd"/>
          </w:p>
        </w:tc>
        <w:tc>
          <w:tcPr>
            <w:tcW w:w="2266" w:type="dxa"/>
            <w:vAlign w:val="center"/>
          </w:tcPr>
          <w:p w14:paraId="76ECED11" w14:textId="77777777" w:rsidR="007C7630" w:rsidRPr="007F6C5E" w:rsidRDefault="007C7630" w:rsidP="007C7630">
            <w:pPr>
              <w:ind w:firstLine="0"/>
              <w:jc w:val="center"/>
              <w:rPr>
                <w:lang w:val="en-GB"/>
              </w:rPr>
            </w:pPr>
            <w:r w:rsidRPr="007F6C5E">
              <w:rPr>
                <w:lang w:val="en-GB"/>
              </w:rPr>
              <w:t>ETA indices</w:t>
            </w:r>
          </w:p>
        </w:tc>
        <w:tc>
          <w:tcPr>
            <w:tcW w:w="5103" w:type="dxa"/>
          </w:tcPr>
          <w:p w14:paraId="7A4FAFCA" w14:textId="479995B1" w:rsidR="007C7630" w:rsidRPr="007F6C5E" w:rsidRDefault="007C7630" w:rsidP="000B2809">
            <w:pPr>
              <w:ind w:firstLine="0"/>
              <w:jc w:val="both"/>
              <w:rPr>
                <w:lang w:val="en-GB"/>
              </w:rPr>
            </w:pPr>
            <w:r w:rsidRPr="007F6C5E">
              <w:rPr>
                <w:lang w:val="en-GB"/>
              </w:rPr>
              <w:t xml:space="preserve">It is an extended topochemical atom (ETA) index calculated with </w:t>
            </w:r>
            <w:r w:rsidR="008B1F23">
              <w:rPr>
                <w:lang w:val="en-GB"/>
              </w:rPr>
              <w:t xml:space="preserve">a </w:t>
            </w:r>
            <w:r w:rsidRPr="007F6C5E">
              <w:rPr>
                <w:lang w:val="en-GB"/>
              </w:rPr>
              <w:t xml:space="preserve">sigma average VEM count. This descriptor is related to molecular bulk. As is shown in Table S1, the molecules with large </w:t>
            </w:r>
            <w:proofErr w:type="spellStart"/>
            <w:r w:rsidRPr="007F6C5E">
              <w:rPr>
                <w:lang w:val="en-GB"/>
              </w:rPr>
              <w:t>Eta_betaS_A</w:t>
            </w:r>
            <w:proofErr w:type="spellEnd"/>
            <w:r w:rsidRPr="007F6C5E">
              <w:rPr>
                <w:lang w:val="en-GB"/>
              </w:rPr>
              <w:t xml:space="preserve"> values possess ring groups. Compounds with a leaving group at an </w:t>
            </w:r>
            <w:r w:rsidRPr="009D7ADE">
              <w:rPr>
                <w:i/>
                <w:iCs/>
                <w:lang w:val="en-GB"/>
              </w:rPr>
              <w:t>α</w:t>
            </w:r>
            <w:r w:rsidRPr="007F6C5E">
              <w:rPr>
                <w:lang w:val="en-GB"/>
              </w:rPr>
              <w:t xml:space="preserve">-position of an aromatic bond have benzylic activation, although ring groups may influence molecular penetrability through </w:t>
            </w:r>
            <w:r w:rsidR="008B1F23">
              <w:rPr>
                <w:lang w:val="en-GB"/>
              </w:rPr>
              <w:t xml:space="preserve">the </w:t>
            </w:r>
            <w:r w:rsidRPr="007F6C5E">
              <w:rPr>
                <w:lang w:val="en-GB"/>
              </w:rPr>
              <w:t>cell membrane.</w:t>
            </w:r>
          </w:p>
        </w:tc>
      </w:tr>
      <w:tr w:rsidR="007C7630" w:rsidRPr="007F6C5E" w14:paraId="7712913D" w14:textId="77777777" w:rsidTr="00757F6D">
        <w:trPr>
          <w:trHeight w:val="1777"/>
        </w:trPr>
        <w:tc>
          <w:tcPr>
            <w:tcW w:w="2265" w:type="dxa"/>
            <w:vAlign w:val="center"/>
          </w:tcPr>
          <w:p w14:paraId="541641A7" w14:textId="77777777" w:rsidR="007C7630" w:rsidRPr="007F6C5E" w:rsidRDefault="007C7630" w:rsidP="007C7630">
            <w:pPr>
              <w:ind w:firstLine="0"/>
              <w:jc w:val="center"/>
              <w:rPr>
                <w:lang w:val="en-GB"/>
              </w:rPr>
            </w:pPr>
            <w:r w:rsidRPr="007F6C5E">
              <w:rPr>
                <w:lang w:val="en-GB"/>
              </w:rPr>
              <w:t>O%</w:t>
            </w:r>
          </w:p>
        </w:tc>
        <w:tc>
          <w:tcPr>
            <w:tcW w:w="2266" w:type="dxa"/>
            <w:vAlign w:val="center"/>
          </w:tcPr>
          <w:p w14:paraId="09B8547B" w14:textId="7FDF8CFB" w:rsidR="007C7630" w:rsidRPr="007F6C5E" w:rsidRDefault="007C7630" w:rsidP="007C7630">
            <w:pPr>
              <w:ind w:firstLine="0"/>
              <w:jc w:val="center"/>
              <w:rPr>
                <w:lang w:val="en-GB"/>
              </w:rPr>
            </w:pPr>
            <w:r w:rsidRPr="007F6C5E">
              <w:rPr>
                <w:lang w:val="en-GB"/>
              </w:rPr>
              <w:t xml:space="preserve">Constitutional </w:t>
            </w:r>
            <w:r w:rsidR="008932F6">
              <w:rPr>
                <w:lang w:val="en-GB"/>
              </w:rPr>
              <w:br/>
            </w:r>
            <w:r w:rsidRPr="007F6C5E">
              <w:rPr>
                <w:lang w:val="en-GB"/>
              </w:rPr>
              <w:t>descriptors</w:t>
            </w:r>
          </w:p>
        </w:tc>
        <w:tc>
          <w:tcPr>
            <w:tcW w:w="5103" w:type="dxa"/>
          </w:tcPr>
          <w:p w14:paraId="7F8D9ED0" w14:textId="6A108BDA" w:rsidR="007C7630" w:rsidRPr="007F6C5E" w:rsidRDefault="007C7630" w:rsidP="000B2809">
            <w:pPr>
              <w:ind w:firstLine="0"/>
              <w:jc w:val="both"/>
              <w:rPr>
                <w:lang w:val="en-GB"/>
              </w:rPr>
            </w:pPr>
            <w:r w:rsidRPr="007F6C5E">
              <w:rPr>
                <w:lang w:val="en-GB"/>
              </w:rPr>
              <w:t>O% is the per</w:t>
            </w:r>
            <w:r w:rsidR="008B1F23">
              <w:rPr>
                <w:lang w:val="en-GB"/>
              </w:rPr>
              <w:t xml:space="preserve"> </w:t>
            </w:r>
            <w:r w:rsidRPr="007F6C5E">
              <w:rPr>
                <w:lang w:val="en-GB"/>
              </w:rPr>
              <w:t>cent of O atoms in a molecule. The compounds containing only C and H (or halogens) have lower O% values and possess type narcosis baseline toxicity. On the other hand, a molecule with large O% indicates that it may possess more flexible single bonds, which is beneficial for molecules to penetrate cell membranes.</w:t>
            </w:r>
          </w:p>
        </w:tc>
      </w:tr>
      <w:tr w:rsidR="007C7630" w:rsidRPr="007F6C5E" w14:paraId="1C515351" w14:textId="77777777" w:rsidTr="00757F6D">
        <w:trPr>
          <w:trHeight w:val="1511"/>
        </w:trPr>
        <w:tc>
          <w:tcPr>
            <w:tcW w:w="2265" w:type="dxa"/>
            <w:vAlign w:val="center"/>
          </w:tcPr>
          <w:p w14:paraId="1E5ABEC8" w14:textId="77777777" w:rsidR="007C7630" w:rsidRPr="007F6C5E" w:rsidRDefault="007C7630" w:rsidP="007C7630">
            <w:pPr>
              <w:ind w:firstLine="0"/>
              <w:jc w:val="center"/>
              <w:rPr>
                <w:lang w:val="en-GB"/>
              </w:rPr>
            </w:pPr>
            <w:r w:rsidRPr="007F6C5E">
              <w:rPr>
                <w:lang w:val="en-GB"/>
              </w:rPr>
              <w:t>DLS_03</w:t>
            </w:r>
          </w:p>
        </w:tc>
        <w:tc>
          <w:tcPr>
            <w:tcW w:w="2266" w:type="dxa"/>
            <w:vAlign w:val="center"/>
          </w:tcPr>
          <w:p w14:paraId="68E3E2E1" w14:textId="77777777" w:rsidR="007C7630" w:rsidRPr="007F6C5E" w:rsidRDefault="007C7630" w:rsidP="007C7630">
            <w:pPr>
              <w:ind w:firstLine="0"/>
              <w:jc w:val="center"/>
              <w:rPr>
                <w:lang w:val="en-GB"/>
              </w:rPr>
            </w:pPr>
            <w:r w:rsidRPr="007F6C5E">
              <w:rPr>
                <w:lang w:val="en-GB"/>
              </w:rPr>
              <w:t>Drug-like indices</w:t>
            </w:r>
          </w:p>
        </w:tc>
        <w:tc>
          <w:tcPr>
            <w:tcW w:w="5103" w:type="dxa"/>
          </w:tcPr>
          <w:p w14:paraId="0983B206" w14:textId="623FA485" w:rsidR="007C7630" w:rsidRPr="007F6C5E" w:rsidRDefault="007C7630" w:rsidP="000B2809">
            <w:pPr>
              <w:ind w:firstLine="0"/>
              <w:jc w:val="both"/>
              <w:rPr>
                <w:lang w:val="en-GB"/>
              </w:rPr>
            </w:pPr>
            <w:r w:rsidRPr="007F6C5E">
              <w:rPr>
                <w:lang w:val="en-GB"/>
              </w:rPr>
              <w:t xml:space="preserve">It is </w:t>
            </w:r>
            <w:r w:rsidR="008B1F23">
              <w:rPr>
                <w:lang w:val="en-GB"/>
              </w:rPr>
              <w:t xml:space="preserve">a </w:t>
            </w:r>
            <w:r w:rsidRPr="007F6C5E">
              <w:rPr>
                <w:lang w:val="en-GB"/>
              </w:rPr>
              <w:t>modified drug-like score from Walters et al. (6</w:t>
            </w:r>
            <w:r w:rsidR="00757F6D">
              <w:rPr>
                <w:lang w:val="en-GB"/>
              </w:rPr>
              <w:t> </w:t>
            </w:r>
            <w:r w:rsidRPr="007F6C5E">
              <w:rPr>
                <w:lang w:val="en-GB"/>
              </w:rPr>
              <w:t xml:space="preserve">rules). It is related to Moriguchi's </w:t>
            </w:r>
            <w:proofErr w:type="spellStart"/>
            <w:r w:rsidRPr="007F6C5E">
              <w:rPr>
                <w:lang w:val="en-GB"/>
              </w:rPr>
              <w:t>logP</w:t>
            </w:r>
            <w:proofErr w:type="spellEnd"/>
            <w:r w:rsidRPr="007F6C5E">
              <w:rPr>
                <w:lang w:val="en-GB"/>
              </w:rPr>
              <w:t>, the number of H-bond donors/ acceptors, rotatable bond number and molecular weight. A pesticide molecule with a larger DLS_03 has a smaller LC50 value and higher toxicity to fish.</w:t>
            </w:r>
          </w:p>
        </w:tc>
      </w:tr>
      <w:tr w:rsidR="007C7630" w:rsidRPr="007F6C5E" w14:paraId="5E806AC3" w14:textId="77777777" w:rsidTr="00757F6D">
        <w:trPr>
          <w:trHeight w:val="1302"/>
        </w:trPr>
        <w:tc>
          <w:tcPr>
            <w:tcW w:w="2265" w:type="dxa"/>
            <w:vAlign w:val="center"/>
          </w:tcPr>
          <w:p w14:paraId="76F61AAC" w14:textId="77777777" w:rsidR="007C7630" w:rsidRPr="007F6C5E" w:rsidRDefault="007C7630" w:rsidP="007C7630">
            <w:pPr>
              <w:ind w:firstLine="0"/>
              <w:jc w:val="center"/>
              <w:rPr>
                <w:lang w:val="en-GB"/>
              </w:rPr>
            </w:pPr>
            <w:r w:rsidRPr="007F6C5E">
              <w:rPr>
                <w:lang w:val="en-GB"/>
              </w:rPr>
              <w:t>B03[N-P]</w:t>
            </w:r>
          </w:p>
        </w:tc>
        <w:tc>
          <w:tcPr>
            <w:tcW w:w="2266" w:type="dxa"/>
            <w:vAlign w:val="center"/>
          </w:tcPr>
          <w:p w14:paraId="35644869" w14:textId="77777777" w:rsidR="007C7630" w:rsidRPr="007F6C5E" w:rsidRDefault="007C7630" w:rsidP="007C7630">
            <w:pPr>
              <w:ind w:firstLine="0"/>
              <w:jc w:val="center"/>
              <w:rPr>
                <w:lang w:val="en-GB"/>
              </w:rPr>
            </w:pPr>
            <w:r w:rsidRPr="007F6C5E">
              <w:rPr>
                <w:lang w:val="en-GB"/>
              </w:rPr>
              <w:t>2D Atom Pairs</w:t>
            </w:r>
          </w:p>
        </w:tc>
        <w:tc>
          <w:tcPr>
            <w:tcW w:w="5103" w:type="dxa"/>
          </w:tcPr>
          <w:p w14:paraId="633AB6B7" w14:textId="77777777" w:rsidR="007C7630" w:rsidRPr="002F3D19" w:rsidRDefault="007C7630" w:rsidP="000B2809">
            <w:pPr>
              <w:ind w:firstLine="0"/>
              <w:jc w:val="both"/>
              <w:rPr>
                <w:spacing w:val="-4"/>
                <w:lang w:val="en-GB"/>
              </w:rPr>
            </w:pPr>
            <w:r w:rsidRPr="002F3D19">
              <w:rPr>
                <w:spacing w:val="-4"/>
                <w:lang w:val="en-GB"/>
              </w:rPr>
              <w:t>It denotes the presence/absence of N-P at topological distance 3. Organic phosphorus pesticides with relatively high 03[N-P] values can inhibit acetylcholinesterase in vivo and belong to specifically acting chemicals, resulting in high toxicity to fishes.</w:t>
            </w:r>
          </w:p>
        </w:tc>
      </w:tr>
      <w:tr w:rsidR="007C7630" w:rsidRPr="007F6C5E" w14:paraId="6641F0C3" w14:textId="77777777" w:rsidTr="00757F6D">
        <w:trPr>
          <w:trHeight w:val="1567"/>
        </w:trPr>
        <w:tc>
          <w:tcPr>
            <w:tcW w:w="2265" w:type="dxa"/>
            <w:vAlign w:val="center"/>
          </w:tcPr>
          <w:p w14:paraId="7F8CA456" w14:textId="77777777" w:rsidR="007C7630" w:rsidRPr="007F6C5E" w:rsidRDefault="007C7630" w:rsidP="007C7630">
            <w:pPr>
              <w:ind w:firstLine="0"/>
              <w:jc w:val="center"/>
              <w:rPr>
                <w:lang w:val="en-GB"/>
              </w:rPr>
            </w:pPr>
            <w:r w:rsidRPr="007F6C5E">
              <w:rPr>
                <w:lang w:val="en-GB"/>
              </w:rPr>
              <w:t>CATS2D_06_PL</w:t>
            </w:r>
          </w:p>
        </w:tc>
        <w:tc>
          <w:tcPr>
            <w:tcW w:w="2266" w:type="dxa"/>
            <w:vAlign w:val="center"/>
          </w:tcPr>
          <w:p w14:paraId="204832B8" w14:textId="77777777" w:rsidR="007C7630" w:rsidRPr="007F6C5E" w:rsidRDefault="007C7630" w:rsidP="007C7630">
            <w:pPr>
              <w:ind w:firstLine="0"/>
              <w:jc w:val="center"/>
              <w:rPr>
                <w:lang w:val="en-GB"/>
              </w:rPr>
            </w:pPr>
            <w:r w:rsidRPr="007F6C5E">
              <w:rPr>
                <w:lang w:val="en-GB"/>
              </w:rPr>
              <w:t>CATS 2D descriptors</w:t>
            </w:r>
          </w:p>
        </w:tc>
        <w:tc>
          <w:tcPr>
            <w:tcW w:w="5103" w:type="dxa"/>
          </w:tcPr>
          <w:p w14:paraId="0CCE6D40" w14:textId="6C32C990" w:rsidR="007C7630" w:rsidRPr="002F3D19" w:rsidRDefault="007C7630" w:rsidP="000B2809">
            <w:pPr>
              <w:ind w:firstLine="0"/>
              <w:jc w:val="both"/>
              <w:rPr>
                <w:spacing w:val="-2"/>
                <w:lang w:val="en-GB"/>
              </w:rPr>
            </w:pPr>
            <w:r w:rsidRPr="002F3D19">
              <w:rPr>
                <w:spacing w:val="-2"/>
                <w:lang w:val="en-GB"/>
              </w:rPr>
              <w:t>CATS2D Positive-Lipophilic at lag 06. On the one hand, the molecules with CATS2D_06_PL &gt;0 have positively charged groups and yield strong polarity, enhanc</w:t>
            </w:r>
            <w:r w:rsidR="008B1F23">
              <w:rPr>
                <w:spacing w:val="-2"/>
                <w:lang w:val="en-GB"/>
              </w:rPr>
              <w:t>ing</w:t>
            </w:r>
            <w:r w:rsidRPr="002F3D19">
              <w:rPr>
                <w:spacing w:val="-2"/>
                <w:lang w:val="en-GB"/>
              </w:rPr>
              <w:t xml:space="preserve"> the solubility of pesticides in </w:t>
            </w:r>
            <w:r w:rsidR="008B1F23">
              <w:rPr>
                <w:spacing w:val="-2"/>
                <w:lang w:val="en-GB"/>
              </w:rPr>
              <w:t xml:space="preserve">the </w:t>
            </w:r>
            <w:r w:rsidRPr="002F3D19">
              <w:rPr>
                <w:spacing w:val="-2"/>
                <w:lang w:val="en-GB"/>
              </w:rPr>
              <w:t>water environment. On the other hand, lipophilic groups in a pesticide molecule can reduce its solubility and lead to high toxicity to fish.</w:t>
            </w:r>
          </w:p>
        </w:tc>
      </w:tr>
      <w:tr w:rsidR="007C7630" w:rsidRPr="007F6C5E" w14:paraId="2385D9FF" w14:textId="77777777" w:rsidTr="00757F6D">
        <w:trPr>
          <w:trHeight w:val="1595"/>
        </w:trPr>
        <w:tc>
          <w:tcPr>
            <w:tcW w:w="2265" w:type="dxa"/>
            <w:vAlign w:val="center"/>
          </w:tcPr>
          <w:p w14:paraId="0ABE51BE" w14:textId="77777777" w:rsidR="007C7630" w:rsidRPr="007F6C5E" w:rsidRDefault="007C7630" w:rsidP="007C7630">
            <w:pPr>
              <w:ind w:firstLine="0"/>
              <w:jc w:val="center"/>
              <w:rPr>
                <w:lang w:val="en-GB"/>
              </w:rPr>
            </w:pPr>
            <w:r w:rsidRPr="007F6C5E">
              <w:rPr>
                <w:lang w:val="en-GB"/>
              </w:rPr>
              <w:t>SaasN</w:t>
            </w:r>
          </w:p>
        </w:tc>
        <w:tc>
          <w:tcPr>
            <w:tcW w:w="2266" w:type="dxa"/>
            <w:vAlign w:val="center"/>
          </w:tcPr>
          <w:p w14:paraId="778C8183" w14:textId="3E307950" w:rsidR="007C7630" w:rsidRPr="007F6C5E" w:rsidRDefault="007C7630" w:rsidP="007C7630">
            <w:pPr>
              <w:ind w:firstLine="0"/>
              <w:jc w:val="center"/>
              <w:rPr>
                <w:lang w:val="en-GB"/>
              </w:rPr>
            </w:pPr>
            <w:r w:rsidRPr="007F6C5E">
              <w:rPr>
                <w:lang w:val="en-GB"/>
              </w:rPr>
              <w:t xml:space="preserve">Atom-type E-state </w:t>
            </w:r>
            <w:r w:rsidR="008932F6">
              <w:rPr>
                <w:lang w:val="en-GB"/>
              </w:rPr>
              <w:br/>
            </w:r>
            <w:r w:rsidRPr="007F6C5E">
              <w:rPr>
                <w:lang w:val="en-GB"/>
              </w:rPr>
              <w:t>indices</w:t>
            </w:r>
          </w:p>
        </w:tc>
        <w:tc>
          <w:tcPr>
            <w:tcW w:w="5103" w:type="dxa"/>
          </w:tcPr>
          <w:p w14:paraId="645171C1" w14:textId="00943E39" w:rsidR="007C7630" w:rsidRPr="007F6C5E" w:rsidRDefault="007C7630" w:rsidP="000B2809">
            <w:pPr>
              <w:ind w:firstLine="0"/>
              <w:jc w:val="both"/>
              <w:rPr>
                <w:lang w:val="en-GB"/>
              </w:rPr>
            </w:pPr>
            <w:r w:rsidRPr="007F6C5E">
              <w:rPr>
                <w:lang w:val="en-GB"/>
              </w:rPr>
              <w:t xml:space="preserve">It is the sum of </w:t>
            </w:r>
            <w:proofErr w:type="spellStart"/>
            <w:r w:rsidRPr="007F6C5E">
              <w:rPr>
                <w:lang w:val="en-GB"/>
              </w:rPr>
              <w:t>aasN</w:t>
            </w:r>
            <w:proofErr w:type="spellEnd"/>
            <w:r w:rsidRPr="007F6C5E">
              <w:rPr>
                <w:lang w:val="en-GB"/>
              </w:rPr>
              <w:t xml:space="preserve"> E-states. Table S1 shows that the pesticide molecules (e.g. Nos. 17, 160, 504, and 748) have large SaasN values and low logLC</w:t>
            </w:r>
            <w:r w:rsidRPr="007F6C5E">
              <w:rPr>
                <w:vertAlign w:val="subscript"/>
                <w:lang w:val="en-GB"/>
              </w:rPr>
              <w:t>50</w:t>
            </w:r>
            <w:r w:rsidRPr="007F6C5E">
              <w:rPr>
                <w:lang w:val="en-GB"/>
              </w:rPr>
              <w:t>. These molecules with special groups</w:t>
            </w:r>
            <w:r w:rsidR="008B1F23">
              <w:rPr>
                <w:lang w:val="en-GB"/>
              </w:rPr>
              <w:t>,</w:t>
            </w:r>
            <w:r w:rsidRPr="007F6C5E">
              <w:rPr>
                <w:lang w:val="en-GB"/>
              </w:rPr>
              <w:t xml:space="preserve"> such as triazole and imidazole</w:t>
            </w:r>
            <w:r w:rsidR="008B1F23">
              <w:rPr>
                <w:lang w:val="en-GB"/>
              </w:rPr>
              <w:t>,</w:t>
            </w:r>
            <w:r w:rsidRPr="007F6C5E">
              <w:rPr>
                <w:lang w:val="en-GB"/>
              </w:rPr>
              <w:t xml:space="preserve"> can cause toxicity to fish, although the mechanisms of toxicity are complicated (DeLorenzo et al. 2001).</w:t>
            </w:r>
          </w:p>
        </w:tc>
      </w:tr>
    </w:tbl>
    <w:p w14:paraId="7CC88AAB" w14:textId="77777777" w:rsidR="005352F0" w:rsidRDefault="005352F0" w:rsidP="00B90CE5">
      <w:pPr>
        <w:pStyle w:val="Rtab"/>
        <w:rPr>
          <w:b/>
          <w:bCs/>
          <w:lang w:val="en-GB"/>
        </w:rPr>
      </w:pPr>
    </w:p>
    <w:p w14:paraId="3345C44F" w14:textId="77777777" w:rsidR="005352F0" w:rsidRDefault="005352F0">
      <w:pPr>
        <w:spacing w:after="160" w:line="259" w:lineRule="auto"/>
        <w:ind w:firstLine="0"/>
        <w:rPr>
          <w:b/>
          <w:bCs/>
          <w:sz w:val="20"/>
          <w:lang w:val="en-GB"/>
        </w:rPr>
      </w:pPr>
      <w:r>
        <w:rPr>
          <w:b/>
          <w:bCs/>
          <w:lang w:val="en-GB"/>
        </w:rPr>
        <w:br w:type="page"/>
      </w:r>
    </w:p>
    <w:p w14:paraId="3158EE7D" w14:textId="347CD009" w:rsidR="008D20CD" w:rsidRPr="007F6C5E" w:rsidRDefault="008D20CD" w:rsidP="00B90CE5">
      <w:pPr>
        <w:pStyle w:val="Rtab"/>
        <w:rPr>
          <w:lang w:val="en-GB"/>
        </w:rPr>
      </w:pPr>
      <w:r w:rsidRPr="007F6C5E">
        <w:rPr>
          <w:b/>
          <w:bCs/>
          <w:lang w:val="en-GB"/>
        </w:rPr>
        <w:lastRenderedPageBreak/>
        <w:t>Table 2.</w:t>
      </w:r>
      <w:r w:rsidRPr="007F6C5E">
        <w:rPr>
          <w:lang w:val="en-GB"/>
        </w:rPr>
        <w:t xml:space="preserve"> Characteristics of molecular descriptors used</w:t>
      </w:r>
    </w:p>
    <w:tbl>
      <w:tblPr>
        <w:tblStyle w:val="Tabela-Siatka"/>
        <w:tblW w:w="9634" w:type="dxa"/>
        <w:tblLook w:val="04A0" w:firstRow="1" w:lastRow="0" w:firstColumn="1" w:lastColumn="0" w:noHBand="0" w:noVBand="1"/>
      </w:tblPr>
      <w:tblGrid>
        <w:gridCol w:w="2122"/>
        <w:gridCol w:w="1559"/>
        <w:gridCol w:w="1417"/>
        <w:gridCol w:w="1560"/>
        <w:gridCol w:w="1417"/>
        <w:gridCol w:w="1559"/>
      </w:tblGrid>
      <w:tr w:rsidR="00B90CE5" w:rsidRPr="007F6C5E" w14:paraId="620B8854" w14:textId="77777777" w:rsidTr="00F11915">
        <w:trPr>
          <w:trHeight w:val="352"/>
        </w:trPr>
        <w:tc>
          <w:tcPr>
            <w:tcW w:w="2122" w:type="dxa"/>
            <w:vAlign w:val="center"/>
          </w:tcPr>
          <w:p w14:paraId="6ABE746C" w14:textId="77777777" w:rsidR="00B90CE5" w:rsidRPr="007F6C5E" w:rsidRDefault="00B90CE5" w:rsidP="00B90CE5">
            <w:pPr>
              <w:ind w:firstLine="0"/>
              <w:rPr>
                <w:lang w:val="en-GB"/>
              </w:rPr>
            </w:pPr>
            <w:r w:rsidRPr="007F6C5E">
              <w:rPr>
                <w:lang w:val="en-GB"/>
              </w:rPr>
              <w:t>Descriptor</w:t>
            </w:r>
          </w:p>
        </w:tc>
        <w:tc>
          <w:tcPr>
            <w:tcW w:w="1559" w:type="dxa"/>
            <w:vAlign w:val="center"/>
          </w:tcPr>
          <w:p w14:paraId="27854BB9" w14:textId="77777777" w:rsidR="00B90CE5" w:rsidRPr="007F6C5E" w:rsidRDefault="00B90CE5" w:rsidP="00B90CE5">
            <w:pPr>
              <w:ind w:firstLine="0"/>
              <w:jc w:val="center"/>
              <w:rPr>
                <w:lang w:val="en-GB"/>
              </w:rPr>
            </w:pPr>
            <w:r w:rsidRPr="007F6C5E">
              <w:rPr>
                <w:lang w:val="en-GB"/>
              </w:rPr>
              <w:t>Coefficients</w:t>
            </w:r>
          </w:p>
        </w:tc>
        <w:tc>
          <w:tcPr>
            <w:tcW w:w="1417" w:type="dxa"/>
            <w:vAlign w:val="center"/>
          </w:tcPr>
          <w:p w14:paraId="3FB6AEAE" w14:textId="77777777" w:rsidR="00B90CE5" w:rsidRPr="007F6C5E" w:rsidRDefault="00B90CE5" w:rsidP="00B90CE5">
            <w:pPr>
              <w:ind w:firstLine="0"/>
              <w:jc w:val="center"/>
              <w:rPr>
                <w:lang w:val="en-GB"/>
              </w:rPr>
            </w:pPr>
            <w:r w:rsidRPr="007F6C5E">
              <w:rPr>
                <w:lang w:val="en-GB"/>
              </w:rPr>
              <w:t>Std. Error</w:t>
            </w:r>
          </w:p>
        </w:tc>
        <w:tc>
          <w:tcPr>
            <w:tcW w:w="1560" w:type="dxa"/>
            <w:vAlign w:val="center"/>
          </w:tcPr>
          <w:p w14:paraId="5E582512" w14:textId="77777777" w:rsidR="00B90CE5" w:rsidRPr="007F6C5E" w:rsidRDefault="00B90CE5" w:rsidP="00B90CE5">
            <w:pPr>
              <w:ind w:firstLine="0"/>
              <w:jc w:val="center"/>
              <w:rPr>
                <w:lang w:val="en-GB"/>
              </w:rPr>
            </w:pPr>
            <w:r w:rsidRPr="007F6C5E">
              <w:rPr>
                <w:lang w:val="en-GB"/>
              </w:rPr>
              <w:t>t-test</w:t>
            </w:r>
          </w:p>
        </w:tc>
        <w:tc>
          <w:tcPr>
            <w:tcW w:w="1417" w:type="dxa"/>
            <w:vAlign w:val="center"/>
          </w:tcPr>
          <w:p w14:paraId="769317E6" w14:textId="77777777" w:rsidR="00B90CE5" w:rsidRPr="007F6C5E" w:rsidRDefault="00B90CE5" w:rsidP="00B90CE5">
            <w:pPr>
              <w:ind w:firstLine="0"/>
              <w:jc w:val="center"/>
              <w:rPr>
                <w:lang w:val="en-GB"/>
              </w:rPr>
            </w:pPr>
            <w:r w:rsidRPr="007F6C5E">
              <w:rPr>
                <w:lang w:val="en-GB"/>
              </w:rPr>
              <w:t>Sig.</w:t>
            </w:r>
          </w:p>
        </w:tc>
        <w:tc>
          <w:tcPr>
            <w:tcW w:w="1559" w:type="dxa"/>
            <w:vAlign w:val="center"/>
          </w:tcPr>
          <w:p w14:paraId="0408D622" w14:textId="77777777" w:rsidR="00B90CE5" w:rsidRPr="007F6C5E" w:rsidRDefault="00B90CE5" w:rsidP="00B90CE5">
            <w:pPr>
              <w:ind w:firstLine="0"/>
              <w:jc w:val="center"/>
              <w:rPr>
                <w:lang w:val="en-GB"/>
              </w:rPr>
            </w:pPr>
            <w:r w:rsidRPr="007F6C5E">
              <w:rPr>
                <w:lang w:val="en-GB"/>
              </w:rPr>
              <w:t>VIF</w:t>
            </w:r>
          </w:p>
        </w:tc>
      </w:tr>
      <w:tr w:rsidR="00B90CE5" w:rsidRPr="007F6C5E" w14:paraId="7BD23CB3" w14:textId="77777777" w:rsidTr="00F11915">
        <w:tc>
          <w:tcPr>
            <w:tcW w:w="2122" w:type="dxa"/>
            <w:vAlign w:val="center"/>
          </w:tcPr>
          <w:p w14:paraId="6F79DE45" w14:textId="77777777" w:rsidR="00B90CE5" w:rsidRPr="007F6C5E" w:rsidRDefault="00B90CE5" w:rsidP="00B90CE5">
            <w:pPr>
              <w:ind w:firstLine="0"/>
              <w:rPr>
                <w:lang w:val="en-GB"/>
              </w:rPr>
            </w:pPr>
            <w:r w:rsidRPr="007F6C5E">
              <w:rPr>
                <w:lang w:val="en-GB"/>
              </w:rPr>
              <w:t>Constant</w:t>
            </w:r>
          </w:p>
        </w:tc>
        <w:tc>
          <w:tcPr>
            <w:tcW w:w="1559" w:type="dxa"/>
            <w:vAlign w:val="center"/>
          </w:tcPr>
          <w:p w14:paraId="31510284" w14:textId="77777777" w:rsidR="00B90CE5" w:rsidRPr="007F6C5E" w:rsidRDefault="00B90CE5" w:rsidP="009E0D69">
            <w:pPr>
              <w:ind w:right="443" w:firstLine="0"/>
              <w:jc w:val="right"/>
              <w:rPr>
                <w:lang w:val="en-GB"/>
              </w:rPr>
            </w:pPr>
            <w:r w:rsidRPr="007F6C5E">
              <w:rPr>
                <w:lang w:val="en-GB"/>
              </w:rPr>
              <w:t>1.065</w:t>
            </w:r>
          </w:p>
        </w:tc>
        <w:tc>
          <w:tcPr>
            <w:tcW w:w="1417" w:type="dxa"/>
            <w:vAlign w:val="center"/>
          </w:tcPr>
          <w:p w14:paraId="0BDA48C4" w14:textId="77777777" w:rsidR="00B90CE5" w:rsidRPr="007F6C5E" w:rsidRDefault="00B90CE5" w:rsidP="00B90CE5">
            <w:pPr>
              <w:ind w:firstLine="0"/>
              <w:jc w:val="center"/>
              <w:rPr>
                <w:lang w:val="en-GB"/>
              </w:rPr>
            </w:pPr>
            <w:r w:rsidRPr="007F6C5E">
              <w:rPr>
                <w:lang w:val="en-GB"/>
              </w:rPr>
              <w:t>0.493</w:t>
            </w:r>
          </w:p>
        </w:tc>
        <w:tc>
          <w:tcPr>
            <w:tcW w:w="1560" w:type="dxa"/>
            <w:vAlign w:val="center"/>
          </w:tcPr>
          <w:p w14:paraId="50262D44" w14:textId="77777777" w:rsidR="00B90CE5" w:rsidRPr="007F6C5E" w:rsidRDefault="00B90CE5" w:rsidP="009E0D69">
            <w:pPr>
              <w:ind w:right="428" w:firstLine="0"/>
              <w:jc w:val="right"/>
              <w:rPr>
                <w:lang w:val="en-GB"/>
              </w:rPr>
            </w:pPr>
            <w:r w:rsidRPr="007F6C5E">
              <w:rPr>
                <w:lang w:val="en-GB"/>
              </w:rPr>
              <w:t>2.160</w:t>
            </w:r>
          </w:p>
        </w:tc>
        <w:tc>
          <w:tcPr>
            <w:tcW w:w="1417" w:type="dxa"/>
            <w:vAlign w:val="center"/>
          </w:tcPr>
          <w:p w14:paraId="63A36E08" w14:textId="77777777" w:rsidR="00B90CE5" w:rsidRPr="007F6C5E" w:rsidRDefault="00B90CE5" w:rsidP="00B90CE5">
            <w:pPr>
              <w:ind w:firstLine="0"/>
              <w:jc w:val="center"/>
              <w:rPr>
                <w:lang w:val="en-GB"/>
              </w:rPr>
            </w:pPr>
            <w:r w:rsidRPr="007F6C5E">
              <w:rPr>
                <w:lang w:val="en-GB"/>
              </w:rPr>
              <w:t>0.031</w:t>
            </w:r>
          </w:p>
        </w:tc>
        <w:tc>
          <w:tcPr>
            <w:tcW w:w="1559" w:type="dxa"/>
            <w:vAlign w:val="center"/>
          </w:tcPr>
          <w:p w14:paraId="0FC10B11" w14:textId="77777777" w:rsidR="00B90CE5" w:rsidRPr="007F6C5E" w:rsidRDefault="00B90CE5" w:rsidP="00B90CE5">
            <w:pPr>
              <w:ind w:firstLine="0"/>
              <w:jc w:val="center"/>
              <w:rPr>
                <w:lang w:val="en-GB"/>
              </w:rPr>
            </w:pPr>
            <w:r w:rsidRPr="007F6C5E">
              <w:rPr>
                <w:lang w:val="en-GB"/>
              </w:rPr>
              <w:t>/</w:t>
            </w:r>
          </w:p>
        </w:tc>
      </w:tr>
      <w:tr w:rsidR="00B90CE5" w:rsidRPr="007F6C5E" w14:paraId="566D4A1A" w14:textId="77777777" w:rsidTr="00F11915">
        <w:tc>
          <w:tcPr>
            <w:tcW w:w="2122" w:type="dxa"/>
            <w:vAlign w:val="center"/>
          </w:tcPr>
          <w:p w14:paraId="4B6FA1B4" w14:textId="77777777" w:rsidR="00B90CE5" w:rsidRPr="007F6C5E" w:rsidRDefault="00B90CE5" w:rsidP="00B90CE5">
            <w:pPr>
              <w:ind w:firstLine="0"/>
              <w:rPr>
                <w:lang w:val="en-GB"/>
              </w:rPr>
            </w:pPr>
            <w:r w:rsidRPr="007F6C5E">
              <w:rPr>
                <w:lang w:val="en-GB"/>
              </w:rPr>
              <w:t>MLOGP2</w:t>
            </w:r>
          </w:p>
        </w:tc>
        <w:tc>
          <w:tcPr>
            <w:tcW w:w="1559" w:type="dxa"/>
            <w:vAlign w:val="center"/>
          </w:tcPr>
          <w:p w14:paraId="149B47D7" w14:textId="77777777" w:rsidR="00B90CE5" w:rsidRPr="007F6C5E" w:rsidRDefault="00B90CE5" w:rsidP="009E0D69">
            <w:pPr>
              <w:ind w:right="443" w:firstLine="0"/>
              <w:jc w:val="right"/>
              <w:rPr>
                <w:lang w:val="en-GB"/>
              </w:rPr>
            </w:pPr>
            <w:r w:rsidRPr="007F6C5E">
              <w:rPr>
                <w:lang w:val="en-GB"/>
              </w:rPr>
              <w:t>-0.016</w:t>
            </w:r>
          </w:p>
        </w:tc>
        <w:tc>
          <w:tcPr>
            <w:tcW w:w="1417" w:type="dxa"/>
            <w:vAlign w:val="center"/>
          </w:tcPr>
          <w:p w14:paraId="241FC798" w14:textId="77777777" w:rsidR="00B90CE5" w:rsidRPr="007F6C5E" w:rsidRDefault="00B90CE5" w:rsidP="00B90CE5">
            <w:pPr>
              <w:ind w:firstLine="0"/>
              <w:jc w:val="center"/>
              <w:rPr>
                <w:lang w:val="en-GB"/>
              </w:rPr>
            </w:pPr>
            <w:r w:rsidRPr="007F6C5E">
              <w:rPr>
                <w:lang w:val="en-GB"/>
              </w:rPr>
              <w:t>0.006</w:t>
            </w:r>
          </w:p>
        </w:tc>
        <w:tc>
          <w:tcPr>
            <w:tcW w:w="1560" w:type="dxa"/>
            <w:vAlign w:val="center"/>
          </w:tcPr>
          <w:p w14:paraId="7238C671" w14:textId="77777777" w:rsidR="00B90CE5" w:rsidRPr="007F6C5E" w:rsidRDefault="00B90CE5" w:rsidP="009E0D69">
            <w:pPr>
              <w:ind w:right="428" w:firstLine="0"/>
              <w:jc w:val="right"/>
              <w:rPr>
                <w:lang w:val="en-GB"/>
              </w:rPr>
            </w:pPr>
            <w:r w:rsidRPr="007F6C5E">
              <w:rPr>
                <w:lang w:val="en-GB"/>
              </w:rPr>
              <w:t>-2.596</w:t>
            </w:r>
          </w:p>
        </w:tc>
        <w:tc>
          <w:tcPr>
            <w:tcW w:w="1417" w:type="dxa"/>
            <w:vAlign w:val="center"/>
          </w:tcPr>
          <w:p w14:paraId="0721CE0C" w14:textId="77777777" w:rsidR="00B90CE5" w:rsidRPr="007F6C5E" w:rsidRDefault="00B90CE5" w:rsidP="00B90CE5">
            <w:pPr>
              <w:ind w:firstLine="0"/>
              <w:jc w:val="center"/>
              <w:rPr>
                <w:lang w:val="en-GB"/>
              </w:rPr>
            </w:pPr>
            <w:r w:rsidRPr="007F6C5E">
              <w:rPr>
                <w:lang w:val="en-GB"/>
              </w:rPr>
              <w:t>0.010</w:t>
            </w:r>
          </w:p>
        </w:tc>
        <w:tc>
          <w:tcPr>
            <w:tcW w:w="1559" w:type="dxa"/>
            <w:vAlign w:val="center"/>
          </w:tcPr>
          <w:p w14:paraId="36EA528A" w14:textId="77777777" w:rsidR="00B90CE5" w:rsidRPr="007F6C5E" w:rsidRDefault="00B90CE5" w:rsidP="00B90CE5">
            <w:pPr>
              <w:ind w:firstLine="0"/>
              <w:jc w:val="center"/>
              <w:rPr>
                <w:lang w:val="en-GB"/>
              </w:rPr>
            </w:pPr>
            <w:r w:rsidRPr="007F6C5E">
              <w:rPr>
                <w:lang w:val="en-GB"/>
              </w:rPr>
              <w:t>2.500</w:t>
            </w:r>
          </w:p>
        </w:tc>
      </w:tr>
      <w:tr w:rsidR="00B90CE5" w:rsidRPr="007F6C5E" w14:paraId="4145D0E8" w14:textId="77777777" w:rsidTr="00F11915">
        <w:tc>
          <w:tcPr>
            <w:tcW w:w="2122" w:type="dxa"/>
            <w:vAlign w:val="center"/>
          </w:tcPr>
          <w:p w14:paraId="39C0BCB5" w14:textId="77777777" w:rsidR="00B90CE5" w:rsidRPr="007F6C5E" w:rsidRDefault="00B90CE5" w:rsidP="00B90CE5">
            <w:pPr>
              <w:ind w:firstLine="0"/>
              <w:rPr>
                <w:lang w:val="en-GB"/>
              </w:rPr>
            </w:pPr>
            <w:r w:rsidRPr="007F6C5E">
              <w:rPr>
                <w:lang w:val="en-GB"/>
              </w:rPr>
              <w:t>Eig02_AEA(dm)</w:t>
            </w:r>
          </w:p>
        </w:tc>
        <w:tc>
          <w:tcPr>
            <w:tcW w:w="1559" w:type="dxa"/>
            <w:vAlign w:val="center"/>
          </w:tcPr>
          <w:p w14:paraId="32144FDC" w14:textId="77777777" w:rsidR="00B90CE5" w:rsidRPr="007F6C5E" w:rsidRDefault="00B90CE5" w:rsidP="009E0D69">
            <w:pPr>
              <w:ind w:right="443" w:firstLine="0"/>
              <w:jc w:val="right"/>
              <w:rPr>
                <w:lang w:val="en-GB"/>
              </w:rPr>
            </w:pPr>
            <w:r w:rsidRPr="007F6C5E">
              <w:rPr>
                <w:lang w:val="en-GB"/>
              </w:rPr>
              <w:t>-0.363</w:t>
            </w:r>
          </w:p>
        </w:tc>
        <w:tc>
          <w:tcPr>
            <w:tcW w:w="1417" w:type="dxa"/>
            <w:vAlign w:val="center"/>
          </w:tcPr>
          <w:p w14:paraId="5048782C" w14:textId="77777777" w:rsidR="00B90CE5" w:rsidRPr="007F6C5E" w:rsidRDefault="00B90CE5" w:rsidP="00B90CE5">
            <w:pPr>
              <w:ind w:firstLine="0"/>
              <w:jc w:val="center"/>
              <w:rPr>
                <w:lang w:val="en-GB"/>
              </w:rPr>
            </w:pPr>
            <w:r w:rsidRPr="007F6C5E">
              <w:rPr>
                <w:lang w:val="en-GB"/>
              </w:rPr>
              <w:t>0.061</w:t>
            </w:r>
          </w:p>
        </w:tc>
        <w:tc>
          <w:tcPr>
            <w:tcW w:w="1560" w:type="dxa"/>
            <w:vAlign w:val="center"/>
          </w:tcPr>
          <w:p w14:paraId="0737143E" w14:textId="77777777" w:rsidR="00B90CE5" w:rsidRPr="007F6C5E" w:rsidRDefault="00B90CE5" w:rsidP="009E0D69">
            <w:pPr>
              <w:ind w:right="428" w:firstLine="0"/>
              <w:jc w:val="right"/>
              <w:rPr>
                <w:lang w:val="en-GB"/>
              </w:rPr>
            </w:pPr>
            <w:r w:rsidRPr="007F6C5E">
              <w:rPr>
                <w:lang w:val="en-GB"/>
              </w:rPr>
              <w:t>-5.927</w:t>
            </w:r>
          </w:p>
        </w:tc>
        <w:tc>
          <w:tcPr>
            <w:tcW w:w="1417" w:type="dxa"/>
            <w:vAlign w:val="center"/>
          </w:tcPr>
          <w:p w14:paraId="67104359"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75F48957" w14:textId="77777777" w:rsidR="00B90CE5" w:rsidRPr="007F6C5E" w:rsidRDefault="00B90CE5" w:rsidP="00B90CE5">
            <w:pPr>
              <w:ind w:firstLine="0"/>
              <w:jc w:val="center"/>
              <w:rPr>
                <w:lang w:val="en-GB"/>
              </w:rPr>
            </w:pPr>
            <w:r w:rsidRPr="007F6C5E">
              <w:rPr>
                <w:lang w:val="en-GB"/>
              </w:rPr>
              <w:t>2.438</w:t>
            </w:r>
          </w:p>
        </w:tc>
      </w:tr>
      <w:tr w:rsidR="00B90CE5" w:rsidRPr="007F6C5E" w14:paraId="7EC7AF62" w14:textId="77777777" w:rsidTr="00F11915">
        <w:tc>
          <w:tcPr>
            <w:tcW w:w="2122" w:type="dxa"/>
            <w:vAlign w:val="center"/>
          </w:tcPr>
          <w:p w14:paraId="2E6C2954" w14:textId="77777777" w:rsidR="00B90CE5" w:rsidRPr="007F6C5E" w:rsidRDefault="00B90CE5" w:rsidP="00B90CE5">
            <w:pPr>
              <w:ind w:firstLine="0"/>
              <w:rPr>
                <w:lang w:val="en-GB"/>
              </w:rPr>
            </w:pPr>
            <w:r w:rsidRPr="007F6C5E">
              <w:rPr>
                <w:lang w:val="en-GB"/>
              </w:rPr>
              <w:t>CATS2D_09_DD</w:t>
            </w:r>
          </w:p>
        </w:tc>
        <w:tc>
          <w:tcPr>
            <w:tcW w:w="1559" w:type="dxa"/>
            <w:vAlign w:val="center"/>
          </w:tcPr>
          <w:p w14:paraId="067A3537" w14:textId="77777777" w:rsidR="00B90CE5" w:rsidRPr="007F6C5E" w:rsidRDefault="00B90CE5" w:rsidP="009E0D69">
            <w:pPr>
              <w:ind w:right="443" w:firstLine="0"/>
              <w:jc w:val="right"/>
              <w:rPr>
                <w:lang w:val="en-GB"/>
              </w:rPr>
            </w:pPr>
            <w:r w:rsidRPr="007F6C5E">
              <w:rPr>
                <w:lang w:val="en-GB"/>
              </w:rPr>
              <w:t>-0.874</w:t>
            </w:r>
          </w:p>
        </w:tc>
        <w:tc>
          <w:tcPr>
            <w:tcW w:w="1417" w:type="dxa"/>
            <w:vAlign w:val="center"/>
          </w:tcPr>
          <w:p w14:paraId="19582D37" w14:textId="77777777" w:rsidR="00B90CE5" w:rsidRPr="007F6C5E" w:rsidRDefault="00B90CE5" w:rsidP="00B90CE5">
            <w:pPr>
              <w:ind w:firstLine="0"/>
              <w:jc w:val="center"/>
              <w:rPr>
                <w:lang w:val="en-GB"/>
              </w:rPr>
            </w:pPr>
            <w:r w:rsidRPr="007F6C5E">
              <w:rPr>
                <w:lang w:val="en-GB"/>
              </w:rPr>
              <w:t>0.238</w:t>
            </w:r>
          </w:p>
        </w:tc>
        <w:tc>
          <w:tcPr>
            <w:tcW w:w="1560" w:type="dxa"/>
            <w:vAlign w:val="center"/>
          </w:tcPr>
          <w:p w14:paraId="66CB4D3A" w14:textId="77777777" w:rsidR="00B90CE5" w:rsidRPr="007F6C5E" w:rsidRDefault="00B90CE5" w:rsidP="009E0D69">
            <w:pPr>
              <w:ind w:right="428" w:firstLine="0"/>
              <w:jc w:val="right"/>
              <w:rPr>
                <w:lang w:val="en-GB"/>
              </w:rPr>
            </w:pPr>
            <w:r w:rsidRPr="007F6C5E">
              <w:rPr>
                <w:lang w:val="en-GB"/>
              </w:rPr>
              <w:t>-3.675</w:t>
            </w:r>
          </w:p>
        </w:tc>
        <w:tc>
          <w:tcPr>
            <w:tcW w:w="1417" w:type="dxa"/>
            <w:vAlign w:val="center"/>
          </w:tcPr>
          <w:p w14:paraId="205E9765"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67E2B1B1" w14:textId="77777777" w:rsidR="00B90CE5" w:rsidRPr="007F6C5E" w:rsidRDefault="00B90CE5" w:rsidP="00B90CE5">
            <w:pPr>
              <w:ind w:firstLine="0"/>
              <w:jc w:val="center"/>
              <w:rPr>
                <w:lang w:val="en-GB"/>
              </w:rPr>
            </w:pPr>
            <w:r w:rsidRPr="007F6C5E">
              <w:rPr>
                <w:lang w:val="en-GB"/>
              </w:rPr>
              <w:t>1.162</w:t>
            </w:r>
          </w:p>
        </w:tc>
      </w:tr>
      <w:tr w:rsidR="00B90CE5" w:rsidRPr="007F6C5E" w14:paraId="0095C10E" w14:textId="77777777" w:rsidTr="00F11915">
        <w:tc>
          <w:tcPr>
            <w:tcW w:w="2122" w:type="dxa"/>
            <w:vAlign w:val="center"/>
          </w:tcPr>
          <w:p w14:paraId="4DA04BDF" w14:textId="77777777" w:rsidR="00B90CE5" w:rsidRPr="007F6C5E" w:rsidRDefault="00B90CE5" w:rsidP="00B90CE5">
            <w:pPr>
              <w:ind w:firstLine="0"/>
              <w:rPr>
                <w:lang w:val="en-GB"/>
              </w:rPr>
            </w:pPr>
            <w:r w:rsidRPr="007F6C5E">
              <w:rPr>
                <w:lang w:val="en-GB"/>
              </w:rPr>
              <w:t>O-058</w:t>
            </w:r>
          </w:p>
        </w:tc>
        <w:tc>
          <w:tcPr>
            <w:tcW w:w="1559" w:type="dxa"/>
            <w:vAlign w:val="center"/>
          </w:tcPr>
          <w:p w14:paraId="198B7ADD" w14:textId="77777777" w:rsidR="00B90CE5" w:rsidRPr="007F6C5E" w:rsidRDefault="00B90CE5" w:rsidP="009E0D69">
            <w:pPr>
              <w:ind w:right="443" w:firstLine="0"/>
              <w:jc w:val="right"/>
              <w:rPr>
                <w:lang w:val="en-GB"/>
              </w:rPr>
            </w:pPr>
            <w:r w:rsidRPr="007F6C5E">
              <w:rPr>
                <w:lang w:val="en-GB"/>
              </w:rPr>
              <w:t>0.578</w:t>
            </w:r>
          </w:p>
        </w:tc>
        <w:tc>
          <w:tcPr>
            <w:tcW w:w="1417" w:type="dxa"/>
            <w:vAlign w:val="center"/>
          </w:tcPr>
          <w:p w14:paraId="16F52364" w14:textId="77777777" w:rsidR="00B90CE5" w:rsidRPr="007F6C5E" w:rsidRDefault="00B90CE5" w:rsidP="00B90CE5">
            <w:pPr>
              <w:ind w:firstLine="0"/>
              <w:jc w:val="center"/>
              <w:rPr>
                <w:lang w:val="en-GB"/>
              </w:rPr>
            </w:pPr>
            <w:r w:rsidRPr="007F6C5E">
              <w:rPr>
                <w:lang w:val="en-GB"/>
              </w:rPr>
              <w:t>0.041</w:t>
            </w:r>
          </w:p>
        </w:tc>
        <w:tc>
          <w:tcPr>
            <w:tcW w:w="1560" w:type="dxa"/>
            <w:vAlign w:val="center"/>
          </w:tcPr>
          <w:p w14:paraId="555B6228" w14:textId="77777777" w:rsidR="00B90CE5" w:rsidRPr="007F6C5E" w:rsidRDefault="00B90CE5" w:rsidP="009E0D69">
            <w:pPr>
              <w:ind w:right="428" w:firstLine="0"/>
              <w:jc w:val="right"/>
              <w:rPr>
                <w:lang w:val="en-GB"/>
              </w:rPr>
            </w:pPr>
            <w:r w:rsidRPr="007F6C5E">
              <w:rPr>
                <w:lang w:val="en-GB"/>
              </w:rPr>
              <w:t>14.230</w:t>
            </w:r>
          </w:p>
        </w:tc>
        <w:tc>
          <w:tcPr>
            <w:tcW w:w="1417" w:type="dxa"/>
            <w:vAlign w:val="center"/>
          </w:tcPr>
          <w:p w14:paraId="2DD18687"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5A22B565" w14:textId="77777777" w:rsidR="00B90CE5" w:rsidRPr="007F6C5E" w:rsidRDefault="00B90CE5" w:rsidP="00B90CE5">
            <w:pPr>
              <w:ind w:firstLine="0"/>
              <w:jc w:val="center"/>
              <w:rPr>
                <w:lang w:val="en-GB"/>
              </w:rPr>
            </w:pPr>
            <w:r w:rsidRPr="007F6C5E">
              <w:rPr>
                <w:lang w:val="en-GB"/>
              </w:rPr>
              <w:t>2.002</w:t>
            </w:r>
          </w:p>
        </w:tc>
      </w:tr>
      <w:tr w:rsidR="00B90CE5" w:rsidRPr="007F6C5E" w14:paraId="69090406" w14:textId="77777777" w:rsidTr="00F11915">
        <w:tc>
          <w:tcPr>
            <w:tcW w:w="2122" w:type="dxa"/>
            <w:vAlign w:val="center"/>
          </w:tcPr>
          <w:p w14:paraId="0C1BF601" w14:textId="77777777" w:rsidR="00B90CE5" w:rsidRPr="007F6C5E" w:rsidRDefault="00B90CE5" w:rsidP="00B90CE5">
            <w:pPr>
              <w:ind w:firstLine="0"/>
              <w:rPr>
                <w:lang w:val="en-GB"/>
              </w:rPr>
            </w:pPr>
            <w:r w:rsidRPr="007F6C5E">
              <w:rPr>
                <w:lang w:val="en-GB"/>
              </w:rPr>
              <w:t>nR03</w:t>
            </w:r>
          </w:p>
        </w:tc>
        <w:tc>
          <w:tcPr>
            <w:tcW w:w="1559" w:type="dxa"/>
            <w:vAlign w:val="center"/>
          </w:tcPr>
          <w:p w14:paraId="27B93585" w14:textId="77777777" w:rsidR="00B90CE5" w:rsidRPr="007F6C5E" w:rsidRDefault="00B90CE5" w:rsidP="009E0D69">
            <w:pPr>
              <w:ind w:right="443" w:firstLine="0"/>
              <w:jc w:val="right"/>
              <w:rPr>
                <w:lang w:val="en-GB"/>
              </w:rPr>
            </w:pPr>
            <w:r w:rsidRPr="007F6C5E">
              <w:rPr>
                <w:lang w:val="en-GB"/>
              </w:rPr>
              <w:t>-1.095</w:t>
            </w:r>
          </w:p>
        </w:tc>
        <w:tc>
          <w:tcPr>
            <w:tcW w:w="1417" w:type="dxa"/>
            <w:vAlign w:val="center"/>
          </w:tcPr>
          <w:p w14:paraId="0746F44B" w14:textId="77777777" w:rsidR="00B90CE5" w:rsidRPr="007F6C5E" w:rsidRDefault="00B90CE5" w:rsidP="00B90CE5">
            <w:pPr>
              <w:ind w:firstLine="0"/>
              <w:jc w:val="center"/>
              <w:rPr>
                <w:lang w:val="en-GB"/>
              </w:rPr>
            </w:pPr>
            <w:r w:rsidRPr="007F6C5E">
              <w:rPr>
                <w:lang w:val="en-GB"/>
              </w:rPr>
              <w:t>0.147</w:t>
            </w:r>
          </w:p>
        </w:tc>
        <w:tc>
          <w:tcPr>
            <w:tcW w:w="1560" w:type="dxa"/>
            <w:vAlign w:val="center"/>
          </w:tcPr>
          <w:p w14:paraId="48168938" w14:textId="77777777" w:rsidR="00B90CE5" w:rsidRPr="007F6C5E" w:rsidRDefault="00B90CE5" w:rsidP="009E0D69">
            <w:pPr>
              <w:ind w:right="428" w:firstLine="0"/>
              <w:jc w:val="right"/>
              <w:rPr>
                <w:lang w:val="en-GB"/>
              </w:rPr>
            </w:pPr>
            <w:r w:rsidRPr="007F6C5E">
              <w:rPr>
                <w:lang w:val="en-GB"/>
              </w:rPr>
              <w:t>-7.440</w:t>
            </w:r>
          </w:p>
        </w:tc>
        <w:tc>
          <w:tcPr>
            <w:tcW w:w="1417" w:type="dxa"/>
            <w:vAlign w:val="center"/>
          </w:tcPr>
          <w:p w14:paraId="239B12BC"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0F2A68F4" w14:textId="77777777" w:rsidR="00B90CE5" w:rsidRPr="007F6C5E" w:rsidRDefault="00B90CE5" w:rsidP="00B90CE5">
            <w:pPr>
              <w:ind w:firstLine="0"/>
              <w:jc w:val="center"/>
              <w:rPr>
                <w:lang w:val="en-GB"/>
              </w:rPr>
            </w:pPr>
            <w:r w:rsidRPr="007F6C5E">
              <w:rPr>
                <w:lang w:val="en-GB"/>
              </w:rPr>
              <w:t>1.169</w:t>
            </w:r>
          </w:p>
        </w:tc>
      </w:tr>
      <w:tr w:rsidR="00B90CE5" w:rsidRPr="007F6C5E" w14:paraId="6314E40F" w14:textId="77777777" w:rsidTr="00F11915">
        <w:tc>
          <w:tcPr>
            <w:tcW w:w="2122" w:type="dxa"/>
            <w:vAlign w:val="center"/>
          </w:tcPr>
          <w:p w14:paraId="19EC3A8A" w14:textId="77777777" w:rsidR="00B90CE5" w:rsidRPr="007F6C5E" w:rsidRDefault="00B90CE5" w:rsidP="00B90CE5">
            <w:pPr>
              <w:ind w:firstLine="0"/>
              <w:rPr>
                <w:lang w:val="en-GB"/>
              </w:rPr>
            </w:pPr>
            <w:proofErr w:type="spellStart"/>
            <w:r w:rsidRPr="007F6C5E">
              <w:rPr>
                <w:lang w:val="en-GB"/>
              </w:rPr>
              <w:t>nRCOOR</w:t>
            </w:r>
            <w:proofErr w:type="spellEnd"/>
          </w:p>
        </w:tc>
        <w:tc>
          <w:tcPr>
            <w:tcW w:w="1559" w:type="dxa"/>
            <w:vAlign w:val="center"/>
          </w:tcPr>
          <w:p w14:paraId="168E8A3D" w14:textId="77777777" w:rsidR="00B90CE5" w:rsidRPr="007F6C5E" w:rsidRDefault="00B90CE5" w:rsidP="009E0D69">
            <w:pPr>
              <w:ind w:right="443" w:firstLine="0"/>
              <w:jc w:val="right"/>
              <w:rPr>
                <w:lang w:val="en-GB"/>
              </w:rPr>
            </w:pPr>
            <w:r w:rsidRPr="007F6C5E">
              <w:rPr>
                <w:lang w:val="en-GB"/>
              </w:rPr>
              <w:t>-0.550</w:t>
            </w:r>
          </w:p>
        </w:tc>
        <w:tc>
          <w:tcPr>
            <w:tcW w:w="1417" w:type="dxa"/>
            <w:vAlign w:val="center"/>
          </w:tcPr>
          <w:p w14:paraId="755A1249" w14:textId="77777777" w:rsidR="00B90CE5" w:rsidRPr="007F6C5E" w:rsidRDefault="00B90CE5" w:rsidP="00B90CE5">
            <w:pPr>
              <w:ind w:firstLine="0"/>
              <w:jc w:val="center"/>
              <w:rPr>
                <w:lang w:val="en-GB"/>
              </w:rPr>
            </w:pPr>
            <w:r w:rsidRPr="007F6C5E">
              <w:rPr>
                <w:lang w:val="en-GB"/>
              </w:rPr>
              <w:t>0.096</w:t>
            </w:r>
          </w:p>
        </w:tc>
        <w:tc>
          <w:tcPr>
            <w:tcW w:w="1560" w:type="dxa"/>
            <w:vAlign w:val="center"/>
          </w:tcPr>
          <w:p w14:paraId="1B7C6957" w14:textId="77777777" w:rsidR="00B90CE5" w:rsidRPr="007F6C5E" w:rsidRDefault="00B90CE5" w:rsidP="009E0D69">
            <w:pPr>
              <w:ind w:right="428" w:firstLine="0"/>
              <w:jc w:val="right"/>
              <w:rPr>
                <w:lang w:val="en-GB"/>
              </w:rPr>
            </w:pPr>
            <w:r w:rsidRPr="007F6C5E">
              <w:rPr>
                <w:lang w:val="en-GB"/>
              </w:rPr>
              <w:t>-5.749</w:t>
            </w:r>
          </w:p>
        </w:tc>
        <w:tc>
          <w:tcPr>
            <w:tcW w:w="1417" w:type="dxa"/>
            <w:vAlign w:val="center"/>
          </w:tcPr>
          <w:p w14:paraId="0EE1FAF6"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0E65665E" w14:textId="77777777" w:rsidR="00B90CE5" w:rsidRPr="007F6C5E" w:rsidRDefault="00B90CE5" w:rsidP="00B90CE5">
            <w:pPr>
              <w:ind w:firstLine="0"/>
              <w:jc w:val="center"/>
              <w:rPr>
                <w:lang w:val="en-GB"/>
              </w:rPr>
            </w:pPr>
            <w:r w:rsidRPr="007F6C5E">
              <w:rPr>
                <w:lang w:val="en-GB"/>
              </w:rPr>
              <w:t>1.376</w:t>
            </w:r>
          </w:p>
        </w:tc>
      </w:tr>
      <w:tr w:rsidR="00B90CE5" w:rsidRPr="007F6C5E" w14:paraId="055A5EC5" w14:textId="77777777" w:rsidTr="00F11915">
        <w:tc>
          <w:tcPr>
            <w:tcW w:w="2122" w:type="dxa"/>
            <w:vAlign w:val="center"/>
          </w:tcPr>
          <w:p w14:paraId="337E1154" w14:textId="77777777" w:rsidR="00B90CE5" w:rsidRPr="007F6C5E" w:rsidRDefault="00B90CE5" w:rsidP="00B90CE5">
            <w:pPr>
              <w:ind w:firstLine="0"/>
              <w:rPr>
                <w:lang w:val="en-GB"/>
              </w:rPr>
            </w:pPr>
            <w:proofErr w:type="spellStart"/>
            <w:r w:rsidRPr="007F6C5E">
              <w:rPr>
                <w:lang w:val="en-GB"/>
              </w:rPr>
              <w:t>nROR</w:t>
            </w:r>
            <w:proofErr w:type="spellEnd"/>
          </w:p>
        </w:tc>
        <w:tc>
          <w:tcPr>
            <w:tcW w:w="1559" w:type="dxa"/>
            <w:vAlign w:val="center"/>
          </w:tcPr>
          <w:p w14:paraId="066BA35A" w14:textId="77777777" w:rsidR="00B90CE5" w:rsidRPr="007F6C5E" w:rsidRDefault="00B90CE5" w:rsidP="009E0D69">
            <w:pPr>
              <w:ind w:right="443" w:firstLine="0"/>
              <w:jc w:val="right"/>
              <w:rPr>
                <w:lang w:val="en-GB"/>
              </w:rPr>
            </w:pPr>
            <w:r w:rsidRPr="007F6C5E">
              <w:rPr>
                <w:lang w:val="en-GB"/>
              </w:rPr>
              <w:t>0.330</w:t>
            </w:r>
          </w:p>
        </w:tc>
        <w:tc>
          <w:tcPr>
            <w:tcW w:w="1417" w:type="dxa"/>
            <w:vAlign w:val="center"/>
          </w:tcPr>
          <w:p w14:paraId="6A667362" w14:textId="77777777" w:rsidR="00B90CE5" w:rsidRPr="007F6C5E" w:rsidRDefault="00B90CE5" w:rsidP="00B90CE5">
            <w:pPr>
              <w:ind w:firstLine="0"/>
              <w:jc w:val="center"/>
              <w:rPr>
                <w:lang w:val="en-GB"/>
              </w:rPr>
            </w:pPr>
            <w:r w:rsidRPr="007F6C5E">
              <w:rPr>
                <w:lang w:val="en-GB"/>
              </w:rPr>
              <w:t>0.055</w:t>
            </w:r>
          </w:p>
        </w:tc>
        <w:tc>
          <w:tcPr>
            <w:tcW w:w="1560" w:type="dxa"/>
            <w:vAlign w:val="center"/>
          </w:tcPr>
          <w:p w14:paraId="77655F93" w14:textId="77777777" w:rsidR="00B90CE5" w:rsidRPr="007F6C5E" w:rsidRDefault="00B90CE5" w:rsidP="009E0D69">
            <w:pPr>
              <w:ind w:right="428" w:firstLine="0"/>
              <w:jc w:val="right"/>
              <w:rPr>
                <w:lang w:val="en-GB"/>
              </w:rPr>
            </w:pPr>
            <w:r w:rsidRPr="007F6C5E">
              <w:rPr>
                <w:lang w:val="en-GB"/>
              </w:rPr>
              <w:t>6.030</w:t>
            </w:r>
          </w:p>
        </w:tc>
        <w:tc>
          <w:tcPr>
            <w:tcW w:w="1417" w:type="dxa"/>
            <w:vAlign w:val="center"/>
          </w:tcPr>
          <w:p w14:paraId="0710769A"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1DA2B083" w14:textId="77777777" w:rsidR="00B90CE5" w:rsidRPr="007F6C5E" w:rsidRDefault="00B90CE5" w:rsidP="00B90CE5">
            <w:pPr>
              <w:ind w:firstLine="0"/>
              <w:jc w:val="center"/>
              <w:rPr>
                <w:lang w:val="en-GB"/>
              </w:rPr>
            </w:pPr>
            <w:r w:rsidRPr="007F6C5E">
              <w:rPr>
                <w:lang w:val="en-GB"/>
              </w:rPr>
              <w:t>1.262</w:t>
            </w:r>
          </w:p>
        </w:tc>
      </w:tr>
      <w:tr w:rsidR="00B90CE5" w:rsidRPr="007F6C5E" w14:paraId="792BA74B" w14:textId="77777777" w:rsidTr="00F11915">
        <w:tc>
          <w:tcPr>
            <w:tcW w:w="2122" w:type="dxa"/>
            <w:vAlign w:val="center"/>
          </w:tcPr>
          <w:p w14:paraId="76F2627C" w14:textId="77777777" w:rsidR="00B90CE5" w:rsidRPr="007F6C5E" w:rsidRDefault="00B90CE5" w:rsidP="00B90CE5">
            <w:pPr>
              <w:ind w:firstLine="0"/>
              <w:rPr>
                <w:lang w:val="en-GB"/>
              </w:rPr>
            </w:pPr>
            <w:proofErr w:type="spellStart"/>
            <w:r w:rsidRPr="007F6C5E">
              <w:rPr>
                <w:lang w:val="en-GB"/>
              </w:rPr>
              <w:t>nCXr</w:t>
            </w:r>
            <w:proofErr w:type="spellEnd"/>
            <w:r w:rsidRPr="007F6C5E">
              <w:rPr>
                <w:lang w:val="en-GB"/>
              </w:rPr>
              <w:t>=</w:t>
            </w:r>
          </w:p>
        </w:tc>
        <w:tc>
          <w:tcPr>
            <w:tcW w:w="1559" w:type="dxa"/>
            <w:vAlign w:val="center"/>
          </w:tcPr>
          <w:p w14:paraId="4BB934B8" w14:textId="77777777" w:rsidR="00B90CE5" w:rsidRPr="007F6C5E" w:rsidRDefault="00B90CE5" w:rsidP="009E0D69">
            <w:pPr>
              <w:ind w:right="443" w:firstLine="0"/>
              <w:jc w:val="right"/>
              <w:rPr>
                <w:lang w:val="en-GB"/>
              </w:rPr>
            </w:pPr>
            <w:r w:rsidRPr="007F6C5E">
              <w:rPr>
                <w:lang w:val="en-GB"/>
              </w:rPr>
              <w:t>-0.435</w:t>
            </w:r>
          </w:p>
        </w:tc>
        <w:tc>
          <w:tcPr>
            <w:tcW w:w="1417" w:type="dxa"/>
            <w:vAlign w:val="center"/>
          </w:tcPr>
          <w:p w14:paraId="1B28527C" w14:textId="77777777" w:rsidR="00B90CE5" w:rsidRPr="007F6C5E" w:rsidRDefault="00B90CE5" w:rsidP="00B90CE5">
            <w:pPr>
              <w:ind w:firstLine="0"/>
              <w:jc w:val="center"/>
              <w:rPr>
                <w:lang w:val="en-GB"/>
              </w:rPr>
            </w:pPr>
            <w:r w:rsidRPr="007F6C5E">
              <w:rPr>
                <w:lang w:val="en-GB"/>
              </w:rPr>
              <w:t>0.085</w:t>
            </w:r>
          </w:p>
        </w:tc>
        <w:tc>
          <w:tcPr>
            <w:tcW w:w="1560" w:type="dxa"/>
            <w:vAlign w:val="center"/>
          </w:tcPr>
          <w:p w14:paraId="74F11824" w14:textId="77777777" w:rsidR="00B90CE5" w:rsidRPr="007F6C5E" w:rsidRDefault="00B90CE5" w:rsidP="009E0D69">
            <w:pPr>
              <w:ind w:right="428" w:firstLine="0"/>
              <w:jc w:val="right"/>
              <w:rPr>
                <w:lang w:val="en-GB"/>
              </w:rPr>
            </w:pPr>
            <w:r w:rsidRPr="007F6C5E">
              <w:rPr>
                <w:lang w:val="en-GB"/>
              </w:rPr>
              <w:t>-5.086</w:t>
            </w:r>
          </w:p>
        </w:tc>
        <w:tc>
          <w:tcPr>
            <w:tcW w:w="1417" w:type="dxa"/>
            <w:vAlign w:val="center"/>
          </w:tcPr>
          <w:p w14:paraId="603806A7"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60640BF5" w14:textId="77777777" w:rsidR="00B90CE5" w:rsidRPr="007F6C5E" w:rsidRDefault="00B90CE5" w:rsidP="00B90CE5">
            <w:pPr>
              <w:ind w:firstLine="0"/>
              <w:jc w:val="center"/>
              <w:rPr>
                <w:lang w:val="en-GB"/>
              </w:rPr>
            </w:pPr>
            <w:r w:rsidRPr="007F6C5E">
              <w:rPr>
                <w:lang w:val="en-GB"/>
              </w:rPr>
              <w:t>1.048</w:t>
            </w:r>
          </w:p>
        </w:tc>
      </w:tr>
      <w:tr w:rsidR="00B90CE5" w:rsidRPr="007F6C5E" w14:paraId="13196F05" w14:textId="77777777" w:rsidTr="00F11915">
        <w:tc>
          <w:tcPr>
            <w:tcW w:w="2122" w:type="dxa"/>
            <w:vAlign w:val="center"/>
          </w:tcPr>
          <w:p w14:paraId="1ABDDAAA" w14:textId="77777777" w:rsidR="00B90CE5" w:rsidRPr="007F6C5E" w:rsidRDefault="00B90CE5" w:rsidP="00B90CE5">
            <w:pPr>
              <w:ind w:firstLine="0"/>
              <w:rPr>
                <w:lang w:val="en-GB"/>
              </w:rPr>
            </w:pPr>
            <w:proofErr w:type="spellStart"/>
            <w:r w:rsidRPr="007F6C5E">
              <w:rPr>
                <w:lang w:val="en-GB"/>
              </w:rPr>
              <w:t>nArOCON</w:t>
            </w:r>
            <w:proofErr w:type="spellEnd"/>
          </w:p>
        </w:tc>
        <w:tc>
          <w:tcPr>
            <w:tcW w:w="1559" w:type="dxa"/>
            <w:vAlign w:val="center"/>
          </w:tcPr>
          <w:p w14:paraId="007A6D53" w14:textId="77777777" w:rsidR="00B90CE5" w:rsidRPr="007F6C5E" w:rsidRDefault="00B90CE5" w:rsidP="009E0D69">
            <w:pPr>
              <w:ind w:right="443" w:firstLine="0"/>
              <w:jc w:val="right"/>
              <w:rPr>
                <w:lang w:val="en-GB"/>
              </w:rPr>
            </w:pPr>
            <w:r w:rsidRPr="007F6C5E">
              <w:rPr>
                <w:lang w:val="en-GB"/>
              </w:rPr>
              <w:t>-0.459</w:t>
            </w:r>
          </w:p>
        </w:tc>
        <w:tc>
          <w:tcPr>
            <w:tcW w:w="1417" w:type="dxa"/>
            <w:vAlign w:val="center"/>
          </w:tcPr>
          <w:p w14:paraId="73C0BA27" w14:textId="77777777" w:rsidR="00B90CE5" w:rsidRPr="007F6C5E" w:rsidRDefault="00B90CE5" w:rsidP="00B90CE5">
            <w:pPr>
              <w:ind w:firstLine="0"/>
              <w:jc w:val="center"/>
              <w:rPr>
                <w:lang w:val="en-GB"/>
              </w:rPr>
            </w:pPr>
            <w:r w:rsidRPr="007F6C5E">
              <w:rPr>
                <w:lang w:val="en-GB"/>
              </w:rPr>
              <w:t>0.142</w:t>
            </w:r>
          </w:p>
        </w:tc>
        <w:tc>
          <w:tcPr>
            <w:tcW w:w="1560" w:type="dxa"/>
            <w:vAlign w:val="center"/>
          </w:tcPr>
          <w:p w14:paraId="43B2626E" w14:textId="77777777" w:rsidR="00B90CE5" w:rsidRPr="007F6C5E" w:rsidRDefault="00B90CE5" w:rsidP="009E0D69">
            <w:pPr>
              <w:ind w:right="428" w:firstLine="0"/>
              <w:jc w:val="right"/>
              <w:rPr>
                <w:lang w:val="en-GB"/>
              </w:rPr>
            </w:pPr>
            <w:r w:rsidRPr="007F6C5E">
              <w:rPr>
                <w:lang w:val="en-GB"/>
              </w:rPr>
              <w:t>-3.227</w:t>
            </w:r>
          </w:p>
        </w:tc>
        <w:tc>
          <w:tcPr>
            <w:tcW w:w="1417" w:type="dxa"/>
            <w:vAlign w:val="center"/>
          </w:tcPr>
          <w:p w14:paraId="2D76E982" w14:textId="77777777" w:rsidR="00B90CE5" w:rsidRPr="007F6C5E" w:rsidRDefault="00B90CE5" w:rsidP="00B90CE5">
            <w:pPr>
              <w:ind w:firstLine="0"/>
              <w:jc w:val="center"/>
              <w:rPr>
                <w:lang w:val="en-GB"/>
              </w:rPr>
            </w:pPr>
            <w:r w:rsidRPr="007F6C5E">
              <w:rPr>
                <w:lang w:val="en-GB"/>
              </w:rPr>
              <w:t>0.001</w:t>
            </w:r>
          </w:p>
        </w:tc>
        <w:tc>
          <w:tcPr>
            <w:tcW w:w="1559" w:type="dxa"/>
            <w:vAlign w:val="center"/>
          </w:tcPr>
          <w:p w14:paraId="45E8E802" w14:textId="77777777" w:rsidR="00B90CE5" w:rsidRPr="007F6C5E" w:rsidRDefault="00B90CE5" w:rsidP="00B90CE5">
            <w:pPr>
              <w:ind w:firstLine="0"/>
              <w:jc w:val="center"/>
              <w:rPr>
                <w:lang w:val="en-GB"/>
              </w:rPr>
            </w:pPr>
            <w:r w:rsidRPr="007F6C5E">
              <w:rPr>
                <w:lang w:val="en-GB"/>
              </w:rPr>
              <w:t>1.049</w:t>
            </w:r>
          </w:p>
        </w:tc>
      </w:tr>
      <w:tr w:rsidR="00B90CE5" w:rsidRPr="007F6C5E" w14:paraId="08030BD8" w14:textId="77777777" w:rsidTr="00F11915">
        <w:tc>
          <w:tcPr>
            <w:tcW w:w="2122" w:type="dxa"/>
            <w:vAlign w:val="center"/>
          </w:tcPr>
          <w:p w14:paraId="51C4C192" w14:textId="77777777" w:rsidR="00B90CE5" w:rsidRPr="007F6C5E" w:rsidRDefault="00B90CE5" w:rsidP="00B90CE5">
            <w:pPr>
              <w:ind w:firstLine="0"/>
              <w:rPr>
                <w:lang w:val="en-GB"/>
              </w:rPr>
            </w:pPr>
            <w:r w:rsidRPr="007F6C5E">
              <w:rPr>
                <w:lang w:val="en-GB"/>
              </w:rPr>
              <w:t>MW</w:t>
            </w:r>
          </w:p>
        </w:tc>
        <w:tc>
          <w:tcPr>
            <w:tcW w:w="1559" w:type="dxa"/>
            <w:vAlign w:val="center"/>
          </w:tcPr>
          <w:p w14:paraId="0442E512" w14:textId="77777777" w:rsidR="00B90CE5" w:rsidRPr="007F6C5E" w:rsidRDefault="00B90CE5" w:rsidP="009E0D69">
            <w:pPr>
              <w:ind w:right="443" w:firstLine="0"/>
              <w:jc w:val="right"/>
              <w:rPr>
                <w:lang w:val="en-GB"/>
              </w:rPr>
            </w:pPr>
            <w:r w:rsidRPr="007F6C5E">
              <w:rPr>
                <w:lang w:val="en-GB"/>
              </w:rPr>
              <w:t>-0.004</w:t>
            </w:r>
          </w:p>
        </w:tc>
        <w:tc>
          <w:tcPr>
            <w:tcW w:w="1417" w:type="dxa"/>
            <w:vAlign w:val="center"/>
          </w:tcPr>
          <w:p w14:paraId="155A8DA7" w14:textId="77777777" w:rsidR="00B90CE5" w:rsidRPr="007F6C5E" w:rsidRDefault="00B90CE5" w:rsidP="00B90CE5">
            <w:pPr>
              <w:ind w:firstLine="0"/>
              <w:jc w:val="center"/>
              <w:rPr>
                <w:lang w:val="en-GB"/>
              </w:rPr>
            </w:pPr>
            <w:r w:rsidRPr="007F6C5E">
              <w:rPr>
                <w:lang w:val="en-GB"/>
              </w:rPr>
              <w:t>0.001</w:t>
            </w:r>
          </w:p>
        </w:tc>
        <w:tc>
          <w:tcPr>
            <w:tcW w:w="1560" w:type="dxa"/>
            <w:vAlign w:val="center"/>
          </w:tcPr>
          <w:p w14:paraId="4DF8F64A" w14:textId="77777777" w:rsidR="00B90CE5" w:rsidRPr="007F6C5E" w:rsidRDefault="00B90CE5" w:rsidP="009E0D69">
            <w:pPr>
              <w:ind w:right="428" w:firstLine="0"/>
              <w:jc w:val="right"/>
              <w:rPr>
                <w:lang w:val="en-GB"/>
              </w:rPr>
            </w:pPr>
            <w:r w:rsidRPr="007F6C5E">
              <w:rPr>
                <w:lang w:val="en-GB"/>
              </w:rPr>
              <w:t>-7.389</w:t>
            </w:r>
          </w:p>
        </w:tc>
        <w:tc>
          <w:tcPr>
            <w:tcW w:w="1417" w:type="dxa"/>
            <w:vAlign w:val="center"/>
          </w:tcPr>
          <w:p w14:paraId="630D5EAE"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12F62556" w14:textId="77777777" w:rsidR="00B90CE5" w:rsidRPr="007F6C5E" w:rsidRDefault="00B90CE5" w:rsidP="00B90CE5">
            <w:pPr>
              <w:ind w:firstLine="0"/>
              <w:jc w:val="center"/>
              <w:rPr>
                <w:lang w:val="en-GB"/>
              </w:rPr>
            </w:pPr>
            <w:r w:rsidRPr="007F6C5E">
              <w:rPr>
                <w:lang w:val="en-GB"/>
              </w:rPr>
              <w:t>4.329</w:t>
            </w:r>
          </w:p>
        </w:tc>
      </w:tr>
      <w:tr w:rsidR="00B90CE5" w:rsidRPr="007F6C5E" w14:paraId="65EFBE45" w14:textId="77777777" w:rsidTr="00F11915">
        <w:tc>
          <w:tcPr>
            <w:tcW w:w="2122" w:type="dxa"/>
            <w:vAlign w:val="center"/>
          </w:tcPr>
          <w:p w14:paraId="77EA0866" w14:textId="77777777" w:rsidR="00B90CE5" w:rsidRPr="007F6C5E" w:rsidRDefault="00B90CE5" w:rsidP="00B90CE5">
            <w:pPr>
              <w:ind w:firstLine="0"/>
              <w:rPr>
                <w:lang w:val="en-GB"/>
              </w:rPr>
            </w:pPr>
            <w:r w:rsidRPr="007F6C5E">
              <w:rPr>
                <w:lang w:val="en-GB"/>
              </w:rPr>
              <w:t>H-049</w:t>
            </w:r>
          </w:p>
        </w:tc>
        <w:tc>
          <w:tcPr>
            <w:tcW w:w="1559" w:type="dxa"/>
            <w:vAlign w:val="center"/>
          </w:tcPr>
          <w:p w14:paraId="68513454" w14:textId="77777777" w:rsidR="00B90CE5" w:rsidRPr="007F6C5E" w:rsidRDefault="00B90CE5" w:rsidP="009E0D69">
            <w:pPr>
              <w:ind w:right="443" w:firstLine="0"/>
              <w:jc w:val="right"/>
              <w:rPr>
                <w:lang w:val="en-GB"/>
              </w:rPr>
            </w:pPr>
            <w:r w:rsidRPr="007F6C5E">
              <w:rPr>
                <w:lang w:val="en-GB"/>
              </w:rPr>
              <w:t>0.267</w:t>
            </w:r>
          </w:p>
        </w:tc>
        <w:tc>
          <w:tcPr>
            <w:tcW w:w="1417" w:type="dxa"/>
            <w:vAlign w:val="center"/>
          </w:tcPr>
          <w:p w14:paraId="0E515D59" w14:textId="77777777" w:rsidR="00B90CE5" w:rsidRPr="007F6C5E" w:rsidRDefault="00B90CE5" w:rsidP="00B90CE5">
            <w:pPr>
              <w:ind w:firstLine="0"/>
              <w:jc w:val="center"/>
              <w:rPr>
                <w:lang w:val="en-GB"/>
              </w:rPr>
            </w:pPr>
            <w:r w:rsidRPr="007F6C5E">
              <w:rPr>
                <w:lang w:val="en-GB"/>
              </w:rPr>
              <w:t>0.067</w:t>
            </w:r>
          </w:p>
        </w:tc>
        <w:tc>
          <w:tcPr>
            <w:tcW w:w="1560" w:type="dxa"/>
            <w:vAlign w:val="center"/>
          </w:tcPr>
          <w:p w14:paraId="6276E936" w14:textId="77777777" w:rsidR="00B90CE5" w:rsidRPr="007F6C5E" w:rsidRDefault="00B90CE5" w:rsidP="009E0D69">
            <w:pPr>
              <w:ind w:right="428" w:firstLine="0"/>
              <w:jc w:val="right"/>
              <w:rPr>
                <w:lang w:val="en-GB"/>
              </w:rPr>
            </w:pPr>
            <w:r w:rsidRPr="007F6C5E">
              <w:rPr>
                <w:lang w:val="en-GB"/>
              </w:rPr>
              <w:t>3.997</w:t>
            </w:r>
          </w:p>
        </w:tc>
        <w:tc>
          <w:tcPr>
            <w:tcW w:w="1417" w:type="dxa"/>
            <w:vAlign w:val="center"/>
          </w:tcPr>
          <w:p w14:paraId="06DD9A35"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7E7191B5" w14:textId="77777777" w:rsidR="00B90CE5" w:rsidRPr="007F6C5E" w:rsidRDefault="00B90CE5" w:rsidP="00B90CE5">
            <w:pPr>
              <w:ind w:firstLine="0"/>
              <w:jc w:val="center"/>
              <w:rPr>
                <w:lang w:val="en-GB"/>
              </w:rPr>
            </w:pPr>
            <w:r w:rsidRPr="007F6C5E">
              <w:rPr>
                <w:lang w:val="en-GB"/>
              </w:rPr>
              <w:t>1.443</w:t>
            </w:r>
          </w:p>
        </w:tc>
      </w:tr>
      <w:tr w:rsidR="00B90CE5" w:rsidRPr="007F6C5E" w14:paraId="716FF3E0" w14:textId="77777777" w:rsidTr="00F11915">
        <w:tc>
          <w:tcPr>
            <w:tcW w:w="2122" w:type="dxa"/>
            <w:vAlign w:val="center"/>
          </w:tcPr>
          <w:p w14:paraId="39633E19" w14:textId="77777777" w:rsidR="00B90CE5" w:rsidRPr="007F6C5E" w:rsidRDefault="00B90CE5" w:rsidP="00B90CE5">
            <w:pPr>
              <w:ind w:firstLine="0"/>
              <w:rPr>
                <w:lang w:val="en-GB"/>
              </w:rPr>
            </w:pPr>
            <w:r w:rsidRPr="007F6C5E">
              <w:rPr>
                <w:lang w:val="en-GB"/>
              </w:rPr>
              <w:t>B07[N-N]</w:t>
            </w:r>
          </w:p>
        </w:tc>
        <w:tc>
          <w:tcPr>
            <w:tcW w:w="1559" w:type="dxa"/>
            <w:vAlign w:val="center"/>
          </w:tcPr>
          <w:p w14:paraId="2F52278A" w14:textId="77777777" w:rsidR="00B90CE5" w:rsidRPr="007F6C5E" w:rsidRDefault="00B90CE5" w:rsidP="009E0D69">
            <w:pPr>
              <w:ind w:right="443" w:firstLine="0"/>
              <w:jc w:val="right"/>
              <w:rPr>
                <w:lang w:val="en-GB"/>
              </w:rPr>
            </w:pPr>
            <w:r w:rsidRPr="007F6C5E">
              <w:rPr>
                <w:lang w:val="en-GB"/>
              </w:rPr>
              <w:t>0.618</w:t>
            </w:r>
          </w:p>
        </w:tc>
        <w:tc>
          <w:tcPr>
            <w:tcW w:w="1417" w:type="dxa"/>
            <w:vAlign w:val="center"/>
          </w:tcPr>
          <w:p w14:paraId="7DC3A688" w14:textId="77777777" w:rsidR="00B90CE5" w:rsidRPr="007F6C5E" w:rsidRDefault="00B90CE5" w:rsidP="00B90CE5">
            <w:pPr>
              <w:ind w:firstLine="0"/>
              <w:jc w:val="center"/>
              <w:rPr>
                <w:lang w:val="en-GB"/>
              </w:rPr>
            </w:pPr>
            <w:r w:rsidRPr="007F6C5E">
              <w:rPr>
                <w:lang w:val="en-GB"/>
              </w:rPr>
              <w:t>0.175</w:t>
            </w:r>
          </w:p>
        </w:tc>
        <w:tc>
          <w:tcPr>
            <w:tcW w:w="1560" w:type="dxa"/>
            <w:vAlign w:val="center"/>
          </w:tcPr>
          <w:p w14:paraId="55D8A199" w14:textId="77777777" w:rsidR="00B90CE5" w:rsidRPr="007F6C5E" w:rsidRDefault="00B90CE5" w:rsidP="009E0D69">
            <w:pPr>
              <w:ind w:right="428" w:firstLine="0"/>
              <w:jc w:val="right"/>
              <w:rPr>
                <w:lang w:val="en-GB"/>
              </w:rPr>
            </w:pPr>
            <w:r w:rsidRPr="007F6C5E">
              <w:rPr>
                <w:lang w:val="en-GB"/>
              </w:rPr>
              <w:t>3.539</w:t>
            </w:r>
          </w:p>
        </w:tc>
        <w:tc>
          <w:tcPr>
            <w:tcW w:w="1417" w:type="dxa"/>
            <w:vAlign w:val="center"/>
          </w:tcPr>
          <w:p w14:paraId="72BC3D86"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3A9140CE" w14:textId="77777777" w:rsidR="00B90CE5" w:rsidRPr="007F6C5E" w:rsidRDefault="00B90CE5" w:rsidP="00B90CE5">
            <w:pPr>
              <w:ind w:firstLine="0"/>
              <w:jc w:val="center"/>
              <w:rPr>
                <w:lang w:val="en-GB"/>
              </w:rPr>
            </w:pPr>
            <w:r w:rsidRPr="007F6C5E">
              <w:rPr>
                <w:lang w:val="en-GB"/>
              </w:rPr>
              <w:t>1.181</w:t>
            </w:r>
          </w:p>
        </w:tc>
      </w:tr>
      <w:tr w:rsidR="00B90CE5" w:rsidRPr="007F6C5E" w14:paraId="14DF18B4" w14:textId="77777777" w:rsidTr="00F11915">
        <w:tc>
          <w:tcPr>
            <w:tcW w:w="2122" w:type="dxa"/>
            <w:vAlign w:val="center"/>
          </w:tcPr>
          <w:p w14:paraId="6EEBDECB" w14:textId="77777777" w:rsidR="00B90CE5" w:rsidRPr="007F6C5E" w:rsidRDefault="00B90CE5" w:rsidP="00B90CE5">
            <w:pPr>
              <w:ind w:firstLine="0"/>
              <w:rPr>
                <w:lang w:val="en-GB"/>
              </w:rPr>
            </w:pPr>
            <w:proofErr w:type="spellStart"/>
            <w:r w:rsidRPr="007F6C5E">
              <w:rPr>
                <w:lang w:val="en-GB"/>
              </w:rPr>
              <w:t>nROH</w:t>
            </w:r>
            <w:proofErr w:type="spellEnd"/>
          </w:p>
        </w:tc>
        <w:tc>
          <w:tcPr>
            <w:tcW w:w="1559" w:type="dxa"/>
            <w:vAlign w:val="center"/>
          </w:tcPr>
          <w:p w14:paraId="69CF0CDA" w14:textId="77777777" w:rsidR="00B90CE5" w:rsidRPr="007F6C5E" w:rsidRDefault="00B90CE5" w:rsidP="009E0D69">
            <w:pPr>
              <w:ind w:right="443" w:firstLine="0"/>
              <w:jc w:val="right"/>
              <w:rPr>
                <w:lang w:val="en-GB"/>
              </w:rPr>
            </w:pPr>
            <w:r w:rsidRPr="007F6C5E">
              <w:rPr>
                <w:lang w:val="en-GB"/>
              </w:rPr>
              <w:t>0.716</w:t>
            </w:r>
          </w:p>
        </w:tc>
        <w:tc>
          <w:tcPr>
            <w:tcW w:w="1417" w:type="dxa"/>
            <w:vAlign w:val="center"/>
          </w:tcPr>
          <w:p w14:paraId="472CF1D1" w14:textId="77777777" w:rsidR="00B90CE5" w:rsidRPr="007F6C5E" w:rsidRDefault="00B90CE5" w:rsidP="00B90CE5">
            <w:pPr>
              <w:ind w:firstLine="0"/>
              <w:jc w:val="center"/>
              <w:rPr>
                <w:lang w:val="en-GB"/>
              </w:rPr>
            </w:pPr>
            <w:r w:rsidRPr="007F6C5E">
              <w:rPr>
                <w:lang w:val="en-GB"/>
              </w:rPr>
              <w:t>0.070</w:t>
            </w:r>
          </w:p>
        </w:tc>
        <w:tc>
          <w:tcPr>
            <w:tcW w:w="1560" w:type="dxa"/>
            <w:vAlign w:val="center"/>
          </w:tcPr>
          <w:p w14:paraId="2245CAF9" w14:textId="77777777" w:rsidR="00B90CE5" w:rsidRPr="007F6C5E" w:rsidRDefault="00B90CE5" w:rsidP="009E0D69">
            <w:pPr>
              <w:ind w:right="428" w:firstLine="0"/>
              <w:jc w:val="right"/>
              <w:rPr>
                <w:lang w:val="en-GB"/>
              </w:rPr>
            </w:pPr>
            <w:r w:rsidRPr="007F6C5E">
              <w:rPr>
                <w:lang w:val="en-GB"/>
              </w:rPr>
              <w:t>10.263</w:t>
            </w:r>
          </w:p>
        </w:tc>
        <w:tc>
          <w:tcPr>
            <w:tcW w:w="1417" w:type="dxa"/>
            <w:vAlign w:val="center"/>
          </w:tcPr>
          <w:p w14:paraId="6A888972"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130DD633" w14:textId="77777777" w:rsidR="00B90CE5" w:rsidRPr="007F6C5E" w:rsidRDefault="00B90CE5" w:rsidP="00B90CE5">
            <w:pPr>
              <w:ind w:firstLine="0"/>
              <w:jc w:val="center"/>
              <w:rPr>
                <w:lang w:val="en-GB"/>
              </w:rPr>
            </w:pPr>
            <w:r w:rsidRPr="007F6C5E">
              <w:rPr>
                <w:lang w:val="en-GB"/>
              </w:rPr>
              <w:t>1.573</w:t>
            </w:r>
          </w:p>
        </w:tc>
      </w:tr>
      <w:tr w:rsidR="00B90CE5" w:rsidRPr="007F6C5E" w14:paraId="1FBB9BB9" w14:textId="77777777" w:rsidTr="00F11915">
        <w:tc>
          <w:tcPr>
            <w:tcW w:w="2122" w:type="dxa"/>
            <w:vAlign w:val="center"/>
          </w:tcPr>
          <w:p w14:paraId="4DC37161" w14:textId="77777777" w:rsidR="00B90CE5" w:rsidRPr="007F6C5E" w:rsidRDefault="00B90CE5" w:rsidP="00B90CE5">
            <w:pPr>
              <w:ind w:firstLine="0"/>
              <w:rPr>
                <w:lang w:val="en-GB"/>
              </w:rPr>
            </w:pPr>
            <w:r w:rsidRPr="007F6C5E">
              <w:rPr>
                <w:lang w:val="en-GB"/>
              </w:rPr>
              <w:t>CATS2D_01_DA</w:t>
            </w:r>
          </w:p>
        </w:tc>
        <w:tc>
          <w:tcPr>
            <w:tcW w:w="1559" w:type="dxa"/>
            <w:vAlign w:val="center"/>
          </w:tcPr>
          <w:p w14:paraId="5DE174B9" w14:textId="77777777" w:rsidR="00B90CE5" w:rsidRPr="007F6C5E" w:rsidRDefault="00B90CE5" w:rsidP="009E0D69">
            <w:pPr>
              <w:ind w:right="443" w:firstLine="0"/>
              <w:jc w:val="right"/>
              <w:rPr>
                <w:lang w:val="en-GB"/>
              </w:rPr>
            </w:pPr>
            <w:r w:rsidRPr="007F6C5E">
              <w:rPr>
                <w:lang w:val="en-GB"/>
              </w:rPr>
              <w:t>0.636</w:t>
            </w:r>
          </w:p>
        </w:tc>
        <w:tc>
          <w:tcPr>
            <w:tcW w:w="1417" w:type="dxa"/>
            <w:vAlign w:val="center"/>
          </w:tcPr>
          <w:p w14:paraId="2D47B8EC" w14:textId="77777777" w:rsidR="00B90CE5" w:rsidRPr="007F6C5E" w:rsidRDefault="00B90CE5" w:rsidP="00B90CE5">
            <w:pPr>
              <w:ind w:firstLine="0"/>
              <w:jc w:val="center"/>
              <w:rPr>
                <w:lang w:val="en-GB"/>
              </w:rPr>
            </w:pPr>
            <w:r w:rsidRPr="007F6C5E">
              <w:rPr>
                <w:lang w:val="en-GB"/>
              </w:rPr>
              <w:t>0.177</w:t>
            </w:r>
          </w:p>
        </w:tc>
        <w:tc>
          <w:tcPr>
            <w:tcW w:w="1560" w:type="dxa"/>
            <w:vAlign w:val="center"/>
          </w:tcPr>
          <w:p w14:paraId="338DF5CD" w14:textId="77777777" w:rsidR="00B90CE5" w:rsidRPr="007F6C5E" w:rsidRDefault="00B90CE5" w:rsidP="009E0D69">
            <w:pPr>
              <w:ind w:right="428" w:firstLine="0"/>
              <w:jc w:val="right"/>
              <w:rPr>
                <w:lang w:val="en-GB"/>
              </w:rPr>
            </w:pPr>
            <w:r w:rsidRPr="007F6C5E">
              <w:rPr>
                <w:lang w:val="en-GB"/>
              </w:rPr>
              <w:t>3.597</w:t>
            </w:r>
          </w:p>
        </w:tc>
        <w:tc>
          <w:tcPr>
            <w:tcW w:w="1417" w:type="dxa"/>
            <w:vAlign w:val="center"/>
          </w:tcPr>
          <w:p w14:paraId="681B788F"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00ED03E8" w14:textId="77777777" w:rsidR="00B90CE5" w:rsidRPr="007F6C5E" w:rsidRDefault="00B90CE5" w:rsidP="00B90CE5">
            <w:pPr>
              <w:ind w:firstLine="0"/>
              <w:jc w:val="center"/>
              <w:rPr>
                <w:lang w:val="en-GB"/>
              </w:rPr>
            </w:pPr>
            <w:r w:rsidRPr="007F6C5E">
              <w:rPr>
                <w:lang w:val="en-GB"/>
              </w:rPr>
              <w:t>1.023</w:t>
            </w:r>
          </w:p>
        </w:tc>
      </w:tr>
      <w:tr w:rsidR="00B90CE5" w:rsidRPr="007F6C5E" w14:paraId="6E9A3DD7" w14:textId="77777777" w:rsidTr="00F11915">
        <w:tc>
          <w:tcPr>
            <w:tcW w:w="2122" w:type="dxa"/>
            <w:vAlign w:val="center"/>
          </w:tcPr>
          <w:p w14:paraId="7B51C3C6" w14:textId="77777777" w:rsidR="00B90CE5" w:rsidRPr="007F6C5E" w:rsidRDefault="00B90CE5" w:rsidP="00B90CE5">
            <w:pPr>
              <w:ind w:firstLine="0"/>
              <w:rPr>
                <w:lang w:val="en-GB"/>
              </w:rPr>
            </w:pPr>
            <w:proofErr w:type="spellStart"/>
            <w:r w:rsidRPr="007F6C5E">
              <w:rPr>
                <w:lang w:val="en-GB"/>
              </w:rPr>
              <w:t>Eta_betaS_A</w:t>
            </w:r>
            <w:proofErr w:type="spellEnd"/>
          </w:p>
        </w:tc>
        <w:tc>
          <w:tcPr>
            <w:tcW w:w="1559" w:type="dxa"/>
            <w:vAlign w:val="center"/>
          </w:tcPr>
          <w:p w14:paraId="0AD077C9" w14:textId="77777777" w:rsidR="00B90CE5" w:rsidRPr="007F6C5E" w:rsidRDefault="00B90CE5" w:rsidP="009E0D69">
            <w:pPr>
              <w:ind w:right="443" w:firstLine="0"/>
              <w:jc w:val="right"/>
              <w:rPr>
                <w:lang w:val="en-GB"/>
              </w:rPr>
            </w:pPr>
            <w:r w:rsidRPr="007F6C5E">
              <w:rPr>
                <w:lang w:val="en-GB"/>
              </w:rPr>
              <w:t>4.616</w:t>
            </w:r>
          </w:p>
        </w:tc>
        <w:tc>
          <w:tcPr>
            <w:tcW w:w="1417" w:type="dxa"/>
            <w:vAlign w:val="center"/>
          </w:tcPr>
          <w:p w14:paraId="7A9004A7" w14:textId="77777777" w:rsidR="00B90CE5" w:rsidRPr="007F6C5E" w:rsidRDefault="00B90CE5" w:rsidP="00B90CE5">
            <w:pPr>
              <w:ind w:firstLine="0"/>
              <w:jc w:val="center"/>
              <w:rPr>
                <w:lang w:val="en-GB"/>
              </w:rPr>
            </w:pPr>
            <w:r w:rsidRPr="007F6C5E">
              <w:rPr>
                <w:lang w:val="en-GB"/>
              </w:rPr>
              <w:t>0.784</w:t>
            </w:r>
          </w:p>
        </w:tc>
        <w:tc>
          <w:tcPr>
            <w:tcW w:w="1560" w:type="dxa"/>
            <w:vAlign w:val="center"/>
          </w:tcPr>
          <w:p w14:paraId="020F6213" w14:textId="77777777" w:rsidR="00B90CE5" w:rsidRPr="007F6C5E" w:rsidRDefault="00B90CE5" w:rsidP="009E0D69">
            <w:pPr>
              <w:ind w:right="428" w:firstLine="0"/>
              <w:jc w:val="right"/>
              <w:rPr>
                <w:lang w:val="en-GB"/>
              </w:rPr>
            </w:pPr>
            <w:r w:rsidRPr="007F6C5E">
              <w:rPr>
                <w:lang w:val="en-GB"/>
              </w:rPr>
              <w:t>5.889</w:t>
            </w:r>
          </w:p>
        </w:tc>
        <w:tc>
          <w:tcPr>
            <w:tcW w:w="1417" w:type="dxa"/>
            <w:vAlign w:val="center"/>
          </w:tcPr>
          <w:p w14:paraId="2332197E"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5408BF28" w14:textId="77777777" w:rsidR="00B90CE5" w:rsidRPr="007F6C5E" w:rsidRDefault="00B90CE5" w:rsidP="00B90CE5">
            <w:pPr>
              <w:ind w:firstLine="0"/>
              <w:jc w:val="center"/>
              <w:rPr>
                <w:lang w:val="en-GB"/>
              </w:rPr>
            </w:pPr>
            <w:r w:rsidRPr="007F6C5E">
              <w:rPr>
                <w:lang w:val="en-GB"/>
              </w:rPr>
              <w:t>1.747</w:t>
            </w:r>
          </w:p>
        </w:tc>
      </w:tr>
      <w:tr w:rsidR="00B90CE5" w:rsidRPr="007F6C5E" w14:paraId="60D4EA91" w14:textId="77777777" w:rsidTr="00F11915">
        <w:tc>
          <w:tcPr>
            <w:tcW w:w="2122" w:type="dxa"/>
            <w:vAlign w:val="center"/>
          </w:tcPr>
          <w:p w14:paraId="2E4358EB" w14:textId="77777777" w:rsidR="00B90CE5" w:rsidRPr="007F6C5E" w:rsidRDefault="00B90CE5" w:rsidP="00B90CE5">
            <w:pPr>
              <w:ind w:firstLine="0"/>
              <w:rPr>
                <w:lang w:val="en-GB"/>
              </w:rPr>
            </w:pPr>
            <w:r w:rsidRPr="007F6C5E">
              <w:rPr>
                <w:lang w:val="en-GB"/>
              </w:rPr>
              <w:t>O%</w:t>
            </w:r>
          </w:p>
        </w:tc>
        <w:tc>
          <w:tcPr>
            <w:tcW w:w="1559" w:type="dxa"/>
            <w:vAlign w:val="center"/>
          </w:tcPr>
          <w:p w14:paraId="68B6F3EE" w14:textId="77777777" w:rsidR="00B90CE5" w:rsidRPr="007F6C5E" w:rsidRDefault="00B90CE5" w:rsidP="009E0D69">
            <w:pPr>
              <w:ind w:right="443" w:firstLine="0"/>
              <w:jc w:val="right"/>
              <w:rPr>
                <w:lang w:val="en-GB"/>
              </w:rPr>
            </w:pPr>
            <w:r w:rsidRPr="007F6C5E">
              <w:rPr>
                <w:lang w:val="en-GB"/>
              </w:rPr>
              <w:t>-0.034</w:t>
            </w:r>
          </w:p>
        </w:tc>
        <w:tc>
          <w:tcPr>
            <w:tcW w:w="1417" w:type="dxa"/>
            <w:vAlign w:val="center"/>
          </w:tcPr>
          <w:p w14:paraId="4DB8D304" w14:textId="77777777" w:rsidR="00B90CE5" w:rsidRPr="007F6C5E" w:rsidRDefault="00B90CE5" w:rsidP="00B90CE5">
            <w:pPr>
              <w:ind w:firstLine="0"/>
              <w:jc w:val="center"/>
              <w:rPr>
                <w:lang w:val="en-GB"/>
              </w:rPr>
            </w:pPr>
            <w:r w:rsidRPr="007F6C5E">
              <w:rPr>
                <w:lang w:val="en-GB"/>
              </w:rPr>
              <w:t>0.006</w:t>
            </w:r>
          </w:p>
        </w:tc>
        <w:tc>
          <w:tcPr>
            <w:tcW w:w="1560" w:type="dxa"/>
            <w:vAlign w:val="center"/>
          </w:tcPr>
          <w:p w14:paraId="46842D53" w14:textId="77777777" w:rsidR="00B90CE5" w:rsidRPr="007F6C5E" w:rsidRDefault="00B90CE5" w:rsidP="009E0D69">
            <w:pPr>
              <w:ind w:right="428" w:firstLine="0"/>
              <w:jc w:val="right"/>
              <w:rPr>
                <w:lang w:val="en-GB"/>
              </w:rPr>
            </w:pPr>
            <w:r w:rsidRPr="007F6C5E">
              <w:rPr>
                <w:lang w:val="en-GB"/>
              </w:rPr>
              <w:t>-5.355</w:t>
            </w:r>
          </w:p>
        </w:tc>
        <w:tc>
          <w:tcPr>
            <w:tcW w:w="1417" w:type="dxa"/>
            <w:vAlign w:val="center"/>
          </w:tcPr>
          <w:p w14:paraId="57CBA011"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39C8A0FD" w14:textId="77777777" w:rsidR="00B90CE5" w:rsidRPr="007F6C5E" w:rsidRDefault="00B90CE5" w:rsidP="00B90CE5">
            <w:pPr>
              <w:ind w:firstLine="0"/>
              <w:jc w:val="center"/>
              <w:rPr>
                <w:lang w:val="en-GB"/>
              </w:rPr>
            </w:pPr>
            <w:r w:rsidRPr="007F6C5E">
              <w:rPr>
                <w:lang w:val="en-GB"/>
              </w:rPr>
              <w:t>1.706</w:t>
            </w:r>
          </w:p>
        </w:tc>
      </w:tr>
      <w:tr w:rsidR="00B90CE5" w:rsidRPr="007F6C5E" w14:paraId="28CE67F1" w14:textId="77777777" w:rsidTr="00F11915">
        <w:tc>
          <w:tcPr>
            <w:tcW w:w="2122" w:type="dxa"/>
            <w:vAlign w:val="center"/>
          </w:tcPr>
          <w:p w14:paraId="6337A2A7" w14:textId="77777777" w:rsidR="00B90CE5" w:rsidRPr="007F6C5E" w:rsidRDefault="00B90CE5" w:rsidP="00B90CE5">
            <w:pPr>
              <w:ind w:firstLine="0"/>
              <w:rPr>
                <w:lang w:val="en-GB"/>
              </w:rPr>
            </w:pPr>
            <w:r w:rsidRPr="007F6C5E">
              <w:rPr>
                <w:lang w:val="en-GB"/>
              </w:rPr>
              <w:t>DLS_03</w:t>
            </w:r>
          </w:p>
        </w:tc>
        <w:tc>
          <w:tcPr>
            <w:tcW w:w="1559" w:type="dxa"/>
            <w:vAlign w:val="center"/>
          </w:tcPr>
          <w:p w14:paraId="6867C2AC" w14:textId="77777777" w:rsidR="00B90CE5" w:rsidRPr="007F6C5E" w:rsidRDefault="00B90CE5" w:rsidP="009E0D69">
            <w:pPr>
              <w:ind w:right="443" w:firstLine="0"/>
              <w:jc w:val="right"/>
              <w:rPr>
                <w:lang w:val="en-GB"/>
              </w:rPr>
            </w:pPr>
            <w:r w:rsidRPr="007F6C5E">
              <w:rPr>
                <w:lang w:val="en-GB"/>
              </w:rPr>
              <w:t>-1.225</w:t>
            </w:r>
          </w:p>
        </w:tc>
        <w:tc>
          <w:tcPr>
            <w:tcW w:w="1417" w:type="dxa"/>
            <w:vAlign w:val="center"/>
          </w:tcPr>
          <w:p w14:paraId="6FA430CD" w14:textId="77777777" w:rsidR="00B90CE5" w:rsidRPr="007F6C5E" w:rsidRDefault="00B90CE5" w:rsidP="00B90CE5">
            <w:pPr>
              <w:ind w:firstLine="0"/>
              <w:jc w:val="center"/>
              <w:rPr>
                <w:lang w:val="en-GB"/>
              </w:rPr>
            </w:pPr>
            <w:r w:rsidRPr="007F6C5E">
              <w:rPr>
                <w:lang w:val="en-GB"/>
              </w:rPr>
              <w:t>0.367</w:t>
            </w:r>
          </w:p>
        </w:tc>
        <w:tc>
          <w:tcPr>
            <w:tcW w:w="1560" w:type="dxa"/>
            <w:vAlign w:val="center"/>
          </w:tcPr>
          <w:p w14:paraId="08F10D08" w14:textId="77777777" w:rsidR="00B90CE5" w:rsidRPr="007F6C5E" w:rsidRDefault="00B90CE5" w:rsidP="009E0D69">
            <w:pPr>
              <w:ind w:right="428" w:firstLine="0"/>
              <w:jc w:val="right"/>
              <w:rPr>
                <w:lang w:val="en-GB"/>
              </w:rPr>
            </w:pPr>
            <w:r w:rsidRPr="007F6C5E">
              <w:rPr>
                <w:lang w:val="en-GB"/>
              </w:rPr>
              <w:t>-3.340</w:t>
            </w:r>
          </w:p>
        </w:tc>
        <w:tc>
          <w:tcPr>
            <w:tcW w:w="1417" w:type="dxa"/>
            <w:vAlign w:val="center"/>
          </w:tcPr>
          <w:p w14:paraId="228D9665" w14:textId="77777777" w:rsidR="00B90CE5" w:rsidRPr="007F6C5E" w:rsidRDefault="00B90CE5" w:rsidP="00B90CE5">
            <w:pPr>
              <w:ind w:firstLine="0"/>
              <w:jc w:val="center"/>
              <w:rPr>
                <w:lang w:val="en-GB"/>
              </w:rPr>
            </w:pPr>
            <w:r w:rsidRPr="007F6C5E">
              <w:rPr>
                <w:lang w:val="en-GB"/>
              </w:rPr>
              <w:t>0.001</w:t>
            </w:r>
          </w:p>
        </w:tc>
        <w:tc>
          <w:tcPr>
            <w:tcW w:w="1559" w:type="dxa"/>
            <w:vAlign w:val="center"/>
          </w:tcPr>
          <w:p w14:paraId="2CCF53CB" w14:textId="77777777" w:rsidR="00B90CE5" w:rsidRPr="007F6C5E" w:rsidRDefault="00B90CE5" w:rsidP="00B90CE5">
            <w:pPr>
              <w:ind w:firstLine="0"/>
              <w:jc w:val="center"/>
              <w:rPr>
                <w:lang w:val="en-GB"/>
              </w:rPr>
            </w:pPr>
            <w:r w:rsidRPr="007F6C5E">
              <w:rPr>
                <w:lang w:val="en-GB"/>
              </w:rPr>
              <w:t>1.295</w:t>
            </w:r>
          </w:p>
        </w:tc>
      </w:tr>
      <w:tr w:rsidR="00B90CE5" w:rsidRPr="007F6C5E" w14:paraId="48067AE9" w14:textId="77777777" w:rsidTr="00F11915">
        <w:tc>
          <w:tcPr>
            <w:tcW w:w="2122" w:type="dxa"/>
            <w:vAlign w:val="center"/>
          </w:tcPr>
          <w:p w14:paraId="1176502F" w14:textId="77777777" w:rsidR="00B90CE5" w:rsidRPr="007F6C5E" w:rsidRDefault="00B90CE5" w:rsidP="00B90CE5">
            <w:pPr>
              <w:ind w:firstLine="0"/>
              <w:rPr>
                <w:lang w:val="en-GB"/>
              </w:rPr>
            </w:pPr>
            <w:r w:rsidRPr="007F6C5E">
              <w:rPr>
                <w:lang w:val="en-GB"/>
              </w:rPr>
              <w:t>B03[N-P]</w:t>
            </w:r>
          </w:p>
        </w:tc>
        <w:tc>
          <w:tcPr>
            <w:tcW w:w="1559" w:type="dxa"/>
            <w:vAlign w:val="center"/>
          </w:tcPr>
          <w:p w14:paraId="02EEE76E" w14:textId="77777777" w:rsidR="00B90CE5" w:rsidRPr="007F6C5E" w:rsidRDefault="00B90CE5" w:rsidP="009E0D69">
            <w:pPr>
              <w:ind w:right="443" w:firstLine="0"/>
              <w:jc w:val="right"/>
              <w:rPr>
                <w:lang w:val="en-GB"/>
              </w:rPr>
            </w:pPr>
            <w:r w:rsidRPr="007F6C5E">
              <w:rPr>
                <w:lang w:val="en-GB"/>
              </w:rPr>
              <w:t>-1.384</w:t>
            </w:r>
          </w:p>
        </w:tc>
        <w:tc>
          <w:tcPr>
            <w:tcW w:w="1417" w:type="dxa"/>
            <w:vAlign w:val="center"/>
          </w:tcPr>
          <w:p w14:paraId="22311DF6" w14:textId="77777777" w:rsidR="00B90CE5" w:rsidRPr="007F6C5E" w:rsidRDefault="00B90CE5" w:rsidP="00B90CE5">
            <w:pPr>
              <w:ind w:firstLine="0"/>
              <w:jc w:val="center"/>
              <w:rPr>
                <w:lang w:val="en-GB"/>
              </w:rPr>
            </w:pPr>
            <w:r w:rsidRPr="007F6C5E">
              <w:rPr>
                <w:lang w:val="en-GB"/>
              </w:rPr>
              <w:t>0.245</w:t>
            </w:r>
          </w:p>
        </w:tc>
        <w:tc>
          <w:tcPr>
            <w:tcW w:w="1560" w:type="dxa"/>
            <w:vAlign w:val="center"/>
          </w:tcPr>
          <w:p w14:paraId="51572648" w14:textId="77777777" w:rsidR="00B90CE5" w:rsidRPr="007F6C5E" w:rsidRDefault="00B90CE5" w:rsidP="009E0D69">
            <w:pPr>
              <w:ind w:right="428" w:firstLine="0"/>
              <w:jc w:val="right"/>
              <w:rPr>
                <w:lang w:val="en-GB"/>
              </w:rPr>
            </w:pPr>
            <w:r w:rsidRPr="007F6C5E">
              <w:rPr>
                <w:lang w:val="en-GB"/>
              </w:rPr>
              <w:t>-5.638</w:t>
            </w:r>
          </w:p>
        </w:tc>
        <w:tc>
          <w:tcPr>
            <w:tcW w:w="1417" w:type="dxa"/>
            <w:vAlign w:val="center"/>
          </w:tcPr>
          <w:p w14:paraId="176486AE" w14:textId="77777777" w:rsidR="00B90CE5" w:rsidRPr="007F6C5E" w:rsidRDefault="00B90CE5" w:rsidP="00B90CE5">
            <w:pPr>
              <w:ind w:firstLine="0"/>
              <w:jc w:val="center"/>
              <w:rPr>
                <w:lang w:val="en-GB"/>
              </w:rPr>
            </w:pPr>
            <w:r w:rsidRPr="007F6C5E">
              <w:rPr>
                <w:lang w:val="en-GB"/>
              </w:rPr>
              <w:t>0.000</w:t>
            </w:r>
          </w:p>
        </w:tc>
        <w:tc>
          <w:tcPr>
            <w:tcW w:w="1559" w:type="dxa"/>
            <w:vAlign w:val="center"/>
          </w:tcPr>
          <w:p w14:paraId="068F719E" w14:textId="77777777" w:rsidR="00B90CE5" w:rsidRPr="007F6C5E" w:rsidRDefault="00B90CE5" w:rsidP="00B90CE5">
            <w:pPr>
              <w:ind w:firstLine="0"/>
              <w:jc w:val="center"/>
              <w:rPr>
                <w:lang w:val="en-GB"/>
              </w:rPr>
            </w:pPr>
            <w:r w:rsidRPr="007F6C5E">
              <w:rPr>
                <w:lang w:val="en-GB"/>
              </w:rPr>
              <w:t>1.271</w:t>
            </w:r>
          </w:p>
        </w:tc>
      </w:tr>
      <w:tr w:rsidR="00B90CE5" w:rsidRPr="007F6C5E" w14:paraId="199F79CF" w14:textId="77777777" w:rsidTr="00F11915">
        <w:tc>
          <w:tcPr>
            <w:tcW w:w="2122" w:type="dxa"/>
            <w:vAlign w:val="center"/>
          </w:tcPr>
          <w:p w14:paraId="3BA6258B" w14:textId="77777777" w:rsidR="00B90CE5" w:rsidRPr="007F6C5E" w:rsidRDefault="00B90CE5" w:rsidP="00B90CE5">
            <w:pPr>
              <w:ind w:firstLine="0"/>
              <w:rPr>
                <w:lang w:val="en-GB"/>
              </w:rPr>
            </w:pPr>
            <w:r w:rsidRPr="007F6C5E">
              <w:rPr>
                <w:lang w:val="en-GB"/>
              </w:rPr>
              <w:t>CATS2D_06_PL</w:t>
            </w:r>
          </w:p>
        </w:tc>
        <w:tc>
          <w:tcPr>
            <w:tcW w:w="1559" w:type="dxa"/>
            <w:vAlign w:val="center"/>
          </w:tcPr>
          <w:p w14:paraId="6FFB2AB9" w14:textId="77777777" w:rsidR="00B90CE5" w:rsidRPr="007F6C5E" w:rsidRDefault="00B90CE5" w:rsidP="009E0D69">
            <w:pPr>
              <w:ind w:right="443" w:firstLine="0"/>
              <w:jc w:val="right"/>
              <w:rPr>
                <w:lang w:val="en-GB"/>
              </w:rPr>
            </w:pPr>
            <w:r w:rsidRPr="007F6C5E">
              <w:rPr>
                <w:lang w:val="en-GB"/>
              </w:rPr>
              <w:t>0.259</w:t>
            </w:r>
          </w:p>
        </w:tc>
        <w:tc>
          <w:tcPr>
            <w:tcW w:w="1417" w:type="dxa"/>
            <w:vAlign w:val="center"/>
          </w:tcPr>
          <w:p w14:paraId="11A2E442" w14:textId="77777777" w:rsidR="00B90CE5" w:rsidRPr="007F6C5E" w:rsidRDefault="00B90CE5" w:rsidP="00B90CE5">
            <w:pPr>
              <w:ind w:firstLine="0"/>
              <w:jc w:val="center"/>
              <w:rPr>
                <w:lang w:val="en-GB"/>
              </w:rPr>
            </w:pPr>
            <w:r w:rsidRPr="007F6C5E">
              <w:rPr>
                <w:lang w:val="en-GB"/>
              </w:rPr>
              <w:t>0.083</w:t>
            </w:r>
          </w:p>
        </w:tc>
        <w:tc>
          <w:tcPr>
            <w:tcW w:w="1560" w:type="dxa"/>
            <w:vAlign w:val="center"/>
          </w:tcPr>
          <w:p w14:paraId="311B84EE" w14:textId="77777777" w:rsidR="00B90CE5" w:rsidRPr="007F6C5E" w:rsidRDefault="00B90CE5" w:rsidP="009E0D69">
            <w:pPr>
              <w:ind w:right="428" w:firstLine="0"/>
              <w:jc w:val="right"/>
              <w:rPr>
                <w:lang w:val="en-GB"/>
              </w:rPr>
            </w:pPr>
            <w:r w:rsidRPr="007F6C5E">
              <w:rPr>
                <w:lang w:val="en-GB"/>
              </w:rPr>
              <w:t>3.112</w:t>
            </w:r>
          </w:p>
        </w:tc>
        <w:tc>
          <w:tcPr>
            <w:tcW w:w="1417" w:type="dxa"/>
            <w:vAlign w:val="center"/>
          </w:tcPr>
          <w:p w14:paraId="07C766D8" w14:textId="77777777" w:rsidR="00B90CE5" w:rsidRPr="007F6C5E" w:rsidRDefault="00B90CE5" w:rsidP="00B90CE5">
            <w:pPr>
              <w:ind w:firstLine="0"/>
              <w:jc w:val="center"/>
              <w:rPr>
                <w:lang w:val="en-GB"/>
              </w:rPr>
            </w:pPr>
            <w:r w:rsidRPr="007F6C5E">
              <w:rPr>
                <w:lang w:val="en-GB"/>
              </w:rPr>
              <w:t>0.002</w:t>
            </w:r>
          </w:p>
        </w:tc>
        <w:tc>
          <w:tcPr>
            <w:tcW w:w="1559" w:type="dxa"/>
            <w:vAlign w:val="center"/>
          </w:tcPr>
          <w:p w14:paraId="07C131C8" w14:textId="77777777" w:rsidR="00B90CE5" w:rsidRPr="007F6C5E" w:rsidRDefault="00B90CE5" w:rsidP="00B90CE5">
            <w:pPr>
              <w:ind w:firstLine="0"/>
              <w:jc w:val="center"/>
              <w:rPr>
                <w:lang w:val="en-GB"/>
              </w:rPr>
            </w:pPr>
            <w:r w:rsidRPr="007F6C5E">
              <w:rPr>
                <w:lang w:val="en-GB"/>
              </w:rPr>
              <w:t>1.303</w:t>
            </w:r>
          </w:p>
        </w:tc>
      </w:tr>
      <w:tr w:rsidR="00B90CE5" w:rsidRPr="007F6C5E" w14:paraId="50F3AF81" w14:textId="77777777" w:rsidTr="00F11915">
        <w:tc>
          <w:tcPr>
            <w:tcW w:w="2122" w:type="dxa"/>
            <w:vAlign w:val="center"/>
          </w:tcPr>
          <w:p w14:paraId="1610BDDD" w14:textId="77777777" w:rsidR="00B90CE5" w:rsidRPr="007F6C5E" w:rsidRDefault="00B90CE5" w:rsidP="00B90CE5">
            <w:pPr>
              <w:ind w:firstLine="0"/>
              <w:rPr>
                <w:lang w:val="en-GB"/>
              </w:rPr>
            </w:pPr>
            <w:r w:rsidRPr="007F6C5E">
              <w:rPr>
                <w:lang w:val="en-GB"/>
              </w:rPr>
              <w:t>SaasN</w:t>
            </w:r>
          </w:p>
        </w:tc>
        <w:tc>
          <w:tcPr>
            <w:tcW w:w="1559" w:type="dxa"/>
            <w:vAlign w:val="center"/>
          </w:tcPr>
          <w:p w14:paraId="1B507B96" w14:textId="77777777" w:rsidR="00B90CE5" w:rsidRPr="007F6C5E" w:rsidRDefault="00B90CE5" w:rsidP="009E0D69">
            <w:pPr>
              <w:ind w:right="443" w:firstLine="0"/>
              <w:jc w:val="right"/>
              <w:rPr>
                <w:lang w:val="en-GB"/>
              </w:rPr>
            </w:pPr>
            <w:r w:rsidRPr="007F6C5E">
              <w:rPr>
                <w:lang w:val="en-GB"/>
              </w:rPr>
              <w:t>-0.332</w:t>
            </w:r>
          </w:p>
        </w:tc>
        <w:tc>
          <w:tcPr>
            <w:tcW w:w="1417" w:type="dxa"/>
            <w:vAlign w:val="center"/>
          </w:tcPr>
          <w:p w14:paraId="79A1FB16" w14:textId="77777777" w:rsidR="00B90CE5" w:rsidRPr="007F6C5E" w:rsidRDefault="00B90CE5" w:rsidP="00B90CE5">
            <w:pPr>
              <w:ind w:firstLine="0"/>
              <w:jc w:val="center"/>
              <w:rPr>
                <w:lang w:val="en-GB"/>
              </w:rPr>
            </w:pPr>
            <w:r w:rsidRPr="007F6C5E">
              <w:rPr>
                <w:lang w:val="en-GB"/>
              </w:rPr>
              <w:t>0.100</w:t>
            </w:r>
          </w:p>
        </w:tc>
        <w:tc>
          <w:tcPr>
            <w:tcW w:w="1560" w:type="dxa"/>
            <w:vAlign w:val="center"/>
          </w:tcPr>
          <w:p w14:paraId="562A73C7" w14:textId="77777777" w:rsidR="00B90CE5" w:rsidRPr="007F6C5E" w:rsidRDefault="00B90CE5" w:rsidP="009E0D69">
            <w:pPr>
              <w:ind w:right="428" w:firstLine="0"/>
              <w:jc w:val="right"/>
              <w:rPr>
                <w:lang w:val="en-GB"/>
              </w:rPr>
            </w:pPr>
            <w:r w:rsidRPr="007F6C5E">
              <w:rPr>
                <w:lang w:val="en-GB"/>
              </w:rPr>
              <w:t>-3.304</w:t>
            </w:r>
          </w:p>
        </w:tc>
        <w:tc>
          <w:tcPr>
            <w:tcW w:w="1417" w:type="dxa"/>
            <w:vAlign w:val="center"/>
          </w:tcPr>
          <w:p w14:paraId="35A86BA4" w14:textId="77777777" w:rsidR="00B90CE5" w:rsidRPr="007F6C5E" w:rsidRDefault="00B90CE5" w:rsidP="00B90CE5">
            <w:pPr>
              <w:ind w:firstLine="0"/>
              <w:jc w:val="center"/>
              <w:rPr>
                <w:lang w:val="en-GB"/>
              </w:rPr>
            </w:pPr>
            <w:r w:rsidRPr="007F6C5E">
              <w:rPr>
                <w:lang w:val="en-GB"/>
              </w:rPr>
              <w:t>0.001</w:t>
            </w:r>
          </w:p>
        </w:tc>
        <w:tc>
          <w:tcPr>
            <w:tcW w:w="1559" w:type="dxa"/>
            <w:vAlign w:val="center"/>
          </w:tcPr>
          <w:p w14:paraId="19363DF5" w14:textId="77777777" w:rsidR="00B90CE5" w:rsidRPr="007F6C5E" w:rsidRDefault="00B90CE5" w:rsidP="00B90CE5">
            <w:pPr>
              <w:ind w:firstLine="0"/>
              <w:jc w:val="center"/>
              <w:rPr>
                <w:lang w:val="en-GB"/>
              </w:rPr>
            </w:pPr>
            <w:r w:rsidRPr="007F6C5E">
              <w:rPr>
                <w:lang w:val="en-GB"/>
              </w:rPr>
              <w:t>1.414</w:t>
            </w:r>
          </w:p>
        </w:tc>
      </w:tr>
    </w:tbl>
    <w:p w14:paraId="4153CEA6" w14:textId="77777777" w:rsidR="008D20CD" w:rsidRPr="007F6C5E" w:rsidRDefault="008D20CD" w:rsidP="008D20CD">
      <w:pPr>
        <w:ind w:firstLine="284"/>
        <w:jc w:val="both"/>
        <w:rPr>
          <w:lang w:val="en-GB"/>
        </w:rPr>
      </w:pPr>
    </w:p>
    <w:p w14:paraId="472B87C0" w14:textId="77777777" w:rsidR="008D20CD" w:rsidRPr="007F6C5E" w:rsidRDefault="008D20CD" w:rsidP="00B90CE5">
      <w:pPr>
        <w:pStyle w:val="Rn2"/>
        <w:rPr>
          <w:lang w:val="en-GB"/>
        </w:rPr>
      </w:pPr>
      <w:r w:rsidRPr="007F6C5E">
        <w:rPr>
          <w:lang w:val="en-GB"/>
        </w:rPr>
        <w:t>3.2. GRNN model</w:t>
      </w:r>
    </w:p>
    <w:p w14:paraId="6C03BB98" w14:textId="106433F2" w:rsidR="008D20CD" w:rsidRPr="007F6C5E" w:rsidRDefault="008D20CD" w:rsidP="008D20CD">
      <w:pPr>
        <w:ind w:firstLine="284"/>
        <w:jc w:val="both"/>
        <w:rPr>
          <w:lang w:val="en-GB"/>
        </w:rPr>
      </w:pPr>
      <w:r w:rsidRPr="007F6C5E">
        <w:rPr>
          <w:lang w:val="en-GB"/>
        </w:rPr>
        <w:t>The 20 molecular descriptors in the optimal descriptor subset were used as independent variables</w:t>
      </w:r>
      <w:r w:rsidR="008B1F23">
        <w:rPr>
          <w:lang w:val="en-GB"/>
        </w:rPr>
        <w:t>,</w:t>
      </w:r>
      <w:r w:rsidRPr="007F6C5E">
        <w:rPr>
          <w:lang w:val="en-GB"/>
        </w:rPr>
        <w:t xml:space="preserve"> and the toxicity logLC</w:t>
      </w:r>
      <w:r w:rsidRPr="007F6C5E">
        <w:rPr>
          <w:vertAlign w:val="subscript"/>
          <w:lang w:val="en-GB"/>
        </w:rPr>
        <w:t>50</w:t>
      </w:r>
      <w:r w:rsidRPr="007F6C5E">
        <w:rPr>
          <w:lang w:val="en-GB"/>
        </w:rPr>
        <w:t xml:space="preserve"> w</w:t>
      </w:r>
      <w:r w:rsidR="008B1F23">
        <w:rPr>
          <w:lang w:val="en-GB"/>
        </w:rPr>
        <w:t>as</w:t>
      </w:r>
      <w:r w:rsidRPr="007F6C5E">
        <w:rPr>
          <w:lang w:val="en-GB"/>
        </w:rPr>
        <w:t xml:space="preserve"> used as the dependent variable to develop GRNN models from 774 pesticides in the training set by applying MATLAB R2014a. The spread parameter </w:t>
      </w:r>
      <w:r w:rsidRPr="009D7ADE">
        <w:rPr>
          <w:i/>
          <w:iCs/>
          <w:lang w:val="en-GB"/>
        </w:rPr>
        <w:t>σ</w:t>
      </w:r>
      <w:r w:rsidRPr="007F6C5E">
        <w:rPr>
          <w:lang w:val="en-GB"/>
        </w:rPr>
        <w:t xml:space="preserve"> varying in the range of 0.01-0.15 with the step of 0.01 resulted in </w:t>
      </w:r>
      <w:r w:rsidRPr="009D7ADE">
        <w:rPr>
          <w:i/>
          <w:iCs/>
          <w:lang w:val="en-GB"/>
        </w:rPr>
        <w:t>rms</w:t>
      </w:r>
      <w:r w:rsidRPr="007F6C5E">
        <w:rPr>
          <w:lang w:val="en-GB"/>
        </w:rPr>
        <w:t xml:space="preserve"> errors for the validation set, which are depicted in Fig. 2. As is shown, the optimal GRNN model with the SPREAD parameter </w:t>
      </w:r>
      <w:r w:rsidRPr="009D7ADE">
        <w:rPr>
          <w:i/>
          <w:iCs/>
          <w:lang w:val="en-GB"/>
        </w:rPr>
        <w:t>σ</w:t>
      </w:r>
      <w:r w:rsidRPr="007F6C5E">
        <w:rPr>
          <w:lang w:val="en-GB"/>
        </w:rPr>
        <w:t xml:space="preserve"> being 0.11 has the minimum </w:t>
      </w:r>
      <w:r w:rsidRPr="009D7ADE">
        <w:rPr>
          <w:i/>
          <w:iCs/>
          <w:lang w:val="en-GB"/>
        </w:rPr>
        <w:t>rms</w:t>
      </w:r>
      <w:r w:rsidRPr="007F6C5E">
        <w:rPr>
          <w:lang w:val="en-GB"/>
        </w:rPr>
        <w:t xml:space="preserve"> error of 0.7486 (log units). Then, 166 logLC</w:t>
      </w:r>
      <w:r w:rsidRPr="007F6C5E">
        <w:rPr>
          <w:vertAlign w:val="subscript"/>
          <w:lang w:val="en-GB"/>
        </w:rPr>
        <w:t>50</w:t>
      </w:r>
      <w:r w:rsidRPr="007F6C5E">
        <w:rPr>
          <w:lang w:val="en-GB"/>
        </w:rPr>
        <w:t xml:space="preserve"> of pesticides on fishes in the test set were adopted to assess the optimal GRNN model </w:t>
      </w:r>
      <w:r w:rsidR="00963312">
        <w:rPr>
          <w:lang w:val="en-GB"/>
        </w:rPr>
        <w:br/>
      </w:r>
      <w:r w:rsidRPr="007F6C5E">
        <w:rPr>
          <w:lang w:val="en-GB"/>
        </w:rPr>
        <w:t>(</w:t>
      </w:r>
      <w:r w:rsidRPr="00092757">
        <w:rPr>
          <w:i/>
          <w:iCs/>
          <w:lang w:val="en-GB"/>
        </w:rPr>
        <w:t>σ</w:t>
      </w:r>
      <w:r w:rsidRPr="007F6C5E">
        <w:rPr>
          <w:lang w:val="en-GB"/>
        </w:rPr>
        <w:t xml:space="preserve"> =</w:t>
      </w:r>
      <w:r w:rsidR="008932F6">
        <w:rPr>
          <w:lang w:val="en-GB"/>
        </w:rPr>
        <w:t xml:space="preserve"> </w:t>
      </w:r>
      <w:r w:rsidRPr="007F6C5E">
        <w:rPr>
          <w:lang w:val="en-GB"/>
        </w:rPr>
        <w:t>0.11). The calculated logLC</w:t>
      </w:r>
      <w:r w:rsidRPr="007F6C5E">
        <w:rPr>
          <w:vertAlign w:val="subscript"/>
          <w:lang w:val="en-GB"/>
        </w:rPr>
        <w:t>50</w:t>
      </w:r>
      <w:r w:rsidRPr="007F6C5E">
        <w:rPr>
          <w:lang w:val="en-GB"/>
        </w:rPr>
        <w:t xml:space="preserve"> values are listed in Table S1 in </w:t>
      </w:r>
      <w:r w:rsidR="008B1F23">
        <w:rPr>
          <w:lang w:val="en-GB"/>
        </w:rPr>
        <w:t xml:space="preserve">the </w:t>
      </w:r>
      <w:r w:rsidRPr="007F6C5E">
        <w:rPr>
          <w:lang w:val="en-GB"/>
        </w:rPr>
        <w:t>Supplemental file and shown in Fig. 3.</w:t>
      </w:r>
    </w:p>
    <w:p w14:paraId="508F096F" w14:textId="77777777" w:rsidR="00B90CE5" w:rsidRPr="007F6C5E" w:rsidRDefault="00B90CE5" w:rsidP="008D20CD">
      <w:pPr>
        <w:ind w:firstLine="284"/>
        <w:jc w:val="both"/>
        <w:rPr>
          <w:lang w:val="en-GB"/>
        </w:rPr>
      </w:pPr>
    </w:p>
    <w:p w14:paraId="6640B72B" w14:textId="5A682418" w:rsidR="008D20CD" w:rsidRPr="007F6C5E" w:rsidRDefault="00F03717" w:rsidP="00B90CE5">
      <w:pPr>
        <w:ind w:firstLine="0"/>
        <w:jc w:val="center"/>
        <w:rPr>
          <w:lang w:val="en-GB"/>
        </w:rPr>
      </w:pPr>
      <w:r w:rsidRPr="007F6C5E">
        <w:rPr>
          <w:rFonts w:cs="Times New Roman"/>
          <w:sz w:val="20"/>
          <w:szCs w:val="20"/>
          <w:lang w:val="en-GB"/>
        </w:rPr>
        <w:object w:dxaOrig="10977" w:dyaOrig="7992" w14:anchorId="454D6110">
          <v:shape id="_x0000_i1026" type="#_x0000_t75" style="width:305.05pt;height:221.85pt" o:ole="">
            <v:imagedata r:id="rId9" o:title=""/>
          </v:shape>
          <o:OLEObject Type="Embed" ProgID="Origin50.Graph" ShapeID="_x0000_i1026" DrawAspect="Content" ObjectID="_1782023694" r:id="rId10"/>
        </w:object>
      </w:r>
    </w:p>
    <w:p w14:paraId="5BBFDDB0" w14:textId="58238963" w:rsidR="008D20CD" w:rsidRPr="007F6C5E" w:rsidRDefault="008D20CD" w:rsidP="00B90CE5">
      <w:pPr>
        <w:pStyle w:val="Rrys"/>
        <w:rPr>
          <w:lang w:val="en-GB"/>
        </w:rPr>
      </w:pPr>
      <w:r w:rsidRPr="007F6C5E">
        <w:rPr>
          <w:b/>
          <w:bCs/>
          <w:lang w:val="en-GB"/>
        </w:rPr>
        <w:t>Fig. 2.</w:t>
      </w:r>
      <w:r w:rsidRPr="007F6C5E">
        <w:rPr>
          <w:lang w:val="en-GB"/>
        </w:rPr>
        <w:t xml:space="preserve"> Relationship between spread parameters and rms errors in the validation set</w:t>
      </w:r>
    </w:p>
    <w:p w14:paraId="6AA88672" w14:textId="7B8D634C" w:rsidR="008D20CD" w:rsidRPr="007F6C5E" w:rsidRDefault="008D20CD" w:rsidP="008D20CD">
      <w:pPr>
        <w:ind w:firstLine="284"/>
        <w:jc w:val="both"/>
        <w:rPr>
          <w:lang w:val="en-GB"/>
        </w:rPr>
      </w:pPr>
    </w:p>
    <w:p w14:paraId="69C6FC5C" w14:textId="55EE50B0" w:rsidR="00B90CE5" w:rsidRPr="007F6C5E" w:rsidRDefault="00F03717" w:rsidP="00B90CE5">
      <w:pPr>
        <w:ind w:firstLine="0"/>
        <w:jc w:val="center"/>
        <w:rPr>
          <w:lang w:val="en-GB"/>
        </w:rPr>
      </w:pPr>
      <w:r w:rsidRPr="007F6C5E">
        <w:rPr>
          <w:rFonts w:cs="Times New Roman"/>
          <w:sz w:val="20"/>
          <w:szCs w:val="20"/>
          <w:lang w:val="en-GB"/>
        </w:rPr>
        <w:object w:dxaOrig="10497" w:dyaOrig="8314" w14:anchorId="57BD7F11">
          <v:shape id="_x0000_i1027" type="#_x0000_t75" style="width:295.5pt;height:233.05pt" o:ole="">
            <v:imagedata r:id="rId11" o:title=""/>
          </v:shape>
          <o:OLEObject Type="Embed" ProgID="Origin50.Graph" ShapeID="_x0000_i1027" DrawAspect="Content" ObjectID="_1782023695" r:id="rId12"/>
        </w:object>
      </w:r>
    </w:p>
    <w:p w14:paraId="5E3AB7A0" w14:textId="43E2354C" w:rsidR="008D20CD" w:rsidRPr="007F6C5E" w:rsidRDefault="008D20CD" w:rsidP="00B90CE5">
      <w:pPr>
        <w:pStyle w:val="Rrys"/>
        <w:rPr>
          <w:lang w:val="en-GB"/>
        </w:rPr>
      </w:pPr>
      <w:r w:rsidRPr="007F6C5E">
        <w:rPr>
          <w:b/>
          <w:bCs/>
          <w:lang w:val="en-GB"/>
        </w:rPr>
        <w:t>Fig. 3.</w:t>
      </w:r>
      <w:r w:rsidRPr="007F6C5E">
        <w:rPr>
          <w:lang w:val="en-GB"/>
        </w:rPr>
        <w:t xml:space="preserve"> Relationship between experimental versus calculated logLC</w:t>
      </w:r>
      <w:r w:rsidRPr="007F6C5E">
        <w:rPr>
          <w:vertAlign w:val="subscript"/>
          <w:lang w:val="en-GB"/>
        </w:rPr>
        <w:t>50</w:t>
      </w:r>
      <w:r w:rsidRPr="007F6C5E">
        <w:rPr>
          <w:lang w:val="en-GB"/>
        </w:rPr>
        <w:t xml:space="preserve"> with GRNN model</w:t>
      </w:r>
    </w:p>
    <w:p w14:paraId="0DA36AC4" w14:textId="77777777" w:rsidR="008D20CD" w:rsidRPr="007F6C5E" w:rsidRDefault="008D20CD" w:rsidP="008D20CD">
      <w:pPr>
        <w:ind w:firstLine="284"/>
        <w:jc w:val="both"/>
        <w:rPr>
          <w:lang w:val="en-GB"/>
        </w:rPr>
      </w:pPr>
    </w:p>
    <w:p w14:paraId="51439B6C" w14:textId="5948E452" w:rsidR="008D20CD" w:rsidRPr="007F6C5E" w:rsidRDefault="008D20CD" w:rsidP="008D20CD">
      <w:pPr>
        <w:ind w:firstLine="284"/>
        <w:jc w:val="both"/>
        <w:rPr>
          <w:lang w:val="en-GB"/>
        </w:rPr>
      </w:pPr>
      <w:r w:rsidRPr="007F6C5E">
        <w:rPr>
          <w:lang w:val="en-GB"/>
        </w:rPr>
        <w:t>The optimal GRNN model (</w:t>
      </w:r>
      <w:r w:rsidRPr="00E230FE">
        <w:rPr>
          <w:i/>
          <w:iCs/>
          <w:lang w:val="en-GB"/>
        </w:rPr>
        <w:t>σ</w:t>
      </w:r>
      <w:r w:rsidRPr="007F6C5E">
        <w:rPr>
          <w:lang w:val="en-GB"/>
        </w:rPr>
        <w:t xml:space="preserve"> =</w:t>
      </w:r>
      <w:r w:rsidR="002F3D19">
        <w:rPr>
          <w:lang w:val="en-GB"/>
        </w:rPr>
        <w:t xml:space="preserve"> </w:t>
      </w:r>
      <w:r w:rsidRPr="007F6C5E">
        <w:rPr>
          <w:lang w:val="en-GB"/>
        </w:rPr>
        <w:t xml:space="preserve">0.11) yielded coefficients of determination </w:t>
      </w:r>
      <w:r w:rsidRPr="00E230FE">
        <w:rPr>
          <w:i/>
          <w:iCs/>
          <w:lang w:val="en-GB"/>
        </w:rPr>
        <w:t>R</w:t>
      </w:r>
      <w:r w:rsidRPr="00E230FE">
        <w:rPr>
          <w:i/>
          <w:iCs/>
          <w:vertAlign w:val="superscript"/>
          <w:lang w:val="en-GB"/>
        </w:rPr>
        <w:t>2</w:t>
      </w:r>
      <w:r w:rsidRPr="007F6C5E">
        <w:rPr>
          <w:lang w:val="en-GB"/>
        </w:rPr>
        <w:t xml:space="preserve"> = 0.7922 and </w:t>
      </w:r>
      <w:r w:rsidRPr="00E230FE">
        <w:rPr>
          <w:i/>
          <w:iCs/>
          <w:lang w:val="en-GB"/>
        </w:rPr>
        <w:t>rms</w:t>
      </w:r>
      <w:r w:rsidRPr="007F6C5E">
        <w:rPr>
          <w:lang w:val="en-GB"/>
        </w:rPr>
        <w:t xml:space="preserve"> =</w:t>
      </w:r>
      <w:r w:rsidR="002F3D19">
        <w:rPr>
          <w:lang w:val="en-GB"/>
        </w:rPr>
        <w:t xml:space="preserve"> </w:t>
      </w:r>
      <w:r w:rsidRPr="007F6C5E">
        <w:rPr>
          <w:lang w:val="en-GB"/>
        </w:rPr>
        <w:t xml:space="preserve">0.6910 log units for the training set (774 samples), </w:t>
      </w:r>
      <w:r w:rsidRPr="00E230FE">
        <w:rPr>
          <w:i/>
          <w:iCs/>
          <w:lang w:val="en-GB"/>
        </w:rPr>
        <w:t>R</w:t>
      </w:r>
      <w:r w:rsidRPr="00E230FE">
        <w:rPr>
          <w:i/>
          <w:iCs/>
          <w:vertAlign w:val="superscript"/>
          <w:lang w:val="en-GB"/>
        </w:rPr>
        <w:t>2</w:t>
      </w:r>
      <w:r w:rsidRPr="007F6C5E">
        <w:rPr>
          <w:lang w:val="en-GB"/>
        </w:rPr>
        <w:t xml:space="preserve"> = 0.7278 and </w:t>
      </w:r>
      <w:r w:rsidRPr="00154263">
        <w:rPr>
          <w:i/>
          <w:iCs/>
          <w:lang w:val="en-GB"/>
        </w:rPr>
        <w:t>rms</w:t>
      </w:r>
      <w:r w:rsidRPr="007F6C5E">
        <w:rPr>
          <w:lang w:val="en-GB"/>
        </w:rPr>
        <w:t xml:space="preserve"> =</w:t>
      </w:r>
      <w:r w:rsidR="002F3D19">
        <w:rPr>
          <w:lang w:val="en-GB"/>
        </w:rPr>
        <w:t xml:space="preserve"> </w:t>
      </w:r>
      <w:r w:rsidRPr="007F6C5E">
        <w:rPr>
          <w:lang w:val="en-GB"/>
        </w:rPr>
        <w:t xml:space="preserve">0.7486 log units for the validation set (166 samples), </w:t>
      </w:r>
      <w:r w:rsidRPr="00963312">
        <w:rPr>
          <w:i/>
          <w:iCs/>
          <w:lang w:val="en-GB"/>
        </w:rPr>
        <w:t>R</w:t>
      </w:r>
      <w:r w:rsidRPr="00963312">
        <w:rPr>
          <w:i/>
          <w:iCs/>
          <w:vertAlign w:val="superscript"/>
          <w:lang w:val="en-GB"/>
        </w:rPr>
        <w:t>2</w:t>
      </w:r>
      <w:r w:rsidRPr="007F6C5E">
        <w:rPr>
          <w:lang w:val="en-GB"/>
        </w:rPr>
        <w:t xml:space="preserve"> = 0.7748 and </w:t>
      </w:r>
      <w:r w:rsidRPr="00963312">
        <w:rPr>
          <w:i/>
          <w:iCs/>
          <w:lang w:val="en-GB"/>
        </w:rPr>
        <w:t>rms</w:t>
      </w:r>
      <w:r w:rsidRPr="007F6C5E">
        <w:rPr>
          <w:lang w:val="en-GB"/>
        </w:rPr>
        <w:t xml:space="preserve"> =</w:t>
      </w:r>
      <w:r w:rsidR="002F3D19">
        <w:rPr>
          <w:lang w:val="en-GB"/>
        </w:rPr>
        <w:t xml:space="preserve"> </w:t>
      </w:r>
      <w:r w:rsidRPr="007F6C5E">
        <w:rPr>
          <w:lang w:val="en-GB"/>
        </w:rPr>
        <w:t>0.6903 log units for the test set (166 samples). Although the GRNN model dealt with a large dataset of pesticide toxicity logLC</w:t>
      </w:r>
      <w:r w:rsidRPr="007F6C5E">
        <w:rPr>
          <w:vertAlign w:val="subscript"/>
          <w:lang w:val="en-GB"/>
        </w:rPr>
        <w:t>50</w:t>
      </w:r>
      <w:r w:rsidRPr="007F6C5E">
        <w:rPr>
          <w:lang w:val="en-GB"/>
        </w:rPr>
        <w:t xml:space="preserve"> to fishes, it is comparable to the latest similar models from the literature that have the number of samples and </w:t>
      </w:r>
      <w:r w:rsidRPr="00154263">
        <w:rPr>
          <w:i/>
          <w:iCs/>
          <w:lang w:val="en-GB"/>
        </w:rPr>
        <w:t>R</w:t>
      </w:r>
      <w:r w:rsidRPr="00154263">
        <w:rPr>
          <w:i/>
          <w:iCs/>
          <w:vertAlign w:val="superscript"/>
          <w:lang w:val="en-GB"/>
        </w:rPr>
        <w:t>2</w:t>
      </w:r>
      <w:r w:rsidRPr="007F6C5E">
        <w:rPr>
          <w:lang w:val="en-GB"/>
        </w:rPr>
        <w:t xml:space="preserve"> for the training sets being </w:t>
      </w:r>
      <w:r w:rsidRPr="00154263">
        <w:rPr>
          <w:i/>
          <w:iCs/>
          <w:lang w:val="en-GB"/>
        </w:rPr>
        <w:t>n</w:t>
      </w:r>
      <w:r w:rsidR="002F3D19">
        <w:rPr>
          <w:lang w:val="en-GB"/>
        </w:rPr>
        <w:t xml:space="preserve"> </w:t>
      </w:r>
      <w:r w:rsidRPr="007F6C5E">
        <w:rPr>
          <w:lang w:val="en-GB"/>
        </w:rPr>
        <w:t>=</w:t>
      </w:r>
      <w:r w:rsidR="002F3D19">
        <w:rPr>
          <w:lang w:val="en-GB"/>
        </w:rPr>
        <w:t xml:space="preserve"> </w:t>
      </w:r>
      <w:r w:rsidRPr="007F6C5E">
        <w:rPr>
          <w:lang w:val="en-GB"/>
        </w:rPr>
        <w:t xml:space="preserve">13 and </w:t>
      </w:r>
      <w:r w:rsidRPr="00154263">
        <w:rPr>
          <w:i/>
          <w:iCs/>
          <w:lang w:val="en-GB"/>
        </w:rPr>
        <w:t>R</w:t>
      </w:r>
      <w:r w:rsidRPr="00154263">
        <w:rPr>
          <w:i/>
          <w:iCs/>
          <w:vertAlign w:val="superscript"/>
          <w:lang w:val="en-GB"/>
        </w:rPr>
        <w:t>2</w:t>
      </w:r>
      <w:r w:rsidR="002F3D19">
        <w:rPr>
          <w:lang w:val="en-GB"/>
        </w:rPr>
        <w:t xml:space="preserve"> </w:t>
      </w:r>
      <w:r w:rsidRPr="007F6C5E">
        <w:rPr>
          <w:lang w:val="en-GB"/>
        </w:rPr>
        <w:t>=</w:t>
      </w:r>
      <w:r w:rsidR="002F3D19">
        <w:rPr>
          <w:lang w:val="en-GB"/>
        </w:rPr>
        <w:t xml:space="preserve"> </w:t>
      </w:r>
      <w:r w:rsidRPr="007F6C5E">
        <w:rPr>
          <w:lang w:val="en-GB"/>
        </w:rPr>
        <w:t>0.839 (</w:t>
      </w:r>
      <w:proofErr w:type="spellStart"/>
      <w:r w:rsidRPr="007F6C5E">
        <w:rPr>
          <w:lang w:val="en-GB"/>
        </w:rPr>
        <w:t>Önlü</w:t>
      </w:r>
      <w:proofErr w:type="spellEnd"/>
      <w:r w:rsidRPr="007F6C5E">
        <w:rPr>
          <w:lang w:val="en-GB"/>
        </w:rPr>
        <w:t xml:space="preserve"> &amp; </w:t>
      </w:r>
      <w:proofErr w:type="spellStart"/>
      <w:r w:rsidRPr="007F6C5E">
        <w:rPr>
          <w:lang w:val="en-GB"/>
        </w:rPr>
        <w:t>Saçan</w:t>
      </w:r>
      <w:proofErr w:type="spellEnd"/>
      <w:r w:rsidRPr="007F6C5E">
        <w:rPr>
          <w:lang w:val="en-GB"/>
        </w:rPr>
        <w:t xml:space="preserve"> 2017), </w:t>
      </w:r>
      <w:r w:rsidRPr="00154263">
        <w:rPr>
          <w:i/>
          <w:iCs/>
          <w:lang w:val="en-GB"/>
        </w:rPr>
        <w:t>n</w:t>
      </w:r>
      <w:r w:rsidR="002F3D19">
        <w:rPr>
          <w:lang w:val="en-GB"/>
        </w:rPr>
        <w:t xml:space="preserve"> </w:t>
      </w:r>
      <w:r w:rsidRPr="007F6C5E">
        <w:rPr>
          <w:lang w:val="en-GB"/>
        </w:rPr>
        <w:t>=</w:t>
      </w:r>
      <w:r w:rsidR="002F3D19">
        <w:rPr>
          <w:lang w:val="en-GB"/>
        </w:rPr>
        <w:t xml:space="preserve"> </w:t>
      </w:r>
      <w:r w:rsidRPr="007F6C5E">
        <w:rPr>
          <w:lang w:val="en-GB"/>
        </w:rPr>
        <w:t xml:space="preserve">94 and </w:t>
      </w:r>
      <w:r w:rsidRPr="00154263">
        <w:rPr>
          <w:i/>
          <w:iCs/>
          <w:lang w:val="en-GB"/>
        </w:rPr>
        <w:t>R</w:t>
      </w:r>
      <w:r w:rsidRPr="000E3600">
        <w:rPr>
          <w:i/>
          <w:iCs/>
          <w:vertAlign w:val="superscript"/>
          <w:lang w:val="en-GB"/>
        </w:rPr>
        <w:t>2</w:t>
      </w:r>
      <w:r w:rsidR="002F3D19">
        <w:rPr>
          <w:lang w:val="en-GB"/>
        </w:rPr>
        <w:t xml:space="preserve"> </w:t>
      </w:r>
      <w:r w:rsidRPr="007F6C5E">
        <w:rPr>
          <w:lang w:val="en-GB"/>
        </w:rPr>
        <w:t>=</w:t>
      </w:r>
      <w:r w:rsidR="002F3D19">
        <w:rPr>
          <w:lang w:val="en-GB"/>
        </w:rPr>
        <w:t xml:space="preserve"> </w:t>
      </w:r>
      <w:r w:rsidRPr="007F6C5E">
        <w:rPr>
          <w:lang w:val="en-GB"/>
        </w:rPr>
        <w:t xml:space="preserve">0.79 (Toropov et al. 2017), </w:t>
      </w:r>
      <w:r w:rsidRPr="00BB785A">
        <w:rPr>
          <w:i/>
          <w:iCs/>
          <w:lang w:val="en-GB"/>
        </w:rPr>
        <w:t>n</w:t>
      </w:r>
      <w:r w:rsidR="002F3D19">
        <w:rPr>
          <w:lang w:val="en-GB"/>
        </w:rPr>
        <w:t xml:space="preserve"> </w:t>
      </w:r>
      <w:r w:rsidRPr="007F6C5E">
        <w:rPr>
          <w:lang w:val="en-GB"/>
        </w:rPr>
        <w:t>=</w:t>
      </w:r>
      <w:r w:rsidR="002F3D19">
        <w:rPr>
          <w:lang w:val="en-GB"/>
        </w:rPr>
        <w:t xml:space="preserve"> </w:t>
      </w:r>
      <w:r w:rsidRPr="007F6C5E">
        <w:rPr>
          <w:lang w:val="en-GB"/>
        </w:rPr>
        <w:t xml:space="preserve">66 and </w:t>
      </w:r>
      <w:r w:rsidRPr="00BB785A">
        <w:rPr>
          <w:i/>
          <w:iCs/>
          <w:lang w:val="en-GB"/>
        </w:rPr>
        <w:t>R</w:t>
      </w:r>
      <w:r w:rsidRPr="00BB785A">
        <w:rPr>
          <w:i/>
          <w:iCs/>
          <w:vertAlign w:val="superscript"/>
          <w:lang w:val="en-GB"/>
        </w:rPr>
        <w:t>2</w:t>
      </w:r>
      <w:r w:rsidR="002F3D19">
        <w:rPr>
          <w:lang w:val="en-GB"/>
        </w:rPr>
        <w:t xml:space="preserve"> </w:t>
      </w:r>
      <w:r w:rsidRPr="007F6C5E">
        <w:rPr>
          <w:lang w:val="en-GB"/>
        </w:rPr>
        <w:t>=</w:t>
      </w:r>
      <w:r w:rsidR="002F3D19">
        <w:rPr>
          <w:lang w:val="en-GB"/>
        </w:rPr>
        <w:t xml:space="preserve"> </w:t>
      </w:r>
      <w:r w:rsidRPr="007F6C5E">
        <w:rPr>
          <w:lang w:val="en-GB"/>
        </w:rPr>
        <w:t xml:space="preserve">0.80 (Khan et al. 2019) </w:t>
      </w:r>
      <w:r w:rsidRPr="00BB785A">
        <w:rPr>
          <w:i/>
          <w:iCs/>
          <w:lang w:val="en-GB"/>
        </w:rPr>
        <w:t>n</w:t>
      </w:r>
      <w:r w:rsidR="002F3D19">
        <w:rPr>
          <w:lang w:val="en-GB"/>
        </w:rPr>
        <w:t> </w:t>
      </w:r>
      <w:r w:rsidRPr="007F6C5E">
        <w:rPr>
          <w:lang w:val="en-GB"/>
        </w:rPr>
        <w:t>=</w:t>
      </w:r>
      <w:r w:rsidR="002F3D19">
        <w:rPr>
          <w:lang w:val="en-GB"/>
        </w:rPr>
        <w:t> </w:t>
      </w:r>
      <w:r w:rsidRPr="007F6C5E">
        <w:rPr>
          <w:lang w:val="en-GB"/>
        </w:rPr>
        <w:t xml:space="preserve">249 and </w:t>
      </w:r>
      <w:r w:rsidRPr="00BB785A">
        <w:rPr>
          <w:i/>
          <w:iCs/>
          <w:lang w:val="en-GB"/>
        </w:rPr>
        <w:t>R</w:t>
      </w:r>
      <w:r w:rsidRPr="00BB785A">
        <w:rPr>
          <w:i/>
          <w:iCs/>
          <w:vertAlign w:val="superscript"/>
          <w:lang w:val="en-GB"/>
        </w:rPr>
        <w:t>2</w:t>
      </w:r>
      <w:r w:rsidR="002F3D19">
        <w:rPr>
          <w:lang w:val="en-GB"/>
        </w:rPr>
        <w:t xml:space="preserve"> </w:t>
      </w:r>
      <w:r w:rsidRPr="007F6C5E">
        <w:rPr>
          <w:lang w:val="en-GB"/>
        </w:rPr>
        <w:t>=</w:t>
      </w:r>
      <w:r w:rsidR="002F3D19">
        <w:rPr>
          <w:lang w:val="en-GB"/>
        </w:rPr>
        <w:t xml:space="preserve"> </w:t>
      </w:r>
      <w:r w:rsidRPr="007F6C5E">
        <w:rPr>
          <w:lang w:val="en-GB"/>
        </w:rPr>
        <w:t xml:space="preserve">0.80 (Jia et al. 2020) and </w:t>
      </w:r>
      <w:r w:rsidRPr="00BB785A">
        <w:rPr>
          <w:i/>
          <w:iCs/>
          <w:lang w:val="en-GB"/>
        </w:rPr>
        <w:t>n</w:t>
      </w:r>
      <w:r w:rsidR="002F3D19">
        <w:rPr>
          <w:lang w:val="en-GB"/>
        </w:rPr>
        <w:t xml:space="preserve"> </w:t>
      </w:r>
      <w:r w:rsidRPr="007F6C5E">
        <w:rPr>
          <w:lang w:val="en-GB"/>
        </w:rPr>
        <w:t xml:space="preserve">= 233 and </w:t>
      </w:r>
      <w:r w:rsidRPr="00BB785A">
        <w:rPr>
          <w:i/>
          <w:iCs/>
          <w:lang w:val="en-GB"/>
        </w:rPr>
        <w:t>R</w:t>
      </w:r>
      <w:r w:rsidRPr="00BB785A">
        <w:rPr>
          <w:i/>
          <w:iCs/>
          <w:vertAlign w:val="superscript"/>
          <w:lang w:val="en-GB"/>
        </w:rPr>
        <w:t>2</w:t>
      </w:r>
      <w:r w:rsidR="002F3D19">
        <w:rPr>
          <w:lang w:val="en-GB"/>
        </w:rPr>
        <w:t xml:space="preserve"> </w:t>
      </w:r>
      <w:r w:rsidRPr="007F6C5E">
        <w:rPr>
          <w:lang w:val="en-GB"/>
        </w:rPr>
        <w:t>=</w:t>
      </w:r>
      <w:r w:rsidR="002F3D19">
        <w:rPr>
          <w:lang w:val="en-GB"/>
        </w:rPr>
        <w:t xml:space="preserve"> </w:t>
      </w:r>
      <w:r w:rsidRPr="007F6C5E">
        <w:rPr>
          <w:lang w:val="en-GB"/>
        </w:rPr>
        <w:t>0.67 (Toropov et al. 2020).</w:t>
      </w:r>
    </w:p>
    <w:p w14:paraId="29AE5D3F" w14:textId="073E18FB" w:rsidR="008D20CD" w:rsidRPr="007F6C5E" w:rsidRDefault="008D20CD" w:rsidP="008D20CD">
      <w:pPr>
        <w:ind w:firstLine="284"/>
        <w:jc w:val="both"/>
        <w:rPr>
          <w:lang w:val="en-GB"/>
        </w:rPr>
      </w:pPr>
      <w:r w:rsidRPr="007F6C5E">
        <w:rPr>
          <w:lang w:val="en-GB"/>
        </w:rPr>
        <w:t xml:space="preserve">In addition, the optimal GRNN model produced </w:t>
      </w:r>
      <w:r w:rsidRPr="00BB785A">
        <w:rPr>
          <w:i/>
          <w:iCs/>
          <w:lang w:val="en-GB"/>
        </w:rPr>
        <w:t>R</w:t>
      </w:r>
      <w:r w:rsidRPr="00BB785A">
        <w:rPr>
          <w:i/>
          <w:iCs/>
          <w:vertAlign w:val="superscript"/>
          <w:lang w:val="en-GB"/>
        </w:rPr>
        <w:t>2</w:t>
      </w:r>
      <w:r w:rsidRPr="007F6C5E">
        <w:rPr>
          <w:lang w:val="en-GB"/>
        </w:rPr>
        <w:t xml:space="preserve"> =</w:t>
      </w:r>
      <w:r w:rsidR="002F3D19">
        <w:rPr>
          <w:lang w:val="en-GB"/>
        </w:rPr>
        <w:t xml:space="preserve"> </w:t>
      </w:r>
      <w:r w:rsidRPr="007F6C5E">
        <w:rPr>
          <w:lang w:val="en-GB"/>
        </w:rPr>
        <w:t xml:space="preserve">0.7798 and </w:t>
      </w:r>
      <w:r w:rsidRPr="00BB785A">
        <w:rPr>
          <w:i/>
          <w:iCs/>
          <w:lang w:val="en-GB"/>
        </w:rPr>
        <w:t>rms</w:t>
      </w:r>
      <w:r w:rsidRPr="007F6C5E">
        <w:rPr>
          <w:lang w:val="en-GB"/>
        </w:rPr>
        <w:t xml:space="preserve"> = 0.6998 log units for the total set of 1106 pesticides. It is superior to the MLR model based on the same data sets and descriptor set, which has </w:t>
      </w:r>
      <w:r w:rsidR="002F3D19">
        <w:rPr>
          <w:lang w:val="en-GB"/>
        </w:rPr>
        <w:br/>
      </w:r>
      <w:r w:rsidRPr="00BB785A">
        <w:rPr>
          <w:i/>
          <w:iCs/>
          <w:lang w:val="en-GB"/>
        </w:rPr>
        <w:t>R</w:t>
      </w:r>
      <w:r w:rsidRPr="00BB785A">
        <w:rPr>
          <w:i/>
          <w:iCs/>
          <w:vertAlign w:val="superscript"/>
          <w:lang w:val="en-GB"/>
        </w:rPr>
        <w:t>2</w:t>
      </w:r>
      <w:r w:rsidRPr="007F6C5E">
        <w:rPr>
          <w:lang w:val="en-GB"/>
        </w:rPr>
        <w:t xml:space="preserve"> = 0.5103 and </w:t>
      </w:r>
      <w:r w:rsidRPr="00BB785A">
        <w:rPr>
          <w:i/>
          <w:iCs/>
          <w:lang w:val="en-GB"/>
        </w:rPr>
        <w:t>rms</w:t>
      </w:r>
      <w:r w:rsidRPr="007F6C5E">
        <w:rPr>
          <w:lang w:val="en-GB"/>
        </w:rPr>
        <w:t xml:space="preserve"> =</w:t>
      </w:r>
      <w:r w:rsidR="002F3D19">
        <w:rPr>
          <w:lang w:val="en-GB"/>
        </w:rPr>
        <w:t xml:space="preserve"> </w:t>
      </w:r>
      <w:r w:rsidRPr="007F6C5E">
        <w:rPr>
          <w:lang w:val="en-GB"/>
        </w:rPr>
        <w:t>1.0286 log units for the total dataset. Therefore, the 20 molecular descriptors used in the GRNN model are nonlinear with logLC</w:t>
      </w:r>
      <w:r w:rsidRPr="007F6C5E">
        <w:rPr>
          <w:vertAlign w:val="subscript"/>
          <w:lang w:val="en-GB"/>
        </w:rPr>
        <w:t>50</w:t>
      </w:r>
      <w:r w:rsidRPr="007F6C5E">
        <w:rPr>
          <w:lang w:val="en-GB"/>
        </w:rPr>
        <w:t xml:space="preserve">, which indicates that applying </w:t>
      </w:r>
      <w:r w:rsidR="008B1F23">
        <w:rPr>
          <w:lang w:val="en-GB"/>
        </w:rPr>
        <w:t xml:space="preserve">the </w:t>
      </w:r>
      <w:r w:rsidRPr="007F6C5E">
        <w:rPr>
          <w:lang w:val="en-GB"/>
        </w:rPr>
        <w:t>GRNN algorithm to develop QSTRs is reasonable.</w:t>
      </w:r>
    </w:p>
    <w:p w14:paraId="213BF9A7" w14:textId="612B3972" w:rsidR="008D20CD" w:rsidRPr="007F6C5E" w:rsidRDefault="008D20CD" w:rsidP="008D20CD">
      <w:pPr>
        <w:ind w:firstLine="284"/>
        <w:jc w:val="both"/>
        <w:rPr>
          <w:lang w:val="en-GB"/>
        </w:rPr>
      </w:pPr>
      <w:r w:rsidRPr="000E3600">
        <w:rPr>
          <w:spacing w:val="-4"/>
          <w:lang w:val="en-GB"/>
        </w:rPr>
        <w:t xml:space="preserve">Assessing the GRNN model with the test set resulted in an external correlation coefficient </w:t>
      </w:r>
      <w:r w:rsidRPr="000E3600">
        <w:rPr>
          <w:i/>
          <w:iCs/>
          <w:spacing w:val="-4"/>
          <w:lang w:val="en-GB"/>
        </w:rPr>
        <w:t>q</w:t>
      </w:r>
      <w:r w:rsidRPr="000E3600">
        <w:rPr>
          <w:i/>
          <w:iCs/>
          <w:spacing w:val="-4"/>
          <w:vertAlign w:val="subscript"/>
          <w:lang w:val="en-GB"/>
        </w:rPr>
        <w:t>ext</w:t>
      </w:r>
      <w:r w:rsidRPr="000E3600">
        <w:rPr>
          <w:i/>
          <w:iCs/>
          <w:spacing w:val="-4"/>
          <w:vertAlign w:val="superscript"/>
          <w:lang w:val="en-GB"/>
        </w:rPr>
        <w:t>2</w:t>
      </w:r>
      <w:r w:rsidRPr="000E3600">
        <w:rPr>
          <w:spacing w:val="-4"/>
          <w:lang w:val="en-GB"/>
        </w:rPr>
        <w:t xml:space="preserve"> = 0.7659 &gt; 0.5;</w:t>
      </w:r>
      <w:r w:rsidRPr="007F6C5E">
        <w:rPr>
          <w:lang w:val="en-GB"/>
        </w:rPr>
        <w:t xml:space="preserve"> a slope </w:t>
      </w:r>
      <w:r w:rsidRPr="002E66F4">
        <w:rPr>
          <w:i/>
          <w:iCs/>
          <w:lang w:val="en-GB"/>
        </w:rPr>
        <w:t>k′</w:t>
      </w:r>
      <w:r w:rsidRPr="007F6C5E">
        <w:rPr>
          <w:lang w:val="en-GB"/>
        </w:rPr>
        <w:t xml:space="preserve"> (=1.1021) of regression with fix intercept at 0, lying in the range of 0.85-1.15; determination coefficients </w:t>
      </w:r>
      <w:r w:rsidRPr="002E66F4">
        <w:rPr>
          <w:i/>
          <w:iCs/>
          <w:lang w:val="en-GB"/>
        </w:rPr>
        <w:t>R′</w:t>
      </w:r>
      <w:r w:rsidRPr="002E66F4">
        <w:rPr>
          <w:i/>
          <w:iCs/>
          <w:vertAlign w:val="subscript"/>
          <w:lang w:val="en-GB"/>
        </w:rPr>
        <w:t>0</w:t>
      </w:r>
      <w:r w:rsidRPr="002E66F4">
        <w:rPr>
          <w:vertAlign w:val="superscript"/>
          <w:lang w:val="en-GB"/>
        </w:rPr>
        <w:t>2</w:t>
      </w:r>
      <w:r w:rsidRPr="007F6C5E">
        <w:rPr>
          <w:lang w:val="en-GB"/>
        </w:rPr>
        <w:t xml:space="preserve"> = 0.7740 and </w:t>
      </w:r>
      <w:r w:rsidRPr="002E66F4">
        <w:rPr>
          <w:i/>
          <w:iCs/>
          <w:lang w:val="en-GB"/>
        </w:rPr>
        <w:t>R</w:t>
      </w:r>
      <w:r w:rsidRPr="002E66F4">
        <w:rPr>
          <w:i/>
          <w:iCs/>
          <w:vertAlign w:val="subscript"/>
          <w:lang w:val="en-GB"/>
        </w:rPr>
        <w:t>0</w:t>
      </w:r>
      <w:r w:rsidRPr="002E66F4">
        <w:rPr>
          <w:vertAlign w:val="superscript"/>
          <w:lang w:val="en-GB"/>
        </w:rPr>
        <w:t>2</w:t>
      </w:r>
      <w:r w:rsidRPr="007F6C5E">
        <w:rPr>
          <w:lang w:val="en-GB"/>
        </w:rPr>
        <w:t xml:space="preserve"> = 0.7706, close to the determination coefficient (</w:t>
      </w:r>
      <w:r w:rsidRPr="002E66F4">
        <w:rPr>
          <w:i/>
          <w:iCs/>
          <w:lang w:val="en-GB"/>
        </w:rPr>
        <w:t>R</w:t>
      </w:r>
      <w:r w:rsidRPr="002E66F4">
        <w:rPr>
          <w:i/>
          <w:iCs/>
          <w:vertAlign w:val="superscript"/>
          <w:lang w:val="en-GB"/>
        </w:rPr>
        <w:t>2</w:t>
      </w:r>
      <w:r w:rsidRPr="007F6C5E">
        <w:rPr>
          <w:lang w:val="en-GB"/>
        </w:rPr>
        <w:t xml:space="preserve"> = 0.7748) of the test set. Therefore, the </w:t>
      </w:r>
      <w:r w:rsidR="008B1F23">
        <w:rPr>
          <w:lang w:val="en-GB"/>
        </w:rPr>
        <w:t>development of the GRNN model wa</w:t>
      </w:r>
      <w:r w:rsidRPr="007F6C5E">
        <w:rPr>
          <w:lang w:val="en-GB"/>
        </w:rPr>
        <w:t>s successful (</w:t>
      </w:r>
      <w:proofErr w:type="spellStart"/>
      <w:r w:rsidRPr="007F6C5E">
        <w:rPr>
          <w:lang w:val="en-GB"/>
        </w:rPr>
        <w:t>Golmohammadi</w:t>
      </w:r>
      <w:proofErr w:type="spellEnd"/>
      <w:r w:rsidRPr="007F6C5E">
        <w:rPr>
          <w:lang w:val="en-GB"/>
        </w:rPr>
        <w:t xml:space="preserve"> &amp; Safdari 2010). </w:t>
      </w:r>
    </w:p>
    <w:p w14:paraId="14E54540" w14:textId="5247B33D" w:rsidR="008D20CD" w:rsidRPr="007F6C5E" w:rsidRDefault="008D20CD" w:rsidP="008D20CD">
      <w:pPr>
        <w:ind w:firstLine="284"/>
        <w:jc w:val="both"/>
        <w:rPr>
          <w:lang w:val="en-GB"/>
        </w:rPr>
      </w:pPr>
      <w:r w:rsidRPr="007F6C5E">
        <w:rPr>
          <w:lang w:val="en-GB"/>
        </w:rPr>
        <w:t xml:space="preserve">The optimal GRNN model was further checked with the bias level in prediction errors. There is </w:t>
      </w:r>
      <w:r w:rsidR="008B1F23">
        <w:rPr>
          <w:lang w:val="en-GB"/>
        </w:rPr>
        <w:t xml:space="preserve">a </w:t>
      </w:r>
      <w:r w:rsidRPr="007F6C5E">
        <w:rPr>
          <w:lang w:val="en-GB"/>
        </w:rPr>
        <w:t xml:space="preserve">systematic </w:t>
      </w:r>
      <w:r w:rsidRPr="00F11915">
        <w:rPr>
          <w:spacing w:val="-2"/>
          <w:lang w:val="en-GB"/>
        </w:rPr>
        <w:t>error in prediction for a QSAR model if it has any one or more of the following five conditions (Roy, et al. 2017,</w:t>
      </w:r>
      <w:r w:rsidRPr="007F6C5E">
        <w:rPr>
          <w:lang w:val="en-GB"/>
        </w:rPr>
        <w:t xml:space="preserve"> Yu 2021):</w:t>
      </w:r>
    </w:p>
    <w:p w14:paraId="3A9E69F6" w14:textId="77777777" w:rsidR="008D20CD" w:rsidRPr="007F6C5E" w:rsidRDefault="008D20CD" w:rsidP="008D20CD">
      <w:pPr>
        <w:ind w:firstLine="284"/>
        <w:jc w:val="both"/>
        <w:rPr>
          <w:lang w:val="en-GB"/>
        </w:rPr>
      </w:pPr>
      <w:r w:rsidRPr="007F6C5E">
        <w:rPr>
          <w:lang w:val="en-GB"/>
        </w:rPr>
        <w:t>(1) NPE/NNE &gt; 5 or NNE/NPE &gt; 5;</w:t>
      </w:r>
    </w:p>
    <w:p w14:paraId="6A53E7AB" w14:textId="77777777" w:rsidR="008D20CD" w:rsidRPr="007F6C5E" w:rsidRDefault="008D20CD" w:rsidP="008D20CD">
      <w:pPr>
        <w:ind w:firstLine="284"/>
        <w:jc w:val="both"/>
        <w:rPr>
          <w:lang w:val="en-GB"/>
        </w:rPr>
      </w:pPr>
      <w:r w:rsidRPr="007F6C5E">
        <w:rPr>
          <w:lang w:val="en-GB"/>
        </w:rPr>
        <w:t>(2) ABS(MPE/MNE)&gt; 2 or ABS(MNE/MPE)&gt; 2;</w:t>
      </w:r>
    </w:p>
    <w:p w14:paraId="2FEB7B24" w14:textId="77777777" w:rsidR="008D20CD" w:rsidRPr="007F6C5E" w:rsidRDefault="008D20CD" w:rsidP="008D20CD">
      <w:pPr>
        <w:ind w:firstLine="284"/>
        <w:jc w:val="both"/>
        <w:rPr>
          <w:lang w:val="en-GB"/>
        </w:rPr>
      </w:pPr>
      <w:r w:rsidRPr="007F6C5E">
        <w:rPr>
          <w:lang w:val="en-GB"/>
        </w:rPr>
        <w:t>(3) MAE – ABS(AE) &lt; 0.5 × MAE;</w:t>
      </w:r>
    </w:p>
    <w:p w14:paraId="77DFDCC1" w14:textId="77777777" w:rsidR="008D20CD" w:rsidRPr="007F6C5E" w:rsidRDefault="008D20CD" w:rsidP="008D20CD">
      <w:pPr>
        <w:ind w:firstLine="284"/>
        <w:jc w:val="both"/>
        <w:rPr>
          <w:lang w:val="en-GB"/>
        </w:rPr>
      </w:pPr>
      <w:r w:rsidRPr="007F6C5E">
        <w:rPr>
          <w:lang w:val="en-GB"/>
        </w:rPr>
        <w:t xml:space="preserve">(4) </w:t>
      </w:r>
      <w:r w:rsidRPr="002E66F4">
        <w:rPr>
          <w:i/>
          <w:iCs/>
          <w:lang w:val="en-GB"/>
        </w:rPr>
        <w:t>R</w:t>
      </w:r>
      <w:r w:rsidRPr="002E66F4">
        <w:rPr>
          <w:vertAlign w:val="superscript"/>
          <w:lang w:val="en-GB"/>
        </w:rPr>
        <w:t>2</w:t>
      </w:r>
      <w:r w:rsidRPr="007F6C5E">
        <w:rPr>
          <w:lang w:val="en-GB"/>
        </w:rPr>
        <w:t>(</w:t>
      </w:r>
      <w:proofErr w:type="spellStart"/>
      <w:r w:rsidRPr="002E66F4">
        <w:rPr>
          <w:i/>
          <w:iCs/>
          <w:lang w:val="en-GB"/>
        </w:rPr>
        <w:t>i</w:t>
      </w:r>
      <w:r w:rsidRPr="002E66F4">
        <w:rPr>
          <w:vertAlign w:val="superscript"/>
          <w:lang w:val="en-GB"/>
        </w:rPr>
        <w:t>th</w:t>
      </w:r>
      <w:proofErr w:type="spellEnd"/>
      <w:r w:rsidRPr="007F6C5E">
        <w:rPr>
          <w:lang w:val="en-GB"/>
        </w:rPr>
        <w:t xml:space="preserve"> vs (i-1)</w:t>
      </w:r>
      <w:proofErr w:type="spellStart"/>
      <w:r w:rsidRPr="002E66F4">
        <w:rPr>
          <w:vertAlign w:val="superscript"/>
          <w:lang w:val="en-GB"/>
        </w:rPr>
        <w:t>th</w:t>
      </w:r>
      <w:proofErr w:type="spellEnd"/>
      <w:r w:rsidRPr="007F6C5E">
        <w:rPr>
          <w:lang w:val="en-GB"/>
        </w:rPr>
        <w:t xml:space="preserve"> residuals) &gt; 0.5 for residuals sorted on Y</w:t>
      </w:r>
      <w:r w:rsidRPr="002E66F4">
        <w:rPr>
          <w:vertAlign w:val="subscript"/>
          <w:lang w:val="en-GB"/>
        </w:rPr>
        <w:t>obs</w:t>
      </w:r>
      <w:r w:rsidRPr="007F6C5E">
        <w:rPr>
          <w:lang w:val="en-GB"/>
        </w:rPr>
        <w:t>;</w:t>
      </w:r>
    </w:p>
    <w:p w14:paraId="6224DFA8" w14:textId="77777777" w:rsidR="008D20CD" w:rsidRPr="007F6C5E" w:rsidRDefault="008D20CD" w:rsidP="008D20CD">
      <w:pPr>
        <w:ind w:firstLine="284"/>
        <w:jc w:val="both"/>
        <w:rPr>
          <w:lang w:val="en-GB"/>
        </w:rPr>
      </w:pPr>
      <w:r w:rsidRPr="007F6C5E">
        <w:rPr>
          <w:lang w:val="en-GB"/>
        </w:rPr>
        <w:t xml:space="preserve">(5) </w:t>
      </w:r>
      <w:r w:rsidRPr="002E66F4">
        <w:rPr>
          <w:i/>
          <w:iCs/>
          <w:lang w:val="en-GB"/>
        </w:rPr>
        <w:t>R</w:t>
      </w:r>
      <w:r w:rsidRPr="002E66F4">
        <w:rPr>
          <w:vertAlign w:val="superscript"/>
          <w:lang w:val="en-GB"/>
        </w:rPr>
        <w:t>2</w:t>
      </w:r>
      <w:r w:rsidRPr="007F6C5E">
        <w:rPr>
          <w:lang w:val="en-GB"/>
        </w:rPr>
        <w:t xml:space="preserve"> (Y vs residuals) &gt; 0.5.</w:t>
      </w:r>
    </w:p>
    <w:p w14:paraId="3AA02B6F" w14:textId="77777777" w:rsidR="00592E68" w:rsidRDefault="008D20CD" w:rsidP="008932F6">
      <w:pPr>
        <w:ind w:firstLine="0"/>
        <w:jc w:val="both"/>
        <w:rPr>
          <w:spacing w:val="-2"/>
          <w:lang w:val="en-GB"/>
        </w:rPr>
      </w:pPr>
      <w:r w:rsidRPr="002F3D19">
        <w:rPr>
          <w:spacing w:val="-2"/>
          <w:lang w:val="en-GB"/>
        </w:rPr>
        <w:t xml:space="preserve">where NPE is the number of positive errors, NNE is the number of negative errors, ABS(x) expresses the absolute value, AE </w:t>
      </w:r>
      <w:r w:rsidR="008B1F23">
        <w:rPr>
          <w:spacing w:val="-2"/>
          <w:lang w:val="en-GB"/>
        </w:rPr>
        <w:t>is the average error, MPE is the mean positive error, and MNE i</w:t>
      </w:r>
      <w:r w:rsidRPr="002F3D19">
        <w:rPr>
          <w:spacing w:val="-2"/>
          <w:lang w:val="en-GB"/>
        </w:rPr>
        <w:t xml:space="preserve">s the mean negative error. </w:t>
      </w:r>
    </w:p>
    <w:p w14:paraId="3BA52080" w14:textId="5E533EE1" w:rsidR="008D20CD" w:rsidRPr="002F3D19" w:rsidRDefault="008D20CD" w:rsidP="00592E68">
      <w:pPr>
        <w:ind w:firstLine="284"/>
        <w:jc w:val="both"/>
        <w:rPr>
          <w:lang w:val="en-GB"/>
        </w:rPr>
      </w:pPr>
      <w:r w:rsidRPr="002F3D19">
        <w:rPr>
          <w:spacing w:val="-4"/>
          <w:lang w:val="en-GB"/>
        </w:rPr>
        <w:t>Then the following formulas were obtained: NPE/NNE = 94/72 &lt; 5; ABS(MPE/MNE)</w:t>
      </w:r>
      <w:r w:rsidR="002F3D19" w:rsidRPr="002F3D19">
        <w:rPr>
          <w:spacing w:val="-4"/>
          <w:lang w:val="en-GB"/>
        </w:rPr>
        <w:t xml:space="preserve"> </w:t>
      </w:r>
      <w:r w:rsidRPr="002F3D19">
        <w:rPr>
          <w:spacing w:val="-4"/>
          <w:lang w:val="en-GB"/>
        </w:rPr>
        <w:t>= 0.5315/0.4918 &lt; 2; MAE – ABS(AE)</w:t>
      </w:r>
      <w:r w:rsidR="002F3D19" w:rsidRPr="002F3D19">
        <w:rPr>
          <w:spacing w:val="-4"/>
          <w:lang w:val="en-GB"/>
        </w:rPr>
        <w:t xml:space="preserve"> </w:t>
      </w:r>
      <w:r w:rsidRPr="002F3D19">
        <w:rPr>
          <w:spacing w:val="-4"/>
          <w:lang w:val="en-GB"/>
        </w:rPr>
        <w:t xml:space="preserve">= 0.5143 – 0.0877 = 0.4266 &gt; 0.5 × 0.5143 = 0.2572; </w:t>
      </w:r>
      <w:r w:rsidRPr="002E66F4">
        <w:rPr>
          <w:i/>
          <w:iCs/>
          <w:spacing w:val="-4"/>
          <w:lang w:val="en-GB"/>
        </w:rPr>
        <w:t>R</w:t>
      </w:r>
      <w:r w:rsidRPr="002E66F4">
        <w:rPr>
          <w:spacing w:val="-4"/>
          <w:vertAlign w:val="superscript"/>
          <w:lang w:val="en-GB"/>
        </w:rPr>
        <w:t>2</w:t>
      </w:r>
      <w:r w:rsidRPr="002F3D19">
        <w:rPr>
          <w:spacing w:val="-4"/>
          <w:lang w:val="en-GB"/>
        </w:rPr>
        <w:t>(</w:t>
      </w:r>
      <w:proofErr w:type="spellStart"/>
      <w:r w:rsidRPr="002E66F4">
        <w:rPr>
          <w:i/>
          <w:iCs/>
          <w:spacing w:val="-4"/>
          <w:lang w:val="en-GB"/>
        </w:rPr>
        <w:t>i</w:t>
      </w:r>
      <w:r w:rsidRPr="002E66F4">
        <w:rPr>
          <w:spacing w:val="-4"/>
          <w:vertAlign w:val="superscript"/>
          <w:lang w:val="en-GB"/>
        </w:rPr>
        <w:t>th</w:t>
      </w:r>
      <w:proofErr w:type="spellEnd"/>
      <w:r w:rsidRPr="002F3D19">
        <w:rPr>
          <w:spacing w:val="-4"/>
          <w:lang w:val="en-GB"/>
        </w:rPr>
        <w:t xml:space="preserve"> vs (i-1)</w:t>
      </w:r>
      <w:proofErr w:type="spellStart"/>
      <w:r w:rsidRPr="002E66F4">
        <w:rPr>
          <w:spacing w:val="-4"/>
          <w:vertAlign w:val="superscript"/>
          <w:lang w:val="en-GB"/>
        </w:rPr>
        <w:t>th</w:t>
      </w:r>
      <w:proofErr w:type="spellEnd"/>
      <w:r w:rsidRPr="002F3D19">
        <w:rPr>
          <w:spacing w:val="-4"/>
          <w:lang w:val="en-GB"/>
        </w:rPr>
        <w:t xml:space="preserve"> residuals) = 0.1691 &lt; 0.5</w:t>
      </w:r>
      <w:r w:rsidRPr="002F3D19">
        <w:rPr>
          <w:spacing w:val="-2"/>
          <w:lang w:val="en-GB"/>
        </w:rPr>
        <w:t xml:space="preserve"> </w:t>
      </w:r>
      <w:r w:rsidRPr="002F3D19">
        <w:rPr>
          <w:lang w:val="en-GB"/>
        </w:rPr>
        <w:t>for residuals sorted on Y</w:t>
      </w:r>
      <w:r w:rsidRPr="002E66F4">
        <w:rPr>
          <w:vertAlign w:val="subscript"/>
          <w:lang w:val="en-GB"/>
        </w:rPr>
        <w:t>obs</w:t>
      </w:r>
      <w:r w:rsidRPr="002F3D19">
        <w:rPr>
          <w:lang w:val="en-GB"/>
        </w:rPr>
        <w:t xml:space="preserve">; </w:t>
      </w:r>
      <w:r w:rsidRPr="002E66F4">
        <w:rPr>
          <w:i/>
          <w:iCs/>
          <w:lang w:val="en-GB"/>
        </w:rPr>
        <w:t>R</w:t>
      </w:r>
      <w:r w:rsidRPr="002E66F4">
        <w:rPr>
          <w:vertAlign w:val="superscript"/>
          <w:lang w:val="en-GB"/>
        </w:rPr>
        <w:t>2</w:t>
      </w:r>
      <w:r w:rsidRPr="002F3D19">
        <w:rPr>
          <w:lang w:val="en-GB"/>
        </w:rPr>
        <w:t>(Y vs residuals) = 0.3602 &lt; 0.5. Obviously, the calculation results do not meet any of the above conditions. Thus, the optimal RF model has no systematic error in predictions.</w:t>
      </w:r>
    </w:p>
    <w:p w14:paraId="48DC9AA0" w14:textId="665A8091" w:rsidR="008D20CD" w:rsidRPr="007F6C5E" w:rsidRDefault="008D20CD" w:rsidP="00B90CE5">
      <w:pPr>
        <w:pStyle w:val="Rn2"/>
        <w:rPr>
          <w:lang w:val="en-GB"/>
        </w:rPr>
      </w:pPr>
      <w:r w:rsidRPr="007F6C5E">
        <w:rPr>
          <w:lang w:val="en-GB"/>
        </w:rPr>
        <w:t>3.3</w:t>
      </w:r>
      <w:r w:rsidR="00B90CE5" w:rsidRPr="007F6C5E">
        <w:rPr>
          <w:lang w:val="en-GB"/>
        </w:rPr>
        <w:t>.</w:t>
      </w:r>
      <w:r w:rsidRPr="007F6C5E">
        <w:rPr>
          <w:lang w:val="en-GB"/>
        </w:rPr>
        <w:t xml:space="preserve"> Applicability domain</w:t>
      </w:r>
    </w:p>
    <w:p w14:paraId="5224DAF1" w14:textId="03190481" w:rsidR="008D20CD" w:rsidRPr="007F6C5E" w:rsidRDefault="008D20CD" w:rsidP="008D20CD">
      <w:pPr>
        <w:ind w:firstLine="284"/>
        <w:jc w:val="both"/>
        <w:rPr>
          <w:lang w:val="en-GB"/>
        </w:rPr>
      </w:pPr>
      <w:r w:rsidRPr="007F6C5E">
        <w:rPr>
          <w:lang w:val="en-GB"/>
        </w:rPr>
        <w:t xml:space="preserve">Figure 4 shows the Williams plot of the standardized residuals vs. leverages calculated with SPSS 19.0. The prediction points </w:t>
      </w:r>
      <w:r w:rsidR="008B1F23">
        <w:rPr>
          <w:lang w:val="en-GB"/>
        </w:rPr>
        <w:t>in the domain with absolutes values of standard residual less than 3 and leverages h less than the warning leverage h</w:t>
      </w:r>
      <w:r w:rsidR="008B1F23" w:rsidRPr="000E3600">
        <w:rPr>
          <w:vertAlign w:val="superscript"/>
          <w:lang w:val="en-GB"/>
        </w:rPr>
        <w:t>*</w:t>
      </w:r>
      <w:r w:rsidR="008B1F23">
        <w:rPr>
          <w:lang w:val="en-GB"/>
        </w:rPr>
        <w:t xml:space="preserve"> are considered</w:t>
      </w:r>
      <w:r w:rsidRPr="007F6C5E">
        <w:rPr>
          <w:lang w:val="en-GB"/>
        </w:rPr>
        <w:t xml:space="preserve"> reliable (Yu 2020b). In this paper, the warning leverage is </w:t>
      </w:r>
      <w:r w:rsidR="000E3600">
        <w:rPr>
          <w:lang w:val="en-GB"/>
        </w:rPr>
        <w:br/>
      </w:r>
      <w:r w:rsidRPr="002E66F4">
        <w:rPr>
          <w:i/>
          <w:iCs/>
          <w:lang w:val="en-GB"/>
        </w:rPr>
        <w:t>h</w:t>
      </w:r>
      <w:r w:rsidRPr="002E66F4">
        <w:rPr>
          <w:i/>
          <w:iCs/>
          <w:vertAlign w:val="superscript"/>
          <w:lang w:val="en-GB"/>
        </w:rPr>
        <w:t>*</w:t>
      </w:r>
      <w:r w:rsidRPr="007F6C5E">
        <w:rPr>
          <w:lang w:val="en-GB"/>
        </w:rPr>
        <w:t xml:space="preserve"> = 0.0814 = 3×(20+1)/774 =</w:t>
      </w:r>
      <w:r w:rsidR="006902CA">
        <w:rPr>
          <w:lang w:val="en-GB"/>
        </w:rPr>
        <w:t xml:space="preserve"> </w:t>
      </w:r>
      <w:r w:rsidRPr="007F6C5E">
        <w:rPr>
          <w:lang w:val="en-GB"/>
        </w:rPr>
        <w:t>3×(p+1)/</w:t>
      </w:r>
      <w:r w:rsidRPr="002E66F4">
        <w:rPr>
          <w:i/>
          <w:iCs/>
          <w:lang w:val="en-GB"/>
        </w:rPr>
        <w:t>n</w:t>
      </w:r>
      <w:r w:rsidRPr="007F6C5E">
        <w:rPr>
          <w:lang w:val="en-GB"/>
        </w:rPr>
        <w:t xml:space="preserve">, here </w:t>
      </w:r>
      <w:r w:rsidRPr="002E66F4">
        <w:rPr>
          <w:i/>
          <w:iCs/>
          <w:lang w:val="en-GB"/>
        </w:rPr>
        <w:t>p</w:t>
      </w:r>
      <w:r w:rsidRPr="007F6C5E">
        <w:rPr>
          <w:lang w:val="en-GB"/>
        </w:rPr>
        <w:t xml:space="preserve"> and </w:t>
      </w:r>
      <w:r w:rsidRPr="002E66F4">
        <w:rPr>
          <w:i/>
          <w:iCs/>
          <w:lang w:val="en-GB"/>
        </w:rPr>
        <w:t>n</w:t>
      </w:r>
      <w:r w:rsidRPr="007F6C5E">
        <w:rPr>
          <w:lang w:val="en-GB"/>
        </w:rPr>
        <w:t xml:space="preserve"> are, respectively, the numbers of descriptors and </w:t>
      </w:r>
      <w:r w:rsidRPr="007F6C5E">
        <w:rPr>
          <w:lang w:val="en-GB"/>
        </w:rPr>
        <w:lastRenderedPageBreak/>
        <w:t xml:space="preserve">samples. As shown in Fig. 4, there are 13 samples (Nos. 113, 122, 142, 337, 404, 419, 494, 505, 756, 940, 951, 954 and 1103 in Table S1) with absolute values of standard residuals &gt;3 and leverages </w:t>
      </w:r>
      <w:r w:rsidRPr="002E66F4">
        <w:rPr>
          <w:i/>
          <w:iCs/>
          <w:lang w:val="en-GB"/>
        </w:rPr>
        <w:t>h</w:t>
      </w:r>
      <w:r w:rsidRPr="007F6C5E">
        <w:rPr>
          <w:lang w:val="en-GB"/>
        </w:rPr>
        <w:t xml:space="preserve"> less than 0.0814, which suggest that the larger standard residuals may </w:t>
      </w:r>
      <w:r w:rsidR="008B1F23">
        <w:rPr>
          <w:lang w:val="en-GB"/>
        </w:rPr>
        <w:t>result</w:t>
      </w:r>
      <w:r w:rsidRPr="007F6C5E">
        <w:rPr>
          <w:lang w:val="en-GB"/>
        </w:rPr>
        <w:t xml:space="preserve"> from the experimental errors for toxicity (pLC50). In addition, there are 32 samples (e.g. Nos. 2 and 4 in Table S1) possessing smaller standard residuals (&lt;3) and higher leverages </w:t>
      </w:r>
      <w:r w:rsidRPr="00603F84">
        <w:rPr>
          <w:i/>
          <w:iCs/>
          <w:lang w:val="en-GB"/>
        </w:rPr>
        <w:t>h</w:t>
      </w:r>
      <w:r w:rsidRPr="007F6C5E">
        <w:rPr>
          <w:lang w:val="en-GB"/>
        </w:rPr>
        <w:t xml:space="preserve"> (&gt; 0.0814), indicating their toxicity (pLC50) can be accurately predicted</w:t>
      </w:r>
      <w:r w:rsidR="008B1F23">
        <w:rPr>
          <w:lang w:val="en-GB"/>
        </w:rPr>
        <w:t>. However,</w:t>
      </w:r>
      <w:r w:rsidRPr="007F6C5E">
        <w:rPr>
          <w:lang w:val="en-GB"/>
        </w:rPr>
        <w:t xml:space="preserve"> they have dissimilar structures with other pesticide molecules in the training set.</w:t>
      </w:r>
    </w:p>
    <w:p w14:paraId="6AF04230" w14:textId="77777777" w:rsidR="008D20CD" w:rsidRPr="007F6C5E" w:rsidRDefault="008D20CD" w:rsidP="008D20CD">
      <w:pPr>
        <w:ind w:firstLine="284"/>
        <w:jc w:val="both"/>
        <w:rPr>
          <w:lang w:val="en-GB"/>
        </w:rPr>
      </w:pPr>
    </w:p>
    <w:p w14:paraId="1E282832" w14:textId="650FDD53" w:rsidR="008D20CD" w:rsidRPr="007F6C5E" w:rsidRDefault="00F03717" w:rsidP="00B90CE5">
      <w:pPr>
        <w:ind w:firstLine="0"/>
        <w:jc w:val="center"/>
        <w:rPr>
          <w:lang w:val="en-GB"/>
        </w:rPr>
      </w:pPr>
      <w:r w:rsidRPr="007F6C5E">
        <w:rPr>
          <w:rFonts w:cs="Times New Roman"/>
          <w:sz w:val="20"/>
          <w:szCs w:val="20"/>
          <w:lang w:val="en-GB"/>
        </w:rPr>
        <w:object w:dxaOrig="10295" w:dyaOrig="7991" w14:anchorId="0FF167BC">
          <v:shape id="_x0000_i1028" type="#_x0000_t75" style="width:274.25pt;height:212.25pt" o:ole="">
            <v:imagedata r:id="rId13" o:title=""/>
          </v:shape>
          <o:OLEObject Type="Embed" ProgID="Origin50.Graph" ShapeID="_x0000_i1028" DrawAspect="Content" ObjectID="_1782023696" r:id="rId14"/>
        </w:object>
      </w:r>
    </w:p>
    <w:p w14:paraId="059ACA47" w14:textId="55C17AFB" w:rsidR="008D20CD" w:rsidRPr="007F6C5E" w:rsidRDefault="008D20CD" w:rsidP="00B90CE5">
      <w:pPr>
        <w:pStyle w:val="Rrys"/>
        <w:rPr>
          <w:lang w:val="en-GB"/>
        </w:rPr>
      </w:pPr>
      <w:r w:rsidRPr="007F6C5E">
        <w:rPr>
          <w:b/>
          <w:bCs/>
          <w:lang w:val="en-GB"/>
        </w:rPr>
        <w:t>Fig. 4.</w:t>
      </w:r>
      <w:r w:rsidRPr="007F6C5E">
        <w:rPr>
          <w:lang w:val="en-GB"/>
        </w:rPr>
        <w:t xml:space="preserve"> Williams plot with a warning leverage of 0.0814</w:t>
      </w:r>
    </w:p>
    <w:p w14:paraId="1E4EBD8B" w14:textId="1A796E49" w:rsidR="008D20CD" w:rsidRPr="007F6C5E" w:rsidRDefault="00B90CE5" w:rsidP="00B90CE5">
      <w:pPr>
        <w:pStyle w:val="Rn1"/>
        <w:rPr>
          <w:lang w:val="en-GB"/>
        </w:rPr>
      </w:pPr>
      <w:r w:rsidRPr="007F6C5E">
        <w:rPr>
          <w:lang w:val="en-GB"/>
        </w:rPr>
        <w:t xml:space="preserve">4. </w:t>
      </w:r>
      <w:r w:rsidR="008D20CD" w:rsidRPr="007F6C5E">
        <w:rPr>
          <w:lang w:val="en-GB"/>
        </w:rPr>
        <w:t>Conclusions</w:t>
      </w:r>
    </w:p>
    <w:p w14:paraId="4DCA365E" w14:textId="79AF234F" w:rsidR="008D20CD" w:rsidRPr="007F6C5E" w:rsidRDefault="008D20CD" w:rsidP="008D20CD">
      <w:pPr>
        <w:ind w:firstLine="284"/>
        <w:jc w:val="both"/>
        <w:rPr>
          <w:lang w:val="en-GB"/>
        </w:rPr>
      </w:pPr>
      <w:r w:rsidRPr="007F6C5E">
        <w:rPr>
          <w:lang w:val="en-GB"/>
        </w:rPr>
        <w:t>Although many factors affect pesticide toxicity on fishes, the optimal GRNN model (σ</w:t>
      </w:r>
      <w:r w:rsidR="002F3D19">
        <w:rPr>
          <w:lang w:val="en-GB"/>
        </w:rPr>
        <w:t xml:space="preserve"> </w:t>
      </w:r>
      <w:r w:rsidRPr="007F6C5E">
        <w:rPr>
          <w:lang w:val="en-GB"/>
        </w:rPr>
        <w:t>=</w:t>
      </w:r>
      <w:r w:rsidR="002F3D19">
        <w:rPr>
          <w:lang w:val="en-GB"/>
        </w:rPr>
        <w:t xml:space="preserve"> </w:t>
      </w:r>
      <w:r w:rsidRPr="007F6C5E">
        <w:rPr>
          <w:lang w:val="en-GB"/>
        </w:rPr>
        <w:t>0.11) based on 20 molecular descriptors was successfully developed for toxicity logLC</w:t>
      </w:r>
      <w:r w:rsidRPr="007F6C5E">
        <w:rPr>
          <w:vertAlign w:val="subscript"/>
          <w:lang w:val="en-GB"/>
        </w:rPr>
        <w:t>50</w:t>
      </w:r>
      <w:r w:rsidRPr="007F6C5E">
        <w:rPr>
          <w:lang w:val="en-GB"/>
        </w:rPr>
        <w:t xml:space="preserve"> of a large data set including 1106</w:t>
      </w:r>
      <w:r w:rsidR="002F3D19">
        <w:rPr>
          <w:lang w:val="en-GB"/>
        </w:rPr>
        <w:t> </w:t>
      </w:r>
      <w:r w:rsidRPr="007F6C5E">
        <w:rPr>
          <w:lang w:val="en-GB"/>
        </w:rPr>
        <w:t xml:space="preserve">pesticides. The training set (774 pesticides), validation set (166 pesticides) and test set (166 pesticides) yielded correlation coefficients </w:t>
      </w:r>
      <w:r w:rsidRPr="00603F84">
        <w:rPr>
          <w:i/>
          <w:iCs/>
          <w:lang w:val="en-GB"/>
        </w:rPr>
        <w:t>R</w:t>
      </w:r>
      <w:r w:rsidRPr="007F6C5E">
        <w:rPr>
          <w:lang w:val="en-GB"/>
        </w:rPr>
        <w:t xml:space="preserve"> of 0.8901, 0.8531 and 0.8802, respectively. Compared with other QSTR models of toxicity logLC</w:t>
      </w:r>
      <w:r w:rsidRPr="007F6C5E">
        <w:rPr>
          <w:vertAlign w:val="subscript"/>
          <w:lang w:val="en-GB"/>
        </w:rPr>
        <w:t>50</w:t>
      </w:r>
      <w:r w:rsidRPr="007F6C5E">
        <w:rPr>
          <w:lang w:val="en-GB"/>
        </w:rPr>
        <w:t xml:space="preserve"> on fishes reported in the literature, the optimal GRNN model in this work is accurate</w:t>
      </w:r>
      <w:r w:rsidR="008B1F23">
        <w:rPr>
          <w:lang w:val="en-GB"/>
        </w:rPr>
        <w:t>. However,</w:t>
      </w:r>
      <w:r w:rsidRPr="007F6C5E">
        <w:rPr>
          <w:lang w:val="en-GB"/>
        </w:rPr>
        <w:t xml:space="preserve"> a large data set of toxicity logLC</w:t>
      </w:r>
      <w:r w:rsidRPr="007F6C5E">
        <w:rPr>
          <w:vertAlign w:val="subscript"/>
          <w:lang w:val="en-GB"/>
        </w:rPr>
        <w:t>50</w:t>
      </w:r>
      <w:r w:rsidRPr="007F6C5E">
        <w:rPr>
          <w:lang w:val="en-GB"/>
        </w:rPr>
        <w:t xml:space="preserve"> was used for the model.</w:t>
      </w:r>
    </w:p>
    <w:p w14:paraId="1A519D82" w14:textId="71CE6E40" w:rsidR="008D20CD" w:rsidRPr="00D94453" w:rsidRDefault="008D20CD" w:rsidP="008932F6">
      <w:pPr>
        <w:pStyle w:val="Rn2"/>
        <w:rPr>
          <w:sz w:val="20"/>
          <w:szCs w:val="20"/>
          <w:lang w:val="en-GB"/>
        </w:rPr>
      </w:pPr>
      <w:r w:rsidRPr="00D94453">
        <w:rPr>
          <w:sz w:val="20"/>
          <w:szCs w:val="20"/>
          <w:lang w:val="en-GB"/>
        </w:rPr>
        <w:t>Acknowledgements</w:t>
      </w:r>
    </w:p>
    <w:p w14:paraId="48144710" w14:textId="77777777" w:rsidR="008D20CD" w:rsidRPr="00D94453" w:rsidRDefault="008D20CD" w:rsidP="008932F6">
      <w:pPr>
        <w:ind w:firstLine="0"/>
        <w:jc w:val="both"/>
        <w:rPr>
          <w:spacing w:val="-2"/>
          <w:sz w:val="20"/>
          <w:szCs w:val="20"/>
          <w:lang w:val="en-GB"/>
        </w:rPr>
      </w:pPr>
      <w:r w:rsidRPr="00D94453">
        <w:rPr>
          <w:spacing w:val="-2"/>
          <w:sz w:val="20"/>
          <w:szCs w:val="20"/>
          <w:lang w:val="en-GB"/>
        </w:rPr>
        <w:t xml:space="preserve">The authors wish to express their sincere thanks to Professor </w:t>
      </w:r>
      <w:proofErr w:type="spellStart"/>
      <w:r w:rsidRPr="00D94453">
        <w:rPr>
          <w:spacing w:val="-2"/>
          <w:sz w:val="20"/>
          <w:szCs w:val="20"/>
          <w:lang w:val="en-GB"/>
        </w:rPr>
        <w:t>Xinliang</w:t>
      </w:r>
      <w:proofErr w:type="spellEnd"/>
      <w:r w:rsidRPr="00D94453">
        <w:rPr>
          <w:spacing w:val="-2"/>
          <w:sz w:val="20"/>
          <w:szCs w:val="20"/>
          <w:lang w:val="en-GB"/>
        </w:rPr>
        <w:t xml:space="preserve"> Yu at Hunan Institute of Engineering for his guidance.</w:t>
      </w:r>
    </w:p>
    <w:p w14:paraId="3C82F8CA" w14:textId="77777777" w:rsidR="008D20CD" w:rsidRPr="00D94453" w:rsidRDefault="008D20CD" w:rsidP="008932F6">
      <w:pPr>
        <w:pStyle w:val="Rn2"/>
        <w:rPr>
          <w:sz w:val="20"/>
          <w:szCs w:val="20"/>
          <w:lang w:val="en-GB"/>
        </w:rPr>
      </w:pPr>
      <w:r w:rsidRPr="00D94453">
        <w:rPr>
          <w:sz w:val="20"/>
          <w:szCs w:val="20"/>
          <w:lang w:val="en-GB"/>
        </w:rPr>
        <w:t>Declarations</w:t>
      </w:r>
    </w:p>
    <w:p w14:paraId="078F2BB0" w14:textId="77777777" w:rsidR="008D20CD" w:rsidRPr="00D94453" w:rsidRDefault="008D20CD" w:rsidP="008932F6">
      <w:pPr>
        <w:ind w:firstLine="0"/>
        <w:jc w:val="both"/>
        <w:rPr>
          <w:sz w:val="20"/>
          <w:szCs w:val="20"/>
          <w:lang w:val="en-GB"/>
        </w:rPr>
      </w:pPr>
      <w:r w:rsidRPr="00D94453">
        <w:rPr>
          <w:sz w:val="20"/>
          <w:szCs w:val="20"/>
          <w:lang w:val="en-GB"/>
        </w:rPr>
        <w:t>Conflict of interest: The authors declare no competing interests.</w:t>
      </w:r>
    </w:p>
    <w:p w14:paraId="7B374A76" w14:textId="77777777" w:rsidR="008D20CD" w:rsidRPr="00D94453" w:rsidRDefault="008D20CD" w:rsidP="008932F6">
      <w:pPr>
        <w:pStyle w:val="Rn2"/>
        <w:rPr>
          <w:sz w:val="20"/>
          <w:szCs w:val="20"/>
          <w:lang w:val="en-GB"/>
        </w:rPr>
      </w:pPr>
      <w:r w:rsidRPr="00D94453">
        <w:rPr>
          <w:sz w:val="20"/>
          <w:szCs w:val="20"/>
          <w:lang w:val="en-GB"/>
        </w:rPr>
        <w:t>Data Availability Statement</w:t>
      </w:r>
    </w:p>
    <w:p w14:paraId="1330987E" w14:textId="4EEA8369" w:rsidR="008D20CD" w:rsidRPr="00D94453" w:rsidRDefault="008D20CD" w:rsidP="00D94453">
      <w:pPr>
        <w:ind w:firstLine="0"/>
        <w:rPr>
          <w:sz w:val="20"/>
          <w:szCs w:val="20"/>
          <w:lang w:val="en-GB"/>
        </w:rPr>
      </w:pPr>
      <w:r w:rsidRPr="00D94453">
        <w:rPr>
          <w:sz w:val="20"/>
          <w:szCs w:val="20"/>
          <w:lang w:val="en-GB"/>
        </w:rPr>
        <w:t>The data that support the finding</w:t>
      </w:r>
      <w:r w:rsidR="008B1F23">
        <w:rPr>
          <w:sz w:val="20"/>
          <w:szCs w:val="20"/>
          <w:lang w:val="en-GB"/>
        </w:rPr>
        <w:t>s</w:t>
      </w:r>
      <w:r w:rsidRPr="00D94453">
        <w:rPr>
          <w:sz w:val="20"/>
          <w:szCs w:val="20"/>
          <w:lang w:val="en-GB"/>
        </w:rPr>
        <w:t xml:space="preserve"> of this study are available in the supplementary material of this article. </w:t>
      </w:r>
      <w:r w:rsidR="00AB724D" w:rsidRPr="00D94453">
        <w:rPr>
          <w:sz w:val="20"/>
          <w:szCs w:val="20"/>
          <w:lang w:val="en-GB"/>
        </w:rPr>
        <w:br/>
      </w:r>
      <w:r w:rsidRPr="00D94453">
        <w:rPr>
          <w:sz w:val="20"/>
          <w:szCs w:val="20"/>
          <w:lang w:val="en-GB"/>
        </w:rPr>
        <w:t>Table S1 being molecular descriptors and logLC</w:t>
      </w:r>
      <w:r w:rsidRPr="00D94453">
        <w:rPr>
          <w:sz w:val="20"/>
          <w:szCs w:val="20"/>
          <w:vertAlign w:val="subscript"/>
          <w:lang w:val="en-GB"/>
        </w:rPr>
        <w:t>50</w:t>
      </w:r>
      <w:r w:rsidRPr="00D94453">
        <w:rPr>
          <w:sz w:val="20"/>
          <w:szCs w:val="20"/>
          <w:lang w:val="en-GB"/>
        </w:rPr>
        <w:t xml:space="preserve"> values.</w:t>
      </w:r>
    </w:p>
    <w:p w14:paraId="7DBF70EC" w14:textId="77777777" w:rsidR="008D20CD" w:rsidRPr="00D94453" w:rsidRDefault="008D20CD" w:rsidP="008932F6">
      <w:pPr>
        <w:pStyle w:val="Rn2"/>
        <w:rPr>
          <w:sz w:val="20"/>
          <w:szCs w:val="20"/>
          <w:lang w:val="en-GB"/>
        </w:rPr>
      </w:pPr>
      <w:r w:rsidRPr="00D94453">
        <w:rPr>
          <w:sz w:val="20"/>
          <w:szCs w:val="20"/>
          <w:lang w:val="en-GB"/>
        </w:rPr>
        <w:t>Author contributions</w:t>
      </w:r>
    </w:p>
    <w:p w14:paraId="345BF8CF" w14:textId="1561EF31" w:rsidR="008D20CD" w:rsidRPr="00D94453" w:rsidRDefault="008D20CD" w:rsidP="00D94453">
      <w:pPr>
        <w:ind w:firstLine="0"/>
        <w:rPr>
          <w:sz w:val="20"/>
          <w:szCs w:val="20"/>
          <w:lang w:val="en-GB"/>
        </w:rPr>
      </w:pPr>
      <w:r w:rsidRPr="00D94453">
        <w:rPr>
          <w:sz w:val="20"/>
          <w:szCs w:val="20"/>
          <w:lang w:val="en-GB"/>
        </w:rPr>
        <w:t xml:space="preserve">B.W., C.C. and M.L: data curation, software. </w:t>
      </w:r>
      <w:r w:rsidR="00D94453">
        <w:rPr>
          <w:sz w:val="20"/>
          <w:szCs w:val="20"/>
          <w:lang w:val="en-GB"/>
        </w:rPr>
        <w:br/>
      </w:r>
      <w:r w:rsidRPr="00D94453">
        <w:rPr>
          <w:sz w:val="20"/>
          <w:szCs w:val="20"/>
          <w:lang w:val="en-GB"/>
        </w:rPr>
        <w:t xml:space="preserve">L.D.: conceptualization, methodology, writing – original draft, writing – review &amp; editing. </w:t>
      </w:r>
    </w:p>
    <w:p w14:paraId="297C8148" w14:textId="5DF41F5F" w:rsidR="00D94453" w:rsidRDefault="008D20CD" w:rsidP="008932F6">
      <w:pPr>
        <w:ind w:firstLine="0"/>
        <w:jc w:val="both"/>
        <w:rPr>
          <w:sz w:val="20"/>
          <w:szCs w:val="20"/>
          <w:lang w:val="en-GB"/>
        </w:rPr>
      </w:pPr>
      <w:r w:rsidRPr="00D94453">
        <w:rPr>
          <w:sz w:val="20"/>
          <w:szCs w:val="20"/>
          <w:lang w:val="en-GB"/>
        </w:rPr>
        <w:t>Ethical Approval Bowen Yang declares that he has not received any research grants or honoraria from any commercial companies.</w:t>
      </w:r>
    </w:p>
    <w:p w14:paraId="082DDDEF" w14:textId="77777777" w:rsidR="00D94453" w:rsidRDefault="008D20CD" w:rsidP="008932F6">
      <w:pPr>
        <w:ind w:firstLine="0"/>
        <w:jc w:val="both"/>
        <w:rPr>
          <w:sz w:val="20"/>
          <w:szCs w:val="20"/>
          <w:lang w:val="en-GB"/>
        </w:rPr>
      </w:pPr>
      <w:r w:rsidRPr="00D94453">
        <w:rPr>
          <w:sz w:val="20"/>
          <w:szCs w:val="20"/>
          <w:lang w:val="en-GB"/>
        </w:rPr>
        <w:t xml:space="preserve">Limin Dang declares that she has not received any research grants or honoraria from any commercial companies. </w:t>
      </w:r>
    </w:p>
    <w:p w14:paraId="04E7E905" w14:textId="30F6D3F3" w:rsidR="008D20CD" w:rsidRPr="00D94453" w:rsidRDefault="008D20CD" w:rsidP="008932F6">
      <w:pPr>
        <w:ind w:firstLine="0"/>
        <w:jc w:val="both"/>
        <w:rPr>
          <w:sz w:val="20"/>
          <w:szCs w:val="20"/>
          <w:lang w:val="en-GB"/>
        </w:rPr>
      </w:pPr>
      <w:r w:rsidRPr="00D94453">
        <w:rPr>
          <w:sz w:val="20"/>
          <w:szCs w:val="20"/>
          <w:lang w:val="en-GB"/>
        </w:rPr>
        <w:t xml:space="preserve">Cong Chen declares that she has not received any research grants or honoraria from any commercial companies. </w:t>
      </w:r>
      <w:proofErr w:type="spellStart"/>
      <w:r w:rsidRPr="00D94453">
        <w:rPr>
          <w:sz w:val="20"/>
          <w:szCs w:val="20"/>
          <w:lang w:val="en-GB"/>
        </w:rPr>
        <w:t>Mingwang</w:t>
      </w:r>
      <w:proofErr w:type="spellEnd"/>
      <w:r w:rsidRPr="00D94453">
        <w:rPr>
          <w:sz w:val="20"/>
          <w:szCs w:val="20"/>
          <w:lang w:val="en-GB"/>
        </w:rPr>
        <w:t xml:space="preserve"> Li declares that he has not received any research grants or honoraria from any commercial companies.</w:t>
      </w:r>
    </w:p>
    <w:p w14:paraId="77FA1570" w14:textId="50155895" w:rsidR="00D94453" w:rsidRPr="00D94453" w:rsidRDefault="008D20CD" w:rsidP="00D94453">
      <w:pPr>
        <w:pStyle w:val="Rn2"/>
        <w:rPr>
          <w:sz w:val="20"/>
          <w:szCs w:val="20"/>
          <w:lang w:val="en-GB"/>
        </w:rPr>
      </w:pPr>
      <w:r w:rsidRPr="00D94453">
        <w:rPr>
          <w:sz w:val="20"/>
          <w:szCs w:val="20"/>
          <w:lang w:val="en-GB"/>
        </w:rPr>
        <w:t>Human and Animal Rights</w:t>
      </w:r>
    </w:p>
    <w:p w14:paraId="553651C8" w14:textId="49DB2A7F" w:rsidR="008D20CD" w:rsidRPr="00D94453" w:rsidRDefault="008D20CD" w:rsidP="008932F6">
      <w:pPr>
        <w:ind w:firstLine="0"/>
        <w:jc w:val="both"/>
        <w:rPr>
          <w:sz w:val="20"/>
          <w:szCs w:val="20"/>
          <w:lang w:val="en-GB"/>
        </w:rPr>
      </w:pPr>
      <w:r w:rsidRPr="00D94453">
        <w:rPr>
          <w:sz w:val="20"/>
          <w:szCs w:val="20"/>
          <w:lang w:val="en-GB"/>
        </w:rPr>
        <w:t>This article does not contain any studies with human or animal subjects.</w:t>
      </w:r>
    </w:p>
    <w:p w14:paraId="23427D59" w14:textId="77777777" w:rsidR="005352F0" w:rsidRPr="000E3600" w:rsidRDefault="005352F0" w:rsidP="005352F0">
      <w:pPr>
        <w:ind w:firstLine="0"/>
        <w:rPr>
          <w:bCs/>
          <w:lang w:val="en-GB"/>
        </w:rPr>
      </w:pPr>
    </w:p>
    <w:p w14:paraId="1EF3BBD1" w14:textId="77777777" w:rsidR="000E3600" w:rsidRDefault="000E3600">
      <w:pPr>
        <w:spacing w:after="160" w:line="259" w:lineRule="auto"/>
        <w:ind w:firstLine="0"/>
        <w:rPr>
          <w:b/>
          <w:lang w:val="en-GB"/>
        </w:rPr>
      </w:pPr>
      <w:r>
        <w:rPr>
          <w:lang w:val="en-GB"/>
        </w:rPr>
        <w:br w:type="page"/>
      </w:r>
    </w:p>
    <w:p w14:paraId="1FEC3FF2" w14:textId="17687F99" w:rsidR="008D20CD" w:rsidRPr="007F6C5E" w:rsidRDefault="008D20CD" w:rsidP="00B90CE5">
      <w:pPr>
        <w:pStyle w:val="Rn2"/>
        <w:rPr>
          <w:lang w:val="en-GB"/>
        </w:rPr>
      </w:pPr>
      <w:r w:rsidRPr="007F6C5E">
        <w:rPr>
          <w:lang w:val="en-GB"/>
        </w:rPr>
        <w:lastRenderedPageBreak/>
        <w:t>References</w:t>
      </w:r>
    </w:p>
    <w:p w14:paraId="455DFC08" w14:textId="5B248678" w:rsidR="008D20CD" w:rsidRPr="007F6C5E" w:rsidRDefault="008D20CD" w:rsidP="00F03717">
      <w:pPr>
        <w:pStyle w:val="Rlit"/>
        <w:spacing w:line="235" w:lineRule="auto"/>
        <w:jc w:val="left"/>
        <w:rPr>
          <w:lang w:val="en-GB"/>
        </w:rPr>
      </w:pPr>
      <w:proofErr w:type="spellStart"/>
      <w:r w:rsidRPr="007F6C5E">
        <w:rPr>
          <w:lang w:val="en-GB"/>
        </w:rPr>
        <w:t>Cachot</w:t>
      </w:r>
      <w:proofErr w:type="spellEnd"/>
      <w:r w:rsidRPr="007F6C5E">
        <w:rPr>
          <w:lang w:val="en-GB"/>
        </w:rPr>
        <w:t xml:space="preserve">, J. (2014). Assessment of pollution in the Bizerte lagoon (Tunisia) by the combined use of chemical and biochemical markers in mussels, Mytilus </w:t>
      </w:r>
      <w:proofErr w:type="spellStart"/>
      <w:r w:rsidRPr="007F6C5E">
        <w:rPr>
          <w:lang w:val="en-GB"/>
        </w:rPr>
        <w:t>gallo-provincialis</w:t>
      </w:r>
      <w:proofErr w:type="spellEnd"/>
      <w:r w:rsidRPr="007F6C5E">
        <w:rPr>
          <w:lang w:val="en-GB"/>
        </w:rPr>
        <w:t xml:space="preserve">. </w:t>
      </w:r>
      <w:r w:rsidRPr="00AB724D">
        <w:rPr>
          <w:i/>
          <w:iCs/>
          <w:lang w:val="en-GB"/>
        </w:rPr>
        <w:t>Marine Pollution Bulletin</w:t>
      </w:r>
      <w:r w:rsidRPr="007F6C5E">
        <w:rPr>
          <w:lang w:val="en-GB"/>
        </w:rPr>
        <w:t xml:space="preserve">, </w:t>
      </w:r>
      <w:r w:rsidRPr="00AB724D">
        <w:rPr>
          <w:i/>
          <w:iCs/>
          <w:lang w:val="en-GB"/>
        </w:rPr>
        <w:t>84</w:t>
      </w:r>
      <w:r w:rsidRPr="007F6C5E">
        <w:rPr>
          <w:lang w:val="en-GB"/>
        </w:rPr>
        <w:t>, 379</w:t>
      </w:r>
      <w:r w:rsidR="00AB724D">
        <w:rPr>
          <w:lang w:val="en-GB"/>
        </w:rPr>
        <w:t>-</w:t>
      </w:r>
      <w:r w:rsidRPr="007F6C5E">
        <w:rPr>
          <w:lang w:val="en-GB"/>
        </w:rPr>
        <w:t>390. https://doi.org/10.1016/j.marpolbul.2014.05.002</w:t>
      </w:r>
    </w:p>
    <w:p w14:paraId="419AA5EF" w14:textId="669DD290" w:rsidR="008D20CD" w:rsidRPr="007F6C5E" w:rsidRDefault="008D20CD" w:rsidP="00F03717">
      <w:pPr>
        <w:pStyle w:val="Rlit"/>
        <w:spacing w:line="235" w:lineRule="auto"/>
        <w:rPr>
          <w:lang w:val="en-GB"/>
        </w:rPr>
      </w:pPr>
      <w:r w:rsidRPr="007F6C5E">
        <w:rPr>
          <w:lang w:val="en-GB"/>
        </w:rPr>
        <w:t xml:space="preserve">DeLorenzo, M.E., Scott, G.I., Ross, P.E. (2001). Toxicity of pesticides to aquatic microorganisms: a review. </w:t>
      </w:r>
      <w:r w:rsidRPr="00AB724D">
        <w:rPr>
          <w:i/>
          <w:iCs/>
          <w:lang w:val="en-GB"/>
        </w:rPr>
        <w:t>Environmental Toxicology and Chemistry</w:t>
      </w:r>
      <w:r w:rsidRPr="007F6C5E">
        <w:rPr>
          <w:lang w:val="en-GB"/>
        </w:rPr>
        <w:t xml:space="preserve">, </w:t>
      </w:r>
      <w:r w:rsidRPr="00AB724D">
        <w:rPr>
          <w:i/>
          <w:iCs/>
          <w:lang w:val="en-GB"/>
        </w:rPr>
        <w:t>20</w:t>
      </w:r>
      <w:r w:rsidRPr="007F6C5E">
        <w:rPr>
          <w:lang w:val="en-GB"/>
        </w:rPr>
        <w:t>, 84</w:t>
      </w:r>
      <w:r w:rsidR="00AB724D">
        <w:rPr>
          <w:lang w:val="en-GB"/>
        </w:rPr>
        <w:t>-</w:t>
      </w:r>
      <w:r w:rsidRPr="007F6C5E">
        <w:rPr>
          <w:lang w:val="en-GB"/>
        </w:rPr>
        <w:t>98. https://doi.org/10.1002/etc.5620200108</w:t>
      </w:r>
    </w:p>
    <w:p w14:paraId="64DC924C" w14:textId="4613DCEF" w:rsidR="008D20CD" w:rsidRPr="007F6C5E" w:rsidRDefault="008D20CD" w:rsidP="00F03717">
      <w:pPr>
        <w:pStyle w:val="Rlit"/>
        <w:spacing w:line="235" w:lineRule="auto"/>
        <w:rPr>
          <w:lang w:val="en-GB"/>
        </w:rPr>
      </w:pPr>
      <w:r w:rsidRPr="007F6C5E">
        <w:rPr>
          <w:lang w:val="en-GB"/>
        </w:rPr>
        <w:t xml:space="preserve">Fang, Z., Yu, X., Zeng, Q. (2022). Random forest algorithm-based accurate prediction of chemical toxicity to </w:t>
      </w:r>
      <w:r w:rsidRPr="004801D6">
        <w:rPr>
          <w:i/>
          <w:iCs/>
          <w:lang w:val="en-GB"/>
        </w:rPr>
        <w:t>Tetrahymena pyriformis</w:t>
      </w:r>
      <w:r w:rsidRPr="007F6C5E">
        <w:rPr>
          <w:lang w:val="en-GB"/>
        </w:rPr>
        <w:t xml:space="preserve">. </w:t>
      </w:r>
      <w:r w:rsidRPr="00AB724D">
        <w:rPr>
          <w:i/>
          <w:iCs/>
          <w:lang w:val="en-GB"/>
        </w:rPr>
        <w:t>Toxicology</w:t>
      </w:r>
      <w:r w:rsidR="00AB724D">
        <w:rPr>
          <w:lang w:val="en-GB"/>
        </w:rPr>
        <w:t>,</w:t>
      </w:r>
      <w:r w:rsidRPr="007F6C5E">
        <w:rPr>
          <w:lang w:val="en-GB"/>
        </w:rPr>
        <w:t xml:space="preserve"> </w:t>
      </w:r>
      <w:r w:rsidRPr="00AB724D">
        <w:rPr>
          <w:i/>
          <w:iCs/>
          <w:lang w:val="en-GB"/>
        </w:rPr>
        <w:t>480</w:t>
      </w:r>
      <w:r w:rsidRPr="007F6C5E">
        <w:rPr>
          <w:lang w:val="en-GB"/>
        </w:rPr>
        <w:t>, 153325. https://doi.org/10.1016/j.tox.2022.153325</w:t>
      </w:r>
    </w:p>
    <w:p w14:paraId="7CE54A98" w14:textId="6CD1BC57" w:rsidR="008D20CD" w:rsidRPr="007F6C5E" w:rsidRDefault="008D20CD" w:rsidP="00F03717">
      <w:pPr>
        <w:pStyle w:val="Rlit"/>
        <w:spacing w:line="235" w:lineRule="auto"/>
        <w:jc w:val="left"/>
        <w:rPr>
          <w:lang w:val="en-GB"/>
        </w:rPr>
      </w:pPr>
      <w:r w:rsidRPr="007F6C5E">
        <w:rPr>
          <w:lang w:val="en-GB"/>
        </w:rPr>
        <w:t xml:space="preserve">Galimberti, F., Moretto, A., Papa, E. (2020). Application of chemometric methods and QSAR models to support pesticide risk assessment starting from ecotoxicological datasets. </w:t>
      </w:r>
      <w:r w:rsidRPr="00AB724D">
        <w:rPr>
          <w:i/>
          <w:iCs/>
          <w:lang w:val="en-GB"/>
        </w:rPr>
        <w:t>Water Research</w:t>
      </w:r>
      <w:r w:rsidRPr="007F6C5E">
        <w:rPr>
          <w:lang w:val="en-GB"/>
        </w:rPr>
        <w:t xml:space="preserve">, </w:t>
      </w:r>
      <w:r w:rsidRPr="00AB724D">
        <w:rPr>
          <w:i/>
          <w:iCs/>
          <w:lang w:val="en-GB"/>
        </w:rPr>
        <w:t>174</w:t>
      </w:r>
      <w:r w:rsidRPr="007F6C5E">
        <w:rPr>
          <w:lang w:val="en-GB"/>
        </w:rPr>
        <w:t xml:space="preserve">, 115583. </w:t>
      </w:r>
      <w:r w:rsidR="00AB724D">
        <w:rPr>
          <w:lang w:val="en-GB"/>
        </w:rPr>
        <w:br/>
      </w:r>
      <w:r w:rsidRPr="007F6C5E">
        <w:rPr>
          <w:lang w:val="en-GB"/>
        </w:rPr>
        <w:t>https://doi.org/10.1016/j.watres.2020.115583</w:t>
      </w:r>
    </w:p>
    <w:p w14:paraId="036B9306" w14:textId="65901709" w:rsidR="008D20CD" w:rsidRPr="007F6C5E" w:rsidRDefault="008D20CD" w:rsidP="00F03717">
      <w:pPr>
        <w:pStyle w:val="Rlit"/>
        <w:spacing w:line="235" w:lineRule="auto"/>
        <w:jc w:val="left"/>
        <w:rPr>
          <w:lang w:val="en-GB"/>
        </w:rPr>
      </w:pPr>
      <w:proofErr w:type="spellStart"/>
      <w:r w:rsidRPr="007F6C5E">
        <w:rPr>
          <w:lang w:val="en-GB"/>
        </w:rPr>
        <w:t>Golmohammadi</w:t>
      </w:r>
      <w:proofErr w:type="spellEnd"/>
      <w:r w:rsidRPr="007F6C5E">
        <w:rPr>
          <w:lang w:val="en-GB"/>
        </w:rPr>
        <w:t>, H.</w:t>
      </w:r>
      <w:r w:rsidR="00AB724D">
        <w:rPr>
          <w:lang w:val="en-GB"/>
        </w:rPr>
        <w:t>,</w:t>
      </w:r>
      <w:r w:rsidRPr="007F6C5E">
        <w:rPr>
          <w:lang w:val="en-GB"/>
        </w:rPr>
        <w:t xml:space="preserve"> Safdari, M. (2010). Quantitative structure–property relationship prediction of gas-to-chloroform partition coefficient using artificial neural network. </w:t>
      </w:r>
      <w:r w:rsidRPr="00AB724D">
        <w:rPr>
          <w:i/>
          <w:iCs/>
          <w:lang w:val="en-GB"/>
        </w:rPr>
        <w:t>Microchemical Journal</w:t>
      </w:r>
      <w:r w:rsidRPr="007F6C5E">
        <w:rPr>
          <w:lang w:val="en-GB"/>
        </w:rPr>
        <w:t xml:space="preserve">, </w:t>
      </w:r>
      <w:r w:rsidRPr="00AB724D">
        <w:rPr>
          <w:i/>
          <w:iCs/>
          <w:lang w:val="en-GB"/>
        </w:rPr>
        <w:t>95</w:t>
      </w:r>
      <w:r w:rsidRPr="007F6C5E">
        <w:rPr>
          <w:lang w:val="en-GB"/>
        </w:rPr>
        <w:t>(2), 140</w:t>
      </w:r>
      <w:r w:rsidR="00AB724D">
        <w:rPr>
          <w:lang w:val="en-GB"/>
        </w:rPr>
        <w:t>-</w:t>
      </w:r>
      <w:r w:rsidRPr="007F6C5E">
        <w:rPr>
          <w:lang w:val="en-GB"/>
        </w:rPr>
        <w:t>151. https://doi.org/10.1016/j.microc.2009.10.019</w:t>
      </w:r>
    </w:p>
    <w:p w14:paraId="50F3EC93" w14:textId="1DADC967" w:rsidR="008D20CD" w:rsidRPr="007F6C5E" w:rsidRDefault="008D20CD" w:rsidP="00F03717">
      <w:pPr>
        <w:pStyle w:val="Rlit"/>
        <w:spacing w:line="235" w:lineRule="auto"/>
        <w:rPr>
          <w:lang w:val="en-GB"/>
        </w:rPr>
      </w:pPr>
      <w:r w:rsidRPr="007F6C5E">
        <w:rPr>
          <w:lang w:val="en-GB"/>
        </w:rPr>
        <w:t xml:space="preserve">Jia, Q., Liu, T., Yan, F., Wang, Q. (2020). Norm index–based QSAR model for acute toxicity of pesticides toward </w:t>
      </w:r>
      <w:r w:rsidRPr="00705DA6">
        <w:rPr>
          <w:i/>
          <w:iCs/>
          <w:lang w:val="en-GB"/>
        </w:rPr>
        <w:t>rainbow trout</w:t>
      </w:r>
      <w:r w:rsidRPr="007F6C5E">
        <w:rPr>
          <w:lang w:val="en-GB"/>
        </w:rPr>
        <w:t xml:space="preserve">. </w:t>
      </w:r>
      <w:r w:rsidRPr="00AB724D">
        <w:rPr>
          <w:i/>
          <w:iCs/>
          <w:lang w:val="en-GB"/>
        </w:rPr>
        <w:t>Environmental Toxicology and Chemistry</w:t>
      </w:r>
      <w:r w:rsidRPr="007F6C5E">
        <w:rPr>
          <w:lang w:val="en-GB"/>
        </w:rPr>
        <w:t xml:space="preserve">, </w:t>
      </w:r>
      <w:r w:rsidRPr="00AB724D">
        <w:rPr>
          <w:i/>
          <w:iCs/>
          <w:lang w:val="en-GB"/>
        </w:rPr>
        <w:t>39</w:t>
      </w:r>
      <w:r w:rsidRPr="007F6C5E">
        <w:rPr>
          <w:lang w:val="en-GB"/>
        </w:rPr>
        <w:t>(2), 352</w:t>
      </w:r>
      <w:r w:rsidR="00AB724D">
        <w:rPr>
          <w:lang w:val="en-GB"/>
        </w:rPr>
        <w:t>-</w:t>
      </w:r>
      <w:r w:rsidRPr="007F6C5E">
        <w:rPr>
          <w:lang w:val="en-GB"/>
        </w:rPr>
        <w:t>358. https://doi.org/10.1002/etc.4621</w:t>
      </w:r>
    </w:p>
    <w:p w14:paraId="38C7A15D" w14:textId="3BFF843C" w:rsidR="008D20CD" w:rsidRPr="007F6C5E" w:rsidRDefault="008D20CD" w:rsidP="00F03717">
      <w:pPr>
        <w:pStyle w:val="Rlit"/>
        <w:spacing w:line="235" w:lineRule="auto"/>
        <w:rPr>
          <w:lang w:val="en-GB"/>
        </w:rPr>
      </w:pPr>
      <w:r w:rsidRPr="007F6C5E">
        <w:rPr>
          <w:lang w:val="en-GB"/>
        </w:rPr>
        <w:t xml:space="preserve">Isah, H.M., Sawyerr, H.O., Raimi, M.O., Bashir, B.G., Haladu, S., </w:t>
      </w:r>
      <w:proofErr w:type="spellStart"/>
      <w:r w:rsidRPr="007F6C5E">
        <w:rPr>
          <w:lang w:val="en-GB"/>
        </w:rPr>
        <w:t>Odipe</w:t>
      </w:r>
      <w:proofErr w:type="spellEnd"/>
      <w:r w:rsidRPr="007F6C5E">
        <w:rPr>
          <w:lang w:val="en-GB"/>
        </w:rPr>
        <w:t xml:space="preserve">, O.E. (2020). Assessment of Commonly Used Pesticides and Frequency of Self-Reported Symptoms on Farmers Health in Kura, Kano State, Nigeria. </w:t>
      </w:r>
      <w:r w:rsidRPr="00AB724D">
        <w:rPr>
          <w:i/>
          <w:iCs/>
          <w:lang w:val="en-GB"/>
        </w:rPr>
        <w:t>Journal of Education and Learning Management</w:t>
      </w:r>
      <w:r w:rsidRPr="007F6C5E">
        <w:rPr>
          <w:lang w:val="en-GB"/>
        </w:rPr>
        <w:t xml:space="preserve">, </w:t>
      </w:r>
      <w:r w:rsidRPr="00AB724D">
        <w:rPr>
          <w:i/>
          <w:iCs/>
          <w:lang w:val="en-GB"/>
        </w:rPr>
        <w:t>1</w:t>
      </w:r>
      <w:r w:rsidRPr="007F6C5E">
        <w:rPr>
          <w:lang w:val="en-GB"/>
        </w:rPr>
        <w:t>(1), 31</w:t>
      </w:r>
      <w:r w:rsidR="00AB724D">
        <w:rPr>
          <w:lang w:val="en-GB"/>
        </w:rPr>
        <w:t>-</w:t>
      </w:r>
      <w:r w:rsidRPr="007F6C5E">
        <w:rPr>
          <w:lang w:val="en-GB"/>
        </w:rPr>
        <w:t>54. http//dx.doi.org/10.46410/jelm.2020.1.1.05</w:t>
      </w:r>
    </w:p>
    <w:p w14:paraId="5D863E15" w14:textId="6C0E1E03" w:rsidR="008D20CD" w:rsidRPr="007F6C5E" w:rsidRDefault="008D20CD" w:rsidP="00F03717">
      <w:pPr>
        <w:pStyle w:val="Rlit"/>
        <w:spacing w:line="235" w:lineRule="auto"/>
        <w:rPr>
          <w:lang w:val="en-GB"/>
        </w:rPr>
      </w:pPr>
      <w:r w:rsidRPr="007F6C5E">
        <w:rPr>
          <w:lang w:val="en-GB"/>
        </w:rPr>
        <w:t xml:space="preserve">Li, F., Fan, D., Wang, H., Yang, H., Li, W., Tang, Y., Liu, G. (2017). In silico prediction of pesticide aquatic toxicity with chemical category approaches. </w:t>
      </w:r>
      <w:r w:rsidRPr="00AB724D">
        <w:rPr>
          <w:i/>
          <w:iCs/>
          <w:lang w:val="en-GB"/>
        </w:rPr>
        <w:t>Toxicology Research</w:t>
      </w:r>
      <w:r w:rsidRPr="007F6C5E">
        <w:rPr>
          <w:lang w:val="en-GB"/>
        </w:rPr>
        <w:t xml:space="preserve">, </w:t>
      </w:r>
      <w:r w:rsidRPr="00AB724D">
        <w:rPr>
          <w:i/>
          <w:iCs/>
          <w:lang w:val="en-GB"/>
        </w:rPr>
        <w:t>6</w:t>
      </w:r>
      <w:r w:rsidRPr="007F6C5E">
        <w:rPr>
          <w:lang w:val="en-GB"/>
        </w:rPr>
        <w:t>, 831. https://doi.org/10.1039/c7tx00144d</w:t>
      </w:r>
    </w:p>
    <w:p w14:paraId="0208888B" w14:textId="318ACBDF" w:rsidR="008D20CD" w:rsidRPr="007F6C5E" w:rsidRDefault="008D20CD" w:rsidP="00F03717">
      <w:pPr>
        <w:pStyle w:val="Rlit"/>
        <w:spacing w:line="235" w:lineRule="auto"/>
        <w:rPr>
          <w:lang w:val="en-GB"/>
        </w:rPr>
      </w:pPr>
      <w:r w:rsidRPr="007F6C5E">
        <w:rPr>
          <w:lang w:val="en-GB"/>
        </w:rPr>
        <w:t xml:space="preserve">Khan, K., Khan, P.M., Lavado, G., Valsecchi, C., Pasqualini, J., </w:t>
      </w:r>
      <w:proofErr w:type="spellStart"/>
      <w:r w:rsidRPr="007F6C5E">
        <w:rPr>
          <w:lang w:val="en-GB"/>
        </w:rPr>
        <w:t>Baderna</w:t>
      </w:r>
      <w:proofErr w:type="spellEnd"/>
      <w:r w:rsidRPr="007F6C5E">
        <w:rPr>
          <w:lang w:val="en-GB"/>
        </w:rPr>
        <w:t xml:space="preserve">, D., Marzo, M., Lombardo, A., Roy, K., </w:t>
      </w:r>
      <w:proofErr w:type="spellStart"/>
      <w:r w:rsidRPr="007F6C5E">
        <w:rPr>
          <w:lang w:val="en-GB"/>
        </w:rPr>
        <w:t>Benfenati</w:t>
      </w:r>
      <w:proofErr w:type="spellEnd"/>
      <w:r w:rsidRPr="007F6C5E">
        <w:rPr>
          <w:lang w:val="en-GB"/>
        </w:rPr>
        <w:t xml:space="preserve">, E. (2019). QSAR </w:t>
      </w:r>
      <w:proofErr w:type="spellStart"/>
      <w:r w:rsidRPr="007F6C5E">
        <w:rPr>
          <w:lang w:val="en-GB"/>
        </w:rPr>
        <w:t>modeling</w:t>
      </w:r>
      <w:proofErr w:type="spellEnd"/>
      <w:r w:rsidRPr="007F6C5E">
        <w:rPr>
          <w:lang w:val="en-GB"/>
        </w:rPr>
        <w:t xml:space="preserve"> of Daphnia magna and fish toxicities of biocides using 2D descriptors. </w:t>
      </w:r>
      <w:r w:rsidRPr="00AB724D">
        <w:rPr>
          <w:i/>
          <w:iCs/>
          <w:lang w:val="en-GB"/>
        </w:rPr>
        <w:t>Chemosphere</w:t>
      </w:r>
      <w:r w:rsidRPr="007F6C5E">
        <w:rPr>
          <w:lang w:val="en-GB"/>
        </w:rPr>
        <w:t xml:space="preserve">, </w:t>
      </w:r>
      <w:r w:rsidRPr="00AB724D">
        <w:rPr>
          <w:i/>
          <w:iCs/>
          <w:lang w:val="en-GB"/>
        </w:rPr>
        <w:t>229</w:t>
      </w:r>
      <w:r w:rsidRPr="007F6C5E">
        <w:rPr>
          <w:lang w:val="en-GB"/>
        </w:rPr>
        <w:t>, 8</w:t>
      </w:r>
      <w:r w:rsidR="00AB724D">
        <w:rPr>
          <w:lang w:val="en-GB"/>
        </w:rPr>
        <w:t>-</w:t>
      </w:r>
      <w:r w:rsidRPr="007F6C5E">
        <w:rPr>
          <w:lang w:val="en-GB"/>
        </w:rPr>
        <w:t>17. https://doi.org/10.1016/j.chemosphere.2019.04.204</w:t>
      </w:r>
    </w:p>
    <w:p w14:paraId="1C6AF8F7" w14:textId="2C1A91CD" w:rsidR="008D20CD" w:rsidRPr="007F6C5E" w:rsidRDefault="008D20CD" w:rsidP="00F03717">
      <w:pPr>
        <w:pStyle w:val="Rlit"/>
        <w:spacing w:line="235" w:lineRule="auto"/>
        <w:rPr>
          <w:lang w:val="en-GB"/>
        </w:rPr>
      </w:pPr>
      <w:proofErr w:type="spellStart"/>
      <w:r w:rsidRPr="007F6C5E">
        <w:rPr>
          <w:lang w:val="en-GB"/>
        </w:rPr>
        <w:t>Masand</w:t>
      </w:r>
      <w:proofErr w:type="spellEnd"/>
      <w:r w:rsidRPr="007F6C5E">
        <w:rPr>
          <w:lang w:val="en-GB"/>
        </w:rPr>
        <w:t xml:space="preserve">, V.H., Zaki, M.E.A., Al-Hussain, S.A., </w:t>
      </w:r>
      <w:proofErr w:type="spellStart"/>
      <w:r w:rsidRPr="007F6C5E">
        <w:rPr>
          <w:lang w:val="en-GB"/>
        </w:rPr>
        <w:t>Ghorbal</w:t>
      </w:r>
      <w:proofErr w:type="spellEnd"/>
      <w:r w:rsidRPr="007F6C5E">
        <w:rPr>
          <w:lang w:val="en-GB"/>
        </w:rPr>
        <w:t xml:space="preserve">, A.B., </w:t>
      </w:r>
      <w:proofErr w:type="spellStart"/>
      <w:r w:rsidRPr="007F6C5E">
        <w:rPr>
          <w:lang w:val="en-GB"/>
        </w:rPr>
        <w:t>Akasapu</w:t>
      </w:r>
      <w:proofErr w:type="spellEnd"/>
      <w:r w:rsidRPr="007F6C5E">
        <w:rPr>
          <w:lang w:val="en-GB"/>
        </w:rPr>
        <w:t xml:space="preserve">, S., </w:t>
      </w:r>
      <w:proofErr w:type="spellStart"/>
      <w:r w:rsidRPr="007F6C5E">
        <w:rPr>
          <w:lang w:val="en-GB"/>
        </w:rPr>
        <w:t>Lewaa</w:t>
      </w:r>
      <w:proofErr w:type="spellEnd"/>
      <w:r w:rsidRPr="007F6C5E">
        <w:rPr>
          <w:lang w:val="en-GB"/>
        </w:rPr>
        <w:t xml:space="preserve">, I., Ghosh, A., </w:t>
      </w:r>
      <w:proofErr w:type="spellStart"/>
      <w:r w:rsidRPr="007F6C5E">
        <w:rPr>
          <w:lang w:val="en-GB"/>
        </w:rPr>
        <w:t>Jawarkar</w:t>
      </w:r>
      <w:proofErr w:type="spellEnd"/>
      <w:r w:rsidRPr="007F6C5E">
        <w:rPr>
          <w:lang w:val="en-GB"/>
        </w:rPr>
        <w:t xml:space="preserve">, R.D. (2021). Identification of concealed structural alerts using QSTR </w:t>
      </w:r>
      <w:proofErr w:type="spellStart"/>
      <w:r w:rsidRPr="007F6C5E">
        <w:rPr>
          <w:lang w:val="en-GB"/>
        </w:rPr>
        <w:t>modeling</w:t>
      </w:r>
      <w:proofErr w:type="spellEnd"/>
      <w:r w:rsidRPr="007F6C5E">
        <w:rPr>
          <w:lang w:val="en-GB"/>
        </w:rPr>
        <w:t xml:space="preserve"> for </w:t>
      </w:r>
      <w:proofErr w:type="spellStart"/>
      <w:r w:rsidRPr="00705DA6">
        <w:rPr>
          <w:i/>
          <w:iCs/>
          <w:lang w:val="en-GB"/>
        </w:rPr>
        <w:t>Pseudokirchneriella</w:t>
      </w:r>
      <w:proofErr w:type="spellEnd"/>
      <w:r w:rsidRPr="00705DA6">
        <w:rPr>
          <w:i/>
          <w:iCs/>
          <w:lang w:val="en-GB"/>
        </w:rPr>
        <w:t xml:space="preserve"> </w:t>
      </w:r>
      <w:proofErr w:type="spellStart"/>
      <w:r w:rsidRPr="00705DA6">
        <w:rPr>
          <w:i/>
          <w:iCs/>
          <w:lang w:val="en-GB"/>
        </w:rPr>
        <w:t>subcapitata</w:t>
      </w:r>
      <w:proofErr w:type="spellEnd"/>
      <w:r w:rsidRPr="007F6C5E">
        <w:rPr>
          <w:lang w:val="en-GB"/>
        </w:rPr>
        <w:t xml:space="preserve">. </w:t>
      </w:r>
      <w:r w:rsidRPr="00AB724D">
        <w:rPr>
          <w:i/>
          <w:iCs/>
          <w:lang w:val="en-GB"/>
        </w:rPr>
        <w:t>Aquatic Toxicology</w:t>
      </w:r>
      <w:r w:rsidRPr="007F6C5E">
        <w:rPr>
          <w:lang w:val="en-GB"/>
        </w:rPr>
        <w:t xml:space="preserve">, </w:t>
      </w:r>
      <w:r w:rsidRPr="00AB724D">
        <w:rPr>
          <w:i/>
          <w:iCs/>
          <w:lang w:val="en-GB"/>
        </w:rPr>
        <w:t>239</w:t>
      </w:r>
      <w:r w:rsidRPr="007F6C5E">
        <w:rPr>
          <w:lang w:val="en-GB"/>
        </w:rPr>
        <w:t>, 105962. https://doi.org/10.1016/j.aquatox.2021.105962</w:t>
      </w:r>
    </w:p>
    <w:p w14:paraId="4EDDE59D" w14:textId="5A4EA21A" w:rsidR="008D20CD" w:rsidRPr="007F6C5E" w:rsidRDefault="008D20CD" w:rsidP="00F03717">
      <w:pPr>
        <w:pStyle w:val="Rlit"/>
        <w:spacing w:line="235" w:lineRule="auto"/>
        <w:jc w:val="left"/>
        <w:rPr>
          <w:lang w:val="en-GB"/>
        </w:rPr>
      </w:pPr>
      <w:proofErr w:type="spellStart"/>
      <w:r w:rsidRPr="007F6C5E">
        <w:rPr>
          <w:lang w:val="en-GB"/>
        </w:rPr>
        <w:t>Mit</w:t>
      </w:r>
      <w:proofErr w:type="spellEnd"/>
      <w:r w:rsidRPr="007F6C5E">
        <w:rPr>
          <w:lang w:val="en-GB"/>
        </w:rPr>
        <w:t xml:space="preserve">, C., Bado-Nilles, A., Daniele, G., Giroud, B., </w:t>
      </w:r>
      <w:proofErr w:type="spellStart"/>
      <w:r w:rsidRPr="007F6C5E">
        <w:rPr>
          <w:lang w:val="en-GB"/>
        </w:rPr>
        <w:t>Vulliet</w:t>
      </w:r>
      <w:proofErr w:type="spellEnd"/>
      <w:r w:rsidRPr="007F6C5E">
        <w:rPr>
          <w:lang w:val="en-GB"/>
        </w:rPr>
        <w:t xml:space="preserve">, E., Beaudouin, R. (2022). The </w:t>
      </w:r>
      <w:proofErr w:type="spellStart"/>
      <w:r w:rsidRPr="007F6C5E">
        <w:rPr>
          <w:lang w:val="en-GB"/>
        </w:rPr>
        <w:t>toxicokinetics</w:t>
      </w:r>
      <w:proofErr w:type="spellEnd"/>
      <w:r w:rsidRPr="007F6C5E">
        <w:rPr>
          <w:lang w:val="en-GB"/>
        </w:rPr>
        <w:t xml:space="preserve"> of bisphenol A and its metabolites in fish elucidated by a PBTK model. </w:t>
      </w:r>
      <w:r w:rsidRPr="00AB724D">
        <w:rPr>
          <w:i/>
          <w:iCs/>
          <w:lang w:val="en-GB"/>
        </w:rPr>
        <w:t>Aquatic Toxicology</w:t>
      </w:r>
      <w:r w:rsidRPr="007F6C5E">
        <w:rPr>
          <w:lang w:val="en-GB"/>
        </w:rPr>
        <w:t xml:space="preserve">, </w:t>
      </w:r>
      <w:r w:rsidRPr="00AB724D">
        <w:rPr>
          <w:i/>
          <w:iCs/>
          <w:lang w:val="en-GB"/>
        </w:rPr>
        <w:t>247</w:t>
      </w:r>
      <w:r w:rsidRPr="007F6C5E">
        <w:rPr>
          <w:lang w:val="en-GB"/>
        </w:rPr>
        <w:t>, 106174. https://doi.org/10.1016/j.aquatox.2022.106174</w:t>
      </w:r>
    </w:p>
    <w:p w14:paraId="31BE8643" w14:textId="3A87930F" w:rsidR="008D20CD" w:rsidRPr="007F6C5E" w:rsidRDefault="008D20CD" w:rsidP="00F03717">
      <w:pPr>
        <w:pStyle w:val="Rlit"/>
        <w:spacing w:line="235" w:lineRule="auto"/>
        <w:rPr>
          <w:lang w:val="en-GB"/>
        </w:rPr>
      </w:pPr>
      <w:r w:rsidRPr="007F6C5E">
        <w:rPr>
          <w:lang w:val="en-GB"/>
        </w:rPr>
        <w:t xml:space="preserve">Mo, L.-Y., Yuan, B.-K., Zhu, J., Qin, L.-T., Dai, J.-F. (2022). QSAR Models for Predicting Additive and Synergistic Toxicities of Binary Pesticide Mixtures on Scenedesmus Obliquus. </w:t>
      </w:r>
      <w:r w:rsidRPr="00AB724D">
        <w:rPr>
          <w:i/>
          <w:iCs/>
          <w:lang w:val="en-GB"/>
        </w:rPr>
        <w:t>Chinese Journal Structural Chemistry</w:t>
      </w:r>
      <w:r w:rsidRPr="007F6C5E">
        <w:rPr>
          <w:lang w:val="en-GB"/>
        </w:rPr>
        <w:t xml:space="preserve">, </w:t>
      </w:r>
      <w:r w:rsidRPr="00AB724D">
        <w:rPr>
          <w:i/>
          <w:iCs/>
          <w:lang w:val="en-GB"/>
        </w:rPr>
        <w:t>41</w:t>
      </w:r>
      <w:r w:rsidRPr="007F6C5E">
        <w:rPr>
          <w:lang w:val="en-GB"/>
        </w:rPr>
        <w:t>(3), 2203166</w:t>
      </w:r>
      <w:r w:rsidR="00AB724D">
        <w:rPr>
          <w:lang w:val="en-GB"/>
        </w:rPr>
        <w:t>-</w:t>
      </w:r>
      <w:r w:rsidRPr="007F6C5E">
        <w:rPr>
          <w:lang w:val="en-GB"/>
        </w:rPr>
        <w:t>2203177. https://doi.org/10.14102/j.cnki.0254-5861.2011-3306</w:t>
      </w:r>
    </w:p>
    <w:p w14:paraId="75318417" w14:textId="2A25C4AE" w:rsidR="008D20CD" w:rsidRPr="007F6C5E" w:rsidRDefault="008D20CD" w:rsidP="00F03717">
      <w:pPr>
        <w:pStyle w:val="Rlit"/>
        <w:spacing w:line="235" w:lineRule="auto"/>
        <w:jc w:val="left"/>
        <w:rPr>
          <w:lang w:val="en-GB"/>
        </w:rPr>
      </w:pPr>
      <w:r w:rsidRPr="007F6C5E">
        <w:rPr>
          <w:lang w:val="en-GB"/>
        </w:rPr>
        <w:t xml:space="preserve">Schmidt, S., Schindler, M., Faber, D., Hager, J. (2021). Fish early life stage toxicity prediction from acute daphnid toxicity and quantum chemistry. </w:t>
      </w:r>
      <w:r w:rsidRPr="00AB724D">
        <w:rPr>
          <w:i/>
          <w:iCs/>
          <w:lang w:val="en-GB"/>
        </w:rPr>
        <w:t>SAR and QSAR in Environmental Research</w:t>
      </w:r>
      <w:r w:rsidRPr="007F6C5E">
        <w:rPr>
          <w:lang w:val="en-GB"/>
        </w:rPr>
        <w:t xml:space="preserve">, </w:t>
      </w:r>
      <w:r w:rsidRPr="00AB724D">
        <w:rPr>
          <w:i/>
          <w:iCs/>
          <w:lang w:val="en-GB"/>
        </w:rPr>
        <w:t>32</w:t>
      </w:r>
      <w:r w:rsidRPr="007F6C5E">
        <w:rPr>
          <w:lang w:val="en-GB"/>
        </w:rPr>
        <w:t>(2), 151</w:t>
      </w:r>
      <w:r w:rsidR="00AB724D">
        <w:rPr>
          <w:lang w:val="en-GB"/>
        </w:rPr>
        <w:t>-</w:t>
      </w:r>
      <w:r w:rsidRPr="007F6C5E">
        <w:rPr>
          <w:lang w:val="en-GB"/>
        </w:rPr>
        <w:t>174. https://doi.org/10.1080/1062936X.2021.1874514</w:t>
      </w:r>
    </w:p>
    <w:p w14:paraId="07A558B3" w14:textId="22B2BAA4" w:rsidR="008D20CD" w:rsidRPr="007F6C5E" w:rsidRDefault="008D20CD" w:rsidP="00F03717">
      <w:pPr>
        <w:pStyle w:val="Rlit"/>
        <w:spacing w:line="235" w:lineRule="auto"/>
        <w:jc w:val="left"/>
        <w:rPr>
          <w:lang w:val="en-GB"/>
        </w:rPr>
      </w:pPr>
      <w:r w:rsidRPr="007F6C5E">
        <w:rPr>
          <w:lang w:val="en-GB"/>
        </w:rPr>
        <w:t xml:space="preserve">Sullivan, K.M., </w:t>
      </w:r>
      <w:proofErr w:type="spellStart"/>
      <w:r w:rsidRPr="007F6C5E">
        <w:rPr>
          <w:lang w:val="en-GB"/>
        </w:rPr>
        <w:t>Manuppello</w:t>
      </w:r>
      <w:proofErr w:type="spellEnd"/>
      <w:r w:rsidRPr="007F6C5E">
        <w:rPr>
          <w:lang w:val="en-GB"/>
        </w:rPr>
        <w:t xml:space="preserve">, J.R., Willett, C.E. (2014). Building on a solid foundation: SAR and QSAR as a fundamental strategy to reduce animal testing. </w:t>
      </w:r>
      <w:r w:rsidRPr="00AB724D">
        <w:rPr>
          <w:i/>
          <w:iCs/>
          <w:lang w:val="en-GB"/>
        </w:rPr>
        <w:t>SAR and QSAR in Environmental Research</w:t>
      </w:r>
      <w:r w:rsidRPr="007F6C5E">
        <w:rPr>
          <w:lang w:val="en-GB"/>
        </w:rPr>
        <w:t xml:space="preserve">, </w:t>
      </w:r>
      <w:r w:rsidRPr="00AB724D">
        <w:rPr>
          <w:i/>
          <w:iCs/>
          <w:lang w:val="en-GB"/>
        </w:rPr>
        <w:t>25</w:t>
      </w:r>
      <w:r w:rsidRPr="007F6C5E">
        <w:rPr>
          <w:lang w:val="en-GB"/>
        </w:rPr>
        <w:t>, 357</w:t>
      </w:r>
      <w:r w:rsidR="00AB724D">
        <w:rPr>
          <w:lang w:val="en-GB"/>
        </w:rPr>
        <w:t>-</w:t>
      </w:r>
      <w:r w:rsidRPr="007F6C5E">
        <w:rPr>
          <w:lang w:val="en-GB"/>
        </w:rPr>
        <w:t>365. https://doi.org/10.1080/1062936X.2014.907203</w:t>
      </w:r>
    </w:p>
    <w:p w14:paraId="6D4885B2" w14:textId="0544A3D0" w:rsidR="008D20CD" w:rsidRPr="007F6C5E" w:rsidRDefault="008D20CD" w:rsidP="00F03717">
      <w:pPr>
        <w:pStyle w:val="Rlit"/>
        <w:spacing w:line="235" w:lineRule="auto"/>
        <w:jc w:val="left"/>
        <w:rPr>
          <w:lang w:val="en-GB"/>
        </w:rPr>
      </w:pPr>
      <w:proofErr w:type="spellStart"/>
      <w:r w:rsidRPr="007F6C5E">
        <w:rPr>
          <w:lang w:val="en-GB"/>
        </w:rPr>
        <w:t>Önlü</w:t>
      </w:r>
      <w:proofErr w:type="spellEnd"/>
      <w:r w:rsidRPr="007F6C5E">
        <w:rPr>
          <w:lang w:val="en-GB"/>
        </w:rPr>
        <w:t xml:space="preserve">, S., </w:t>
      </w:r>
      <w:proofErr w:type="spellStart"/>
      <w:r w:rsidRPr="007F6C5E">
        <w:rPr>
          <w:lang w:val="en-GB"/>
        </w:rPr>
        <w:t>Saçan</w:t>
      </w:r>
      <w:proofErr w:type="spellEnd"/>
      <w:r w:rsidRPr="007F6C5E">
        <w:rPr>
          <w:lang w:val="en-GB"/>
        </w:rPr>
        <w:t xml:space="preserve">, M.T. (2017). An in silico approach to cytotoxicity of pharmaceuticals and personal care products on the rainbow trout liver cell line RTL-W1. </w:t>
      </w:r>
      <w:r w:rsidRPr="00AB724D">
        <w:rPr>
          <w:i/>
          <w:iCs/>
          <w:lang w:val="en-GB"/>
        </w:rPr>
        <w:t>Environmental Toxicology and Chemistry</w:t>
      </w:r>
      <w:r w:rsidRPr="007F6C5E">
        <w:rPr>
          <w:lang w:val="en-GB"/>
        </w:rPr>
        <w:t xml:space="preserve">, </w:t>
      </w:r>
      <w:r w:rsidRPr="00AB724D">
        <w:rPr>
          <w:i/>
          <w:iCs/>
          <w:lang w:val="en-GB"/>
        </w:rPr>
        <w:t>36</w:t>
      </w:r>
      <w:r w:rsidRPr="007F6C5E">
        <w:rPr>
          <w:lang w:val="en-GB"/>
        </w:rPr>
        <w:t>(5), 1162</w:t>
      </w:r>
      <w:r w:rsidR="00AB724D">
        <w:rPr>
          <w:lang w:val="en-GB"/>
        </w:rPr>
        <w:t>-</w:t>
      </w:r>
      <w:r w:rsidRPr="007F6C5E">
        <w:rPr>
          <w:lang w:val="en-GB"/>
        </w:rPr>
        <w:t>1169. https://doi.org/10.1002/etc.3663</w:t>
      </w:r>
    </w:p>
    <w:p w14:paraId="123DE01F" w14:textId="76D88E23" w:rsidR="008D20CD" w:rsidRPr="007F6C5E" w:rsidRDefault="008D20CD" w:rsidP="00F03717">
      <w:pPr>
        <w:pStyle w:val="Rlit"/>
        <w:spacing w:line="235" w:lineRule="auto"/>
        <w:jc w:val="left"/>
        <w:rPr>
          <w:lang w:val="en-GB"/>
        </w:rPr>
      </w:pPr>
      <w:r w:rsidRPr="007F6C5E">
        <w:rPr>
          <w:lang w:val="en-GB"/>
        </w:rPr>
        <w:t xml:space="preserve">Pandey, S.K., Ojha, P.K., Roy, K. (2020). Exploring QSAR models for assessment of acute fish toxicity of environmental transformation products of pesticides (ETPPs). </w:t>
      </w:r>
      <w:r w:rsidRPr="00AB724D">
        <w:rPr>
          <w:i/>
          <w:iCs/>
          <w:lang w:val="en-GB"/>
        </w:rPr>
        <w:t>Chemosphere</w:t>
      </w:r>
      <w:r w:rsidRPr="007F6C5E">
        <w:rPr>
          <w:lang w:val="en-GB"/>
        </w:rPr>
        <w:t xml:space="preserve">, </w:t>
      </w:r>
      <w:r w:rsidRPr="00AB724D">
        <w:rPr>
          <w:i/>
          <w:iCs/>
          <w:lang w:val="en-GB"/>
        </w:rPr>
        <w:t>252</w:t>
      </w:r>
      <w:r w:rsidRPr="007F6C5E">
        <w:rPr>
          <w:lang w:val="en-GB"/>
        </w:rPr>
        <w:t xml:space="preserve">, 126508. </w:t>
      </w:r>
      <w:r w:rsidR="00AB724D">
        <w:rPr>
          <w:lang w:val="en-GB"/>
        </w:rPr>
        <w:br/>
      </w:r>
      <w:r w:rsidRPr="007F6C5E">
        <w:rPr>
          <w:lang w:val="en-GB"/>
        </w:rPr>
        <w:t>https://doi.org/10.1016/j.chemosphere.2020.126508</w:t>
      </w:r>
    </w:p>
    <w:p w14:paraId="6ACBD2CF" w14:textId="72AC789D" w:rsidR="008D20CD" w:rsidRPr="007F6C5E" w:rsidRDefault="008D20CD" w:rsidP="00F03717">
      <w:pPr>
        <w:pStyle w:val="Rlit"/>
        <w:spacing w:line="235" w:lineRule="auto"/>
        <w:rPr>
          <w:lang w:val="en-GB"/>
        </w:rPr>
      </w:pPr>
      <w:r w:rsidRPr="007F6C5E">
        <w:rPr>
          <w:lang w:val="en-GB"/>
        </w:rPr>
        <w:t xml:space="preserve">Roy, K., </w:t>
      </w:r>
      <w:proofErr w:type="spellStart"/>
      <w:r w:rsidRPr="007F6C5E">
        <w:rPr>
          <w:lang w:val="en-GB"/>
        </w:rPr>
        <w:t>Ambure</w:t>
      </w:r>
      <w:proofErr w:type="spellEnd"/>
      <w:r w:rsidRPr="007F6C5E">
        <w:rPr>
          <w:lang w:val="en-GB"/>
        </w:rPr>
        <w:t xml:space="preserve">, P., Aher, R.B. (2017). How important is to detect systematic error in predictions and understand statistical applicability domain of QSAR models?. </w:t>
      </w:r>
      <w:r w:rsidRPr="00AB724D">
        <w:rPr>
          <w:i/>
          <w:iCs/>
          <w:lang w:val="en-GB"/>
        </w:rPr>
        <w:t>Chemometrics and Intelligent Laboratory Systems</w:t>
      </w:r>
      <w:r w:rsidRPr="007F6C5E">
        <w:rPr>
          <w:lang w:val="en-GB"/>
        </w:rPr>
        <w:t xml:space="preserve">, </w:t>
      </w:r>
      <w:r w:rsidRPr="00AB724D">
        <w:rPr>
          <w:i/>
          <w:iCs/>
          <w:lang w:val="en-GB"/>
        </w:rPr>
        <w:t>162</w:t>
      </w:r>
      <w:r w:rsidRPr="007F6C5E">
        <w:rPr>
          <w:lang w:val="en-GB"/>
        </w:rPr>
        <w:t>, 44</w:t>
      </w:r>
      <w:r w:rsidR="00AB724D">
        <w:rPr>
          <w:lang w:val="en-GB"/>
        </w:rPr>
        <w:t>-</w:t>
      </w:r>
      <w:r w:rsidRPr="007F6C5E">
        <w:rPr>
          <w:lang w:val="en-GB"/>
        </w:rPr>
        <w:t>54. http://dx.doi.org/10.1016/j.chemolab.2017.01.010</w:t>
      </w:r>
    </w:p>
    <w:p w14:paraId="28634F54" w14:textId="77777777" w:rsidR="008D20CD" w:rsidRPr="007F6C5E" w:rsidRDefault="008D20CD" w:rsidP="00F03717">
      <w:pPr>
        <w:pStyle w:val="Rlit"/>
        <w:spacing w:line="235" w:lineRule="auto"/>
        <w:rPr>
          <w:lang w:val="en-GB"/>
        </w:rPr>
      </w:pPr>
      <w:proofErr w:type="spellStart"/>
      <w:r w:rsidRPr="007F6C5E">
        <w:rPr>
          <w:lang w:val="en-GB"/>
        </w:rPr>
        <w:t>Talete</w:t>
      </w:r>
      <w:proofErr w:type="spellEnd"/>
      <w:r w:rsidRPr="007F6C5E">
        <w:rPr>
          <w:lang w:val="en-GB"/>
        </w:rPr>
        <w:t xml:space="preserve"> </w:t>
      </w:r>
      <w:proofErr w:type="spellStart"/>
      <w:r w:rsidRPr="007F6C5E">
        <w:rPr>
          <w:lang w:val="en-GB"/>
        </w:rPr>
        <w:t>srl</w:t>
      </w:r>
      <w:proofErr w:type="spellEnd"/>
      <w:r w:rsidRPr="007F6C5E">
        <w:rPr>
          <w:lang w:val="en-GB"/>
        </w:rPr>
        <w:t xml:space="preserve"> (2012). DRAGON (software for molecular descriptor calculation) Version 6.0. http://www.talete.mi.it/</w:t>
      </w:r>
    </w:p>
    <w:p w14:paraId="04E7145F" w14:textId="180F3D82" w:rsidR="008D20CD" w:rsidRPr="007F6C5E" w:rsidRDefault="008D20CD" w:rsidP="00F03717">
      <w:pPr>
        <w:pStyle w:val="Rlit"/>
        <w:spacing w:line="235" w:lineRule="auto"/>
        <w:rPr>
          <w:lang w:val="en-GB"/>
        </w:rPr>
      </w:pPr>
      <w:r w:rsidRPr="007F6C5E">
        <w:rPr>
          <w:lang w:val="en-GB"/>
        </w:rPr>
        <w:t xml:space="preserve">Toropov, A.A., </w:t>
      </w:r>
      <w:proofErr w:type="spellStart"/>
      <w:r w:rsidRPr="007F6C5E">
        <w:rPr>
          <w:lang w:val="en-GB"/>
        </w:rPr>
        <w:t>Toropova</w:t>
      </w:r>
      <w:proofErr w:type="spellEnd"/>
      <w:r w:rsidRPr="007F6C5E">
        <w:rPr>
          <w:lang w:val="en-GB"/>
        </w:rPr>
        <w:t xml:space="preserve">, A.P., Marzo, M., Dorne, J.L., Georgiadis, N., </w:t>
      </w:r>
      <w:proofErr w:type="spellStart"/>
      <w:r w:rsidRPr="007F6C5E">
        <w:rPr>
          <w:lang w:val="en-GB"/>
        </w:rPr>
        <w:t>Benfenati</w:t>
      </w:r>
      <w:proofErr w:type="spellEnd"/>
      <w:r w:rsidRPr="007F6C5E">
        <w:rPr>
          <w:lang w:val="en-GB"/>
        </w:rPr>
        <w:t>, E. (2017). QSAR models for predicting acute toxicity of pesticides in rainbow trout using the CORAL software and EFSA</w:t>
      </w:r>
      <w:r w:rsidR="008B1F23">
        <w:rPr>
          <w:lang w:val="en-GB"/>
        </w:rPr>
        <w:t>'</w:t>
      </w:r>
      <w:r w:rsidRPr="007F6C5E">
        <w:rPr>
          <w:lang w:val="en-GB"/>
        </w:rPr>
        <w:t xml:space="preserve">s </w:t>
      </w:r>
      <w:proofErr w:type="spellStart"/>
      <w:r w:rsidRPr="007F6C5E">
        <w:rPr>
          <w:lang w:val="en-GB"/>
        </w:rPr>
        <w:t>OpenFoodTox</w:t>
      </w:r>
      <w:proofErr w:type="spellEnd"/>
      <w:r w:rsidRPr="007F6C5E">
        <w:rPr>
          <w:lang w:val="en-GB"/>
        </w:rPr>
        <w:t xml:space="preserve"> database. </w:t>
      </w:r>
      <w:r w:rsidRPr="00E168BC">
        <w:rPr>
          <w:i/>
          <w:iCs/>
          <w:lang w:val="en-GB"/>
        </w:rPr>
        <w:t>Environmental Toxicology and Pharmacology</w:t>
      </w:r>
      <w:r w:rsidRPr="007F6C5E">
        <w:rPr>
          <w:lang w:val="en-GB"/>
        </w:rPr>
        <w:t xml:space="preserve">, </w:t>
      </w:r>
      <w:r w:rsidRPr="00E168BC">
        <w:rPr>
          <w:i/>
          <w:iCs/>
          <w:lang w:val="en-GB"/>
        </w:rPr>
        <w:t>53</w:t>
      </w:r>
      <w:r w:rsidRPr="007F6C5E">
        <w:rPr>
          <w:lang w:val="en-GB"/>
        </w:rPr>
        <w:t>, 158</w:t>
      </w:r>
      <w:r w:rsidR="00E168BC">
        <w:rPr>
          <w:lang w:val="en-GB"/>
        </w:rPr>
        <w:t>-</w:t>
      </w:r>
      <w:r w:rsidRPr="007F6C5E">
        <w:rPr>
          <w:lang w:val="en-GB"/>
        </w:rPr>
        <w:t>163. https://doi.org/10.1016/j.etap.2017.05.011</w:t>
      </w:r>
    </w:p>
    <w:p w14:paraId="30054599" w14:textId="36BCA73E" w:rsidR="008D20CD" w:rsidRPr="007F6C5E" w:rsidRDefault="008D20CD" w:rsidP="00F03717">
      <w:pPr>
        <w:pStyle w:val="Rlit"/>
        <w:spacing w:line="235" w:lineRule="auto"/>
        <w:rPr>
          <w:lang w:val="en-GB"/>
        </w:rPr>
      </w:pPr>
      <w:r w:rsidRPr="007F6C5E">
        <w:rPr>
          <w:lang w:val="en-GB"/>
        </w:rPr>
        <w:t xml:space="preserve">Toropov, A.A., </w:t>
      </w:r>
      <w:proofErr w:type="spellStart"/>
      <w:r w:rsidRPr="007F6C5E">
        <w:rPr>
          <w:lang w:val="en-GB"/>
        </w:rPr>
        <w:t>Toropova</w:t>
      </w:r>
      <w:proofErr w:type="spellEnd"/>
      <w:r w:rsidRPr="007F6C5E">
        <w:rPr>
          <w:lang w:val="en-GB"/>
        </w:rPr>
        <w:t xml:space="preserve">, A.P., </w:t>
      </w:r>
      <w:proofErr w:type="spellStart"/>
      <w:r w:rsidRPr="007F6C5E">
        <w:rPr>
          <w:lang w:val="en-GB"/>
        </w:rPr>
        <w:t>Benfenati</w:t>
      </w:r>
      <w:proofErr w:type="spellEnd"/>
      <w:r w:rsidRPr="007F6C5E">
        <w:rPr>
          <w:lang w:val="en-GB"/>
        </w:rPr>
        <w:t xml:space="preserve">, E. (2020). QSAR model for pesticides toxicity to Rainbow Trout based on </w:t>
      </w:r>
      <w:r w:rsidR="008B1F23">
        <w:rPr>
          <w:lang w:val="en-GB"/>
        </w:rPr>
        <w:t>"</w:t>
      </w:r>
      <w:r w:rsidRPr="007F6C5E">
        <w:rPr>
          <w:lang w:val="en-GB"/>
        </w:rPr>
        <w:t>ideal correlations</w:t>
      </w:r>
      <w:r w:rsidR="008B1F23">
        <w:rPr>
          <w:lang w:val="en-GB"/>
        </w:rPr>
        <w:t>"</w:t>
      </w:r>
      <w:r w:rsidRPr="007F6C5E">
        <w:rPr>
          <w:lang w:val="en-GB"/>
        </w:rPr>
        <w:t xml:space="preserve">. </w:t>
      </w:r>
      <w:r w:rsidRPr="00E168BC">
        <w:rPr>
          <w:i/>
          <w:iCs/>
          <w:lang w:val="en-GB"/>
        </w:rPr>
        <w:t>Aquatic Toxicology</w:t>
      </w:r>
      <w:r w:rsidRPr="007F6C5E">
        <w:rPr>
          <w:lang w:val="en-GB"/>
        </w:rPr>
        <w:t xml:space="preserve">, </w:t>
      </w:r>
      <w:r w:rsidRPr="00E168BC">
        <w:rPr>
          <w:i/>
          <w:iCs/>
          <w:lang w:val="en-GB"/>
        </w:rPr>
        <w:t>227</w:t>
      </w:r>
      <w:r w:rsidRPr="007F6C5E">
        <w:rPr>
          <w:lang w:val="en-GB"/>
        </w:rPr>
        <w:t>, 105589. https://doi.org/10.1016/j.aquatox.2020.105589</w:t>
      </w:r>
    </w:p>
    <w:p w14:paraId="554BC430" w14:textId="77777777" w:rsidR="008D20CD" w:rsidRPr="007F6C5E" w:rsidRDefault="008D20CD" w:rsidP="00F03717">
      <w:pPr>
        <w:pStyle w:val="Rlit"/>
        <w:spacing w:line="235" w:lineRule="auto"/>
        <w:rPr>
          <w:lang w:val="en-GB"/>
        </w:rPr>
      </w:pPr>
      <w:r w:rsidRPr="007F6C5E">
        <w:rPr>
          <w:lang w:val="en-GB"/>
        </w:rPr>
        <w:t xml:space="preserve">Yu, X. (2020a). Prediction of chemical toxicity to </w:t>
      </w:r>
      <w:r w:rsidRPr="00705DA6">
        <w:rPr>
          <w:i/>
          <w:iCs/>
          <w:lang w:val="en-GB"/>
        </w:rPr>
        <w:t>Tetrahymena pyriformis</w:t>
      </w:r>
      <w:r w:rsidRPr="007F6C5E">
        <w:rPr>
          <w:lang w:val="en-GB"/>
        </w:rPr>
        <w:t xml:space="preserve"> with four descriptor models. </w:t>
      </w:r>
      <w:r w:rsidRPr="00E168BC">
        <w:rPr>
          <w:i/>
          <w:iCs/>
          <w:lang w:val="en-GB"/>
        </w:rPr>
        <w:t>Ecotoxicology and Environmental Safety</w:t>
      </w:r>
      <w:r w:rsidRPr="007F6C5E">
        <w:rPr>
          <w:lang w:val="en-GB"/>
        </w:rPr>
        <w:t xml:space="preserve">, </w:t>
      </w:r>
      <w:r w:rsidRPr="00E168BC">
        <w:rPr>
          <w:i/>
          <w:iCs/>
          <w:lang w:val="en-GB"/>
        </w:rPr>
        <w:t>190</w:t>
      </w:r>
      <w:r w:rsidRPr="007F6C5E">
        <w:rPr>
          <w:lang w:val="en-GB"/>
        </w:rPr>
        <w:t>, 110146. https://doi.org/10.1016/j.ecoenv.2019.110146</w:t>
      </w:r>
    </w:p>
    <w:p w14:paraId="56B25BD3" w14:textId="77777777" w:rsidR="008D20CD" w:rsidRPr="007F6C5E" w:rsidRDefault="008D20CD" w:rsidP="00F03717">
      <w:pPr>
        <w:pStyle w:val="Rlit"/>
        <w:spacing w:line="235" w:lineRule="auto"/>
        <w:rPr>
          <w:lang w:val="en-GB"/>
        </w:rPr>
      </w:pPr>
      <w:r w:rsidRPr="007F6C5E">
        <w:rPr>
          <w:lang w:val="en-GB"/>
        </w:rPr>
        <w:t xml:space="preserve">Yu, X. (2020b). Quantitative structure-toxicity relationships of organic chemicals against </w:t>
      </w:r>
      <w:proofErr w:type="spellStart"/>
      <w:r w:rsidRPr="00705DA6">
        <w:rPr>
          <w:i/>
          <w:iCs/>
          <w:lang w:val="en-GB"/>
        </w:rPr>
        <w:t>Pseudokirchneriella</w:t>
      </w:r>
      <w:proofErr w:type="spellEnd"/>
      <w:r w:rsidRPr="00705DA6">
        <w:rPr>
          <w:i/>
          <w:iCs/>
          <w:lang w:val="en-GB"/>
        </w:rPr>
        <w:t xml:space="preserve"> </w:t>
      </w:r>
      <w:proofErr w:type="spellStart"/>
      <w:r w:rsidRPr="00705DA6">
        <w:rPr>
          <w:i/>
          <w:iCs/>
          <w:lang w:val="en-GB"/>
        </w:rPr>
        <w:t>subcapitata</w:t>
      </w:r>
      <w:proofErr w:type="spellEnd"/>
      <w:r w:rsidRPr="007F6C5E">
        <w:rPr>
          <w:lang w:val="en-GB"/>
        </w:rPr>
        <w:t xml:space="preserve">. </w:t>
      </w:r>
      <w:r w:rsidRPr="00E168BC">
        <w:rPr>
          <w:i/>
          <w:iCs/>
          <w:lang w:val="en-GB"/>
        </w:rPr>
        <w:t>Aquatic Toxicology</w:t>
      </w:r>
      <w:r w:rsidRPr="007F6C5E">
        <w:rPr>
          <w:lang w:val="en-GB"/>
        </w:rPr>
        <w:t xml:space="preserve">, </w:t>
      </w:r>
      <w:r w:rsidRPr="00E168BC">
        <w:rPr>
          <w:i/>
          <w:iCs/>
          <w:lang w:val="en-GB"/>
        </w:rPr>
        <w:t>224</w:t>
      </w:r>
      <w:r w:rsidRPr="007F6C5E">
        <w:rPr>
          <w:lang w:val="en-GB"/>
        </w:rPr>
        <w:t>, 105496. https://doi.org/10.1016/j.aquatox.2020.105496</w:t>
      </w:r>
    </w:p>
    <w:p w14:paraId="13798732" w14:textId="77777777" w:rsidR="008D20CD" w:rsidRPr="007F6C5E" w:rsidRDefault="008D20CD" w:rsidP="00F03717">
      <w:pPr>
        <w:pStyle w:val="Rlit"/>
        <w:spacing w:line="235" w:lineRule="auto"/>
        <w:rPr>
          <w:lang w:val="en-GB"/>
        </w:rPr>
      </w:pPr>
      <w:r w:rsidRPr="007F6C5E">
        <w:rPr>
          <w:lang w:val="en-GB"/>
        </w:rPr>
        <w:t xml:space="preserve">Yu, X. (2021). Support vector machine-based model for toxicity of organic compounds against fish. </w:t>
      </w:r>
      <w:r w:rsidRPr="00E168BC">
        <w:rPr>
          <w:i/>
          <w:iCs/>
          <w:lang w:val="en-GB"/>
        </w:rPr>
        <w:t>Regulatory Toxicology and Pharmacology</w:t>
      </w:r>
      <w:r w:rsidRPr="007F6C5E">
        <w:rPr>
          <w:lang w:val="en-GB"/>
        </w:rPr>
        <w:t xml:space="preserve">, </w:t>
      </w:r>
      <w:r w:rsidRPr="00E168BC">
        <w:rPr>
          <w:i/>
          <w:iCs/>
          <w:lang w:val="en-GB"/>
        </w:rPr>
        <w:t>123</w:t>
      </w:r>
      <w:r w:rsidRPr="007F6C5E">
        <w:rPr>
          <w:lang w:val="en-GB"/>
        </w:rPr>
        <w:t>, 104942. https://doi.org/10.1016/j.yrtph.2021.104942</w:t>
      </w:r>
    </w:p>
    <w:p w14:paraId="38443EF7" w14:textId="68114400" w:rsidR="008D20CD" w:rsidRPr="007F6C5E" w:rsidRDefault="008D20CD" w:rsidP="00F03717">
      <w:pPr>
        <w:pStyle w:val="Rlit"/>
        <w:spacing w:line="235" w:lineRule="auto"/>
        <w:rPr>
          <w:lang w:val="en-GB"/>
        </w:rPr>
      </w:pPr>
      <w:r w:rsidRPr="007F6C5E">
        <w:rPr>
          <w:lang w:val="en-GB"/>
        </w:rPr>
        <w:t>Yu, X.</w:t>
      </w:r>
      <w:r w:rsidR="00E168BC">
        <w:rPr>
          <w:lang w:val="en-GB"/>
        </w:rPr>
        <w:t>,</w:t>
      </w:r>
      <w:r w:rsidRPr="007F6C5E">
        <w:rPr>
          <w:lang w:val="en-GB"/>
        </w:rPr>
        <w:t xml:space="preserve"> Zeng, Q. (2022). Random forest algorithm-based classification model of pesticide aquatic toxicity to fishes. </w:t>
      </w:r>
      <w:r w:rsidRPr="00E168BC">
        <w:rPr>
          <w:i/>
          <w:iCs/>
          <w:lang w:val="en-GB"/>
        </w:rPr>
        <w:t>Aquatic Toxicology</w:t>
      </w:r>
      <w:r w:rsidRPr="007F6C5E">
        <w:rPr>
          <w:lang w:val="en-GB"/>
        </w:rPr>
        <w:t xml:space="preserve">, </w:t>
      </w:r>
      <w:r w:rsidRPr="00E168BC">
        <w:rPr>
          <w:i/>
          <w:iCs/>
          <w:lang w:val="en-GB"/>
        </w:rPr>
        <w:t>251</w:t>
      </w:r>
      <w:r w:rsidRPr="007F6C5E">
        <w:rPr>
          <w:lang w:val="en-GB"/>
        </w:rPr>
        <w:t>, 106265. https://doi.org/10.1016/j.aquatox.2022.106265</w:t>
      </w:r>
    </w:p>
    <w:p w14:paraId="20A9A186" w14:textId="5AE7E8AA" w:rsidR="00E32ED4" w:rsidRPr="007F6C5E" w:rsidRDefault="008D20CD" w:rsidP="00F03717">
      <w:pPr>
        <w:pStyle w:val="Rlit"/>
        <w:spacing w:line="235" w:lineRule="auto"/>
        <w:rPr>
          <w:lang w:val="en-GB"/>
        </w:rPr>
      </w:pPr>
      <w:r w:rsidRPr="007F6C5E">
        <w:rPr>
          <w:lang w:val="en-GB"/>
        </w:rPr>
        <w:t>Yu</w:t>
      </w:r>
      <w:r w:rsidR="00E168BC">
        <w:rPr>
          <w:lang w:val="en-GB"/>
        </w:rPr>
        <w:t>,</w:t>
      </w:r>
      <w:r w:rsidRPr="007F6C5E">
        <w:rPr>
          <w:lang w:val="en-GB"/>
        </w:rPr>
        <w:t xml:space="preserve"> X</w:t>
      </w:r>
      <w:r w:rsidR="00E168BC">
        <w:rPr>
          <w:lang w:val="en-GB"/>
        </w:rPr>
        <w:t>.</w:t>
      </w:r>
      <w:r w:rsidRPr="007F6C5E">
        <w:rPr>
          <w:lang w:val="en-GB"/>
        </w:rPr>
        <w:t xml:space="preserve"> (2023)</w:t>
      </w:r>
      <w:r w:rsidR="00E168BC">
        <w:rPr>
          <w:lang w:val="en-GB"/>
        </w:rPr>
        <w:t>.</w:t>
      </w:r>
      <w:r w:rsidRPr="007F6C5E">
        <w:rPr>
          <w:lang w:val="en-GB"/>
        </w:rPr>
        <w:t xml:space="preserve"> Global classification models for predicting acute toxicity of chemicals towards Daphnia magna. </w:t>
      </w:r>
      <w:r w:rsidRPr="00E168BC">
        <w:rPr>
          <w:i/>
          <w:iCs/>
          <w:lang w:val="en-GB"/>
        </w:rPr>
        <w:t>Environmental Research</w:t>
      </w:r>
      <w:r w:rsidRPr="007F6C5E">
        <w:rPr>
          <w:lang w:val="en-GB"/>
        </w:rPr>
        <w:t xml:space="preserve">, </w:t>
      </w:r>
      <w:r w:rsidRPr="00E168BC">
        <w:rPr>
          <w:i/>
          <w:iCs/>
          <w:lang w:val="en-GB"/>
        </w:rPr>
        <w:t>238</w:t>
      </w:r>
      <w:r w:rsidRPr="007F6C5E">
        <w:rPr>
          <w:lang w:val="en-GB"/>
        </w:rPr>
        <w:t>, 117239. https://doi.org/10.1016/j.envres.2023.117239</w:t>
      </w:r>
    </w:p>
    <w:sectPr w:rsidR="00E32ED4" w:rsidRPr="007F6C5E" w:rsidSect="00F11915">
      <w:headerReference w:type="even" r:id="rId15"/>
      <w:headerReference w:type="default" r:id="rId16"/>
      <w:footerReference w:type="first" r:id="rId17"/>
      <w:pgSz w:w="11906" w:h="16838" w:code="9"/>
      <w:pgMar w:top="1134" w:right="1134" w:bottom="1134" w:left="1134" w:header="567" w:footer="567" w:gutter="0"/>
      <w:pgNumType w:start="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9088A" w14:textId="77777777" w:rsidR="00D9096B" w:rsidRDefault="00D9096B" w:rsidP="000971E7">
      <w:r>
        <w:separator/>
      </w:r>
    </w:p>
  </w:endnote>
  <w:endnote w:type="continuationSeparator" w:id="0">
    <w:p w14:paraId="59D9B571" w14:textId="77777777" w:rsidR="00D9096B" w:rsidRDefault="00D9096B" w:rsidP="0009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0971E7" w:rsidRPr="006365A0" w14:paraId="3985932C" w14:textId="77777777" w:rsidTr="00AF48DA">
      <w:trPr>
        <w:trHeight w:val="198"/>
      </w:trPr>
      <w:tc>
        <w:tcPr>
          <w:tcW w:w="1384" w:type="dxa"/>
          <w:shd w:val="clear" w:color="auto" w:fill="auto"/>
          <w:vAlign w:val="center"/>
        </w:tcPr>
        <w:p w14:paraId="01F93289" w14:textId="77777777" w:rsidR="000971E7" w:rsidRPr="003A29B8" w:rsidRDefault="000971E7" w:rsidP="000971E7">
          <w:pPr>
            <w:ind w:left="-112" w:firstLine="0"/>
            <w:rPr>
              <w:rFonts w:cs="Times New Roman"/>
            </w:rPr>
          </w:pPr>
          <w:bookmarkStart w:id="3" w:name="_Hlk104286226"/>
          <w:bookmarkStart w:id="4" w:name="_Hlk104286227"/>
          <w:bookmarkStart w:id="5" w:name="_Hlk154270864"/>
          <w:bookmarkStart w:id="6" w:name="_Hlk154270865"/>
          <w:r w:rsidRPr="003A29B8">
            <w:rPr>
              <w:rFonts w:cs="Times New Roman"/>
              <w:noProof/>
            </w:rPr>
            <w:drawing>
              <wp:inline distT="0" distB="0" distL="0" distR="0" wp14:anchorId="49F0D6BC" wp14:editId="376AD2AC">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50146578" w14:textId="77777777" w:rsidR="000971E7" w:rsidRPr="003A29B8" w:rsidRDefault="000971E7" w:rsidP="000971E7">
          <w:pPr>
            <w:suppressAutoHyphens/>
            <w:ind w:left="-78" w:firstLine="0"/>
            <w:rPr>
              <w:rFonts w:cs="Times New Roman"/>
              <w:sz w:val="18"/>
              <w:szCs w:val="18"/>
            </w:rPr>
          </w:pPr>
          <w:r w:rsidRPr="003A29B8">
            <w:rPr>
              <w:rFonts w:cs="Times New Roman"/>
              <w:sz w:val="18"/>
              <w:szCs w:val="18"/>
            </w:rPr>
            <w:t>© 202</w:t>
          </w:r>
          <w:r>
            <w:rPr>
              <w:rFonts w:cs="Times New Roman"/>
              <w:sz w:val="18"/>
              <w:szCs w:val="18"/>
            </w:rPr>
            <w:t>4</w:t>
          </w:r>
          <w:r w:rsidRPr="003A29B8">
            <w:rPr>
              <w:rFonts w:cs="Times New Roman"/>
              <w:sz w:val="18"/>
              <w:szCs w:val="18"/>
            </w:rPr>
            <w:t xml:space="preserve">. Author(s). </w:t>
          </w:r>
          <w:proofErr w:type="spellStart"/>
          <w:r w:rsidRPr="003A29B8">
            <w:rPr>
              <w:rFonts w:cs="Times New Roman"/>
              <w:sz w:val="18"/>
              <w:szCs w:val="18"/>
            </w:rPr>
            <w:t>This</w:t>
          </w:r>
          <w:proofErr w:type="spellEnd"/>
          <w:r w:rsidRPr="003A29B8">
            <w:rPr>
              <w:rFonts w:cs="Times New Roman"/>
              <w:sz w:val="18"/>
              <w:szCs w:val="18"/>
            </w:rPr>
            <w:t xml:space="preserve"> </w:t>
          </w:r>
          <w:proofErr w:type="spellStart"/>
          <w:r w:rsidRPr="003A29B8">
            <w:rPr>
              <w:rFonts w:cs="Times New Roman"/>
              <w:sz w:val="18"/>
              <w:szCs w:val="18"/>
            </w:rPr>
            <w:t>work</w:t>
          </w:r>
          <w:proofErr w:type="spellEnd"/>
          <w:r w:rsidRPr="003A29B8">
            <w:rPr>
              <w:rFonts w:cs="Times New Roman"/>
              <w:sz w:val="18"/>
              <w:szCs w:val="18"/>
            </w:rPr>
            <w:t xml:space="preserve"> </w:t>
          </w:r>
          <w:proofErr w:type="spellStart"/>
          <w:r w:rsidRPr="003A29B8">
            <w:rPr>
              <w:rFonts w:cs="Times New Roman"/>
              <w:sz w:val="18"/>
              <w:szCs w:val="18"/>
            </w:rPr>
            <w:t>is</w:t>
          </w:r>
          <w:proofErr w:type="spellEnd"/>
          <w:r w:rsidRPr="003A29B8">
            <w:rPr>
              <w:rFonts w:cs="Times New Roman"/>
              <w:sz w:val="18"/>
              <w:szCs w:val="18"/>
            </w:rPr>
            <w:t xml:space="preserve"> </w:t>
          </w:r>
          <w:proofErr w:type="spellStart"/>
          <w:r w:rsidRPr="003A29B8">
            <w:rPr>
              <w:rFonts w:cs="Times New Roman"/>
              <w:sz w:val="18"/>
              <w:szCs w:val="18"/>
            </w:rPr>
            <w:t>licensed</w:t>
          </w:r>
          <w:proofErr w:type="spellEnd"/>
          <w:r w:rsidRPr="003A29B8">
            <w:rPr>
              <w:rFonts w:cs="Times New Roman"/>
              <w:sz w:val="18"/>
              <w:szCs w:val="18"/>
            </w:rPr>
            <w:t xml:space="preserve"> </w:t>
          </w:r>
          <w:proofErr w:type="spellStart"/>
          <w:r w:rsidRPr="003A29B8">
            <w:rPr>
              <w:rFonts w:cs="Times New Roman"/>
              <w:sz w:val="18"/>
              <w:szCs w:val="18"/>
            </w:rPr>
            <w:t>under</w:t>
          </w:r>
          <w:proofErr w:type="spellEnd"/>
          <w:r w:rsidRPr="003A29B8">
            <w:rPr>
              <w:rFonts w:cs="Times New Roman"/>
              <w:sz w:val="18"/>
              <w:szCs w:val="18"/>
            </w:rPr>
            <w:t xml:space="preserve"> a Creative </w:t>
          </w:r>
          <w:proofErr w:type="spellStart"/>
          <w:r w:rsidRPr="003A29B8">
            <w:rPr>
              <w:rFonts w:cs="Times New Roman"/>
              <w:sz w:val="18"/>
              <w:szCs w:val="18"/>
            </w:rPr>
            <w:t>Commons</w:t>
          </w:r>
          <w:proofErr w:type="spellEnd"/>
          <w:r w:rsidRPr="003A29B8">
            <w:rPr>
              <w:rFonts w:cs="Times New Roman"/>
              <w:sz w:val="18"/>
              <w:szCs w:val="18"/>
            </w:rPr>
            <w:t xml:space="preserve"> </w:t>
          </w:r>
          <w:proofErr w:type="spellStart"/>
          <w:r w:rsidRPr="003A29B8">
            <w:rPr>
              <w:rFonts w:cs="Times New Roman"/>
              <w:sz w:val="18"/>
              <w:szCs w:val="18"/>
            </w:rPr>
            <w:t>Attribution</w:t>
          </w:r>
          <w:proofErr w:type="spellEnd"/>
          <w:r w:rsidRPr="003A29B8">
            <w:rPr>
              <w:rFonts w:cs="Times New Roman"/>
              <w:sz w:val="18"/>
              <w:szCs w:val="18"/>
            </w:rPr>
            <w:t xml:space="preserve"> 4.0 International License (CC BY-SA)</w:t>
          </w:r>
        </w:p>
      </w:tc>
    </w:tr>
    <w:bookmarkEnd w:id="3"/>
    <w:bookmarkEnd w:id="4"/>
    <w:bookmarkEnd w:id="5"/>
    <w:bookmarkEnd w:id="6"/>
  </w:tbl>
  <w:p w14:paraId="546BE303" w14:textId="77777777" w:rsidR="000971E7" w:rsidRPr="003A29B8" w:rsidRDefault="000971E7" w:rsidP="000971E7">
    <w:pPr>
      <w:pStyle w:val="Stopka"/>
      <w:rPr>
        <w:rFonts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A69C3" w14:textId="77777777" w:rsidR="00D9096B" w:rsidRDefault="00D9096B" w:rsidP="000971E7">
      <w:r>
        <w:separator/>
      </w:r>
    </w:p>
  </w:footnote>
  <w:footnote w:type="continuationSeparator" w:id="0">
    <w:p w14:paraId="11787613" w14:textId="77777777" w:rsidR="00D9096B" w:rsidRDefault="00D9096B" w:rsidP="0009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0971E7" w:rsidRPr="00C970C2" w14:paraId="59D7C881" w14:textId="77777777" w:rsidTr="00AF48DA">
      <w:trPr>
        <w:trHeight w:hRule="exact" w:val="284"/>
      </w:trPr>
      <w:tc>
        <w:tcPr>
          <w:tcW w:w="397" w:type="dxa"/>
          <w:shd w:val="clear" w:color="auto" w:fill="auto"/>
          <w:vAlign w:val="center"/>
        </w:tcPr>
        <w:p w14:paraId="37F4B0A1" w14:textId="77777777" w:rsidR="000971E7" w:rsidRPr="00C970C2" w:rsidRDefault="000971E7" w:rsidP="000971E7">
          <w:pPr>
            <w:pStyle w:val="Nagwek"/>
            <w:ind w:firstLine="0"/>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2</w:t>
          </w:r>
          <w:r w:rsidRPr="00C970C2">
            <w:rPr>
              <w:rFonts w:ascii="Arial" w:hAnsi="Arial" w:cs="Arial"/>
              <w:sz w:val="20"/>
            </w:rPr>
            <w:fldChar w:fldCharType="end"/>
          </w:r>
        </w:p>
      </w:tc>
      <w:tc>
        <w:tcPr>
          <w:tcW w:w="9242" w:type="dxa"/>
          <w:shd w:val="clear" w:color="auto" w:fill="auto"/>
          <w:vAlign w:val="center"/>
        </w:tcPr>
        <w:p w14:paraId="4128EB4D" w14:textId="188B1D8A" w:rsidR="000971E7" w:rsidRPr="00C970C2" w:rsidRDefault="000971E7" w:rsidP="000971E7">
          <w:pPr>
            <w:pStyle w:val="Nagwek"/>
            <w:ind w:firstLine="0"/>
            <w:jc w:val="center"/>
            <w:rPr>
              <w:rFonts w:ascii="Arial" w:hAnsi="Arial" w:cs="Arial"/>
              <w:i/>
              <w:sz w:val="20"/>
            </w:rPr>
          </w:pPr>
          <w:proofErr w:type="spellStart"/>
          <w:r w:rsidRPr="000971E7">
            <w:rPr>
              <w:rFonts w:ascii="Arial" w:hAnsi="Arial" w:cs="Arial"/>
              <w:i/>
              <w:sz w:val="20"/>
            </w:rPr>
            <w:t>Bowen</w:t>
          </w:r>
          <w:proofErr w:type="spellEnd"/>
          <w:r w:rsidRPr="000971E7">
            <w:rPr>
              <w:rFonts w:ascii="Arial" w:hAnsi="Arial" w:cs="Arial"/>
              <w:i/>
              <w:sz w:val="20"/>
            </w:rPr>
            <w:t xml:space="preserve"> Yang</w:t>
          </w:r>
          <w:r>
            <w:rPr>
              <w:rFonts w:ascii="Arial" w:hAnsi="Arial" w:cs="Arial"/>
              <w:i/>
              <w:sz w:val="20"/>
            </w:rPr>
            <w:t xml:space="preserve"> et al.</w:t>
          </w:r>
        </w:p>
      </w:tc>
    </w:tr>
  </w:tbl>
  <w:p w14:paraId="4633ED68" w14:textId="77777777" w:rsidR="000971E7" w:rsidRPr="00C970C2" w:rsidRDefault="000971E7" w:rsidP="000971E7">
    <w:pPr>
      <w:pStyle w:val="Nagwek"/>
      <w:ind w:firstLine="0"/>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0971E7" w:rsidRPr="000971E7" w14:paraId="297857CE" w14:textId="77777777" w:rsidTr="00AF48DA">
      <w:trPr>
        <w:trHeight w:hRule="exact" w:val="284"/>
        <w:jc w:val="right"/>
      </w:trPr>
      <w:tc>
        <w:tcPr>
          <w:tcW w:w="9243" w:type="dxa"/>
          <w:shd w:val="clear" w:color="auto" w:fill="auto"/>
          <w:vAlign w:val="center"/>
        </w:tcPr>
        <w:p w14:paraId="030F6CDE" w14:textId="1BD40F2F" w:rsidR="000971E7" w:rsidRPr="000971E7" w:rsidRDefault="000971E7" w:rsidP="000971E7">
          <w:pPr>
            <w:pStyle w:val="Nagwek"/>
            <w:ind w:firstLine="0"/>
            <w:jc w:val="center"/>
            <w:rPr>
              <w:rFonts w:ascii="Arial" w:hAnsi="Arial" w:cs="Arial"/>
              <w:i/>
              <w:sz w:val="20"/>
              <w:szCs w:val="16"/>
              <w:lang w:val="en-GB"/>
            </w:rPr>
          </w:pPr>
          <w:r w:rsidRPr="000971E7">
            <w:rPr>
              <w:rFonts w:ascii="Arial" w:hAnsi="Arial" w:cs="Arial"/>
              <w:i/>
              <w:sz w:val="20"/>
              <w:szCs w:val="16"/>
              <w:lang w:val="en-GB"/>
            </w:rPr>
            <w:t>Regression Quantitative Structure-toxicity Relationship of Pesticides on Fishes</w:t>
          </w:r>
        </w:p>
      </w:tc>
      <w:tc>
        <w:tcPr>
          <w:tcW w:w="397" w:type="dxa"/>
          <w:shd w:val="clear" w:color="auto" w:fill="auto"/>
          <w:vAlign w:val="center"/>
        </w:tcPr>
        <w:p w14:paraId="01D02717" w14:textId="77777777" w:rsidR="000971E7" w:rsidRPr="000971E7" w:rsidRDefault="000971E7" w:rsidP="000971E7">
          <w:pPr>
            <w:pStyle w:val="Nagwek"/>
            <w:ind w:firstLine="0"/>
            <w:jc w:val="right"/>
            <w:rPr>
              <w:rFonts w:ascii="Arial" w:hAnsi="Arial" w:cs="Arial"/>
              <w:i/>
              <w:sz w:val="20"/>
              <w:szCs w:val="16"/>
              <w:lang w:val="en-GB"/>
            </w:rPr>
          </w:pPr>
          <w:r w:rsidRPr="000971E7">
            <w:rPr>
              <w:rFonts w:ascii="Arial" w:hAnsi="Arial" w:cs="Arial"/>
              <w:sz w:val="20"/>
              <w:szCs w:val="16"/>
              <w:lang w:val="en-GB"/>
            </w:rPr>
            <w:fldChar w:fldCharType="begin"/>
          </w:r>
          <w:r w:rsidRPr="000971E7">
            <w:rPr>
              <w:rFonts w:ascii="Arial" w:hAnsi="Arial" w:cs="Arial"/>
              <w:sz w:val="20"/>
              <w:szCs w:val="16"/>
              <w:lang w:val="en-GB"/>
            </w:rPr>
            <w:instrText xml:space="preserve"> PAGE   \* MERGEFORMAT </w:instrText>
          </w:r>
          <w:r w:rsidRPr="000971E7">
            <w:rPr>
              <w:rFonts w:ascii="Arial" w:hAnsi="Arial" w:cs="Arial"/>
              <w:sz w:val="20"/>
              <w:szCs w:val="16"/>
              <w:lang w:val="en-GB"/>
            </w:rPr>
            <w:fldChar w:fldCharType="separate"/>
          </w:r>
          <w:r w:rsidRPr="000971E7">
            <w:rPr>
              <w:rFonts w:ascii="Arial" w:hAnsi="Arial" w:cs="Arial"/>
              <w:sz w:val="20"/>
              <w:szCs w:val="16"/>
              <w:lang w:val="en-GB"/>
            </w:rPr>
            <w:t>3</w:t>
          </w:r>
          <w:r w:rsidRPr="000971E7">
            <w:rPr>
              <w:rFonts w:ascii="Arial" w:hAnsi="Arial" w:cs="Arial"/>
              <w:sz w:val="20"/>
              <w:szCs w:val="16"/>
              <w:lang w:val="en-GB"/>
            </w:rPr>
            <w:fldChar w:fldCharType="end"/>
          </w:r>
        </w:p>
      </w:tc>
    </w:tr>
  </w:tbl>
  <w:p w14:paraId="08CD3807" w14:textId="77777777" w:rsidR="000971E7" w:rsidRPr="000971E7" w:rsidRDefault="000971E7" w:rsidP="000971E7">
    <w:pPr>
      <w:pStyle w:val="Nagwek"/>
      <w:ind w:firstLine="0"/>
      <w:rPr>
        <w:rFonts w:ascii="Arial" w:hAnsi="Arial" w:cs="Arial"/>
        <w:sz w:val="6"/>
        <w:szCs w:val="12"/>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xtDQ2NrG0MDUwNzBV0lEKTi0uzszPAykwrAUA0baaWSwAAAA="/>
  </w:docVars>
  <w:rsids>
    <w:rsidRoot w:val="008D20CD"/>
    <w:rsid w:val="00006A3E"/>
    <w:rsid w:val="00092757"/>
    <w:rsid w:val="00096E2A"/>
    <w:rsid w:val="000971E7"/>
    <w:rsid w:val="000E3600"/>
    <w:rsid w:val="001341A4"/>
    <w:rsid w:val="00154263"/>
    <w:rsid w:val="00175793"/>
    <w:rsid w:val="001B52EF"/>
    <w:rsid w:val="00294997"/>
    <w:rsid w:val="002E66F4"/>
    <w:rsid w:val="002F3D19"/>
    <w:rsid w:val="002F5ED3"/>
    <w:rsid w:val="00311951"/>
    <w:rsid w:val="00355A85"/>
    <w:rsid w:val="00356ABB"/>
    <w:rsid w:val="003E48DD"/>
    <w:rsid w:val="004801D6"/>
    <w:rsid w:val="004D5398"/>
    <w:rsid w:val="005352F0"/>
    <w:rsid w:val="00592E68"/>
    <w:rsid w:val="005E47C8"/>
    <w:rsid w:val="00603F84"/>
    <w:rsid w:val="00657A81"/>
    <w:rsid w:val="00677601"/>
    <w:rsid w:val="006902CA"/>
    <w:rsid w:val="006A3748"/>
    <w:rsid w:val="006C3A16"/>
    <w:rsid w:val="006F0FAF"/>
    <w:rsid w:val="00705DA6"/>
    <w:rsid w:val="007067E1"/>
    <w:rsid w:val="00725D20"/>
    <w:rsid w:val="00757F6D"/>
    <w:rsid w:val="007670D6"/>
    <w:rsid w:val="00767E57"/>
    <w:rsid w:val="007C30AC"/>
    <w:rsid w:val="007C7630"/>
    <w:rsid w:val="007F6C5E"/>
    <w:rsid w:val="00837A75"/>
    <w:rsid w:val="008932F6"/>
    <w:rsid w:val="008A0DE9"/>
    <w:rsid w:val="008B1F23"/>
    <w:rsid w:val="008D20CD"/>
    <w:rsid w:val="0094576B"/>
    <w:rsid w:val="00963312"/>
    <w:rsid w:val="009B6FCA"/>
    <w:rsid w:val="009D7ADE"/>
    <w:rsid w:val="009E0D69"/>
    <w:rsid w:val="00AB724D"/>
    <w:rsid w:val="00AC21CA"/>
    <w:rsid w:val="00AE12E0"/>
    <w:rsid w:val="00B21687"/>
    <w:rsid w:val="00B227AB"/>
    <w:rsid w:val="00B25CE4"/>
    <w:rsid w:val="00B835A7"/>
    <w:rsid w:val="00B90CE5"/>
    <w:rsid w:val="00BB785A"/>
    <w:rsid w:val="00BD0505"/>
    <w:rsid w:val="00BF1927"/>
    <w:rsid w:val="00C1507D"/>
    <w:rsid w:val="00CF6D3B"/>
    <w:rsid w:val="00D55834"/>
    <w:rsid w:val="00D70F98"/>
    <w:rsid w:val="00D9096B"/>
    <w:rsid w:val="00D94453"/>
    <w:rsid w:val="00E168BC"/>
    <w:rsid w:val="00E230FE"/>
    <w:rsid w:val="00E31763"/>
    <w:rsid w:val="00E32ED4"/>
    <w:rsid w:val="00E40CCD"/>
    <w:rsid w:val="00F03717"/>
    <w:rsid w:val="00F04F0C"/>
    <w:rsid w:val="00F11915"/>
    <w:rsid w:val="00F8631D"/>
    <w:rsid w:val="00FC3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2381"/>
  <w15:chartTrackingRefBased/>
  <w15:docId w15:val="{3F31FD11-857C-46B8-9740-BA330B30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56ABB"/>
    <w:pPr>
      <w:spacing w:before="60"/>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qFormat/>
    <w:rsid w:val="00FC31D0"/>
    <w:pPr>
      <w:spacing w:before="120"/>
      <w:jc w:val="both"/>
    </w:pPr>
    <w:rPr>
      <w:i/>
    </w:rPr>
  </w:style>
  <w:style w:type="character" w:customStyle="1" w:styleId="Rn3Znak">
    <w:name w:val="R_n3 Znak"/>
    <w:basedOn w:val="RtabZnak"/>
    <w:link w:val="Rn3"/>
    <w:rsid w:val="00FC31D0"/>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paragraph" w:customStyle="1" w:styleId="a">
    <w:name w:val="毕业论文正文"/>
    <w:basedOn w:val="Normalny"/>
    <w:link w:val="Char1"/>
    <w:rsid w:val="00BD0505"/>
    <w:pPr>
      <w:widowControl w:val="0"/>
      <w:tabs>
        <w:tab w:val="left" w:pos="7380"/>
      </w:tabs>
      <w:autoSpaceDE w:val="0"/>
      <w:autoSpaceDN w:val="0"/>
      <w:snapToGrid w:val="0"/>
      <w:spacing w:line="400" w:lineRule="exact"/>
      <w:ind w:firstLineChars="200" w:firstLine="514"/>
      <w:jc w:val="both"/>
    </w:pPr>
    <w:rPr>
      <w:rFonts w:eastAsia="Times New Roman" w:cs="Times New Roman"/>
      <w:iCs/>
      <w:color w:val="000000"/>
      <w:kern w:val="0"/>
      <w:sz w:val="24"/>
      <w:szCs w:val="24"/>
      <w:lang w:val="en-US" w:eastAsia="zh-CN"/>
      <w14:ligatures w14:val="none"/>
    </w:rPr>
  </w:style>
  <w:style w:type="character" w:customStyle="1" w:styleId="Char1">
    <w:name w:val="毕业论文正文 Char1"/>
    <w:link w:val="a"/>
    <w:rsid w:val="00BD0505"/>
    <w:rPr>
      <w:rFonts w:ascii="Times New Roman" w:eastAsia="Times New Roman" w:hAnsi="Times New Roman" w:cs="Times New Roman"/>
      <w:iCs/>
      <w:color w:val="000000"/>
      <w:kern w:val="0"/>
      <w:sz w:val="24"/>
      <w:szCs w:val="24"/>
      <w:lang w:val="en-US" w:eastAsia="zh-CN"/>
      <w14:ligatures w14:val="none"/>
    </w:rPr>
  </w:style>
  <w:style w:type="table" w:styleId="Tabela-Siatka">
    <w:name w:val="Table Grid"/>
    <w:basedOn w:val="Standardowy"/>
    <w:uiPriority w:val="39"/>
    <w:rsid w:val="007C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971E7"/>
    <w:pPr>
      <w:tabs>
        <w:tab w:val="center" w:pos="4536"/>
        <w:tab w:val="right" w:pos="9072"/>
      </w:tabs>
    </w:pPr>
  </w:style>
  <w:style w:type="character" w:customStyle="1" w:styleId="NagwekZnak">
    <w:name w:val="Nagłówek Znak"/>
    <w:basedOn w:val="Domylnaczcionkaakapitu"/>
    <w:link w:val="Nagwek"/>
    <w:uiPriority w:val="99"/>
    <w:rsid w:val="000971E7"/>
    <w:rPr>
      <w:rFonts w:ascii="Times New Roman" w:hAnsi="Times New Roman"/>
    </w:rPr>
  </w:style>
  <w:style w:type="paragraph" w:styleId="Stopka">
    <w:name w:val="footer"/>
    <w:basedOn w:val="Normalny"/>
    <w:link w:val="StopkaZnak"/>
    <w:uiPriority w:val="99"/>
    <w:unhideWhenUsed/>
    <w:rsid w:val="000971E7"/>
    <w:pPr>
      <w:tabs>
        <w:tab w:val="center" w:pos="4536"/>
        <w:tab w:val="right" w:pos="9072"/>
      </w:tabs>
    </w:pPr>
  </w:style>
  <w:style w:type="character" w:customStyle="1" w:styleId="StopkaZnak">
    <w:name w:val="Stopka Znak"/>
    <w:basedOn w:val="Domylnaczcionkaakapitu"/>
    <w:link w:val="Stopka"/>
    <w:uiPriority w:val="99"/>
    <w:rsid w:val="000971E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9</Pages>
  <Words>4190</Words>
  <Characters>25141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Dabrowski NA</dc:creator>
  <cp:keywords/>
  <dc:description/>
  <cp:lastModifiedBy>Janusz Dabrowski NA</cp:lastModifiedBy>
  <cp:revision>30</cp:revision>
  <cp:lastPrinted>2024-07-09T07:45:00Z</cp:lastPrinted>
  <dcterms:created xsi:type="dcterms:W3CDTF">2024-05-06T12:34:00Z</dcterms:created>
  <dcterms:modified xsi:type="dcterms:W3CDTF">2024-07-09T07:48:00Z</dcterms:modified>
</cp:coreProperties>
</file>